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B47F" w14:textId="77777777" w:rsidR="00846CDA" w:rsidRPr="00FF7979" w:rsidRDefault="00846CDA" w:rsidP="00FF7979">
      <w:pPr>
        <w:pStyle w:val="Title"/>
        <w:spacing w:before="4440"/>
      </w:pPr>
      <w:r w:rsidRPr="00FF7979">
        <w:t>National Evaluation of the Transition Care Program</w:t>
      </w:r>
    </w:p>
    <w:p w14:paraId="0A0119C6" w14:textId="77777777" w:rsidR="00846CDA" w:rsidRDefault="00846CDA" w:rsidP="00CA0D72">
      <w:pPr>
        <w:pStyle w:val="Default"/>
        <w:ind w:right="-3"/>
        <w:jc w:val="center"/>
        <w:rPr>
          <w:b/>
          <w:bCs/>
          <w:sz w:val="40"/>
          <w:szCs w:val="40"/>
        </w:rPr>
      </w:pPr>
    </w:p>
    <w:p w14:paraId="674665CB" w14:textId="77777777" w:rsidR="00846CDA" w:rsidRDefault="00846CDA" w:rsidP="00CA0D72">
      <w:pPr>
        <w:pStyle w:val="Default"/>
        <w:ind w:right="-3"/>
        <w:jc w:val="center"/>
        <w:rPr>
          <w:sz w:val="40"/>
          <w:szCs w:val="40"/>
        </w:rPr>
      </w:pPr>
      <w:r>
        <w:rPr>
          <w:b/>
          <w:bCs/>
          <w:sz w:val="40"/>
          <w:szCs w:val="40"/>
        </w:rPr>
        <w:t>RFT 206/0506</w:t>
      </w:r>
    </w:p>
    <w:p w14:paraId="520C11DA" w14:textId="77777777" w:rsidR="00846CDA" w:rsidRDefault="00846CDA" w:rsidP="00CA0D72">
      <w:pPr>
        <w:pStyle w:val="Default"/>
        <w:ind w:right="-3"/>
        <w:rPr>
          <w:sz w:val="40"/>
          <w:szCs w:val="40"/>
        </w:rPr>
      </w:pPr>
    </w:p>
    <w:p w14:paraId="3415AA18" w14:textId="6C33F6CE" w:rsidR="00846CDA" w:rsidRDefault="00FF7979" w:rsidP="00CA0D72">
      <w:pPr>
        <w:pStyle w:val="CM79"/>
        <w:spacing w:line="691" w:lineRule="atLeast"/>
        <w:ind w:right="-3"/>
        <w:jc w:val="center"/>
        <w:rPr>
          <w:b/>
          <w:bCs/>
          <w:color w:val="000000"/>
          <w:sz w:val="40"/>
          <w:szCs w:val="40"/>
        </w:rPr>
      </w:pPr>
      <w:r>
        <w:rPr>
          <w:b/>
          <w:bCs/>
          <w:color w:val="000000"/>
          <w:sz w:val="40"/>
          <w:szCs w:val="40"/>
        </w:rPr>
        <w:t>Final Evaluation Report</w:t>
      </w:r>
    </w:p>
    <w:p w14:paraId="17DD2288" w14:textId="77777777" w:rsidR="00846CDA" w:rsidRDefault="00846CDA" w:rsidP="00CA0D72">
      <w:pPr>
        <w:pStyle w:val="Default"/>
        <w:ind w:right="-3"/>
      </w:pPr>
    </w:p>
    <w:p w14:paraId="01FC1069" w14:textId="77777777" w:rsidR="005D7ABA" w:rsidRDefault="00846CDA" w:rsidP="005D7ABA">
      <w:pPr>
        <w:pStyle w:val="CM79"/>
        <w:ind w:right="-3"/>
        <w:jc w:val="center"/>
        <w:rPr>
          <w:b/>
          <w:bCs/>
          <w:color w:val="000000"/>
          <w:sz w:val="23"/>
          <w:szCs w:val="23"/>
        </w:rPr>
      </w:pPr>
      <w:r>
        <w:rPr>
          <w:b/>
          <w:bCs/>
          <w:color w:val="000000"/>
          <w:sz w:val="23"/>
          <w:szCs w:val="23"/>
        </w:rPr>
        <w:t>31 May 2008</w:t>
      </w:r>
    </w:p>
    <w:p w14:paraId="454975D0" w14:textId="77777777" w:rsidR="005D7ABA" w:rsidRDefault="00846CDA" w:rsidP="00FF7979">
      <w:pPr>
        <w:pStyle w:val="CM2"/>
        <w:spacing w:before="960"/>
        <w:ind w:right="-6"/>
        <w:jc w:val="center"/>
        <w:rPr>
          <w:b/>
          <w:bCs/>
          <w:color w:val="000000"/>
          <w:sz w:val="23"/>
          <w:szCs w:val="23"/>
        </w:rPr>
      </w:pPr>
      <w:r>
        <w:rPr>
          <w:b/>
          <w:bCs/>
          <w:color w:val="000000"/>
          <w:sz w:val="23"/>
          <w:szCs w:val="23"/>
        </w:rPr>
        <w:t>Jointly funded by the Commonwealth, State and Territory governments</w:t>
      </w:r>
    </w:p>
    <w:p w14:paraId="4FEA6E31" w14:textId="3E0E4A69" w:rsidR="00846CDA" w:rsidRPr="00846CDA" w:rsidRDefault="00846CDA" w:rsidP="00CA0D72">
      <w:pPr>
        <w:pStyle w:val="Default"/>
        <w:ind w:right="-3"/>
      </w:pPr>
    </w:p>
    <w:p w14:paraId="6F92289C" w14:textId="23DBD99A" w:rsidR="00FF7979" w:rsidRPr="00FE7DD1" w:rsidRDefault="00FE7DD1" w:rsidP="00FF7979">
      <w:pPr>
        <w:pStyle w:val="Heading1"/>
        <w:ind w:right="-3"/>
        <w:rPr>
          <w:b w:val="0"/>
        </w:rPr>
      </w:pPr>
      <w:r>
        <w:br w:type="page"/>
      </w:r>
    </w:p>
    <w:sdt>
      <w:sdtPr>
        <w:rPr>
          <w:rFonts w:ascii="Times New Roman" w:eastAsia="Times New Roman" w:hAnsi="Times New Roman" w:cs="Times New Roman"/>
          <w:b w:val="0"/>
          <w:bCs w:val="0"/>
          <w:color w:val="auto"/>
          <w:sz w:val="24"/>
          <w:szCs w:val="24"/>
          <w:lang w:val="en-AU" w:eastAsia="en-AU"/>
        </w:rPr>
        <w:id w:val="1665660782"/>
        <w:docPartObj>
          <w:docPartGallery w:val="Table of Contents"/>
          <w:docPartUnique/>
        </w:docPartObj>
      </w:sdtPr>
      <w:sdtEndPr>
        <w:rPr>
          <w:noProof/>
        </w:rPr>
      </w:sdtEndPr>
      <w:sdtContent>
        <w:p w14:paraId="25954549" w14:textId="0780E537" w:rsidR="00FF7979" w:rsidRDefault="00FF7979">
          <w:pPr>
            <w:pStyle w:val="TOCHeading"/>
          </w:pPr>
          <w:r>
            <w:t>Contents</w:t>
          </w:r>
        </w:p>
        <w:p w14:paraId="542D74CA" w14:textId="77777777" w:rsidR="00464643" w:rsidRDefault="00FF7979">
          <w:pPr>
            <w:pStyle w:val="TOC1"/>
            <w:tabs>
              <w:tab w:val="right" w:leader="dot" w:pos="934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2348847" w:history="1">
            <w:r w:rsidR="00464643" w:rsidRPr="00AD4C23">
              <w:rPr>
                <w:rStyle w:val="Hyperlink"/>
                <w:noProof/>
              </w:rPr>
              <w:t>Acknowledgements</w:t>
            </w:r>
            <w:r w:rsidR="00464643">
              <w:rPr>
                <w:noProof/>
                <w:webHidden/>
              </w:rPr>
              <w:tab/>
            </w:r>
            <w:r w:rsidR="00464643">
              <w:rPr>
                <w:noProof/>
                <w:webHidden/>
              </w:rPr>
              <w:fldChar w:fldCharType="begin"/>
            </w:r>
            <w:r w:rsidR="00464643">
              <w:rPr>
                <w:noProof/>
                <w:webHidden/>
              </w:rPr>
              <w:instrText xml:space="preserve"> PAGEREF _Toc402348847 \h </w:instrText>
            </w:r>
            <w:r w:rsidR="00464643">
              <w:rPr>
                <w:noProof/>
                <w:webHidden/>
              </w:rPr>
            </w:r>
            <w:r w:rsidR="00464643">
              <w:rPr>
                <w:noProof/>
                <w:webHidden/>
              </w:rPr>
              <w:fldChar w:fldCharType="separate"/>
            </w:r>
            <w:r w:rsidR="00464643">
              <w:rPr>
                <w:noProof/>
                <w:webHidden/>
              </w:rPr>
              <w:t>6</w:t>
            </w:r>
            <w:r w:rsidR="00464643">
              <w:rPr>
                <w:noProof/>
                <w:webHidden/>
              </w:rPr>
              <w:fldChar w:fldCharType="end"/>
            </w:r>
          </w:hyperlink>
        </w:p>
        <w:p w14:paraId="6EE6477D"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48" w:history="1">
            <w:r w:rsidRPr="00AD4C23">
              <w:rPr>
                <w:rStyle w:val="Hyperlink"/>
                <w:noProof/>
              </w:rPr>
              <w:t>Transition Care Working Group  (Current and former members)</w:t>
            </w:r>
            <w:r>
              <w:rPr>
                <w:noProof/>
                <w:webHidden/>
              </w:rPr>
              <w:tab/>
            </w:r>
            <w:r>
              <w:rPr>
                <w:noProof/>
                <w:webHidden/>
              </w:rPr>
              <w:fldChar w:fldCharType="begin"/>
            </w:r>
            <w:r>
              <w:rPr>
                <w:noProof/>
                <w:webHidden/>
              </w:rPr>
              <w:instrText xml:space="preserve"> PAGEREF _Toc402348848 \h </w:instrText>
            </w:r>
            <w:r>
              <w:rPr>
                <w:noProof/>
                <w:webHidden/>
              </w:rPr>
            </w:r>
            <w:r>
              <w:rPr>
                <w:noProof/>
                <w:webHidden/>
              </w:rPr>
              <w:fldChar w:fldCharType="separate"/>
            </w:r>
            <w:r>
              <w:rPr>
                <w:noProof/>
                <w:webHidden/>
              </w:rPr>
              <w:t>7</w:t>
            </w:r>
            <w:r>
              <w:rPr>
                <w:noProof/>
                <w:webHidden/>
              </w:rPr>
              <w:fldChar w:fldCharType="end"/>
            </w:r>
          </w:hyperlink>
        </w:p>
        <w:p w14:paraId="13518C03"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49" w:history="1">
            <w:r w:rsidRPr="00AD4C23">
              <w:rPr>
                <w:rStyle w:val="Hyperlink"/>
                <w:noProof/>
              </w:rPr>
              <w:t>Summary of Ethics Applications</w:t>
            </w:r>
            <w:r>
              <w:rPr>
                <w:noProof/>
                <w:webHidden/>
              </w:rPr>
              <w:tab/>
            </w:r>
            <w:r>
              <w:rPr>
                <w:noProof/>
                <w:webHidden/>
              </w:rPr>
              <w:fldChar w:fldCharType="begin"/>
            </w:r>
            <w:r>
              <w:rPr>
                <w:noProof/>
                <w:webHidden/>
              </w:rPr>
              <w:instrText xml:space="preserve"> PAGEREF _Toc402348849 \h </w:instrText>
            </w:r>
            <w:r>
              <w:rPr>
                <w:noProof/>
                <w:webHidden/>
              </w:rPr>
            </w:r>
            <w:r>
              <w:rPr>
                <w:noProof/>
                <w:webHidden/>
              </w:rPr>
              <w:fldChar w:fldCharType="separate"/>
            </w:r>
            <w:r>
              <w:rPr>
                <w:noProof/>
                <w:webHidden/>
              </w:rPr>
              <w:t>8</w:t>
            </w:r>
            <w:r>
              <w:rPr>
                <w:noProof/>
                <w:webHidden/>
              </w:rPr>
              <w:fldChar w:fldCharType="end"/>
            </w:r>
          </w:hyperlink>
        </w:p>
        <w:p w14:paraId="3A74FD79"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0" w:history="1">
            <w:r w:rsidRPr="00AD4C23">
              <w:rPr>
                <w:rStyle w:val="Hyperlink"/>
                <w:noProof/>
              </w:rPr>
              <w:t>ACT Government</w:t>
            </w:r>
            <w:r>
              <w:rPr>
                <w:noProof/>
                <w:webHidden/>
              </w:rPr>
              <w:tab/>
            </w:r>
            <w:r>
              <w:rPr>
                <w:noProof/>
                <w:webHidden/>
              </w:rPr>
              <w:fldChar w:fldCharType="begin"/>
            </w:r>
            <w:r>
              <w:rPr>
                <w:noProof/>
                <w:webHidden/>
              </w:rPr>
              <w:instrText xml:space="preserve"> PAGEREF _Toc402348850 \h </w:instrText>
            </w:r>
            <w:r>
              <w:rPr>
                <w:noProof/>
                <w:webHidden/>
              </w:rPr>
            </w:r>
            <w:r>
              <w:rPr>
                <w:noProof/>
                <w:webHidden/>
              </w:rPr>
              <w:fldChar w:fldCharType="separate"/>
            </w:r>
            <w:r>
              <w:rPr>
                <w:noProof/>
                <w:webHidden/>
              </w:rPr>
              <w:t>8</w:t>
            </w:r>
            <w:r>
              <w:rPr>
                <w:noProof/>
                <w:webHidden/>
              </w:rPr>
              <w:fldChar w:fldCharType="end"/>
            </w:r>
          </w:hyperlink>
        </w:p>
        <w:p w14:paraId="352CCF25"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1" w:history="1">
            <w:r w:rsidRPr="00AD4C23">
              <w:rPr>
                <w:rStyle w:val="Hyperlink"/>
                <w:noProof/>
              </w:rPr>
              <w:t>Victorian Government</w:t>
            </w:r>
            <w:r>
              <w:rPr>
                <w:noProof/>
                <w:webHidden/>
              </w:rPr>
              <w:tab/>
            </w:r>
            <w:r>
              <w:rPr>
                <w:noProof/>
                <w:webHidden/>
              </w:rPr>
              <w:fldChar w:fldCharType="begin"/>
            </w:r>
            <w:r>
              <w:rPr>
                <w:noProof/>
                <w:webHidden/>
              </w:rPr>
              <w:instrText xml:space="preserve"> PAGEREF _Toc402348851 \h </w:instrText>
            </w:r>
            <w:r>
              <w:rPr>
                <w:noProof/>
                <w:webHidden/>
              </w:rPr>
            </w:r>
            <w:r>
              <w:rPr>
                <w:noProof/>
                <w:webHidden/>
              </w:rPr>
              <w:fldChar w:fldCharType="separate"/>
            </w:r>
            <w:r>
              <w:rPr>
                <w:noProof/>
                <w:webHidden/>
              </w:rPr>
              <w:t>8</w:t>
            </w:r>
            <w:r>
              <w:rPr>
                <w:noProof/>
                <w:webHidden/>
              </w:rPr>
              <w:fldChar w:fldCharType="end"/>
            </w:r>
          </w:hyperlink>
        </w:p>
        <w:p w14:paraId="13137D29"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2" w:history="1">
            <w:r w:rsidRPr="00AD4C23">
              <w:rPr>
                <w:rStyle w:val="Hyperlink"/>
                <w:noProof/>
              </w:rPr>
              <w:t>Queensland Government</w:t>
            </w:r>
            <w:r>
              <w:rPr>
                <w:noProof/>
                <w:webHidden/>
              </w:rPr>
              <w:tab/>
            </w:r>
            <w:r>
              <w:rPr>
                <w:noProof/>
                <w:webHidden/>
              </w:rPr>
              <w:fldChar w:fldCharType="begin"/>
            </w:r>
            <w:r>
              <w:rPr>
                <w:noProof/>
                <w:webHidden/>
              </w:rPr>
              <w:instrText xml:space="preserve"> PAGEREF _Toc402348852 \h </w:instrText>
            </w:r>
            <w:r>
              <w:rPr>
                <w:noProof/>
                <w:webHidden/>
              </w:rPr>
            </w:r>
            <w:r>
              <w:rPr>
                <w:noProof/>
                <w:webHidden/>
              </w:rPr>
              <w:fldChar w:fldCharType="separate"/>
            </w:r>
            <w:r>
              <w:rPr>
                <w:noProof/>
                <w:webHidden/>
              </w:rPr>
              <w:t>9</w:t>
            </w:r>
            <w:r>
              <w:rPr>
                <w:noProof/>
                <w:webHidden/>
              </w:rPr>
              <w:fldChar w:fldCharType="end"/>
            </w:r>
          </w:hyperlink>
        </w:p>
        <w:p w14:paraId="6DB542A4"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3" w:history="1">
            <w:r w:rsidRPr="00AD4C23">
              <w:rPr>
                <w:rStyle w:val="Hyperlink"/>
                <w:noProof/>
              </w:rPr>
              <w:t>NSW Government</w:t>
            </w:r>
            <w:r>
              <w:rPr>
                <w:noProof/>
                <w:webHidden/>
              </w:rPr>
              <w:tab/>
            </w:r>
            <w:r>
              <w:rPr>
                <w:noProof/>
                <w:webHidden/>
              </w:rPr>
              <w:fldChar w:fldCharType="begin"/>
            </w:r>
            <w:r>
              <w:rPr>
                <w:noProof/>
                <w:webHidden/>
              </w:rPr>
              <w:instrText xml:space="preserve"> PAGEREF _Toc402348853 \h </w:instrText>
            </w:r>
            <w:r>
              <w:rPr>
                <w:noProof/>
                <w:webHidden/>
              </w:rPr>
            </w:r>
            <w:r>
              <w:rPr>
                <w:noProof/>
                <w:webHidden/>
              </w:rPr>
              <w:fldChar w:fldCharType="separate"/>
            </w:r>
            <w:r>
              <w:rPr>
                <w:noProof/>
                <w:webHidden/>
              </w:rPr>
              <w:t>10</w:t>
            </w:r>
            <w:r>
              <w:rPr>
                <w:noProof/>
                <w:webHidden/>
              </w:rPr>
              <w:fldChar w:fldCharType="end"/>
            </w:r>
          </w:hyperlink>
        </w:p>
        <w:p w14:paraId="5DCA88FC"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4" w:history="1">
            <w:r w:rsidRPr="00AD4C23">
              <w:rPr>
                <w:rStyle w:val="Hyperlink"/>
                <w:noProof/>
              </w:rPr>
              <w:t>SA Government</w:t>
            </w:r>
            <w:r>
              <w:rPr>
                <w:noProof/>
                <w:webHidden/>
              </w:rPr>
              <w:tab/>
            </w:r>
            <w:r>
              <w:rPr>
                <w:noProof/>
                <w:webHidden/>
              </w:rPr>
              <w:fldChar w:fldCharType="begin"/>
            </w:r>
            <w:r>
              <w:rPr>
                <w:noProof/>
                <w:webHidden/>
              </w:rPr>
              <w:instrText xml:space="preserve"> PAGEREF _Toc402348854 \h </w:instrText>
            </w:r>
            <w:r>
              <w:rPr>
                <w:noProof/>
                <w:webHidden/>
              </w:rPr>
            </w:r>
            <w:r>
              <w:rPr>
                <w:noProof/>
                <w:webHidden/>
              </w:rPr>
              <w:fldChar w:fldCharType="separate"/>
            </w:r>
            <w:r>
              <w:rPr>
                <w:noProof/>
                <w:webHidden/>
              </w:rPr>
              <w:t>10</w:t>
            </w:r>
            <w:r>
              <w:rPr>
                <w:noProof/>
                <w:webHidden/>
              </w:rPr>
              <w:fldChar w:fldCharType="end"/>
            </w:r>
          </w:hyperlink>
        </w:p>
        <w:p w14:paraId="3DF60BAE"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5" w:history="1">
            <w:r w:rsidRPr="00AD4C23">
              <w:rPr>
                <w:rStyle w:val="Hyperlink"/>
                <w:noProof/>
              </w:rPr>
              <w:t>Tasmanian Government</w:t>
            </w:r>
            <w:r>
              <w:rPr>
                <w:noProof/>
                <w:webHidden/>
              </w:rPr>
              <w:tab/>
            </w:r>
            <w:r>
              <w:rPr>
                <w:noProof/>
                <w:webHidden/>
              </w:rPr>
              <w:fldChar w:fldCharType="begin"/>
            </w:r>
            <w:r>
              <w:rPr>
                <w:noProof/>
                <w:webHidden/>
              </w:rPr>
              <w:instrText xml:space="preserve"> PAGEREF _Toc402348855 \h </w:instrText>
            </w:r>
            <w:r>
              <w:rPr>
                <w:noProof/>
                <w:webHidden/>
              </w:rPr>
            </w:r>
            <w:r>
              <w:rPr>
                <w:noProof/>
                <w:webHidden/>
              </w:rPr>
              <w:fldChar w:fldCharType="separate"/>
            </w:r>
            <w:r>
              <w:rPr>
                <w:noProof/>
                <w:webHidden/>
              </w:rPr>
              <w:t>10</w:t>
            </w:r>
            <w:r>
              <w:rPr>
                <w:noProof/>
                <w:webHidden/>
              </w:rPr>
              <w:fldChar w:fldCharType="end"/>
            </w:r>
          </w:hyperlink>
        </w:p>
        <w:p w14:paraId="232AEDC7"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6" w:history="1">
            <w:r w:rsidRPr="00AD4C23">
              <w:rPr>
                <w:rStyle w:val="Hyperlink"/>
                <w:noProof/>
              </w:rPr>
              <w:t>WA Government</w:t>
            </w:r>
            <w:r>
              <w:rPr>
                <w:noProof/>
                <w:webHidden/>
              </w:rPr>
              <w:tab/>
            </w:r>
            <w:r>
              <w:rPr>
                <w:noProof/>
                <w:webHidden/>
              </w:rPr>
              <w:fldChar w:fldCharType="begin"/>
            </w:r>
            <w:r>
              <w:rPr>
                <w:noProof/>
                <w:webHidden/>
              </w:rPr>
              <w:instrText xml:space="preserve"> PAGEREF _Toc402348856 \h </w:instrText>
            </w:r>
            <w:r>
              <w:rPr>
                <w:noProof/>
                <w:webHidden/>
              </w:rPr>
            </w:r>
            <w:r>
              <w:rPr>
                <w:noProof/>
                <w:webHidden/>
              </w:rPr>
              <w:fldChar w:fldCharType="separate"/>
            </w:r>
            <w:r>
              <w:rPr>
                <w:noProof/>
                <w:webHidden/>
              </w:rPr>
              <w:t>10</w:t>
            </w:r>
            <w:r>
              <w:rPr>
                <w:noProof/>
                <w:webHidden/>
              </w:rPr>
              <w:fldChar w:fldCharType="end"/>
            </w:r>
          </w:hyperlink>
        </w:p>
        <w:p w14:paraId="40F09D6C"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57" w:history="1">
            <w:r w:rsidRPr="00AD4C23">
              <w:rPr>
                <w:rStyle w:val="Hyperlink"/>
                <w:noProof/>
              </w:rPr>
              <w:t>NT Government</w:t>
            </w:r>
            <w:r>
              <w:rPr>
                <w:noProof/>
                <w:webHidden/>
              </w:rPr>
              <w:tab/>
            </w:r>
            <w:r>
              <w:rPr>
                <w:noProof/>
                <w:webHidden/>
              </w:rPr>
              <w:fldChar w:fldCharType="begin"/>
            </w:r>
            <w:r>
              <w:rPr>
                <w:noProof/>
                <w:webHidden/>
              </w:rPr>
              <w:instrText xml:space="preserve"> PAGEREF _Toc402348857 \h </w:instrText>
            </w:r>
            <w:r>
              <w:rPr>
                <w:noProof/>
                <w:webHidden/>
              </w:rPr>
            </w:r>
            <w:r>
              <w:rPr>
                <w:noProof/>
                <w:webHidden/>
              </w:rPr>
              <w:fldChar w:fldCharType="separate"/>
            </w:r>
            <w:r>
              <w:rPr>
                <w:noProof/>
                <w:webHidden/>
              </w:rPr>
              <w:t>10</w:t>
            </w:r>
            <w:r>
              <w:rPr>
                <w:noProof/>
                <w:webHidden/>
              </w:rPr>
              <w:fldChar w:fldCharType="end"/>
            </w:r>
          </w:hyperlink>
        </w:p>
        <w:p w14:paraId="69D3FF90"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858" w:history="1">
            <w:r w:rsidRPr="00AD4C23">
              <w:rPr>
                <w:rStyle w:val="Hyperlink"/>
                <w:noProof/>
              </w:rPr>
              <w:t>Glossary</w:t>
            </w:r>
            <w:r>
              <w:rPr>
                <w:noProof/>
                <w:webHidden/>
              </w:rPr>
              <w:tab/>
            </w:r>
            <w:r>
              <w:rPr>
                <w:noProof/>
                <w:webHidden/>
              </w:rPr>
              <w:fldChar w:fldCharType="begin"/>
            </w:r>
            <w:r>
              <w:rPr>
                <w:noProof/>
                <w:webHidden/>
              </w:rPr>
              <w:instrText xml:space="preserve"> PAGEREF _Toc402348858 \h </w:instrText>
            </w:r>
            <w:r>
              <w:rPr>
                <w:noProof/>
                <w:webHidden/>
              </w:rPr>
            </w:r>
            <w:r>
              <w:rPr>
                <w:noProof/>
                <w:webHidden/>
              </w:rPr>
              <w:fldChar w:fldCharType="separate"/>
            </w:r>
            <w:r>
              <w:rPr>
                <w:noProof/>
                <w:webHidden/>
              </w:rPr>
              <w:t>11</w:t>
            </w:r>
            <w:r>
              <w:rPr>
                <w:noProof/>
                <w:webHidden/>
              </w:rPr>
              <w:fldChar w:fldCharType="end"/>
            </w:r>
          </w:hyperlink>
        </w:p>
        <w:p w14:paraId="05003486"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859" w:history="1">
            <w:r w:rsidRPr="00AD4C23">
              <w:rPr>
                <w:rStyle w:val="Hyperlink"/>
                <w:noProof/>
              </w:rPr>
              <w:t>Executive Summary</w:t>
            </w:r>
            <w:r>
              <w:rPr>
                <w:noProof/>
                <w:webHidden/>
              </w:rPr>
              <w:tab/>
            </w:r>
            <w:r>
              <w:rPr>
                <w:noProof/>
                <w:webHidden/>
              </w:rPr>
              <w:fldChar w:fldCharType="begin"/>
            </w:r>
            <w:r>
              <w:rPr>
                <w:noProof/>
                <w:webHidden/>
              </w:rPr>
              <w:instrText xml:space="preserve"> PAGEREF _Toc402348859 \h </w:instrText>
            </w:r>
            <w:r>
              <w:rPr>
                <w:noProof/>
                <w:webHidden/>
              </w:rPr>
            </w:r>
            <w:r>
              <w:rPr>
                <w:noProof/>
                <w:webHidden/>
              </w:rPr>
              <w:fldChar w:fldCharType="separate"/>
            </w:r>
            <w:r>
              <w:rPr>
                <w:noProof/>
                <w:webHidden/>
              </w:rPr>
              <w:t>12</w:t>
            </w:r>
            <w:r>
              <w:rPr>
                <w:noProof/>
                <w:webHidden/>
              </w:rPr>
              <w:fldChar w:fldCharType="end"/>
            </w:r>
          </w:hyperlink>
        </w:p>
        <w:p w14:paraId="73EB99CC"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60" w:history="1">
            <w:r w:rsidRPr="00AD4C23">
              <w:rPr>
                <w:rStyle w:val="Hyperlink"/>
                <w:noProof/>
              </w:rPr>
              <w:t>Key Findings</w:t>
            </w:r>
            <w:r>
              <w:rPr>
                <w:noProof/>
                <w:webHidden/>
              </w:rPr>
              <w:tab/>
            </w:r>
            <w:r>
              <w:rPr>
                <w:noProof/>
                <w:webHidden/>
              </w:rPr>
              <w:fldChar w:fldCharType="begin"/>
            </w:r>
            <w:r>
              <w:rPr>
                <w:noProof/>
                <w:webHidden/>
              </w:rPr>
              <w:instrText xml:space="preserve"> PAGEREF _Toc402348860 \h </w:instrText>
            </w:r>
            <w:r>
              <w:rPr>
                <w:noProof/>
                <w:webHidden/>
              </w:rPr>
            </w:r>
            <w:r>
              <w:rPr>
                <w:noProof/>
                <w:webHidden/>
              </w:rPr>
              <w:fldChar w:fldCharType="separate"/>
            </w:r>
            <w:r>
              <w:rPr>
                <w:noProof/>
                <w:webHidden/>
              </w:rPr>
              <w:t>12</w:t>
            </w:r>
            <w:r>
              <w:rPr>
                <w:noProof/>
                <w:webHidden/>
              </w:rPr>
              <w:fldChar w:fldCharType="end"/>
            </w:r>
          </w:hyperlink>
        </w:p>
        <w:p w14:paraId="30780BE4"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61" w:history="1">
            <w:r w:rsidRPr="00AD4C23">
              <w:rPr>
                <w:rStyle w:val="Hyperlink"/>
                <w:noProof/>
              </w:rPr>
              <w:t>What is Transition Care?</w:t>
            </w:r>
            <w:r>
              <w:rPr>
                <w:noProof/>
                <w:webHidden/>
              </w:rPr>
              <w:tab/>
            </w:r>
            <w:r>
              <w:rPr>
                <w:noProof/>
                <w:webHidden/>
              </w:rPr>
              <w:fldChar w:fldCharType="begin"/>
            </w:r>
            <w:r>
              <w:rPr>
                <w:noProof/>
                <w:webHidden/>
              </w:rPr>
              <w:instrText xml:space="preserve"> PAGEREF _Toc402348861 \h </w:instrText>
            </w:r>
            <w:r>
              <w:rPr>
                <w:noProof/>
                <w:webHidden/>
              </w:rPr>
            </w:r>
            <w:r>
              <w:rPr>
                <w:noProof/>
                <w:webHidden/>
              </w:rPr>
              <w:fldChar w:fldCharType="separate"/>
            </w:r>
            <w:r>
              <w:rPr>
                <w:noProof/>
                <w:webHidden/>
              </w:rPr>
              <w:t>12</w:t>
            </w:r>
            <w:r>
              <w:rPr>
                <w:noProof/>
                <w:webHidden/>
              </w:rPr>
              <w:fldChar w:fldCharType="end"/>
            </w:r>
          </w:hyperlink>
        </w:p>
        <w:p w14:paraId="086CE925"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62" w:history="1">
            <w:r w:rsidRPr="00AD4C23">
              <w:rPr>
                <w:rStyle w:val="Hyperlink"/>
                <w:noProof/>
              </w:rPr>
              <w:t>What did we do?</w:t>
            </w:r>
            <w:r>
              <w:rPr>
                <w:noProof/>
                <w:webHidden/>
              </w:rPr>
              <w:tab/>
            </w:r>
            <w:r>
              <w:rPr>
                <w:noProof/>
                <w:webHidden/>
              </w:rPr>
              <w:fldChar w:fldCharType="begin"/>
            </w:r>
            <w:r>
              <w:rPr>
                <w:noProof/>
                <w:webHidden/>
              </w:rPr>
              <w:instrText xml:space="preserve"> PAGEREF _Toc402348862 \h </w:instrText>
            </w:r>
            <w:r>
              <w:rPr>
                <w:noProof/>
                <w:webHidden/>
              </w:rPr>
            </w:r>
            <w:r>
              <w:rPr>
                <w:noProof/>
                <w:webHidden/>
              </w:rPr>
              <w:fldChar w:fldCharType="separate"/>
            </w:r>
            <w:r>
              <w:rPr>
                <w:noProof/>
                <w:webHidden/>
              </w:rPr>
              <w:t>12</w:t>
            </w:r>
            <w:r>
              <w:rPr>
                <w:noProof/>
                <w:webHidden/>
              </w:rPr>
              <w:fldChar w:fldCharType="end"/>
            </w:r>
          </w:hyperlink>
        </w:p>
        <w:p w14:paraId="5538F693"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63" w:history="1">
            <w:r w:rsidRPr="00AD4C23">
              <w:rPr>
                <w:rStyle w:val="Hyperlink"/>
                <w:noProof/>
              </w:rPr>
              <w:t>What did we find?</w:t>
            </w:r>
            <w:r>
              <w:rPr>
                <w:noProof/>
                <w:webHidden/>
              </w:rPr>
              <w:tab/>
            </w:r>
            <w:r>
              <w:rPr>
                <w:noProof/>
                <w:webHidden/>
              </w:rPr>
              <w:fldChar w:fldCharType="begin"/>
            </w:r>
            <w:r>
              <w:rPr>
                <w:noProof/>
                <w:webHidden/>
              </w:rPr>
              <w:instrText xml:space="preserve"> PAGEREF _Toc402348863 \h </w:instrText>
            </w:r>
            <w:r>
              <w:rPr>
                <w:noProof/>
                <w:webHidden/>
              </w:rPr>
            </w:r>
            <w:r>
              <w:rPr>
                <w:noProof/>
                <w:webHidden/>
              </w:rPr>
              <w:fldChar w:fldCharType="separate"/>
            </w:r>
            <w:r>
              <w:rPr>
                <w:noProof/>
                <w:webHidden/>
              </w:rPr>
              <w:t>13</w:t>
            </w:r>
            <w:r>
              <w:rPr>
                <w:noProof/>
                <w:webHidden/>
              </w:rPr>
              <w:fldChar w:fldCharType="end"/>
            </w:r>
          </w:hyperlink>
        </w:p>
        <w:p w14:paraId="05583FD8"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64" w:history="1">
            <w:r w:rsidRPr="00AD4C23">
              <w:rPr>
                <w:rStyle w:val="Hyperlink"/>
                <w:noProof/>
              </w:rPr>
              <w:t>What did we conclude?</w:t>
            </w:r>
            <w:r>
              <w:rPr>
                <w:noProof/>
                <w:webHidden/>
              </w:rPr>
              <w:tab/>
            </w:r>
            <w:r>
              <w:rPr>
                <w:noProof/>
                <w:webHidden/>
              </w:rPr>
              <w:fldChar w:fldCharType="begin"/>
            </w:r>
            <w:r>
              <w:rPr>
                <w:noProof/>
                <w:webHidden/>
              </w:rPr>
              <w:instrText xml:space="preserve"> PAGEREF _Toc402348864 \h </w:instrText>
            </w:r>
            <w:r>
              <w:rPr>
                <w:noProof/>
                <w:webHidden/>
              </w:rPr>
            </w:r>
            <w:r>
              <w:rPr>
                <w:noProof/>
                <w:webHidden/>
              </w:rPr>
              <w:fldChar w:fldCharType="separate"/>
            </w:r>
            <w:r>
              <w:rPr>
                <w:noProof/>
                <w:webHidden/>
              </w:rPr>
              <w:t>14</w:t>
            </w:r>
            <w:r>
              <w:rPr>
                <w:noProof/>
                <w:webHidden/>
              </w:rPr>
              <w:fldChar w:fldCharType="end"/>
            </w:r>
          </w:hyperlink>
        </w:p>
        <w:p w14:paraId="2595FE2A"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865" w:history="1">
            <w:r w:rsidRPr="00AD4C23">
              <w:rPr>
                <w:rStyle w:val="Hyperlink"/>
                <w:noProof/>
              </w:rPr>
              <w:t>1. Introduction</w:t>
            </w:r>
            <w:r>
              <w:rPr>
                <w:noProof/>
                <w:webHidden/>
              </w:rPr>
              <w:tab/>
            </w:r>
            <w:r>
              <w:rPr>
                <w:noProof/>
                <w:webHidden/>
              </w:rPr>
              <w:fldChar w:fldCharType="begin"/>
            </w:r>
            <w:r>
              <w:rPr>
                <w:noProof/>
                <w:webHidden/>
              </w:rPr>
              <w:instrText xml:space="preserve"> PAGEREF _Toc402348865 \h </w:instrText>
            </w:r>
            <w:r>
              <w:rPr>
                <w:noProof/>
                <w:webHidden/>
              </w:rPr>
            </w:r>
            <w:r>
              <w:rPr>
                <w:noProof/>
                <w:webHidden/>
              </w:rPr>
              <w:fldChar w:fldCharType="separate"/>
            </w:r>
            <w:r>
              <w:rPr>
                <w:noProof/>
                <w:webHidden/>
              </w:rPr>
              <w:t>16</w:t>
            </w:r>
            <w:r>
              <w:rPr>
                <w:noProof/>
                <w:webHidden/>
              </w:rPr>
              <w:fldChar w:fldCharType="end"/>
            </w:r>
          </w:hyperlink>
        </w:p>
        <w:p w14:paraId="064449AF"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66" w:history="1">
            <w:r w:rsidRPr="00AD4C23">
              <w:rPr>
                <w:rStyle w:val="Hyperlink"/>
                <w:noProof/>
              </w:rPr>
              <w:t>1.1. Framework for the Evaluation</w:t>
            </w:r>
            <w:r>
              <w:rPr>
                <w:noProof/>
                <w:webHidden/>
              </w:rPr>
              <w:tab/>
            </w:r>
            <w:r>
              <w:rPr>
                <w:noProof/>
                <w:webHidden/>
              </w:rPr>
              <w:fldChar w:fldCharType="begin"/>
            </w:r>
            <w:r>
              <w:rPr>
                <w:noProof/>
                <w:webHidden/>
              </w:rPr>
              <w:instrText xml:space="preserve"> PAGEREF _Toc402348866 \h </w:instrText>
            </w:r>
            <w:r>
              <w:rPr>
                <w:noProof/>
                <w:webHidden/>
              </w:rPr>
            </w:r>
            <w:r>
              <w:rPr>
                <w:noProof/>
                <w:webHidden/>
              </w:rPr>
              <w:fldChar w:fldCharType="separate"/>
            </w:r>
            <w:r>
              <w:rPr>
                <w:noProof/>
                <w:webHidden/>
              </w:rPr>
              <w:t>16</w:t>
            </w:r>
            <w:r>
              <w:rPr>
                <w:noProof/>
                <w:webHidden/>
              </w:rPr>
              <w:fldChar w:fldCharType="end"/>
            </w:r>
          </w:hyperlink>
        </w:p>
        <w:p w14:paraId="04CB6970"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67" w:history="1">
            <w:r w:rsidRPr="00AD4C23">
              <w:rPr>
                <w:rStyle w:val="Hyperlink"/>
                <w:noProof/>
              </w:rPr>
              <w:t>i) Regional Characterization Report</w:t>
            </w:r>
            <w:r>
              <w:rPr>
                <w:noProof/>
                <w:webHidden/>
              </w:rPr>
              <w:tab/>
            </w:r>
            <w:r>
              <w:rPr>
                <w:noProof/>
                <w:webHidden/>
              </w:rPr>
              <w:fldChar w:fldCharType="begin"/>
            </w:r>
            <w:r>
              <w:rPr>
                <w:noProof/>
                <w:webHidden/>
              </w:rPr>
              <w:instrText xml:space="preserve"> PAGEREF _Toc402348867 \h </w:instrText>
            </w:r>
            <w:r>
              <w:rPr>
                <w:noProof/>
                <w:webHidden/>
              </w:rPr>
            </w:r>
            <w:r>
              <w:rPr>
                <w:noProof/>
                <w:webHidden/>
              </w:rPr>
              <w:fldChar w:fldCharType="separate"/>
            </w:r>
            <w:r>
              <w:rPr>
                <w:noProof/>
                <w:webHidden/>
              </w:rPr>
              <w:t>16</w:t>
            </w:r>
            <w:r>
              <w:rPr>
                <w:noProof/>
                <w:webHidden/>
              </w:rPr>
              <w:fldChar w:fldCharType="end"/>
            </w:r>
          </w:hyperlink>
        </w:p>
        <w:p w14:paraId="0A989D45"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68" w:history="1">
            <w:r w:rsidRPr="00AD4C23">
              <w:rPr>
                <w:rStyle w:val="Hyperlink"/>
                <w:noProof/>
              </w:rPr>
              <w:t>ii) Quality Assessment Study</w:t>
            </w:r>
            <w:r>
              <w:rPr>
                <w:noProof/>
                <w:webHidden/>
              </w:rPr>
              <w:tab/>
            </w:r>
            <w:r>
              <w:rPr>
                <w:noProof/>
                <w:webHidden/>
              </w:rPr>
              <w:fldChar w:fldCharType="begin"/>
            </w:r>
            <w:r>
              <w:rPr>
                <w:noProof/>
                <w:webHidden/>
              </w:rPr>
              <w:instrText xml:space="preserve"> PAGEREF _Toc402348868 \h </w:instrText>
            </w:r>
            <w:r>
              <w:rPr>
                <w:noProof/>
                <w:webHidden/>
              </w:rPr>
            </w:r>
            <w:r>
              <w:rPr>
                <w:noProof/>
                <w:webHidden/>
              </w:rPr>
              <w:fldChar w:fldCharType="separate"/>
            </w:r>
            <w:r>
              <w:rPr>
                <w:noProof/>
                <w:webHidden/>
              </w:rPr>
              <w:t>16</w:t>
            </w:r>
            <w:r>
              <w:rPr>
                <w:noProof/>
                <w:webHidden/>
              </w:rPr>
              <w:fldChar w:fldCharType="end"/>
            </w:r>
          </w:hyperlink>
        </w:p>
        <w:p w14:paraId="1BD620A8"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69" w:history="1">
            <w:r w:rsidRPr="00AD4C23">
              <w:rPr>
                <w:rStyle w:val="Hyperlink"/>
                <w:noProof/>
              </w:rPr>
              <w:t>iii) Models of Transition Care</w:t>
            </w:r>
            <w:r>
              <w:rPr>
                <w:noProof/>
                <w:webHidden/>
              </w:rPr>
              <w:tab/>
            </w:r>
            <w:r>
              <w:rPr>
                <w:noProof/>
                <w:webHidden/>
              </w:rPr>
              <w:fldChar w:fldCharType="begin"/>
            </w:r>
            <w:r>
              <w:rPr>
                <w:noProof/>
                <w:webHidden/>
              </w:rPr>
              <w:instrText xml:space="preserve"> PAGEREF _Toc402348869 \h </w:instrText>
            </w:r>
            <w:r>
              <w:rPr>
                <w:noProof/>
                <w:webHidden/>
              </w:rPr>
            </w:r>
            <w:r>
              <w:rPr>
                <w:noProof/>
                <w:webHidden/>
              </w:rPr>
              <w:fldChar w:fldCharType="separate"/>
            </w:r>
            <w:r>
              <w:rPr>
                <w:noProof/>
                <w:webHidden/>
              </w:rPr>
              <w:t>16</w:t>
            </w:r>
            <w:r>
              <w:rPr>
                <w:noProof/>
                <w:webHidden/>
              </w:rPr>
              <w:fldChar w:fldCharType="end"/>
            </w:r>
          </w:hyperlink>
        </w:p>
        <w:p w14:paraId="00AF968A"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0" w:history="1">
            <w:r w:rsidRPr="00AD4C23">
              <w:rPr>
                <w:rStyle w:val="Hyperlink"/>
                <w:noProof/>
              </w:rPr>
              <w:t>iv) Recipient Snapshot Study</w:t>
            </w:r>
            <w:r>
              <w:rPr>
                <w:noProof/>
                <w:webHidden/>
              </w:rPr>
              <w:tab/>
            </w:r>
            <w:r>
              <w:rPr>
                <w:noProof/>
                <w:webHidden/>
              </w:rPr>
              <w:fldChar w:fldCharType="begin"/>
            </w:r>
            <w:r>
              <w:rPr>
                <w:noProof/>
                <w:webHidden/>
              </w:rPr>
              <w:instrText xml:space="preserve"> PAGEREF _Toc402348870 \h </w:instrText>
            </w:r>
            <w:r>
              <w:rPr>
                <w:noProof/>
                <w:webHidden/>
              </w:rPr>
            </w:r>
            <w:r>
              <w:rPr>
                <w:noProof/>
                <w:webHidden/>
              </w:rPr>
              <w:fldChar w:fldCharType="separate"/>
            </w:r>
            <w:r>
              <w:rPr>
                <w:noProof/>
                <w:webHidden/>
              </w:rPr>
              <w:t>17</w:t>
            </w:r>
            <w:r>
              <w:rPr>
                <w:noProof/>
                <w:webHidden/>
              </w:rPr>
              <w:fldChar w:fldCharType="end"/>
            </w:r>
          </w:hyperlink>
        </w:p>
        <w:p w14:paraId="6B2EE6E0"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1" w:history="1">
            <w:r w:rsidRPr="00AD4C23">
              <w:rPr>
                <w:rStyle w:val="Hyperlink"/>
                <w:noProof/>
              </w:rPr>
              <w:t>v) Controlled Comparison Study</w:t>
            </w:r>
            <w:r>
              <w:rPr>
                <w:noProof/>
                <w:webHidden/>
              </w:rPr>
              <w:tab/>
            </w:r>
            <w:r>
              <w:rPr>
                <w:noProof/>
                <w:webHidden/>
              </w:rPr>
              <w:fldChar w:fldCharType="begin"/>
            </w:r>
            <w:r>
              <w:rPr>
                <w:noProof/>
                <w:webHidden/>
              </w:rPr>
              <w:instrText xml:space="preserve"> PAGEREF _Toc402348871 \h </w:instrText>
            </w:r>
            <w:r>
              <w:rPr>
                <w:noProof/>
                <w:webHidden/>
              </w:rPr>
            </w:r>
            <w:r>
              <w:rPr>
                <w:noProof/>
                <w:webHidden/>
              </w:rPr>
              <w:fldChar w:fldCharType="separate"/>
            </w:r>
            <w:r>
              <w:rPr>
                <w:noProof/>
                <w:webHidden/>
              </w:rPr>
              <w:t>17</w:t>
            </w:r>
            <w:r>
              <w:rPr>
                <w:noProof/>
                <w:webHidden/>
              </w:rPr>
              <w:fldChar w:fldCharType="end"/>
            </w:r>
          </w:hyperlink>
        </w:p>
        <w:p w14:paraId="015C08CE"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2" w:history="1">
            <w:r w:rsidRPr="00AD4C23">
              <w:rPr>
                <w:rStyle w:val="Hyperlink"/>
                <w:noProof/>
              </w:rPr>
              <w:t>vi) Costs and Effects Study</w:t>
            </w:r>
            <w:r>
              <w:rPr>
                <w:noProof/>
                <w:webHidden/>
              </w:rPr>
              <w:tab/>
            </w:r>
            <w:r>
              <w:rPr>
                <w:noProof/>
                <w:webHidden/>
              </w:rPr>
              <w:fldChar w:fldCharType="begin"/>
            </w:r>
            <w:r>
              <w:rPr>
                <w:noProof/>
                <w:webHidden/>
              </w:rPr>
              <w:instrText xml:space="preserve"> PAGEREF _Toc402348872 \h </w:instrText>
            </w:r>
            <w:r>
              <w:rPr>
                <w:noProof/>
                <w:webHidden/>
              </w:rPr>
            </w:r>
            <w:r>
              <w:rPr>
                <w:noProof/>
                <w:webHidden/>
              </w:rPr>
              <w:fldChar w:fldCharType="separate"/>
            </w:r>
            <w:r>
              <w:rPr>
                <w:noProof/>
                <w:webHidden/>
              </w:rPr>
              <w:t>17</w:t>
            </w:r>
            <w:r>
              <w:rPr>
                <w:noProof/>
                <w:webHidden/>
              </w:rPr>
              <w:fldChar w:fldCharType="end"/>
            </w:r>
          </w:hyperlink>
        </w:p>
        <w:p w14:paraId="42CA7537"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73" w:history="1">
            <w:r w:rsidRPr="00AD4C23">
              <w:rPr>
                <w:rStyle w:val="Hyperlink"/>
                <w:noProof/>
              </w:rPr>
              <w:t>1.2. Implementation of Transition Care in each jurisdiction</w:t>
            </w:r>
            <w:r>
              <w:rPr>
                <w:noProof/>
                <w:webHidden/>
              </w:rPr>
              <w:tab/>
            </w:r>
            <w:r>
              <w:rPr>
                <w:noProof/>
                <w:webHidden/>
              </w:rPr>
              <w:fldChar w:fldCharType="begin"/>
            </w:r>
            <w:r>
              <w:rPr>
                <w:noProof/>
                <w:webHidden/>
              </w:rPr>
              <w:instrText xml:space="preserve"> PAGEREF _Toc402348873 \h </w:instrText>
            </w:r>
            <w:r>
              <w:rPr>
                <w:noProof/>
                <w:webHidden/>
              </w:rPr>
            </w:r>
            <w:r>
              <w:rPr>
                <w:noProof/>
                <w:webHidden/>
              </w:rPr>
              <w:fldChar w:fldCharType="separate"/>
            </w:r>
            <w:r>
              <w:rPr>
                <w:noProof/>
                <w:webHidden/>
              </w:rPr>
              <w:t>19</w:t>
            </w:r>
            <w:r>
              <w:rPr>
                <w:noProof/>
                <w:webHidden/>
              </w:rPr>
              <w:fldChar w:fldCharType="end"/>
            </w:r>
          </w:hyperlink>
        </w:p>
        <w:p w14:paraId="6BFFA987"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4" w:history="1">
            <w:r w:rsidRPr="00AD4C23">
              <w:rPr>
                <w:rStyle w:val="Hyperlink"/>
                <w:noProof/>
              </w:rPr>
              <w:t>1.2.1. Australian Capital Territory</w:t>
            </w:r>
            <w:r>
              <w:rPr>
                <w:noProof/>
                <w:webHidden/>
              </w:rPr>
              <w:tab/>
            </w:r>
            <w:r>
              <w:rPr>
                <w:noProof/>
                <w:webHidden/>
              </w:rPr>
              <w:fldChar w:fldCharType="begin"/>
            </w:r>
            <w:r>
              <w:rPr>
                <w:noProof/>
                <w:webHidden/>
              </w:rPr>
              <w:instrText xml:space="preserve"> PAGEREF _Toc402348874 \h </w:instrText>
            </w:r>
            <w:r>
              <w:rPr>
                <w:noProof/>
                <w:webHidden/>
              </w:rPr>
            </w:r>
            <w:r>
              <w:rPr>
                <w:noProof/>
                <w:webHidden/>
              </w:rPr>
              <w:fldChar w:fldCharType="separate"/>
            </w:r>
            <w:r>
              <w:rPr>
                <w:noProof/>
                <w:webHidden/>
              </w:rPr>
              <w:t>20</w:t>
            </w:r>
            <w:r>
              <w:rPr>
                <w:noProof/>
                <w:webHidden/>
              </w:rPr>
              <w:fldChar w:fldCharType="end"/>
            </w:r>
          </w:hyperlink>
        </w:p>
        <w:p w14:paraId="4A179096"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5" w:history="1">
            <w:r w:rsidRPr="00AD4C23">
              <w:rPr>
                <w:rStyle w:val="Hyperlink"/>
                <w:noProof/>
              </w:rPr>
              <w:t>1.2.2. New South Wales</w:t>
            </w:r>
            <w:r>
              <w:rPr>
                <w:noProof/>
                <w:webHidden/>
              </w:rPr>
              <w:tab/>
            </w:r>
            <w:r>
              <w:rPr>
                <w:noProof/>
                <w:webHidden/>
              </w:rPr>
              <w:fldChar w:fldCharType="begin"/>
            </w:r>
            <w:r>
              <w:rPr>
                <w:noProof/>
                <w:webHidden/>
              </w:rPr>
              <w:instrText xml:space="preserve"> PAGEREF _Toc402348875 \h </w:instrText>
            </w:r>
            <w:r>
              <w:rPr>
                <w:noProof/>
                <w:webHidden/>
              </w:rPr>
            </w:r>
            <w:r>
              <w:rPr>
                <w:noProof/>
                <w:webHidden/>
              </w:rPr>
              <w:fldChar w:fldCharType="separate"/>
            </w:r>
            <w:r>
              <w:rPr>
                <w:noProof/>
                <w:webHidden/>
              </w:rPr>
              <w:t>20</w:t>
            </w:r>
            <w:r>
              <w:rPr>
                <w:noProof/>
                <w:webHidden/>
              </w:rPr>
              <w:fldChar w:fldCharType="end"/>
            </w:r>
          </w:hyperlink>
        </w:p>
        <w:p w14:paraId="05129D97"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6" w:history="1">
            <w:r w:rsidRPr="00AD4C23">
              <w:rPr>
                <w:rStyle w:val="Hyperlink"/>
                <w:noProof/>
              </w:rPr>
              <w:t>1.2.3. Northern Territory</w:t>
            </w:r>
            <w:r>
              <w:rPr>
                <w:noProof/>
                <w:webHidden/>
              </w:rPr>
              <w:tab/>
            </w:r>
            <w:r>
              <w:rPr>
                <w:noProof/>
                <w:webHidden/>
              </w:rPr>
              <w:fldChar w:fldCharType="begin"/>
            </w:r>
            <w:r>
              <w:rPr>
                <w:noProof/>
                <w:webHidden/>
              </w:rPr>
              <w:instrText xml:space="preserve"> PAGEREF _Toc402348876 \h </w:instrText>
            </w:r>
            <w:r>
              <w:rPr>
                <w:noProof/>
                <w:webHidden/>
              </w:rPr>
            </w:r>
            <w:r>
              <w:rPr>
                <w:noProof/>
                <w:webHidden/>
              </w:rPr>
              <w:fldChar w:fldCharType="separate"/>
            </w:r>
            <w:r>
              <w:rPr>
                <w:noProof/>
                <w:webHidden/>
              </w:rPr>
              <w:t>20</w:t>
            </w:r>
            <w:r>
              <w:rPr>
                <w:noProof/>
                <w:webHidden/>
              </w:rPr>
              <w:fldChar w:fldCharType="end"/>
            </w:r>
          </w:hyperlink>
        </w:p>
        <w:p w14:paraId="36346E31"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7" w:history="1">
            <w:r w:rsidRPr="00AD4C23">
              <w:rPr>
                <w:rStyle w:val="Hyperlink"/>
                <w:noProof/>
              </w:rPr>
              <w:t>1.2.4. Queensland</w:t>
            </w:r>
            <w:r>
              <w:rPr>
                <w:noProof/>
                <w:webHidden/>
              </w:rPr>
              <w:tab/>
            </w:r>
            <w:r>
              <w:rPr>
                <w:noProof/>
                <w:webHidden/>
              </w:rPr>
              <w:fldChar w:fldCharType="begin"/>
            </w:r>
            <w:r>
              <w:rPr>
                <w:noProof/>
                <w:webHidden/>
              </w:rPr>
              <w:instrText xml:space="preserve"> PAGEREF _Toc402348877 \h </w:instrText>
            </w:r>
            <w:r>
              <w:rPr>
                <w:noProof/>
                <w:webHidden/>
              </w:rPr>
            </w:r>
            <w:r>
              <w:rPr>
                <w:noProof/>
                <w:webHidden/>
              </w:rPr>
              <w:fldChar w:fldCharType="separate"/>
            </w:r>
            <w:r>
              <w:rPr>
                <w:noProof/>
                <w:webHidden/>
              </w:rPr>
              <w:t>20</w:t>
            </w:r>
            <w:r>
              <w:rPr>
                <w:noProof/>
                <w:webHidden/>
              </w:rPr>
              <w:fldChar w:fldCharType="end"/>
            </w:r>
          </w:hyperlink>
        </w:p>
        <w:p w14:paraId="14741A75"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8" w:history="1">
            <w:r w:rsidRPr="00AD4C23">
              <w:rPr>
                <w:rStyle w:val="Hyperlink"/>
                <w:noProof/>
              </w:rPr>
              <w:t>1.2.5. South Australia</w:t>
            </w:r>
            <w:r>
              <w:rPr>
                <w:noProof/>
                <w:webHidden/>
              </w:rPr>
              <w:tab/>
            </w:r>
            <w:r>
              <w:rPr>
                <w:noProof/>
                <w:webHidden/>
              </w:rPr>
              <w:fldChar w:fldCharType="begin"/>
            </w:r>
            <w:r>
              <w:rPr>
                <w:noProof/>
                <w:webHidden/>
              </w:rPr>
              <w:instrText xml:space="preserve"> PAGEREF _Toc402348878 \h </w:instrText>
            </w:r>
            <w:r>
              <w:rPr>
                <w:noProof/>
                <w:webHidden/>
              </w:rPr>
            </w:r>
            <w:r>
              <w:rPr>
                <w:noProof/>
                <w:webHidden/>
              </w:rPr>
              <w:fldChar w:fldCharType="separate"/>
            </w:r>
            <w:r>
              <w:rPr>
                <w:noProof/>
                <w:webHidden/>
              </w:rPr>
              <w:t>20</w:t>
            </w:r>
            <w:r>
              <w:rPr>
                <w:noProof/>
                <w:webHidden/>
              </w:rPr>
              <w:fldChar w:fldCharType="end"/>
            </w:r>
          </w:hyperlink>
        </w:p>
        <w:p w14:paraId="4527A703"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79" w:history="1">
            <w:r w:rsidRPr="00AD4C23">
              <w:rPr>
                <w:rStyle w:val="Hyperlink"/>
                <w:noProof/>
              </w:rPr>
              <w:t>1.2.6. Tasmania</w:t>
            </w:r>
            <w:r>
              <w:rPr>
                <w:noProof/>
                <w:webHidden/>
              </w:rPr>
              <w:tab/>
            </w:r>
            <w:r>
              <w:rPr>
                <w:noProof/>
                <w:webHidden/>
              </w:rPr>
              <w:fldChar w:fldCharType="begin"/>
            </w:r>
            <w:r>
              <w:rPr>
                <w:noProof/>
                <w:webHidden/>
              </w:rPr>
              <w:instrText xml:space="preserve"> PAGEREF _Toc402348879 \h </w:instrText>
            </w:r>
            <w:r>
              <w:rPr>
                <w:noProof/>
                <w:webHidden/>
              </w:rPr>
            </w:r>
            <w:r>
              <w:rPr>
                <w:noProof/>
                <w:webHidden/>
              </w:rPr>
              <w:fldChar w:fldCharType="separate"/>
            </w:r>
            <w:r>
              <w:rPr>
                <w:noProof/>
                <w:webHidden/>
              </w:rPr>
              <w:t>20</w:t>
            </w:r>
            <w:r>
              <w:rPr>
                <w:noProof/>
                <w:webHidden/>
              </w:rPr>
              <w:fldChar w:fldCharType="end"/>
            </w:r>
          </w:hyperlink>
        </w:p>
        <w:p w14:paraId="1D3EF3E3"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80" w:history="1">
            <w:r w:rsidRPr="00AD4C23">
              <w:rPr>
                <w:rStyle w:val="Hyperlink"/>
                <w:noProof/>
              </w:rPr>
              <w:t>1.2.7. Victoria</w:t>
            </w:r>
            <w:r>
              <w:rPr>
                <w:noProof/>
                <w:webHidden/>
              </w:rPr>
              <w:tab/>
            </w:r>
            <w:r>
              <w:rPr>
                <w:noProof/>
                <w:webHidden/>
              </w:rPr>
              <w:fldChar w:fldCharType="begin"/>
            </w:r>
            <w:r>
              <w:rPr>
                <w:noProof/>
                <w:webHidden/>
              </w:rPr>
              <w:instrText xml:space="preserve"> PAGEREF _Toc402348880 \h </w:instrText>
            </w:r>
            <w:r>
              <w:rPr>
                <w:noProof/>
                <w:webHidden/>
              </w:rPr>
            </w:r>
            <w:r>
              <w:rPr>
                <w:noProof/>
                <w:webHidden/>
              </w:rPr>
              <w:fldChar w:fldCharType="separate"/>
            </w:r>
            <w:r>
              <w:rPr>
                <w:noProof/>
                <w:webHidden/>
              </w:rPr>
              <w:t>20</w:t>
            </w:r>
            <w:r>
              <w:rPr>
                <w:noProof/>
                <w:webHidden/>
              </w:rPr>
              <w:fldChar w:fldCharType="end"/>
            </w:r>
          </w:hyperlink>
        </w:p>
        <w:p w14:paraId="131EFE1F"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81" w:history="1">
            <w:r w:rsidRPr="00AD4C23">
              <w:rPr>
                <w:rStyle w:val="Hyperlink"/>
                <w:noProof/>
              </w:rPr>
              <w:t>1.2.8. Western Australia</w:t>
            </w:r>
            <w:r>
              <w:rPr>
                <w:noProof/>
                <w:webHidden/>
              </w:rPr>
              <w:tab/>
            </w:r>
            <w:r>
              <w:rPr>
                <w:noProof/>
                <w:webHidden/>
              </w:rPr>
              <w:fldChar w:fldCharType="begin"/>
            </w:r>
            <w:r>
              <w:rPr>
                <w:noProof/>
                <w:webHidden/>
              </w:rPr>
              <w:instrText xml:space="preserve"> PAGEREF _Toc402348881 \h </w:instrText>
            </w:r>
            <w:r>
              <w:rPr>
                <w:noProof/>
                <w:webHidden/>
              </w:rPr>
            </w:r>
            <w:r>
              <w:rPr>
                <w:noProof/>
                <w:webHidden/>
              </w:rPr>
              <w:fldChar w:fldCharType="separate"/>
            </w:r>
            <w:r>
              <w:rPr>
                <w:noProof/>
                <w:webHidden/>
              </w:rPr>
              <w:t>21</w:t>
            </w:r>
            <w:r>
              <w:rPr>
                <w:noProof/>
                <w:webHidden/>
              </w:rPr>
              <w:fldChar w:fldCharType="end"/>
            </w:r>
          </w:hyperlink>
        </w:p>
        <w:p w14:paraId="270796A6"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82" w:history="1">
            <w:r w:rsidRPr="00AD4C23">
              <w:rPr>
                <w:rStyle w:val="Hyperlink"/>
                <w:noProof/>
              </w:rPr>
              <w:t>1.3. Structure of the Final Evaluation Report</w:t>
            </w:r>
            <w:r>
              <w:rPr>
                <w:noProof/>
                <w:webHidden/>
              </w:rPr>
              <w:tab/>
            </w:r>
            <w:r>
              <w:rPr>
                <w:noProof/>
                <w:webHidden/>
              </w:rPr>
              <w:fldChar w:fldCharType="begin"/>
            </w:r>
            <w:r>
              <w:rPr>
                <w:noProof/>
                <w:webHidden/>
              </w:rPr>
              <w:instrText xml:space="preserve"> PAGEREF _Toc402348882 \h </w:instrText>
            </w:r>
            <w:r>
              <w:rPr>
                <w:noProof/>
                <w:webHidden/>
              </w:rPr>
            </w:r>
            <w:r>
              <w:rPr>
                <w:noProof/>
                <w:webHidden/>
              </w:rPr>
              <w:fldChar w:fldCharType="separate"/>
            </w:r>
            <w:r>
              <w:rPr>
                <w:noProof/>
                <w:webHidden/>
              </w:rPr>
              <w:t>21</w:t>
            </w:r>
            <w:r>
              <w:rPr>
                <w:noProof/>
                <w:webHidden/>
              </w:rPr>
              <w:fldChar w:fldCharType="end"/>
            </w:r>
          </w:hyperlink>
        </w:p>
        <w:p w14:paraId="692B184C"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83" w:history="1">
            <w:r w:rsidRPr="00AD4C23">
              <w:rPr>
                <w:rStyle w:val="Hyperlink"/>
                <w:noProof/>
              </w:rPr>
              <w:t>1.3. Structure of the Final Evaluation Report</w:t>
            </w:r>
            <w:r>
              <w:rPr>
                <w:noProof/>
                <w:webHidden/>
              </w:rPr>
              <w:tab/>
            </w:r>
            <w:r>
              <w:rPr>
                <w:noProof/>
                <w:webHidden/>
              </w:rPr>
              <w:fldChar w:fldCharType="begin"/>
            </w:r>
            <w:r>
              <w:rPr>
                <w:noProof/>
                <w:webHidden/>
              </w:rPr>
              <w:instrText xml:space="preserve"> PAGEREF _Toc402348883 \h </w:instrText>
            </w:r>
            <w:r>
              <w:rPr>
                <w:noProof/>
                <w:webHidden/>
              </w:rPr>
            </w:r>
            <w:r>
              <w:rPr>
                <w:noProof/>
                <w:webHidden/>
              </w:rPr>
              <w:fldChar w:fldCharType="separate"/>
            </w:r>
            <w:r>
              <w:rPr>
                <w:noProof/>
                <w:webHidden/>
              </w:rPr>
              <w:t>21</w:t>
            </w:r>
            <w:r>
              <w:rPr>
                <w:noProof/>
                <w:webHidden/>
              </w:rPr>
              <w:fldChar w:fldCharType="end"/>
            </w:r>
          </w:hyperlink>
        </w:p>
        <w:p w14:paraId="35500C14"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884" w:history="1">
            <w:r w:rsidRPr="00AD4C23">
              <w:rPr>
                <w:rStyle w:val="Hyperlink"/>
                <w:noProof/>
              </w:rPr>
              <w:t>2. Background and relevant literature</w:t>
            </w:r>
            <w:r>
              <w:rPr>
                <w:noProof/>
                <w:webHidden/>
              </w:rPr>
              <w:tab/>
            </w:r>
            <w:r>
              <w:rPr>
                <w:noProof/>
                <w:webHidden/>
              </w:rPr>
              <w:fldChar w:fldCharType="begin"/>
            </w:r>
            <w:r>
              <w:rPr>
                <w:noProof/>
                <w:webHidden/>
              </w:rPr>
              <w:instrText xml:space="preserve"> PAGEREF _Toc402348884 \h </w:instrText>
            </w:r>
            <w:r>
              <w:rPr>
                <w:noProof/>
                <w:webHidden/>
              </w:rPr>
            </w:r>
            <w:r>
              <w:rPr>
                <w:noProof/>
                <w:webHidden/>
              </w:rPr>
              <w:fldChar w:fldCharType="separate"/>
            </w:r>
            <w:r>
              <w:rPr>
                <w:noProof/>
                <w:webHidden/>
              </w:rPr>
              <w:t>22</w:t>
            </w:r>
            <w:r>
              <w:rPr>
                <w:noProof/>
                <w:webHidden/>
              </w:rPr>
              <w:fldChar w:fldCharType="end"/>
            </w:r>
          </w:hyperlink>
        </w:p>
        <w:p w14:paraId="5AEC2764"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85" w:history="1">
            <w:r w:rsidRPr="00AD4C23">
              <w:rPr>
                <w:rStyle w:val="Hyperlink"/>
                <w:noProof/>
              </w:rPr>
              <w:t>2.1. Australian context</w:t>
            </w:r>
            <w:r>
              <w:rPr>
                <w:noProof/>
                <w:webHidden/>
              </w:rPr>
              <w:tab/>
            </w:r>
            <w:r>
              <w:rPr>
                <w:noProof/>
                <w:webHidden/>
              </w:rPr>
              <w:fldChar w:fldCharType="begin"/>
            </w:r>
            <w:r>
              <w:rPr>
                <w:noProof/>
                <w:webHidden/>
              </w:rPr>
              <w:instrText xml:space="preserve"> PAGEREF _Toc402348885 \h </w:instrText>
            </w:r>
            <w:r>
              <w:rPr>
                <w:noProof/>
                <w:webHidden/>
              </w:rPr>
            </w:r>
            <w:r>
              <w:rPr>
                <w:noProof/>
                <w:webHidden/>
              </w:rPr>
              <w:fldChar w:fldCharType="separate"/>
            </w:r>
            <w:r>
              <w:rPr>
                <w:noProof/>
                <w:webHidden/>
              </w:rPr>
              <w:t>22</w:t>
            </w:r>
            <w:r>
              <w:rPr>
                <w:noProof/>
                <w:webHidden/>
              </w:rPr>
              <w:fldChar w:fldCharType="end"/>
            </w:r>
          </w:hyperlink>
        </w:p>
        <w:p w14:paraId="30B01626"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86" w:history="1">
            <w:r w:rsidRPr="00AD4C23">
              <w:rPr>
                <w:rStyle w:val="Hyperlink"/>
                <w:noProof/>
              </w:rPr>
              <w:t>2.1.1. Innovative Care Rehabilitation Service - Australia</w:t>
            </w:r>
            <w:r>
              <w:rPr>
                <w:noProof/>
                <w:webHidden/>
              </w:rPr>
              <w:tab/>
            </w:r>
            <w:r>
              <w:rPr>
                <w:noProof/>
                <w:webHidden/>
              </w:rPr>
              <w:fldChar w:fldCharType="begin"/>
            </w:r>
            <w:r>
              <w:rPr>
                <w:noProof/>
                <w:webHidden/>
              </w:rPr>
              <w:instrText xml:space="preserve"> PAGEREF _Toc402348886 \h </w:instrText>
            </w:r>
            <w:r>
              <w:rPr>
                <w:noProof/>
                <w:webHidden/>
              </w:rPr>
            </w:r>
            <w:r>
              <w:rPr>
                <w:noProof/>
                <w:webHidden/>
              </w:rPr>
              <w:fldChar w:fldCharType="separate"/>
            </w:r>
            <w:r>
              <w:rPr>
                <w:noProof/>
                <w:webHidden/>
              </w:rPr>
              <w:t>22</w:t>
            </w:r>
            <w:r>
              <w:rPr>
                <w:noProof/>
                <w:webHidden/>
              </w:rPr>
              <w:fldChar w:fldCharType="end"/>
            </w:r>
          </w:hyperlink>
        </w:p>
        <w:p w14:paraId="6E4E7C14" w14:textId="77777777" w:rsidR="00464643" w:rsidRDefault="00464643">
          <w:pPr>
            <w:pStyle w:val="TOC3"/>
            <w:tabs>
              <w:tab w:val="left" w:pos="1320"/>
              <w:tab w:val="right" w:leader="dot" w:pos="9346"/>
            </w:tabs>
            <w:rPr>
              <w:rFonts w:asciiTheme="minorHAnsi" w:eastAsiaTheme="minorEastAsia" w:hAnsiTheme="minorHAnsi" w:cstheme="minorBidi"/>
              <w:noProof/>
              <w:sz w:val="22"/>
              <w:szCs w:val="22"/>
            </w:rPr>
          </w:pPr>
          <w:hyperlink w:anchor="_Toc402348887" w:history="1">
            <w:r w:rsidRPr="00AD4C23">
              <w:rPr>
                <w:rStyle w:val="Hyperlink"/>
                <w:noProof/>
              </w:rPr>
              <w:t xml:space="preserve">2.1.2. </w:t>
            </w:r>
            <w:r>
              <w:rPr>
                <w:rFonts w:asciiTheme="minorHAnsi" w:eastAsiaTheme="minorEastAsia" w:hAnsiTheme="minorHAnsi" w:cstheme="minorBidi"/>
                <w:noProof/>
                <w:sz w:val="22"/>
                <w:szCs w:val="22"/>
              </w:rPr>
              <w:tab/>
            </w:r>
            <w:r w:rsidRPr="00AD4C23">
              <w:rPr>
                <w:rStyle w:val="Hyperlink"/>
                <w:noProof/>
              </w:rPr>
              <w:t>South Australian randomized controlled trial of a residential transitional care unit</w:t>
            </w:r>
            <w:r>
              <w:rPr>
                <w:noProof/>
                <w:webHidden/>
              </w:rPr>
              <w:tab/>
            </w:r>
            <w:r>
              <w:rPr>
                <w:noProof/>
                <w:webHidden/>
              </w:rPr>
              <w:fldChar w:fldCharType="begin"/>
            </w:r>
            <w:r>
              <w:rPr>
                <w:noProof/>
                <w:webHidden/>
              </w:rPr>
              <w:instrText xml:space="preserve"> PAGEREF _Toc402348887 \h </w:instrText>
            </w:r>
            <w:r>
              <w:rPr>
                <w:noProof/>
                <w:webHidden/>
              </w:rPr>
            </w:r>
            <w:r>
              <w:rPr>
                <w:noProof/>
                <w:webHidden/>
              </w:rPr>
              <w:fldChar w:fldCharType="separate"/>
            </w:r>
            <w:r>
              <w:rPr>
                <w:noProof/>
                <w:webHidden/>
              </w:rPr>
              <w:t>23</w:t>
            </w:r>
            <w:r>
              <w:rPr>
                <w:noProof/>
                <w:webHidden/>
              </w:rPr>
              <w:fldChar w:fldCharType="end"/>
            </w:r>
          </w:hyperlink>
        </w:p>
        <w:p w14:paraId="53FB0805"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88" w:history="1">
            <w:r w:rsidRPr="00AD4C23">
              <w:rPr>
                <w:rStyle w:val="Hyperlink"/>
                <w:noProof/>
              </w:rPr>
              <w:t>2.2. Intermediate Care in the UK</w:t>
            </w:r>
            <w:r>
              <w:rPr>
                <w:noProof/>
                <w:webHidden/>
              </w:rPr>
              <w:tab/>
            </w:r>
            <w:r>
              <w:rPr>
                <w:noProof/>
                <w:webHidden/>
              </w:rPr>
              <w:fldChar w:fldCharType="begin"/>
            </w:r>
            <w:r>
              <w:rPr>
                <w:noProof/>
                <w:webHidden/>
              </w:rPr>
              <w:instrText xml:space="preserve"> PAGEREF _Toc402348888 \h </w:instrText>
            </w:r>
            <w:r>
              <w:rPr>
                <w:noProof/>
                <w:webHidden/>
              </w:rPr>
            </w:r>
            <w:r>
              <w:rPr>
                <w:noProof/>
                <w:webHidden/>
              </w:rPr>
              <w:fldChar w:fldCharType="separate"/>
            </w:r>
            <w:r>
              <w:rPr>
                <w:noProof/>
                <w:webHidden/>
              </w:rPr>
              <w:t>24</w:t>
            </w:r>
            <w:r>
              <w:rPr>
                <w:noProof/>
                <w:webHidden/>
              </w:rPr>
              <w:fldChar w:fldCharType="end"/>
            </w:r>
          </w:hyperlink>
        </w:p>
        <w:p w14:paraId="606F924A"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89" w:history="1">
            <w:r w:rsidRPr="00AD4C23">
              <w:rPr>
                <w:rStyle w:val="Hyperlink"/>
                <w:noProof/>
              </w:rPr>
              <w:t>2.3. Post Acute Care in the US</w:t>
            </w:r>
            <w:r>
              <w:rPr>
                <w:noProof/>
                <w:webHidden/>
              </w:rPr>
              <w:tab/>
            </w:r>
            <w:r>
              <w:rPr>
                <w:noProof/>
                <w:webHidden/>
              </w:rPr>
              <w:fldChar w:fldCharType="begin"/>
            </w:r>
            <w:r>
              <w:rPr>
                <w:noProof/>
                <w:webHidden/>
              </w:rPr>
              <w:instrText xml:space="preserve"> PAGEREF _Toc402348889 \h </w:instrText>
            </w:r>
            <w:r>
              <w:rPr>
                <w:noProof/>
                <w:webHidden/>
              </w:rPr>
            </w:r>
            <w:r>
              <w:rPr>
                <w:noProof/>
                <w:webHidden/>
              </w:rPr>
              <w:fldChar w:fldCharType="separate"/>
            </w:r>
            <w:r>
              <w:rPr>
                <w:noProof/>
                <w:webHidden/>
              </w:rPr>
              <w:t>25</w:t>
            </w:r>
            <w:r>
              <w:rPr>
                <w:noProof/>
                <w:webHidden/>
              </w:rPr>
              <w:fldChar w:fldCharType="end"/>
            </w:r>
          </w:hyperlink>
        </w:p>
        <w:p w14:paraId="334BFEFE" w14:textId="77777777" w:rsidR="00464643" w:rsidRDefault="00464643">
          <w:pPr>
            <w:pStyle w:val="TOC2"/>
            <w:tabs>
              <w:tab w:val="left" w:pos="1100"/>
              <w:tab w:val="right" w:leader="dot" w:pos="9346"/>
            </w:tabs>
            <w:rPr>
              <w:rFonts w:asciiTheme="minorHAnsi" w:eastAsiaTheme="minorEastAsia" w:hAnsiTheme="minorHAnsi" w:cstheme="minorBidi"/>
              <w:noProof/>
              <w:sz w:val="22"/>
              <w:szCs w:val="22"/>
            </w:rPr>
          </w:pPr>
          <w:hyperlink w:anchor="_Toc402348890" w:history="1">
            <w:r w:rsidRPr="00AD4C23">
              <w:rPr>
                <w:rStyle w:val="Hyperlink"/>
                <w:noProof/>
              </w:rPr>
              <w:t xml:space="preserve">2.4. </w:t>
            </w:r>
            <w:r>
              <w:rPr>
                <w:rFonts w:asciiTheme="minorHAnsi" w:eastAsiaTheme="minorEastAsia" w:hAnsiTheme="minorHAnsi" w:cstheme="minorBidi"/>
                <w:noProof/>
                <w:sz w:val="22"/>
                <w:szCs w:val="22"/>
              </w:rPr>
              <w:tab/>
            </w:r>
            <w:r w:rsidRPr="00AD4C23">
              <w:rPr>
                <w:rStyle w:val="Hyperlink"/>
                <w:noProof/>
              </w:rPr>
              <w:t>Methodological difficulties evaluating post acute care and rehabilitation interventions</w:t>
            </w:r>
            <w:r>
              <w:rPr>
                <w:noProof/>
                <w:webHidden/>
              </w:rPr>
              <w:tab/>
            </w:r>
            <w:r>
              <w:rPr>
                <w:noProof/>
                <w:webHidden/>
              </w:rPr>
              <w:fldChar w:fldCharType="begin"/>
            </w:r>
            <w:r>
              <w:rPr>
                <w:noProof/>
                <w:webHidden/>
              </w:rPr>
              <w:instrText xml:space="preserve"> PAGEREF _Toc402348890 \h </w:instrText>
            </w:r>
            <w:r>
              <w:rPr>
                <w:noProof/>
                <w:webHidden/>
              </w:rPr>
            </w:r>
            <w:r>
              <w:rPr>
                <w:noProof/>
                <w:webHidden/>
              </w:rPr>
              <w:fldChar w:fldCharType="separate"/>
            </w:r>
            <w:r>
              <w:rPr>
                <w:noProof/>
                <w:webHidden/>
              </w:rPr>
              <w:t>26</w:t>
            </w:r>
            <w:r>
              <w:rPr>
                <w:noProof/>
                <w:webHidden/>
              </w:rPr>
              <w:fldChar w:fldCharType="end"/>
            </w:r>
          </w:hyperlink>
        </w:p>
        <w:p w14:paraId="05823583"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91" w:history="1">
            <w:r w:rsidRPr="00AD4C23">
              <w:rPr>
                <w:rStyle w:val="Hyperlink"/>
                <w:noProof/>
              </w:rPr>
              <w:t>2.5. The heterogeneity of the population targeted by Transition Care</w:t>
            </w:r>
            <w:r>
              <w:rPr>
                <w:noProof/>
                <w:webHidden/>
              </w:rPr>
              <w:tab/>
            </w:r>
            <w:r>
              <w:rPr>
                <w:noProof/>
                <w:webHidden/>
              </w:rPr>
              <w:fldChar w:fldCharType="begin"/>
            </w:r>
            <w:r>
              <w:rPr>
                <w:noProof/>
                <w:webHidden/>
              </w:rPr>
              <w:instrText xml:space="preserve"> PAGEREF _Toc402348891 \h </w:instrText>
            </w:r>
            <w:r>
              <w:rPr>
                <w:noProof/>
                <w:webHidden/>
              </w:rPr>
            </w:r>
            <w:r>
              <w:rPr>
                <w:noProof/>
                <w:webHidden/>
              </w:rPr>
              <w:fldChar w:fldCharType="separate"/>
            </w:r>
            <w:r>
              <w:rPr>
                <w:noProof/>
                <w:webHidden/>
              </w:rPr>
              <w:t>26</w:t>
            </w:r>
            <w:r>
              <w:rPr>
                <w:noProof/>
                <w:webHidden/>
              </w:rPr>
              <w:fldChar w:fldCharType="end"/>
            </w:r>
          </w:hyperlink>
        </w:p>
        <w:p w14:paraId="6F4B90E5" w14:textId="77777777" w:rsidR="00464643" w:rsidRDefault="00464643">
          <w:pPr>
            <w:pStyle w:val="TOC2"/>
            <w:tabs>
              <w:tab w:val="left" w:pos="1100"/>
              <w:tab w:val="right" w:leader="dot" w:pos="9346"/>
            </w:tabs>
            <w:rPr>
              <w:rFonts w:asciiTheme="minorHAnsi" w:eastAsiaTheme="minorEastAsia" w:hAnsiTheme="minorHAnsi" w:cstheme="minorBidi"/>
              <w:noProof/>
              <w:sz w:val="22"/>
              <w:szCs w:val="22"/>
            </w:rPr>
          </w:pPr>
          <w:hyperlink w:anchor="_Toc402348892" w:history="1">
            <w:r w:rsidRPr="00AD4C23">
              <w:rPr>
                <w:rStyle w:val="Hyperlink"/>
                <w:noProof/>
              </w:rPr>
              <w:t xml:space="preserve">2.6. </w:t>
            </w:r>
            <w:r>
              <w:rPr>
                <w:rFonts w:asciiTheme="minorHAnsi" w:eastAsiaTheme="minorEastAsia" w:hAnsiTheme="minorHAnsi" w:cstheme="minorBidi"/>
                <w:noProof/>
                <w:sz w:val="22"/>
                <w:szCs w:val="22"/>
              </w:rPr>
              <w:tab/>
            </w:r>
            <w:r w:rsidRPr="00AD4C23">
              <w:rPr>
                <w:rStyle w:val="Hyperlink"/>
                <w:noProof/>
              </w:rPr>
              <w:t>What evidence lies behind the models of Transition Care used in Australia?</w:t>
            </w:r>
            <w:r>
              <w:rPr>
                <w:noProof/>
                <w:webHidden/>
              </w:rPr>
              <w:tab/>
            </w:r>
            <w:r>
              <w:rPr>
                <w:noProof/>
                <w:webHidden/>
              </w:rPr>
              <w:fldChar w:fldCharType="begin"/>
            </w:r>
            <w:r>
              <w:rPr>
                <w:noProof/>
                <w:webHidden/>
              </w:rPr>
              <w:instrText xml:space="preserve"> PAGEREF _Toc402348892 \h </w:instrText>
            </w:r>
            <w:r>
              <w:rPr>
                <w:noProof/>
                <w:webHidden/>
              </w:rPr>
            </w:r>
            <w:r>
              <w:rPr>
                <w:noProof/>
                <w:webHidden/>
              </w:rPr>
              <w:fldChar w:fldCharType="separate"/>
            </w:r>
            <w:r>
              <w:rPr>
                <w:noProof/>
                <w:webHidden/>
              </w:rPr>
              <w:t>27</w:t>
            </w:r>
            <w:r>
              <w:rPr>
                <w:noProof/>
                <w:webHidden/>
              </w:rPr>
              <w:fldChar w:fldCharType="end"/>
            </w:r>
          </w:hyperlink>
        </w:p>
        <w:p w14:paraId="410284C5"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93" w:history="1">
            <w:r w:rsidRPr="00AD4C23">
              <w:rPr>
                <w:rStyle w:val="Hyperlink"/>
                <w:noProof/>
              </w:rPr>
              <w:t>2.6.1. Evidence base for Transition Care in the community setting</w:t>
            </w:r>
            <w:r>
              <w:rPr>
                <w:noProof/>
                <w:webHidden/>
              </w:rPr>
              <w:tab/>
            </w:r>
            <w:r>
              <w:rPr>
                <w:noProof/>
                <w:webHidden/>
              </w:rPr>
              <w:fldChar w:fldCharType="begin"/>
            </w:r>
            <w:r>
              <w:rPr>
                <w:noProof/>
                <w:webHidden/>
              </w:rPr>
              <w:instrText xml:space="preserve"> PAGEREF _Toc402348893 \h </w:instrText>
            </w:r>
            <w:r>
              <w:rPr>
                <w:noProof/>
                <w:webHidden/>
              </w:rPr>
            </w:r>
            <w:r>
              <w:rPr>
                <w:noProof/>
                <w:webHidden/>
              </w:rPr>
              <w:fldChar w:fldCharType="separate"/>
            </w:r>
            <w:r>
              <w:rPr>
                <w:noProof/>
                <w:webHidden/>
              </w:rPr>
              <w:t>28</w:t>
            </w:r>
            <w:r>
              <w:rPr>
                <w:noProof/>
                <w:webHidden/>
              </w:rPr>
              <w:fldChar w:fldCharType="end"/>
            </w:r>
          </w:hyperlink>
        </w:p>
        <w:p w14:paraId="18AC62D8"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94" w:history="1">
            <w:r w:rsidRPr="00AD4C23">
              <w:rPr>
                <w:rStyle w:val="Hyperlink"/>
                <w:noProof/>
              </w:rPr>
              <w:t>2.6.2. Evidence base for Transition Care in the residential setting</w:t>
            </w:r>
            <w:r>
              <w:rPr>
                <w:noProof/>
                <w:webHidden/>
              </w:rPr>
              <w:tab/>
            </w:r>
            <w:r>
              <w:rPr>
                <w:noProof/>
                <w:webHidden/>
              </w:rPr>
              <w:fldChar w:fldCharType="begin"/>
            </w:r>
            <w:r>
              <w:rPr>
                <w:noProof/>
                <w:webHidden/>
              </w:rPr>
              <w:instrText xml:space="preserve"> PAGEREF _Toc402348894 \h </w:instrText>
            </w:r>
            <w:r>
              <w:rPr>
                <w:noProof/>
                <w:webHidden/>
              </w:rPr>
            </w:r>
            <w:r>
              <w:rPr>
                <w:noProof/>
                <w:webHidden/>
              </w:rPr>
              <w:fldChar w:fldCharType="separate"/>
            </w:r>
            <w:r>
              <w:rPr>
                <w:noProof/>
                <w:webHidden/>
              </w:rPr>
              <w:t>29</w:t>
            </w:r>
            <w:r>
              <w:rPr>
                <w:noProof/>
                <w:webHidden/>
              </w:rPr>
              <w:fldChar w:fldCharType="end"/>
            </w:r>
          </w:hyperlink>
        </w:p>
        <w:p w14:paraId="2858B3D0"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95" w:history="1">
            <w:r w:rsidRPr="00AD4C23">
              <w:rPr>
                <w:rStyle w:val="Hyperlink"/>
                <w:noProof/>
              </w:rPr>
              <w:t>2.6.3. Evidence base for Integrated Systems of Care</w:t>
            </w:r>
            <w:r>
              <w:rPr>
                <w:noProof/>
                <w:webHidden/>
              </w:rPr>
              <w:tab/>
            </w:r>
            <w:r>
              <w:rPr>
                <w:noProof/>
                <w:webHidden/>
              </w:rPr>
              <w:fldChar w:fldCharType="begin"/>
            </w:r>
            <w:r>
              <w:rPr>
                <w:noProof/>
                <w:webHidden/>
              </w:rPr>
              <w:instrText xml:space="preserve"> PAGEREF _Toc402348895 \h </w:instrText>
            </w:r>
            <w:r>
              <w:rPr>
                <w:noProof/>
                <w:webHidden/>
              </w:rPr>
            </w:r>
            <w:r>
              <w:rPr>
                <w:noProof/>
                <w:webHidden/>
              </w:rPr>
              <w:fldChar w:fldCharType="separate"/>
            </w:r>
            <w:r>
              <w:rPr>
                <w:noProof/>
                <w:webHidden/>
              </w:rPr>
              <w:t>30</w:t>
            </w:r>
            <w:r>
              <w:rPr>
                <w:noProof/>
                <w:webHidden/>
              </w:rPr>
              <w:fldChar w:fldCharType="end"/>
            </w:r>
          </w:hyperlink>
        </w:p>
        <w:p w14:paraId="6DF70701"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96" w:history="1">
            <w:r w:rsidRPr="00AD4C23">
              <w:rPr>
                <w:rStyle w:val="Hyperlink"/>
                <w:noProof/>
              </w:rPr>
              <w:t>2.7. Summary</w:t>
            </w:r>
            <w:r>
              <w:rPr>
                <w:noProof/>
                <w:webHidden/>
              </w:rPr>
              <w:tab/>
            </w:r>
            <w:r>
              <w:rPr>
                <w:noProof/>
                <w:webHidden/>
              </w:rPr>
              <w:fldChar w:fldCharType="begin"/>
            </w:r>
            <w:r>
              <w:rPr>
                <w:noProof/>
                <w:webHidden/>
              </w:rPr>
              <w:instrText xml:space="preserve"> PAGEREF _Toc402348896 \h </w:instrText>
            </w:r>
            <w:r>
              <w:rPr>
                <w:noProof/>
                <w:webHidden/>
              </w:rPr>
            </w:r>
            <w:r>
              <w:rPr>
                <w:noProof/>
                <w:webHidden/>
              </w:rPr>
              <w:fldChar w:fldCharType="separate"/>
            </w:r>
            <w:r>
              <w:rPr>
                <w:noProof/>
                <w:webHidden/>
              </w:rPr>
              <w:t>31</w:t>
            </w:r>
            <w:r>
              <w:rPr>
                <w:noProof/>
                <w:webHidden/>
              </w:rPr>
              <w:fldChar w:fldCharType="end"/>
            </w:r>
          </w:hyperlink>
        </w:p>
        <w:p w14:paraId="38D4A667"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897" w:history="1">
            <w:r w:rsidRPr="00AD4C23">
              <w:rPr>
                <w:rStyle w:val="Hyperlink"/>
                <w:noProof/>
              </w:rPr>
              <w:t>3. Transition Care recipients: Characteristics and outcomes</w:t>
            </w:r>
            <w:r>
              <w:rPr>
                <w:noProof/>
                <w:webHidden/>
              </w:rPr>
              <w:tab/>
            </w:r>
            <w:r>
              <w:rPr>
                <w:noProof/>
                <w:webHidden/>
              </w:rPr>
              <w:fldChar w:fldCharType="begin"/>
            </w:r>
            <w:r>
              <w:rPr>
                <w:noProof/>
                <w:webHidden/>
              </w:rPr>
              <w:instrText xml:space="preserve"> PAGEREF _Toc402348897 \h </w:instrText>
            </w:r>
            <w:r>
              <w:rPr>
                <w:noProof/>
                <w:webHidden/>
              </w:rPr>
            </w:r>
            <w:r>
              <w:rPr>
                <w:noProof/>
                <w:webHidden/>
              </w:rPr>
              <w:fldChar w:fldCharType="separate"/>
            </w:r>
            <w:r>
              <w:rPr>
                <w:noProof/>
                <w:webHidden/>
              </w:rPr>
              <w:t>32</w:t>
            </w:r>
            <w:r>
              <w:rPr>
                <w:noProof/>
                <w:webHidden/>
              </w:rPr>
              <w:fldChar w:fldCharType="end"/>
            </w:r>
          </w:hyperlink>
        </w:p>
        <w:p w14:paraId="51008C9E"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898" w:history="1">
            <w:r w:rsidRPr="00AD4C23">
              <w:rPr>
                <w:rStyle w:val="Hyperlink"/>
                <w:noProof/>
              </w:rPr>
              <w:t>Key points</w:t>
            </w:r>
            <w:r>
              <w:rPr>
                <w:noProof/>
                <w:webHidden/>
              </w:rPr>
              <w:tab/>
            </w:r>
            <w:r>
              <w:rPr>
                <w:noProof/>
                <w:webHidden/>
              </w:rPr>
              <w:fldChar w:fldCharType="begin"/>
            </w:r>
            <w:r>
              <w:rPr>
                <w:noProof/>
                <w:webHidden/>
              </w:rPr>
              <w:instrText xml:space="preserve"> PAGEREF _Toc402348898 \h </w:instrText>
            </w:r>
            <w:r>
              <w:rPr>
                <w:noProof/>
                <w:webHidden/>
              </w:rPr>
            </w:r>
            <w:r>
              <w:rPr>
                <w:noProof/>
                <w:webHidden/>
              </w:rPr>
              <w:fldChar w:fldCharType="separate"/>
            </w:r>
            <w:r>
              <w:rPr>
                <w:noProof/>
                <w:webHidden/>
              </w:rPr>
              <w:t>32</w:t>
            </w:r>
            <w:r>
              <w:rPr>
                <w:noProof/>
                <w:webHidden/>
              </w:rPr>
              <w:fldChar w:fldCharType="end"/>
            </w:r>
          </w:hyperlink>
        </w:p>
        <w:p w14:paraId="1D1F6304"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899" w:history="1">
            <w:r w:rsidRPr="00AD4C23">
              <w:rPr>
                <w:rStyle w:val="Hyperlink"/>
                <w:noProof/>
              </w:rPr>
              <w:t>Table 3.1: Sample of Transition Care recipients and number of ACAT assessments 1 October 2006 - 31 March 2007</w:t>
            </w:r>
            <w:r>
              <w:rPr>
                <w:noProof/>
                <w:webHidden/>
              </w:rPr>
              <w:tab/>
            </w:r>
            <w:r>
              <w:rPr>
                <w:noProof/>
                <w:webHidden/>
              </w:rPr>
              <w:fldChar w:fldCharType="begin"/>
            </w:r>
            <w:r>
              <w:rPr>
                <w:noProof/>
                <w:webHidden/>
              </w:rPr>
              <w:instrText xml:space="preserve"> PAGEREF _Toc402348899 \h </w:instrText>
            </w:r>
            <w:r>
              <w:rPr>
                <w:noProof/>
                <w:webHidden/>
              </w:rPr>
            </w:r>
            <w:r>
              <w:rPr>
                <w:noProof/>
                <w:webHidden/>
              </w:rPr>
              <w:fldChar w:fldCharType="separate"/>
            </w:r>
            <w:r>
              <w:rPr>
                <w:noProof/>
                <w:webHidden/>
              </w:rPr>
              <w:t>33</w:t>
            </w:r>
            <w:r>
              <w:rPr>
                <w:noProof/>
                <w:webHidden/>
              </w:rPr>
              <w:fldChar w:fldCharType="end"/>
            </w:r>
          </w:hyperlink>
        </w:p>
        <w:p w14:paraId="58264D38"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00" w:history="1">
            <w:r w:rsidRPr="00AD4C23">
              <w:rPr>
                <w:rStyle w:val="Hyperlink"/>
                <w:noProof/>
              </w:rPr>
              <w:t>3.1. Baseline characteristics of Transition Care recipients</w:t>
            </w:r>
            <w:r>
              <w:rPr>
                <w:noProof/>
                <w:webHidden/>
              </w:rPr>
              <w:tab/>
            </w:r>
            <w:r>
              <w:rPr>
                <w:noProof/>
                <w:webHidden/>
              </w:rPr>
              <w:fldChar w:fldCharType="begin"/>
            </w:r>
            <w:r>
              <w:rPr>
                <w:noProof/>
                <w:webHidden/>
              </w:rPr>
              <w:instrText xml:space="preserve"> PAGEREF _Toc402348900 \h </w:instrText>
            </w:r>
            <w:r>
              <w:rPr>
                <w:noProof/>
                <w:webHidden/>
              </w:rPr>
            </w:r>
            <w:r>
              <w:rPr>
                <w:noProof/>
                <w:webHidden/>
              </w:rPr>
              <w:fldChar w:fldCharType="separate"/>
            </w:r>
            <w:r>
              <w:rPr>
                <w:noProof/>
                <w:webHidden/>
              </w:rPr>
              <w:t>33</w:t>
            </w:r>
            <w:r>
              <w:rPr>
                <w:noProof/>
                <w:webHidden/>
              </w:rPr>
              <w:fldChar w:fldCharType="end"/>
            </w:r>
          </w:hyperlink>
        </w:p>
        <w:p w14:paraId="506D4318"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01" w:history="1">
            <w:r w:rsidRPr="00AD4C23">
              <w:rPr>
                <w:rStyle w:val="Hyperlink"/>
                <w:noProof/>
              </w:rPr>
              <w:t>Table 3.24:  Baseline characteristics of recipients of Transition Care</w:t>
            </w:r>
            <w:r>
              <w:rPr>
                <w:noProof/>
                <w:webHidden/>
              </w:rPr>
              <w:tab/>
            </w:r>
            <w:r>
              <w:rPr>
                <w:noProof/>
                <w:webHidden/>
              </w:rPr>
              <w:fldChar w:fldCharType="begin"/>
            </w:r>
            <w:r>
              <w:rPr>
                <w:noProof/>
                <w:webHidden/>
              </w:rPr>
              <w:instrText xml:space="preserve"> PAGEREF _Toc402348901 \h </w:instrText>
            </w:r>
            <w:r>
              <w:rPr>
                <w:noProof/>
                <w:webHidden/>
              </w:rPr>
            </w:r>
            <w:r>
              <w:rPr>
                <w:noProof/>
                <w:webHidden/>
              </w:rPr>
              <w:fldChar w:fldCharType="separate"/>
            </w:r>
            <w:r>
              <w:rPr>
                <w:noProof/>
                <w:webHidden/>
              </w:rPr>
              <w:t>34</w:t>
            </w:r>
            <w:r>
              <w:rPr>
                <w:noProof/>
                <w:webHidden/>
              </w:rPr>
              <w:fldChar w:fldCharType="end"/>
            </w:r>
          </w:hyperlink>
        </w:p>
        <w:p w14:paraId="0AB3E330"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02" w:history="1">
            <w:r w:rsidRPr="00AD4C23">
              <w:rPr>
                <w:rStyle w:val="Hyperlink"/>
                <w:noProof/>
              </w:rPr>
              <w:t>3.2. Function</w:t>
            </w:r>
            <w:r>
              <w:rPr>
                <w:noProof/>
                <w:webHidden/>
              </w:rPr>
              <w:tab/>
            </w:r>
            <w:r>
              <w:rPr>
                <w:noProof/>
                <w:webHidden/>
              </w:rPr>
              <w:fldChar w:fldCharType="begin"/>
            </w:r>
            <w:r>
              <w:rPr>
                <w:noProof/>
                <w:webHidden/>
              </w:rPr>
              <w:instrText xml:space="preserve"> PAGEREF _Toc402348902 \h </w:instrText>
            </w:r>
            <w:r>
              <w:rPr>
                <w:noProof/>
                <w:webHidden/>
              </w:rPr>
            </w:r>
            <w:r>
              <w:rPr>
                <w:noProof/>
                <w:webHidden/>
              </w:rPr>
              <w:fldChar w:fldCharType="separate"/>
            </w:r>
            <w:r>
              <w:rPr>
                <w:noProof/>
                <w:webHidden/>
              </w:rPr>
              <w:t>35</w:t>
            </w:r>
            <w:r>
              <w:rPr>
                <w:noProof/>
                <w:webHidden/>
              </w:rPr>
              <w:fldChar w:fldCharType="end"/>
            </w:r>
          </w:hyperlink>
        </w:p>
        <w:p w14:paraId="321F5865"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03" w:history="1">
            <w:r w:rsidRPr="00AD4C23">
              <w:rPr>
                <w:rStyle w:val="Hyperlink"/>
                <w:noProof/>
              </w:rPr>
              <w:t>Table 3.3:  Median (IQR) Modified Barthel Index for all Transition Care recipients by type of Transition Care: Community, Residential, and Combination</w:t>
            </w:r>
            <w:r>
              <w:rPr>
                <w:noProof/>
                <w:webHidden/>
              </w:rPr>
              <w:tab/>
            </w:r>
            <w:r>
              <w:rPr>
                <w:noProof/>
                <w:webHidden/>
              </w:rPr>
              <w:fldChar w:fldCharType="begin"/>
            </w:r>
            <w:r>
              <w:rPr>
                <w:noProof/>
                <w:webHidden/>
              </w:rPr>
              <w:instrText xml:space="preserve"> PAGEREF _Toc402348903 \h </w:instrText>
            </w:r>
            <w:r>
              <w:rPr>
                <w:noProof/>
                <w:webHidden/>
              </w:rPr>
            </w:r>
            <w:r>
              <w:rPr>
                <w:noProof/>
                <w:webHidden/>
              </w:rPr>
              <w:fldChar w:fldCharType="separate"/>
            </w:r>
            <w:r>
              <w:rPr>
                <w:noProof/>
                <w:webHidden/>
              </w:rPr>
              <w:t>36</w:t>
            </w:r>
            <w:r>
              <w:rPr>
                <w:noProof/>
                <w:webHidden/>
              </w:rPr>
              <w:fldChar w:fldCharType="end"/>
            </w:r>
          </w:hyperlink>
        </w:p>
        <w:p w14:paraId="778ED7C1"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04" w:history="1">
            <w:r w:rsidRPr="00AD4C23">
              <w:rPr>
                <w:rStyle w:val="Hyperlink"/>
                <w:noProof/>
              </w:rPr>
              <w:t>3.3. Length of stay</w:t>
            </w:r>
            <w:r>
              <w:rPr>
                <w:noProof/>
                <w:webHidden/>
              </w:rPr>
              <w:tab/>
            </w:r>
            <w:r>
              <w:rPr>
                <w:noProof/>
                <w:webHidden/>
              </w:rPr>
              <w:fldChar w:fldCharType="begin"/>
            </w:r>
            <w:r>
              <w:rPr>
                <w:noProof/>
                <w:webHidden/>
              </w:rPr>
              <w:instrText xml:space="preserve"> PAGEREF _Toc402348904 \h </w:instrText>
            </w:r>
            <w:r>
              <w:rPr>
                <w:noProof/>
                <w:webHidden/>
              </w:rPr>
            </w:r>
            <w:r>
              <w:rPr>
                <w:noProof/>
                <w:webHidden/>
              </w:rPr>
              <w:fldChar w:fldCharType="separate"/>
            </w:r>
            <w:r>
              <w:rPr>
                <w:noProof/>
                <w:webHidden/>
              </w:rPr>
              <w:t>37</w:t>
            </w:r>
            <w:r>
              <w:rPr>
                <w:noProof/>
                <w:webHidden/>
              </w:rPr>
              <w:fldChar w:fldCharType="end"/>
            </w:r>
          </w:hyperlink>
        </w:p>
        <w:p w14:paraId="3DF808BD"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05" w:history="1">
            <w:r w:rsidRPr="00AD4C23">
              <w:rPr>
                <w:rStyle w:val="Hyperlink"/>
                <w:noProof/>
              </w:rPr>
              <w:t>3.4. Modified Barthel Index Efficiency</w:t>
            </w:r>
            <w:r>
              <w:rPr>
                <w:noProof/>
                <w:webHidden/>
              </w:rPr>
              <w:tab/>
            </w:r>
            <w:r>
              <w:rPr>
                <w:noProof/>
                <w:webHidden/>
              </w:rPr>
              <w:fldChar w:fldCharType="begin"/>
            </w:r>
            <w:r>
              <w:rPr>
                <w:noProof/>
                <w:webHidden/>
              </w:rPr>
              <w:instrText xml:space="preserve"> PAGEREF _Toc402348905 \h </w:instrText>
            </w:r>
            <w:r>
              <w:rPr>
                <w:noProof/>
                <w:webHidden/>
              </w:rPr>
            </w:r>
            <w:r>
              <w:rPr>
                <w:noProof/>
                <w:webHidden/>
              </w:rPr>
              <w:fldChar w:fldCharType="separate"/>
            </w:r>
            <w:r>
              <w:rPr>
                <w:noProof/>
                <w:webHidden/>
              </w:rPr>
              <w:t>38</w:t>
            </w:r>
            <w:r>
              <w:rPr>
                <w:noProof/>
                <w:webHidden/>
              </w:rPr>
              <w:fldChar w:fldCharType="end"/>
            </w:r>
          </w:hyperlink>
        </w:p>
        <w:p w14:paraId="6F741DA3"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06" w:history="1">
            <w:r w:rsidRPr="00AD4C23">
              <w:rPr>
                <w:rStyle w:val="Hyperlink"/>
                <w:noProof/>
              </w:rPr>
              <w:t>Figure 3.1: Modified Barthel Index efficiencies by type of Transition Care per jurisdiction</w:t>
            </w:r>
            <w:r>
              <w:rPr>
                <w:noProof/>
                <w:webHidden/>
              </w:rPr>
              <w:tab/>
            </w:r>
            <w:r>
              <w:rPr>
                <w:noProof/>
                <w:webHidden/>
              </w:rPr>
              <w:fldChar w:fldCharType="begin"/>
            </w:r>
            <w:r>
              <w:rPr>
                <w:noProof/>
                <w:webHidden/>
              </w:rPr>
              <w:instrText xml:space="preserve"> PAGEREF _Toc402348906 \h </w:instrText>
            </w:r>
            <w:r>
              <w:rPr>
                <w:noProof/>
                <w:webHidden/>
              </w:rPr>
            </w:r>
            <w:r>
              <w:rPr>
                <w:noProof/>
                <w:webHidden/>
              </w:rPr>
              <w:fldChar w:fldCharType="separate"/>
            </w:r>
            <w:r>
              <w:rPr>
                <w:noProof/>
                <w:webHidden/>
              </w:rPr>
              <w:t>38</w:t>
            </w:r>
            <w:r>
              <w:rPr>
                <w:noProof/>
                <w:webHidden/>
              </w:rPr>
              <w:fldChar w:fldCharType="end"/>
            </w:r>
          </w:hyperlink>
        </w:p>
        <w:p w14:paraId="54A1F465"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07" w:history="1">
            <w:r w:rsidRPr="00AD4C23">
              <w:rPr>
                <w:rStyle w:val="Hyperlink"/>
                <w:noProof/>
              </w:rPr>
              <w:t>3.5. The Transition Care experience</w:t>
            </w:r>
            <w:r>
              <w:rPr>
                <w:noProof/>
                <w:webHidden/>
              </w:rPr>
              <w:tab/>
            </w:r>
            <w:r>
              <w:rPr>
                <w:noProof/>
                <w:webHidden/>
              </w:rPr>
              <w:fldChar w:fldCharType="begin"/>
            </w:r>
            <w:r>
              <w:rPr>
                <w:noProof/>
                <w:webHidden/>
              </w:rPr>
              <w:instrText xml:space="preserve"> PAGEREF _Toc402348907 \h </w:instrText>
            </w:r>
            <w:r>
              <w:rPr>
                <w:noProof/>
                <w:webHidden/>
              </w:rPr>
            </w:r>
            <w:r>
              <w:rPr>
                <w:noProof/>
                <w:webHidden/>
              </w:rPr>
              <w:fldChar w:fldCharType="separate"/>
            </w:r>
            <w:r>
              <w:rPr>
                <w:noProof/>
                <w:webHidden/>
              </w:rPr>
              <w:t>38</w:t>
            </w:r>
            <w:r>
              <w:rPr>
                <w:noProof/>
                <w:webHidden/>
              </w:rPr>
              <w:fldChar w:fldCharType="end"/>
            </w:r>
          </w:hyperlink>
        </w:p>
        <w:p w14:paraId="64299C08"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08" w:history="1">
            <w:r w:rsidRPr="00AD4C23">
              <w:rPr>
                <w:rStyle w:val="Hyperlink"/>
                <w:noProof/>
              </w:rPr>
              <w:t>3.6. Hospital readmissions</w:t>
            </w:r>
            <w:r>
              <w:rPr>
                <w:noProof/>
                <w:webHidden/>
              </w:rPr>
              <w:tab/>
            </w:r>
            <w:r>
              <w:rPr>
                <w:noProof/>
                <w:webHidden/>
              </w:rPr>
              <w:fldChar w:fldCharType="begin"/>
            </w:r>
            <w:r>
              <w:rPr>
                <w:noProof/>
                <w:webHidden/>
              </w:rPr>
              <w:instrText xml:space="preserve"> PAGEREF _Toc402348908 \h </w:instrText>
            </w:r>
            <w:r>
              <w:rPr>
                <w:noProof/>
                <w:webHidden/>
              </w:rPr>
            </w:r>
            <w:r>
              <w:rPr>
                <w:noProof/>
                <w:webHidden/>
              </w:rPr>
              <w:fldChar w:fldCharType="separate"/>
            </w:r>
            <w:r>
              <w:rPr>
                <w:noProof/>
                <w:webHidden/>
              </w:rPr>
              <w:t>39</w:t>
            </w:r>
            <w:r>
              <w:rPr>
                <w:noProof/>
                <w:webHidden/>
              </w:rPr>
              <w:fldChar w:fldCharType="end"/>
            </w:r>
          </w:hyperlink>
        </w:p>
        <w:p w14:paraId="2B53DAD7"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09" w:history="1">
            <w:r w:rsidRPr="00AD4C23">
              <w:rPr>
                <w:rStyle w:val="Hyperlink"/>
                <w:noProof/>
              </w:rPr>
              <w:t>Table 3.5: Discharge destination by jurisdiction and type of care</w:t>
            </w:r>
            <w:r>
              <w:rPr>
                <w:noProof/>
                <w:webHidden/>
              </w:rPr>
              <w:tab/>
            </w:r>
            <w:r>
              <w:rPr>
                <w:noProof/>
                <w:webHidden/>
              </w:rPr>
              <w:fldChar w:fldCharType="begin"/>
            </w:r>
            <w:r>
              <w:rPr>
                <w:noProof/>
                <w:webHidden/>
              </w:rPr>
              <w:instrText xml:space="preserve"> PAGEREF _Toc402348909 \h </w:instrText>
            </w:r>
            <w:r>
              <w:rPr>
                <w:noProof/>
                <w:webHidden/>
              </w:rPr>
            </w:r>
            <w:r>
              <w:rPr>
                <w:noProof/>
                <w:webHidden/>
              </w:rPr>
              <w:fldChar w:fldCharType="separate"/>
            </w:r>
            <w:r>
              <w:rPr>
                <w:noProof/>
                <w:webHidden/>
              </w:rPr>
              <w:t>40</w:t>
            </w:r>
            <w:r>
              <w:rPr>
                <w:noProof/>
                <w:webHidden/>
              </w:rPr>
              <w:fldChar w:fldCharType="end"/>
            </w:r>
          </w:hyperlink>
        </w:p>
        <w:p w14:paraId="4AFF2E37"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10" w:history="1">
            <w:r w:rsidRPr="00AD4C23">
              <w:rPr>
                <w:rStyle w:val="Hyperlink"/>
                <w:noProof/>
              </w:rPr>
              <w:t>Table 3.6: Hospital readmissions, residential aged care admissions, and deaths for Transition Care recipients at three months post ACAT approval</w:t>
            </w:r>
            <w:r>
              <w:rPr>
                <w:noProof/>
                <w:webHidden/>
              </w:rPr>
              <w:tab/>
            </w:r>
            <w:r>
              <w:rPr>
                <w:noProof/>
                <w:webHidden/>
              </w:rPr>
              <w:fldChar w:fldCharType="begin"/>
            </w:r>
            <w:r>
              <w:rPr>
                <w:noProof/>
                <w:webHidden/>
              </w:rPr>
              <w:instrText xml:space="preserve"> PAGEREF _Toc402348910 \h </w:instrText>
            </w:r>
            <w:r>
              <w:rPr>
                <w:noProof/>
                <w:webHidden/>
              </w:rPr>
            </w:r>
            <w:r>
              <w:rPr>
                <w:noProof/>
                <w:webHidden/>
              </w:rPr>
              <w:fldChar w:fldCharType="separate"/>
            </w:r>
            <w:r>
              <w:rPr>
                <w:noProof/>
                <w:webHidden/>
              </w:rPr>
              <w:t>44</w:t>
            </w:r>
            <w:r>
              <w:rPr>
                <w:noProof/>
                <w:webHidden/>
              </w:rPr>
              <w:fldChar w:fldCharType="end"/>
            </w:r>
          </w:hyperlink>
        </w:p>
        <w:p w14:paraId="3A9CD217"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11" w:history="1">
            <w:r w:rsidRPr="00AD4C23">
              <w:rPr>
                <w:rStyle w:val="Hyperlink"/>
                <w:noProof/>
              </w:rPr>
              <w:t>3.7. Residential aged care admissions</w:t>
            </w:r>
            <w:r>
              <w:rPr>
                <w:noProof/>
                <w:webHidden/>
              </w:rPr>
              <w:tab/>
            </w:r>
            <w:r>
              <w:rPr>
                <w:noProof/>
                <w:webHidden/>
              </w:rPr>
              <w:fldChar w:fldCharType="begin"/>
            </w:r>
            <w:r>
              <w:rPr>
                <w:noProof/>
                <w:webHidden/>
              </w:rPr>
              <w:instrText xml:space="preserve"> PAGEREF _Toc402348911 \h </w:instrText>
            </w:r>
            <w:r>
              <w:rPr>
                <w:noProof/>
                <w:webHidden/>
              </w:rPr>
            </w:r>
            <w:r>
              <w:rPr>
                <w:noProof/>
                <w:webHidden/>
              </w:rPr>
              <w:fldChar w:fldCharType="separate"/>
            </w:r>
            <w:r>
              <w:rPr>
                <w:noProof/>
                <w:webHidden/>
              </w:rPr>
              <w:t>45</w:t>
            </w:r>
            <w:r>
              <w:rPr>
                <w:noProof/>
                <w:webHidden/>
              </w:rPr>
              <w:fldChar w:fldCharType="end"/>
            </w:r>
          </w:hyperlink>
        </w:p>
        <w:p w14:paraId="2D349B97"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12" w:history="1">
            <w:r w:rsidRPr="00AD4C23">
              <w:rPr>
                <w:rStyle w:val="Hyperlink"/>
                <w:noProof/>
              </w:rPr>
              <w:t>3.8. Survival</w:t>
            </w:r>
            <w:r>
              <w:rPr>
                <w:noProof/>
                <w:webHidden/>
              </w:rPr>
              <w:tab/>
            </w:r>
            <w:r>
              <w:rPr>
                <w:noProof/>
                <w:webHidden/>
              </w:rPr>
              <w:fldChar w:fldCharType="begin"/>
            </w:r>
            <w:r>
              <w:rPr>
                <w:noProof/>
                <w:webHidden/>
              </w:rPr>
              <w:instrText xml:space="preserve"> PAGEREF _Toc402348912 \h </w:instrText>
            </w:r>
            <w:r>
              <w:rPr>
                <w:noProof/>
                <w:webHidden/>
              </w:rPr>
            </w:r>
            <w:r>
              <w:rPr>
                <w:noProof/>
                <w:webHidden/>
              </w:rPr>
              <w:fldChar w:fldCharType="separate"/>
            </w:r>
            <w:r>
              <w:rPr>
                <w:noProof/>
                <w:webHidden/>
              </w:rPr>
              <w:t>46</w:t>
            </w:r>
            <w:r>
              <w:rPr>
                <w:noProof/>
                <w:webHidden/>
              </w:rPr>
              <w:fldChar w:fldCharType="end"/>
            </w:r>
          </w:hyperlink>
        </w:p>
        <w:p w14:paraId="5641C486"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13" w:history="1">
            <w:r w:rsidRPr="00AD4C23">
              <w:rPr>
                <w:rStyle w:val="Hyperlink"/>
                <w:noProof/>
              </w:rPr>
              <w:t>4. How did variations between Transition Care services affect outcomes?</w:t>
            </w:r>
            <w:r>
              <w:rPr>
                <w:noProof/>
                <w:webHidden/>
              </w:rPr>
              <w:tab/>
            </w:r>
            <w:r>
              <w:rPr>
                <w:noProof/>
                <w:webHidden/>
              </w:rPr>
              <w:fldChar w:fldCharType="begin"/>
            </w:r>
            <w:r>
              <w:rPr>
                <w:noProof/>
                <w:webHidden/>
              </w:rPr>
              <w:instrText xml:space="preserve"> PAGEREF _Toc402348913 \h </w:instrText>
            </w:r>
            <w:r>
              <w:rPr>
                <w:noProof/>
                <w:webHidden/>
              </w:rPr>
            </w:r>
            <w:r>
              <w:rPr>
                <w:noProof/>
                <w:webHidden/>
              </w:rPr>
              <w:fldChar w:fldCharType="separate"/>
            </w:r>
            <w:r>
              <w:rPr>
                <w:noProof/>
                <w:webHidden/>
              </w:rPr>
              <w:t>47</w:t>
            </w:r>
            <w:r>
              <w:rPr>
                <w:noProof/>
                <w:webHidden/>
              </w:rPr>
              <w:fldChar w:fldCharType="end"/>
            </w:r>
          </w:hyperlink>
        </w:p>
        <w:p w14:paraId="341D2C43"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14" w:history="1">
            <w:r w:rsidRPr="00AD4C23">
              <w:rPr>
                <w:rStyle w:val="Hyperlink"/>
                <w:noProof/>
              </w:rPr>
              <w:t>Key points</w:t>
            </w:r>
            <w:r>
              <w:rPr>
                <w:noProof/>
                <w:webHidden/>
              </w:rPr>
              <w:tab/>
            </w:r>
            <w:r>
              <w:rPr>
                <w:noProof/>
                <w:webHidden/>
              </w:rPr>
              <w:fldChar w:fldCharType="begin"/>
            </w:r>
            <w:r>
              <w:rPr>
                <w:noProof/>
                <w:webHidden/>
              </w:rPr>
              <w:instrText xml:space="preserve"> PAGEREF _Toc402348914 \h </w:instrText>
            </w:r>
            <w:r>
              <w:rPr>
                <w:noProof/>
                <w:webHidden/>
              </w:rPr>
            </w:r>
            <w:r>
              <w:rPr>
                <w:noProof/>
                <w:webHidden/>
              </w:rPr>
              <w:fldChar w:fldCharType="separate"/>
            </w:r>
            <w:r>
              <w:rPr>
                <w:noProof/>
                <w:webHidden/>
              </w:rPr>
              <w:t>47</w:t>
            </w:r>
            <w:r>
              <w:rPr>
                <w:noProof/>
                <w:webHidden/>
              </w:rPr>
              <w:fldChar w:fldCharType="end"/>
            </w:r>
          </w:hyperlink>
        </w:p>
        <w:p w14:paraId="5E37C92D"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15" w:history="1">
            <w:r w:rsidRPr="00AD4C23">
              <w:rPr>
                <w:rStyle w:val="Hyperlink"/>
                <w:noProof/>
              </w:rPr>
              <w:t>4.1. What affects individual level outcomes?</w:t>
            </w:r>
            <w:r>
              <w:rPr>
                <w:noProof/>
                <w:webHidden/>
              </w:rPr>
              <w:tab/>
            </w:r>
            <w:r>
              <w:rPr>
                <w:noProof/>
                <w:webHidden/>
              </w:rPr>
              <w:fldChar w:fldCharType="begin"/>
            </w:r>
            <w:r>
              <w:rPr>
                <w:noProof/>
                <w:webHidden/>
              </w:rPr>
              <w:instrText xml:space="preserve"> PAGEREF _Toc402348915 \h </w:instrText>
            </w:r>
            <w:r>
              <w:rPr>
                <w:noProof/>
                <w:webHidden/>
              </w:rPr>
            </w:r>
            <w:r>
              <w:rPr>
                <w:noProof/>
                <w:webHidden/>
              </w:rPr>
              <w:fldChar w:fldCharType="separate"/>
            </w:r>
            <w:r>
              <w:rPr>
                <w:noProof/>
                <w:webHidden/>
              </w:rPr>
              <w:t>47</w:t>
            </w:r>
            <w:r>
              <w:rPr>
                <w:noProof/>
                <w:webHidden/>
              </w:rPr>
              <w:fldChar w:fldCharType="end"/>
            </w:r>
          </w:hyperlink>
        </w:p>
        <w:p w14:paraId="1D2D9E17"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16" w:history="1">
            <w:r w:rsidRPr="00AD4C23">
              <w:rPr>
                <w:rStyle w:val="Hyperlink"/>
                <w:noProof/>
              </w:rPr>
              <w:t>Table 4.1: Risk of hospital readmission in six months post ACAT approval</w:t>
            </w:r>
            <w:r>
              <w:rPr>
                <w:noProof/>
                <w:webHidden/>
              </w:rPr>
              <w:tab/>
            </w:r>
            <w:r>
              <w:rPr>
                <w:noProof/>
                <w:webHidden/>
              </w:rPr>
              <w:fldChar w:fldCharType="begin"/>
            </w:r>
            <w:r>
              <w:rPr>
                <w:noProof/>
                <w:webHidden/>
              </w:rPr>
              <w:instrText xml:space="preserve"> PAGEREF _Toc402348916 \h </w:instrText>
            </w:r>
            <w:r>
              <w:rPr>
                <w:noProof/>
                <w:webHidden/>
              </w:rPr>
            </w:r>
            <w:r>
              <w:rPr>
                <w:noProof/>
                <w:webHidden/>
              </w:rPr>
              <w:fldChar w:fldCharType="separate"/>
            </w:r>
            <w:r>
              <w:rPr>
                <w:noProof/>
                <w:webHidden/>
              </w:rPr>
              <w:t>49</w:t>
            </w:r>
            <w:r>
              <w:rPr>
                <w:noProof/>
                <w:webHidden/>
              </w:rPr>
              <w:fldChar w:fldCharType="end"/>
            </w:r>
          </w:hyperlink>
        </w:p>
        <w:p w14:paraId="7A168A8E" w14:textId="77777777" w:rsidR="00464643" w:rsidRDefault="00464643">
          <w:pPr>
            <w:pStyle w:val="TOC2"/>
            <w:tabs>
              <w:tab w:val="left" w:pos="1100"/>
              <w:tab w:val="right" w:leader="dot" w:pos="9346"/>
            </w:tabs>
            <w:rPr>
              <w:rFonts w:asciiTheme="minorHAnsi" w:eastAsiaTheme="minorEastAsia" w:hAnsiTheme="minorHAnsi" w:cstheme="minorBidi"/>
              <w:noProof/>
              <w:sz w:val="22"/>
              <w:szCs w:val="22"/>
            </w:rPr>
          </w:pPr>
          <w:hyperlink w:anchor="_Toc402348917" w:history="1">
            <w:r w:rsidRPr="00AD4C23">
              <w:rPr>
                <w:rStyle w:val="Hyperlink"/>
                <w:noProof/>
              </w:rPr>
              <w:t xml:space="preserve">4.2. </w:t>
            </w:r>
            <w:r>
              <w:rPr>
                <w:rFonts w:asciiTheme="minorHAnsi" w:eastAsiaTheme="minorEastAsia" w:hAnsiTheme="minorHAnsi" w:cstheme="minorBidi"/>
                <w:noProof/>
                <w:sz w:val="22"/>
                <w:szCs w:val="22"/>
              </w:rPr>
              <w:tab/>
            </w:r>
            <w:r w:rsidRPr="00AD4C23">
              <w:rPr>
                <w:rStyle w:val="Hyperlink"/>
                <w:noProof/>
              </w:rPr>
              <w:t>Jurisdictional variations in health and aged care service provision</w:t>
            </w:r>
            <w:r>
              <w:rPr>
                <w:noProof/>
                <w:webHidden/>
              </w:rPr>
              <w:tab/>
            </w:r>
            <w:r>
              <w:rPr>
                <w:noProof/>
                <w:webHidden/>
              </w:rPr>
              <w:fldChar w:fldCharType="begin"/>
            </w:r>
            <w:r>
              <w:rPr>
                <w:noProof/>
                <w:webHidden/>
              </w:rPr>
              <w:instrText xml:space="preserve"> PAGEREF _Toc402348917 \h </w:instrText>
            </w:r>
            <w:r>
              <w:rPr>
                <w:noProof/>
                <w:webHidden/>
              </w:rPr>
            </w:r>
            <w:r>
              <w:rPr>
                <w:noProof/>
                <w:webHidden/>
              </w:rPr>
              <w:fldChar w:fldCharType="separate"/>
            </w:r>
            <w:r>
              <w:rPr>
                <w:noProof/>
                <w:webHidden/>
              </w:rPr>
              <w:t>50</w:t>
            </w:r>
            <w:r>
              <w:rPr>
                <w:noProof/>
                <w:webHidden/>
              </w:rPr>
              <w:fldChar w:fldCharType="end"/>
            </w:r>
          </w:hyperlink>
        </w:p>
        <w:p w14:paraId="4DCE5E40"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18" w:history="1">
            <w:r w:rsidRPr="00AD4C23">
              <w:rPr>
                <w:rStyle w:val="Hyperlink"/>
                <w:noProof/>
              </w:rPr>
              <w:t>Figure 4.1: Composite indicator of number of aged care places and number of hospital beds per 1,000 older people for 2005/06 period</w:t>
            </w:r>
            <w:r>
              <w:rPr>
                <w:noProof/>
                <w:webHidden/>
              </w:rPr>
              <w:tab/>
            </w:r>
            <w:r>
              <w:rPr>
                <w:noProof/>
                <w:webHidden/>
              </w:rPr>
              <w:fldChar w:fldCharType="begin"/>
            </w:r>
            <w:r>
              <w:rPr>
                <w:noProof/>
                <w:webHidden/>
              </w:rPr>
              <w:instrText xml:space="preserve"> PAGEREF _Toc402348918 \h </w:instrText>
            </w:r>
            <w:r>
              <w:rPr>
                <w:noProof/>
                <w:webHidden/>
              </w:rPr>
            </w:r>
            <w:r>
              <w:rPr>
                <w:noProof/>
                <w:webHidden/>
              </w:rPr>
              <w:fldChar w:fldCharType="separate"/>
            </w:r>
            <w:r>
              <w:rPr>
                <w:noProof/>
                <w:webHidden/>
              </w:rPr>
              <w:t>52</w:t>
            </w:r>
            <w:r>
              <w:rPr>
                <w:noProof/>
                <w:webHidden/>
              </w:rPr>
              <w:fldChar w:fldCharType="end"/>
            </w:r>
          </w:hyperlink>
        </w:p>
        <w:p w14:paraId="0102900D"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19" w:history="1">
            <w:r w:rsidRPr="00AD4C23">
              <w:rPr>
                <w:rStyle w:val="Hyperlink"/>
                <w:noProof/>
              </w:rPr>
              <w:t>5.  Comparison of Transition Care recipients with other groups of frail older people</w:t>
            </w:r>
            <w:r>
              <w:rPr>
                <w:noProof/>
                <w:webHidden/>
              </w:rPr>
              <w:tab/>
            </w:r>
            <w:r>
              <w:rPr>
                <w:noProof/>
                <w:webHidden/>
              </w:rPr>
              <w:fldChar w:fldCharType="begin"/>
            </w:r>
            <w:r>
              <w:rPr>
                <w:noProof/>
                <w:webHidden/>
              </w:rPr>
              <w:instrText xml:space="preserve"> PAGEREF _Toc402348919 \h </w:instrText>
            </w:r>
            <w:r>
              <w:rPr>
                <w:noProof/>
                <w:webHidden/>
              </w:rPr>
            </w:r>
            <w:r>
              <w:rPr>
                <w:noProof/>
                <w:webHidden/>
              </w:rPr>
              <w:fldChar w:fldCharType="separate"/>
            </w:r>
            <w:r>
              <w:rPr>
                <w:noProof/>
                <w:webHidden/>
              </w:rPr>
              <w:t>53</w:t>
            </w:r>
            <w:r>
              <w:rPr>
                <w:noProof/>
                <w:webHidden/>
              </w:rPr>
              <w:fldChar w:fldCharType="end"/>
            </w:r>
          </w:hyperlink>
        </w:p>
        <w:p w14:paraId="5A5CEB2F"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20" w:history="1">
            <w:r w:rsidRPr="00AD4C23">
              <w:rPr>
                <w:rStyle w:val="Hyperlink"/>
                <w:noProof/>
              </w:rPr>
              <w:t>Key points</w:t>
            </w:r>
            <w:r>
              <w:rPr>
                <w:noProof/>
                <w:webHidden/>
              </w:rPr>
              <w:tab/>
            </w:r>
            <w:r>
              <w:rPr>
                <w:noProof/>
                <w:webHidden/>
              </w:rPr>
              <w:fldChar w:fldCharType="begin"/>
            </w:r>
            <w:r>
              <w:rPr>
                <w:noProof/>
                <w:webHidden/>
              </w:rPr>
              <w:instrText xml:space="preserve"> PAGEREF _Toc402348920 \h </w:instrText>
            </w:r>
            <w:r>
              <w:rPr>
                <w:noProof/>
                <w:webHidden/>
              </w:rPr>
            </w:r>
            <w:r>
              <w:rPr>
                <w:noProof/>
                <w:webHidden/>
              </w:rPr>
              <w:fldChar w:fldCharType="separate"/>
            </w:r>
            <w:r>
              <w:rPr>
                <w:noProof/>
                <w:webHidden/>
              </w:rPr>
              <w:t>53</w:t>
            </w:r>
            <w:r>
              <w:rPr>
                <w:noProof/>
                <w:webHidden/>
              </w:rPr>
              <w:fldChar w:fldCharType="end"/>
            </w:r>
          </w:hyperlink>
        </w:p>
        <w:p w14:paraId="39B74736"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21" w:history="1">
            <w:r w:rsidRPr="00AD4C23">
              <w:rPr>
                <w:rStyle w:val="Hyperlink"/>
                <w:noProof/>
              </w:rPr>
              <w:t>5.1. External comparison of Transition Care recipients to Australasian Rehabilitation Outcomes Centre and Geriatric Evaluation and Management units</w:t>
            </w:r>
            <w:r>
              <w:rPr>
                <w:noProof/>
                <w:webHidden/>
              </w:rPr>
              <w:tab/>
            </w:r>
            <w:r>
              <w:rPr>
                <w:noProof/>
                <w:webHidden/>
              </w:rPr>
              <w:fldChar w:fldCharType="begin"/>
            </w:r>
            <w:r>
              <w:rPr>
                <w:noProof/>
                <w:webHidden/>
              </w:rPr>
              <w:instrText xml:space="preserve"> PAGEREF _Toc402348921 \h </w:instrText>
            </w:r>
            <w:r>
              <w:rPr>
                <w:noProof/>
                <w:webHidden/>
              </w:rPr>
            </w:r>
            <w:r>
              <w:rPr>
                <w:noProof/>
                <w:webHidden/>
              </w:rPr>
              <w:fldChar w:fldCharType="separate"/>
            </w:r>
            <w:r>
              <w:rPr>
                <w:noProof/>
                <w:webHidden/>
              </w:rPr>
              <w:t>53</w:t>
            </w:r>
            <w:r>
              <w:rPr>
                <w:noProof/>
                <w:webHidden/>
              </w:rPr>
              <w:fldChar w:fldCharType="end"/>
            </w:r>
          </w:hyperlink>
        </w:p>
        <w:p w14:paraId="4733BF74"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22" w:history="1">
            <w:r w:rsidRPr="00AD4C23">
              <w:rPr>
                <w:rStyle w:val="Hyperlink"/>
                <w:noProof/>
              </w:rPr>
              <w:t>Table 5.1: Estimated Modified Barthel Index efficiencies from the Australasian Rehabilitation Outcomes Centre 2006/07</w:t>
            </w:r>
            <w:r>
              <w:rPr>
                <w:noProof/>
                <w:webHidden/>
              </w:rPr>
              <w:tab/>
            </w:r>
            <w:r>
              <w:rPr>
                <w:noProof/>
                <w:webHidden/>
              </w:rPr>
              <w:fldChar w:fldCharType="begin"/>
            </w:r>
            <w:r>
              <w:rPr>
                <w:noProof/>
                <w:webHidden/>
              </w:rPr>
              <w:instrText xml:space="preserve"> PAGEREF _Toc402348922 \h </w:instrText>
            </w:r>
            <w:r>
              <w:rPr>
                <w:noProof/>
                <w:webHidden/>
              </w:rPr>
            </w:r>
            <w:r>
              <w:rPr>
                <w:noProof/>
                <w:webHidden/>
              </w:rPr>
              <w:fldChar w:fldCharType="separate"/>
            </w:r>
            <w:r>
              <w:rPr>
                <w:noProof/>
                <w:webHidden/>
              </w:rPr>
              <w:t>53</w:t>
            </w:r>
            <w:r>
              <w:rPr>
                <w:noProof/>
                <w:webHidden/>
              </w:rPr>
              <w:fldChar w:fldCharType="end"/>
            </w:r>
          </w:hyperlink>
        </w:p>
        <w:p w14:paraId="2744A101"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23" w:history="1">
            <w:r w:rsidRPr="00AD4C23">
              <w:rPr>
                <w:rStyle w:val="Hyperlink"/>
                <w:noProof/>
              </w:rPr>
              <w:t>5.2. Comparisons based on data linkage</w:t>
            </w:r>
            <w:r>
              <w:rPr>
                <w:noProof/>
                <w:webHidden/>
              </w:rPr>
              <w:tab/>
            </w:r>
            <w:r>
              <w:rPr>
                <w:noProof/>
                <w:webHidden/>
              </w:rPr>
              <w:fldChar w:fldCharType="begin"/>
            </w:r>
            <w:r>
              <w:rPr>
                <w:noProof/>
                <w:webHidden/>
              </w:rPr>
              <w:instrText xml:space="preserve"> PAGEREF _Toc402348923 \h </w:instrText>
            </w:r>
            <w:r>
              <w:rPr>
                <w:noProof/>
                <w:webHidden/>
              </w:rPr>
            </w:r>
            <w:r>
              <w:rPr>
                <w:noProof/>
                <w:webHidden/>
              </w:rPr>
              <w:fldChar w:fldCharType="separate"/>
            </w:r>
            <w:r>
              <w:rPr>
                <w:noProof/>
                <w:webHidden/>
              </w:rPr>
              <w:t>55</w:t>
            </w:r>
            <w:r>
              <w:rPr>
                <w:noProof/>
                <w:webHidden/>
              </w:rPr>
              <w:fldChar w:fldCharType="end"/>
            </w:r>
          </w:hyperlink>
        </w:p>
        <w:p w14:paraId="0EE1715E"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24" w:history="1">
            <w:r w:rsidRPr="00AD4C23">
              <w:rPr>
                <w:rStyle w:val="Hyperlink"/>
                <w:noProof/>
              </w:rPr>
              <w:t>Table 5.3: Hospital readmissions, residential aged care admissions, and deaths for Transition Care recipients, Control 1 and Control 2 at three months post ACAT approval</w:t>
            </w:r>
            <w:r>
              <w:rPr>
                <w:noProof/>
                <w:webHidden/>
              </w:rPr>
              <w:tab/>
            </w:r>
            <w:r>
              <w:rPr>
                <w:noProof/>
                <w:webHidden/>
              </w:rPr>
              <w:fldChar w:fldCharType="begin"/>
            </w:r>
            <w:r>
              <w:rPr>
                <w:noProof/>
                <w:webHidden/>
              </w:rPr>
              <w:instrText xml:space="preserve"> PAGEREF _Toc402348924 \h </w:instrText>
            </w:r>
            <w:r>
              <w:rPr>
                <w:noProof/>
                <w:webHidden/>
              </w:rPr>
            </w:r>
            <w:r>
              <w:rPr>
                <w:noProof/>
                <w:webHidden/>
              </w:rPr>
              <w:fldChar w:fldCharType="separate"/>
            </w:r>
            <w:r>
              <w:rPr>
                <w:noProof/>
                <w:webHidden/>
              </w:rPr>
              <w:t>56</w:t>
            </w:r>
            <w:r>
              <w:rPr>
                <w:noProof/>
                <w:webHidden/>
              </w:rPr>
              <w:fldChar w:fldCharType="end"/>
            </w:r>
          </w:hyperlink>
        </w:p>
        <w:p w14:paraId="79C6D9FE"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25" w:history="1">
            <w:r w:rsidRPr="00AD4C23">
              <w:rPr>
                <w:rStyle w:val="Hyperlink"/>
                <w:noProof/>
              </w:rPr>
              <w:t>5.3. Impact on the hospital system</w:t>
            </w:r>
            <w:r>
              <w:rPr>
                <w:noProof/>
                <w:webHidden/>
              </w:rPr>
              <w:tab/>
            </w:r>
            <w:r>
              <w:rPr>
                <w:noProof/>
                <w:webHidden/>
              </w:rPr>
              <w:fldChar w:fldCharType="begin"/>
            </w:r>
            <w:r>
              <w:rPr>
                <w:noProof/>
                <w:webHidden/>
              </w:rPr>
              <w:instrText xml:space="preserve"> PAGEREF _Toc402348925 \h </w:instrText>
            </w:r>
            <w:r>
              <w:rPr>
                <w:noProof/>
                <w:webHidden/>
              </w:rPr>
            </w:r>
            <w:r>
              <w:rPr>
                <w:noProof/>
                <w:webHidden/>
              </w:rPr>
              <w:fldChar w:fldCharType="separate"/>
            </w:r>
            <w:r>
              <w:rPr>
                <w:noProof/>
                <w:webHidden/>
              </w:rPr>
              <w:t>58</w:t>
            </w:r>
            <w:r>
              <w:rPr>
                <w:noProof/>
                <w:webHidden/>
              </w:rPr>
              <w:fldChar w:fldCharType="end"/>
            </w:r>
          </w:hyperlink>
        </w:p>
        <w:p w14:paraId="5CA5E3FA"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26" w:history="1">
            <w:r w:rsidRPr="00AD4C23">
              <w:rPr>
                <w:rStyle w:val="Hyperlink"/>
                <w:noProof/>
              </w:rPr>
              <w:t>Table 5.5: Hazard of hospital readmission in six months post ACAT approval</w:t>
            </w:r>
            <w:r>
              <w:rPr>
                <w:noProof/>
                <w:webHidden/>
              </w:rPr>
              <w:tab/>
            </w:r>
            <w:r>
              <w:rPr>
                <w:noProof/>
                <w:webHidden/>
              </w:rPr>
              <w:fldChar w:fldCharType="begin"/>
            </w:r>
            <w:r>
              <w:rPr>
                <w:noProof/>
                <w:webHidden/>
              </w:rPr>
              <w:instrText xml:space="preserve"> PAGEREF _Toc402348926 \h </w:instrText>
            </w:r>
            <w:r>
              <w:rPr>
                <w:noProof/>
                <w:webHidden/>
              </w:rPr>
            </w:r>
            <w:r>
              <w:rPr>
                <w:noProof/>
                <w:webHidden/>
              </w:rPr>
              <w:fldChar w:fldCharType="separate"/>
            </w:r>
            <w:r>
              <w:rPr>
                <w:noProof/>
                <w:webHidden/>
              </w:rPr>
              <w:t>58</w:t>
            </w:r>
            <w:r>
              <w:rPr>
                <w:noProof/>
                <w:webHidden/>
              </w:rPr>
              <w:fldChar w:fldCharType="end"/>
            </w:r>
          </w:hyperlink>
        </w:p>
        <w:p w14:paraId="6327CDA7"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27" w:history="1">
            <w:r w:rsidRPr="00AD4C23">
              <w:rPr>
                <w:rStyle w:val="Hyperlink"/>
                <w:noProof/>
              </w:rPr>
              <w:t>5.4. Impact on the aged care system</w:t>
            </w:r>
            <w:r>
              <w:rPr>
                <w:noProof/>
                <w:webHidden/>
              </w:rPr>
              <w:tab/>
            </w:r>
            <w:r>
              <w:rPr>
                <w:noProof/>
                <w:webHidden/>
              </w:rPr>
              <w:fldChar w:fldCharType="begin"/>
            </w:r>
            <w:r>
              <w:rPr>
                <w:noProof/>
                <w:webHidden/>
              </w:rPr>
              <w:instrText xml:space="preserve"> PAGEREF _Toc402348927 \h </w:instrText>
            </w:r>
            <w:r>
              <w:rPr>
                <w:noProof/>
                <w:webHidden/>
              </w:rPr>
            </w:r>
            <w:r>
              <w:rPr>
                <w:noProof/>
                <w:webHidden/>
              </w:rPr>
              <w:fldChar w:fldCharType="separate"/>
            </w:r>
            <w:r>
              <w:rPr>
                <w:noProof/>
                <w:webHidden/>
              </w:rPr>
              <w:t>61</w:t>
            </w:r>
            <w:r>
              <w:rPr>
                <w:noProof/>
                <w:webHidden/>
              </w:rPr>
              <w:fldChar w:fldCharType="end"/>
            </w:r>
          </w:hyperlink>
        </w:p>
        <w:p w14:paraId="090965B9"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28" w:history="1">
            <w:r w:rsidRPr="00AD4C23">
              <w:rPr>
                <w:rStyle w:val="Hyperlink"/>
                <w:noProof/>
              </w:rPr>
              <w:t>Table 5.8: Summary of admission level for Transition Care recipients who were admitted to residential aged care in the six months post ACAT approval</w:t>
            </w:r>
            <w:r>
              <w:rPr>
                <w:noProof/>
                <w:webHidden/>
              </w:rPr>
              <w:tab/>
            </w:r>
            <w:r>
              <w:rPr>
                <w:noProof/>
                <w:webHidden/>
              </w:rPr>
              <w:fldChar w:fldCharType="begin"/>
            </w:r>
            <w:r>
              <w:rPr>
                <w:noProof/>
                <w:webHidden/>
              </w:rPr>
              <w:instrText xml:space="preserve"> PAGEREF _Toc402348928 \h </w:instrText>
            </w:r>
            <w:r>
              <w:rPr>
                <w:noProof/>
                <w:webHidden/>
              </w:rPr>
            </w:r>
            <w:r>
              <w:rPr>
                <w:noProof/>
                <w:webHidden/>
              </w:rPr>
              <w:fldChar w:fldCharType="separate"/>
            </w:r>
            <w:r>
              <w:rPr>
                <w:noProof/>
                <w:webHidden/>
              </w:rPr>
              <w:t>63</w:t>
            </w:r>
            <w:r>
              <w:rPr>
                <w:noProof/>
                <w:webHidden/>
              </w:rPr>
              <w:fldChar w:fldCharType="end"/>
            </w:r>
          </w:hyperlink>
        </w:p>
        <w:p w14:paraId="48902CD1"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29" w:history="1">
            <w:r w:rsidRPr="00AD4C23">
              <w:rPr>
                <w:rStyle w:val="Hyperlink"/>
                <w:noProof/>
              </w:rPr>
              <w:t>5.5. Impact on Aged Care Assessment Processes</w:t>
            </w:r>
            <w:r>
              <w:rPr>
                <w:noProof/>
                <w:webHidden/>
              </w:rPr>
              <w:tab/>
            </w:r>
            <w:r>
              <w:rPr>
                <w:noProof/>
                <w:webHidden/>
              </w:rPr>
              <w:fldChar w:fldCharType="begin"/>
            </w:r>
            <w:r>
              <w:rPr>
                <w:noProof/>
                <w:webHidden/>
              </w:rPr>
              <w:instrText xml:space="preserve"> PAGEREF _Toc402348929 \h </w:instrText>
            </w:r>
            <w:r>
              <w:rPr>
                <w:noProof/>
                <w:webHidden/>
              </w:rPr>
            </w:r>
            <w:r>
              <w:rPr>
                <w:noProof/>
                <w:webHidden/>
              </w:rPr>
              <w:fldChar w:fldCharType="separate"/>
            </w:r>
            <w:r>
              <w:rPr>
                <w:noProof/>
                <w:webHidden/>
              </w:rPr>
              <w:t>65</w:t>
            </w:r>
            <w:r>
              <w:rPr>
                <w:noProof/>
                <w:webHidden/>
              </w:rPr>
              <w:fldChar w:fldCharType="end"/>
            </w:r>
          </w:hyperlink>
        </w:p>
        <w:p w14:paraId="5E143A1F"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30" w:history="1">
            <w:r w:rsidRPr="00AD4C23">
              <w:rPr>
                <w:rStyle w:val="Hyperlink"/>
                <w:noProof/>
              </w:rPr>
              <w:t>Table 5.9: Days from Aged Care Assessment Team approval to hospital separation and Transition Care admission</w:t>
            </w:r>
            <w:r>
              <w:rPr>
                <w:noProof/>
                <w:webHidden/>
              </w:rPr>
              <w:tab/>
            </w:r>
            <w:r>
              <w:rPr>
                <w:noProof/>
                <w:webHidden/>
              </w:rPr>
              <w:fldChar w:fldCharType="begin"/>
            </w:r>
            <w:r>
              <w:rPr>
                <w:noProof/>
                <w:webHidden/>
              </w:rPr>
              <w:instrText xml:space="preserve"> PAGEREF _Toc402348930 \h </w:instrText>
            </w:r>
            <w:r>
              <w:rPr>
                <w:noProof/>
                <w:webHidden/>
              </w:rPr>
            </w:r>
            <w:r>
              <w:rPr>
                <w:noProof/>
                <w:webHidden/>
              </w:rPr>
              <w:fldChar w:fldCharType="separate"/>
            </w:r>
            <w:r>
              <w:rPr>
                <w:noProof/>
                <w:webHidden/>
              </w:rPr>
              <w:t>65</w:t>
            </w:r>
            <w:r>
              <w:rPr>
                <w:noProof/>
                <w:webHidden/>
              </w:rPr>
              <w:fldChar w:fldCharType="end"/>
            </w:r>
          </w:hyperlink>
        </w:p>
        <w:p w14:paraId="49069C31"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31" w:history="1">
            <w:r w:rsidRPr="00AD4C23">
              <w:rPr>
                <w:rStyle w:val="Hyperlink"/>
                <w:noProof/>
              </w:rPr>
              <w:t>6. What are the estimated costs of achieving the outcomes?</w:t>
            </w:r>
            <w:r>
              <w:rPr>
                <w:noProof/>
                <w:webHidden/>
              </w:rPr>
              <w:tab/>
            </w:r>
            <w:r>
              <w:rPr>
                <w:noProof/>
                <w:webHidden/>
              </w:rPr>
              <w:fldChar w:fldCharType="begin"/>
            </w:r>
            <w:r>
              <w:rPr>
                <w:noProof/>
                <w:webHidden/>
              </w:rPr>
              <w:instrText xml:space="preserve"> PAGEREF _Toc402348931 \h </w:instrText>
            </w:r>
            <w:r>
              <w:rPr>
                <w:noProof/>
                <w:webHidden/>
              </w:rPr>
            </w:r>
            <w:r>
              <w:rPr>
                <w:noProof/>
                <w:webHidden/>
              </w:rPr>
              <w:fldChar w:fldCharType="separate"/>
            </w:r>
            <w:r>
              <w:rPr>
                <w:noProof/>
                <w:webHidden/>
              </w:rPr>
              <w:t>67</w:t>
            </w:r>
            <w:r>
              <w:rPr>
                <w:noProof/>
                <w:webHidden/>
              </w:rPr>
              <w:fldChar w:fldCharType="end"/>
            </w:r>
          </w:hyperlink>
        </w:p>
        <w:p w14:paraId="1DA2D0FB"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32" w:history="1">
            <w:r w:rsidRPr="00AD4C23">
              <w:rPr>
                <w:rStyle w:val="Hyperlink"/>
                <w:noProof/>
              </w:rPr>
              <w:t>Key points</w:t>
            </w:r>
            <w:r>
              <w:rPr>
                <w:noProof/>
                <w:webHidden/>
              </w:rPr>
              <w:tab/>
            </w:r>
            <w:r>
              <w:rPr>
                <w:noProof/>
                <w:webHidden/>
              </w:rPr>
              <w:fldChar w:fldCharType="begin"/>
            </w:r>
            <w:r>
              <w:rPr>
                <w:noProof/>
                <w:webHidden/>
              </w:rPr>
              <w:instrText xml:space="preserve"> PAGEREF _Toc402348932 \h </w:instrText>
            </w:r>
            <w:r>
              <w:rPr>
                <w:noProof/>
                <w:webHidden/>
              </w:rPr>
            </w:r>
            <w:r>
              <w:rPr>
                <w:noProof/>
                <w:webHidden/>
              </w:rPr>
              <w:fldChar w:fldCharType="separate"/>
            </w:r>
            <w:r>
              <w:rPr>
                <w:noProof/>
                <w:webHidden/>
              </w:rPr>
              <w:t>67</w:t>
            </w:r>
            <w:r>
              <w:rPr>
                <w:noProof/>
                <w:webHidden/>
              </w:rPr>
              <w:fldChar w:fldCharType="end"/>
            </w:r>
          </w:hyperlink>
        </w:p>
        <w:p w14:paraId="0A37E41C"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33" w:history="1">
            <w:r w:rsidRPr="00AD4C23">
              <w:rPr>
                <w:rStyle w:val="Hyperlink"/>
                <w:noProof/>
              </w:rPr>
              <w:t>Figure 6.1: Joint distribution of incremental cost and effects for recipients of Transition Care only in a community setting vs. Control 2 at three months post ACAT approval</w:t>
            </w:r>
            <w:r>
              <w:rPr>
                <w:noProof/>
                <w:webHidden/>
              </w:rPr>
              <w:tab/>
            </w:r>
            <w:r>
              <w:rPr>
                <w:noProof/>
                <w:webHidden/>
              </w:rPr>
              <w:fldChar w:fldCharType="begin"/>
            </w:r>
            <w:r>
              <w:rPr>
                <w:noProof/>
                <w:webHidden/>
              </w:rPr>
              <w:instrText xml:space="preserve"> PAGEREF _Toc402348933 \h </w:instrText>
            </w:r>
            <w:r>
              <w:rPr>
                <w:noProof/>
                <w:webHidden/>
              </w:rPr>
            </w:r>
            <w:r>
              <w:rPr>
                <w:noProof/>
                <w:webHidden/>
              </w:rPr>
              <w:fldChar w:fldCharType="separate"/>
            </w:r>
            <w:r>
              <w:rPr>
                <w:noProof/>
                <w:webHidden/>
              </w:rPr>
              <w:t>68</w:t>
            </w:r>
            <w:r>
              <w:rPr>
                <w:noProof/>
                <w:webHidden/>
              </w:rPr>
              <w:fldChar w:fldCharType="end"/>
            </w:r>
          </w:hyperlink>
        </w:p>
        <w:p w14:paraId="1D36BF1F"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34" w:history="1">
            <w:r w:rsidRPr="00AD4C23">
              <w:rPr>
                <w:rStyle w:val="Hyperlink"/>
                <w:noProof/>
              </w:rPr>
              <w:t>7. What did the Transition Care services say about quality in Transition Care?</w:t>
            </w:r>
            <w:r>
              <w:rPr>
                <w:noProof/>
                <w:webHidden/>
              </w:rPr>
              <w:tab/>
            </w:r>
            <w:r>
              <w:rPr>
                <w:noProof/>
                <w:webHidden/>
              </w:rPr>
              <w:fldChar w:fldCharType="begin"/>
            </w:r>
            <w:r>
              <w:rPr>
                <w:noProof/>
                <w:webHidden/>
              </w:rPr>
              <w:instrText xml:space="preserve"> PAGEREF _Toc402348934 \h </w:instrText>
            </w:r>
            <w:r>
              <w:rPr>
                <w:noProof/>
                <w:webHidden/>
              </w:rPr>
            </w:r>
            <w:r>
              <w:rPr>
                <w:noProof/>
                <w:webHidden/>
              </w:rPr>
              <w:fldChar w:fldCharType="separate"/>
            </w:r>
            <w:r>
              <w:rPr>
                <w:noProof/>
                <w:webHidden/>
              </w:rPr>
              <w:t>72</w:t>
            </w:r>
            <w:r>
              <w:rPr>
                <w:noProof/>
                <w:webHidden/>
              </w:rPr>
              <w:fldChar w:fldCharType="end"/>
            </w:r>
          </w:hyperlink>
        </w:p>
        <w:p w14:paraId="584EBD89"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35" w:history="1">
            <w:r w:rsidRPr="00AD4C23">
              <w:rPr>
                <w:rStyle w:val="Hyperlink"/>
                <w:noProof/>
              </w:rPr>
              <w:t>Key points</w:t>
            </w:r>
            <w:r>
              <w:rPr>
                <w:noProof/>
                <w:webHidden/>
              </w:rPr>
              <w:tab/>
            </w:r>
            <w:r>
              <w:rPr>
                <w:noProof/>
                <w:webHidden/>
              </w:rPr>
              <w:fldChar w:fldCharType="begin"/>
            </w:r>
            <w:r>
              <w:rPr>
                <w:noProof/>
                <w:webHidden/>
              </w:rPr>
              <w:instrText xml:space="preserve"> PAGEREF _Toc402348935 \h </w:instrText>
            </w:r>
            <w:r>
              <w:rPr>
                <w:noProof/>
                <w:webHidden/>
              </w:rPr>
            </w:r>
            <w:r>
              <w:rPr>
                <w:noProof/>
                <w:webHidden/>
              </w:rPr>
              <w:fldChar w:fldCharType="separate"/>
            </w:r>
            <w:r>
              <w:rPr>
                <w:noProof/>
                <w:webHidden/>
              </w:rPr>
              <w:t>72</w:t>
            </w:r>
            <w:r>
              <w:rPr>
                <w:noProof/>
                <w:webHidden/>
              </w:rPr>
              <w:fldChar w:fldCharType="end"/>
            </w:r>
          </w:hyperlink>
        </w:p>
        <w:p w14:paraId="5FCA103A"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36" w:history="1">
            <w:r w:rsidRPr="00AD4C23">
              <w:rPr>
                <w:rStyle w:val="Hyperlink"/>
                <w:noProof/>
              </w:rPr>
              <w:t>8. Issues from each jurisdiction</w:t>
            </w:r>
            <w:r>
              <w:rPr>
                <w:noProof/>
                <w:webHidden/>
              </w:rPr>
              <w:tab/>
            </w:r>
            <w:r>
              <w:rPr>
                <w:noProof/>
                <w:webHidden/>
              </w:rPr>
              <w:fldChar w:fldCharType="begin"/>
            </w:r>
            <w:r>
              <w:rPr>
                <w:noProof/>
                <w:webHidden/>
              </w:rPr>
              <w:instrText xml:space="preserve"> PAGEREF _Toc402348936 \h </w:instrText>
            </w:r>
            <w:r>
              <w:rPr>
                <w:noProof/>
                <w:webHidden/>
              </w:rPr>
            </w:r>
            <w:r>
              <w:rPr>
                <w:noProof/>
                <w:webHidden/>
              </w:rPr>
              <w:fldChar w:fldCharType="separate"/>
            </w:r>
            <w:r>
              <w:rPr>
                <w:noProof/>
                <w:webHidden/>
              </w:rPr>
              <w:t>74</w:t>
            </w:r>
            <w:r>
              <w:rPr>
                <w:noProof/>
                <w:webHidden/>
              </w:rPr>
              <w:fldChar w:fldCharType="end"/>
            </w:r>
          </w:hyperlink>
        </w:p>
        <w:p w14:paraId="65DD6AA4"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37" w:history="1">
            <w:r w:rsidRPr="00AD4C23">
              <w:rPr>
                <w:rStyle w:val="Hyperlink"/>
                <w:noProof/>
              </w:rPr>
              <w:t>8.1. Australian Capital Territory</w:t>
            </w:r>
            <w:r>
              <w:rPr>
                <w:noProof/>
                <w:webHidden/>
              </w:rPr>
              <w:tab/>
            </w:r>
            <w:r>
              <w:rPr>
                <w:noProof/>
                <w:webHidden/>
              </w:rPr>
              <w:fldChar w:fldCharType="begin"/>
            </w:r>
            <w:r>
              <w:rPr>
                <w:noProof/>
                <w:webHidden/>
              </w:rPr>
              <w:instrText xml:space="preserve"> PAGEREF _Toc402348937 \h </w:instrText>
            </w:r>
            <w:r>
              <w:rPr>
                <w:noProof/>
                <w:webHidden/>
              </w:rPr>
            </w:r>
            <w:r>
              <w:rPr>
                <w:noProof/>
                <w:webHidden/>
              </w:rPr>
              <w:fldChar w:fldCharType="separate"/>
            </w:r>
            <w:r>
              <w:rPr>
                <w:noProof/>
                <w:webHidden/>
              </w:rPr>
              <w:t>74</w:t>
            </w:r>
            <w:r>
              <w:rPr>
                <w:noProof/>
                <w:webHidden/>
              </w:rPr>
              <w:fldChar w:fldCharType="end"/>
            </w:r>
          </w:hyperlink>
        </w:p>
        <w:p w14:paraId="7A511328"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38" w:history="1">
            <w:r w:rsidRPr="00AD4C23">
              <w:rPr>
                <w:rStyle w:val="Hyperlink"/>
                <w:noProof/>
              </w:rPr>
              <w:t>8.2. New South Wales</w:t>
            </w:r>
            <w:r>
              <w:rPr>
                <w:noProof/>
                <w:webHidden/>
              </w:rPr>
              <w:tab/>
            </w:r>
            <w:r>
              <w:rPr>
                <w:noProof/>
                <w:webHidden/>
              </w:rPr>
              <w:fldChar w:fldCharType="begin"/>
            </w:r>
            <w:r>
              <w:rPr>
                <w:noProof/>
                <w:webHidden/>
              </w:rPr>
              <w:instrText xml:space="preserve"> PAGEREF _Toc402348938 \h </w:instrText>
            </w:r>
            <w:r>
              <w:rPr>
                <w:noProof/>
                <w:webHidden/>
              </w:rPr>
            </w:r>
            <w:r>
              <w:rPr>
                <w:noProof/>
                <w:webHidden/>
              </w:rPr>
              <w:fldChar w:fldCharType="separate"/>
            </w:r>
            <w:r>
              <w:rPr>
                <w:noProof/>
                <w:webHidden/>
              </w:rPr>
              <w:t>74</w:t>
            </w:r>
            <w:r>
              <w:rPr>
                <w:noProof/>
                <w:webHidden/>
              </w:rPr>
              <w:fldChar w:fldCharType="end"/>
            </w:r>
          </w:hyperlink>
        </w:p>
        <w:p w14:paraId="1358CFDC"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39" w:history="1">
            <w:r w:rsidRPr="00AD4C23">
              <w:rPr>
                <w:rStyle w:val="Hyperlink"/>
                <w:noProof/>
              </w:rPr>
              <w:t>8.3. Northern Territory</w:t>
            </w:r>
            <w:r>
              <w:rPr>
                <w:noProof/>
                <w:webHidden/>
              </w:rPr>
              <w:tab/>
            </w:r>
            <w:r>
              <w:rPr>
                <w:noProof/>
                <w:webHidden/>
              </w:rPr>
              <w:fldChar w:fldCharType="begin"/>
            </w:r>
            <w:r>
              <w:rPr>
                <w:noProof/>
                <w:webHidden/>
              </w:rPr>
              <w:instrText xml:space="preserve"> PAGEREF _Toc402348939 \h </w:instrText>
            </w:r>
            <w:r>
              <w:rPr>
                <w:noProof/>
                <w:webHidden/>
              </w:rPr>
            </w:r>
            <w:r>
              <w:rPr>
                <w:noProof/>
                <w:webHidden/>
              </w:rPr>
              <w:fldChar w:fldCharType="separate"/>
            </w:r>
            <w:r>
              <w:rPr>
                <w:noProof/>
                <w:webHidden/>
              </w:rPr>
              <w:t>74</w:t>
            </w:r>
            <w:r>
              <w:rPr>
                <w:noProof/>
                <w:webHidden/>
              </w:rPr>
              <w:fldChar w:fldCharType="end"/>
            </w:r>
          </w:hyperlink>
        </w:p>
        <w:p w14:paraId="512AD4CE"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0" w:history="1">
            <w:r w:rsidRPr="00AD4C23">
              <w:rPr>
                <w:rStyle w:val="Hyperlink"/>
                <w:noProof/>
              </w:rPr>
              <w:t>8.4. Queensland</w:t>
            </w:r>
            <w:r>
              <w:rPr>
                <w:noProof/>
                <w:webHidden/>
              </w:rPr>
              <w:tab/>
            </w:r>
            <w:r>
              <w:rPr>
                <w:noProof/>
                <w:webHidden/>
              </w:rPr>
              <w:fldChar w:fldCharType="begin"/>
            </w:r>
            <w:r>
              <w:rPr>
                <w:noProof/>
                <w:webHidden/>
              </w:rPr>
              <w:instrText xml:space="preserve"> PAGEREF _Toc402348940 \h </w:instrText>
            </w:r>
            <w:r>
              <w:rPr>
                <w:noProof/>
                <w:webHidden/>
              </w:rPr>
            </w:r>
            <w:r>
              <w:rPr>
                <w:noProof/>
                <w:webHidden/>
              </w:rPr>
              <w:fldChar w:fldCharType="separate"/>
            </w:r>
            <w:r>
              <w:rPr>
                <w:noProof/>
                <w:webHidden/>
              </w:rPr>
              <w:t>74</w:t>
            </w:r>
            <w:r>
              <w:rPr>
                <w:noProof/>
                <w:webHidden/>
              </w:rPr>
              <w:fldChar w:fldCharType="end"/>
            </w:r>
          </w:hyperlink>
        </w:p>
        <w:p w14:paraId="7332D147"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1" w:history="1">
            <w:r w:rsidRPr="00AD4C23">
              <w:rPr>
                <w:rStyle w:val="Hyperlink"/>
                <w:noProof/>
              </w:rPr>
              <w:t>8.5. South Australia</w:t>
            </w:r>
            <w:r>
              <w:rPr>
                <w:noProof/>
                <w:webHidden/>
              </w:rPr>
              <w:tab/>
            </w:r>
            <w:r>
              <w:rPr>
                <w:noProof/>
                <w:webHidden/>
              </w:rPr>
              <w:fldChar w:fldCharType="begin"/>
            </w:r>
            <w:r>
              <w:rPr>
                <w:noProof/>
                <w:webHidden/>
              </w:rPr>
              <w:instrText xml:space="preserve"> PAGEREF _Toc402348941 \h </w:instrText>
            </w:r>
            <w:r>
              <w:rPr>
                <w:noProof/>
                <w:webHidden/>
              </w:rPr>
            </w:r>
            <w:r>
              <w:rPr>
                <w:noProof/>
                <w:webHidden/>
              </w:rPr>
              <w:fldChar w:fldCharType="separate"/>
            </w:r>
            <w:r>
              <w:rPr>
                <w:noProof/>
                <w:webHidden/>
              </w:rPr>
              <w:t>75</w:t>
            </w:r>
            <w:r>
              <w:rPr>
                <w:noProof/>
                <w:webHidden/>
              </w:rPr>
              <w:fldChar w:fldCharType="end"/>
            </w:r>
          </w:hyperlink>
        </w:p>
        <w:p w14:paraId="7F9386F4"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2" w:history="1">
            <w:r w:rsidRPr="00AD4C23">
              <w:rPr>
                <w:rStyle w:val="Hyperlink"/>
                <w:noProof/>
              </w:rPr>
              <w:t>8.6. Tasmania</w:t>
            </w:r>
            <w:r>
              <w:rPr>
                <w:noProof/>
                <w:webHidden/>
              </w:rPr>
              <w:tab/>
            </w:r>
            <w:r>
              <w:rPr>
                <w:noProof/>
                <w:webHidden/>
              </w:rPr>
              <w:fldChar w:fldCharType="begin"/>
            </w:r>
            <w:r>
              <w:rPr>
                <w:noProof/>
                <w:webHidden/>
              </w:rPr>
              <w:instrText xml:space="preserve"> PAGEREF _Toc402348942 \h </w:instrText>
            </w:r>
            <w:r>
              <w:rPr>
                <w:noProof/>
                <w:webHidden/>
              </w:rPr>
            </w:r>
            <w:r>
              <w:rPr>
                <w:noProof/>
                <w:webHidden/>
              </w:rPr>
              <w:fldChar w:fldCharType="separate"/>
            </w:r>
            <w:r>
              <w:rPr>
                <w:noProof/>
                <w:webHidden/>
              </w:rPr>
              <w:t>75</w:t>
            </w:r>
            <w:r>
              <w:rPr>
                <w:noProof/>
                <w:webHidden/>
              </w:rPr>
              <w:fldChar w:fldCharType="end"/>
            </w:r>
          </w:hyperlink>
        </w:p>
        <w:p w14:paraId="59AD29B6"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3" w:history="1">
            <w:r w:rsidRPr="00AD4C23">
              <w:rPr>
                <w:rStyle w:val="Hyperlink"/>
                <w:noProof/>
              </w:rPr>
              <w:t>8.7. Victoria</w:t>
            </w:r>
            <w:r>
              <w:rPr>
                <w:noProof/>
                <w:webHidden/>
              </w:rPr>
              <w:tab/>
            </w:r>
            <w:r>
              <w:rPr>
                <w:noProof/>
                <w:webHidden/>
              </w:rPr>
              <w:fldChar w:fldCharType="begin"/>
            </w:r>
            <w:r>
              <w:rPr>
                <w:noProof/>
                <w:webHidden/>
              </w:rPr>
              <w:instrText xml:space="preserve"> PAGEREF _Toc402348943 \h </w:instrText>
            </w:r>
            <w:r>
              <w:rPr>
                <w:noProof/>
                <w:webHidden/>
              </w:rPr>
            </w:r>
            <w:r>
              <w:rPr>
                <w:noProof/>
                <w:webHidden/>
              </w:rPr>
              <w:fldChar w:fldCharType="separate"/>
            </w:r>
            <w:r>
              <w:rPr>
                <w:noProof/>
                <w:webHidden/>
              </w:rPr>
              <w:t>77</w:t>
            </w:r>
            <w:r>
              <w:rPr>
                <w:noProof/>
                <w:webHidden/>
              </w:rPr>
              <w:fldChar w:fldCharType="end"/>
            </w:r>
          </w:hyperlink>
        </w:p>
        <w:p w14:paraId="63261AAF"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4" w:history="1">
            <w:r w:rsidRPr="00AD4C23">
              <w:rPr>
                <w:rStyle w:val="Hyperlink"/>
                <w:noProof/>
              </w:rPr>
              <w:t>8.8. Western Australia</w:t>
            </w:r>
            <w:r>
              <w:rPr>
                <w:noProof/>
                <w:webHidden/>
              </w:rPr>
              <w:tab/>
            </w:r>
            <w:r>
              <w:rPr>
                <w:noProof/>
                <w:webHidden/>
              </w:rPr>
              <w:fldChar w:fldCharType="begin"/>
            </w:r>
            <w:r>
              <w:rPr>
                <w:noProof/>
                <w:webHidden/>
              </w:rPr>
              <w:instrText xml:space="preserve"> PAGEREF _Toc402348944 \h </w:instrText>
            </w:r>
            <w:r>
              <w:rPr>
                <w:noProof/>
                <w:webHidden/>
              </w:rPr>
            </w:r>
            <w:r>
              <w:rPr>
                <w:noProof/>
                <w:webHidden/>
              </w:rPr>
              <w:fldChar w:fldCharType="separate"/>
            </w:r>
            <w:r>
              <w:rPr>
                <w:noProof/>
                <w:webHidden/>
              </w:rPr>
              <w:t>77</w:t>
            </w:r>
            <w:r>
              <w:rPr>
                <w:noProof/>
                <w:webHidden/>
              </w:rPr>
              <w:fldChar w:fldCharType="end"/>
            </w:r>
          </w:hyperlink>
        </w:p>
        <w:p w14:paraId="47DA972C" w14:textId="77777777" w:rsidR="00464643" w:rsidRDefault="00464643">
          <w:pPr>
            <w:pStyle w:val="TOC1"/>
            <w:tabs>
              <w:tab w:val="left" w:pos="480"/>
              <w:tab w:val="right" w:leader="dot" w:pos="9346"/>
            </w:tabs>
            <w:rPr>
              <w:rFonts w:asciiTheme="minorHAnsi" w:eastAsiaTheme="minorEastAsia" w:hAnsiTheme="minorHAnsi" w:cstheme="minorBidi"/>
              <w:noProof/>
              <w:sz w:val="22"/>
              <w:szCs w:val="22"/>
            </w:rPr>
          </w:pPr>
          <w:hyperlink w:anchor="_Toc402348945" w:history="1">
            <w:r w:rsidRPr="00AD4C23">
              <w:rPr>
                <w:rStyle w:val="Hyperlink"/>
                <w:noProof/>
              </w:rPr>
              <w:t>9.</w:t>
            </w:r>
            <w:r>
              <w:rPr>
                <w:rFonts w:asciiTheme="minorHAnsi" w:eastAsiaTheme="minorEastAsia" w:hAnsiTheme="minorHAnsi" w:cstheme="minorBidi"/>
                <w:noProof/>
                <w:sz w:val="22"/>
                <w:szCs w:val="22"/>
              </w:rPr>
              <w:tab/>
            </w:r>
            <w:r w:rsidRPr="00AD4C23">
              <w:rPr>
                <w:rStyle w:val="Hyperlink"/>
                <w:noProof/>
              </w:rPr>
              <w:t>Strengths and limitations of the National Evaluation of the Transition Care Program</w:t>
            </w:r>
            <w:r>
              <w:rPr>
                <w:noProof/>
                <w:webHidden/>
              </w:rPr>
              <w:tab/>
            </w:r>
            <w:r>
              <w:rPr>
                <w:noProof/>
                <w:webHidden/>
              </w:rPr>
              <w:fldChar w:fldCharType="begin"/>
            </w:r>
            <w:r>
              <w:rPr>
                <w:noProof/>
                <w:webHidden/>
              </w:rPr>
              <w:instrText xml:space="preserve"> PAGEREF _Toc402348945 \h </w:instrText>
            </w:r>
            <w:r>
              <w:rPr>
                <w:noProof/>
                <w:webHidden/>
              </w:rPr>
            </w:r>
            <w:r>
              <w:rPr>
                <w:noProof/>
                <w:webHidden/>
              </w:rPr>
              <w:fldChar w:fldCharType="separate"/>
            </w:r>
            <w:r>
              <w:rPr>
                <w:noProof/>
                <w:webHidden/>
              </w:rPr>
              <w:t>79</w:t>
            </w:r>
            <w:r>
              <w:rPr>
                <w:noProof/>
                <w:webHidden/>
              </w:rPr>
              <w:fldChar w:fldCharType="end"/>
            </w:r>
          </w:hyperlink>
        </w:p>
        <w:p w14:paraId="27E64688"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6" w:history="1">
            <w:r w:rsidRPr="00AD4C23">
              <w:rPr>
                <w:rStyle w:val="Hyperlink"/>
                <w:noProof/>
              </w:rPr>
              <w:t>9.1. Regional Characterization Study</w:t>
            </w:r>
            <w:r>
              <w:rPr>
                <w:noProof/>
                <w:webHidden/>
              </w:rPr>
              <w:tab/>
            </w:r>
            <w:r>
              <w:rPr>
                <w:noProof/>
                <w:webHidden/>
              </w:rPr>
              <w:fldChar w:fldCharType="begin"/>
            </w:r>
            <w:r>
              <w:rPr>
                <w:noProof/>
                <w:webHidden/>
              </w:rPr>
              <w:instrText xml:space="preserve"> PAGEREF _Toc402348946 \h </w:instrText>
            </w:r>
            <w:r>
              <w:rPr>
                <w:noProof/>
                <w:webHidden/>
              </w:rPr>
            </w:r>
            <w:r>
              <w:rPr>
                <w:noProof/>
                <w:webHidden/>
              </w:rPr>
              <w:fldChar w:fldCharType="separate"/>
            </w:r>
            <w:r>
              <w:rPr>
                <w:noProof/>
                <w:webHidden/>
              </w:rPr>
              <w:t>79</w:t>
            </w:r>
            <w:r>
              <w:rPr>
                <w:noProof/>
                <w:webHidden/>
              </w:rPr>
              <w:fldChar w:fldCharType="end"/>
            </w:r>
          </w:hyperlink>
        </w:p>
        <w:p w14:paraId="482C9730"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7" w:history="1">
            <w:r w:rsidRPr="00AD4C23">
              <w:rPr>
                <w:rStyle w:val="Hyperlink"/>
                <w:noProof/>
              </w:rPr>
              <w:t>9.2. Models of Transition Care</w:t>
            </w:r>
            <w:r>
              <w:rPr>
                <w:noProof/>
                <w:webHidden/>
              </w:rPr>
              <w:tab/>
            </w:r>
            <w:r>
              <w:rPr>
                <w:noProof/>
                <w:webHidden/>
              </w:rPr>
              <w:fldChar w:fldCharType="begin"/>
            </w:r>
            <w:r>
              <w:rPr>
                <w:noProof/>
                <w:webHidden/>
              </w:rPr>
              <w:instrText xml:space="preserve"> PAGEREF _Toc402348947 \h </w:instrText>
            </w:r>
            <w:r>
              <w:rPr>
                <w:noProof/>
                <w:webHidden/>
              </w:rPr>
            </w:r>
            <w:r>
              <w:rPr>
                <w:noProof/>
                <w:webHidden/>
              </w:rPr>
              <w:fldChar w:fldCharType="separate"/>
            </w:r>
            <w:r>
              <w:rPr>
                <w:noProof/>
                <w:webHidden/>
              </w:rPr>
              <w:t>79</w:t>
            </w:r>
            <w:r>
              <w:rPr>
                <w:noProof/>
                <w:webHidden/>
              </w:rPr>
              <w:fldChar w:fldCharType="end"/>
            </w:r>
          </w:hyperlink>
        </w:p>
        <w:p w14:paraId="71B0E6B9"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8" w:history="1">
            <w:r w:rsidRPr="00AD4C23">
              <w:rPr>
                <w:rStyle w:val="Hyperlink"/>
                <w:noProof/>
              </w:rPr>
              <w:t>9.3. Quality Assessment Study</w:t>
            </w:r>
            <w:r>
              <w:rPr>
                <w:noProof/>
                <w:webHidden/>
              </w:rPr>
              <w:tab/>
            </w:r>
            <w:r>
              <w:rPr>
                <w:noProof/>
                <w:webHidden/>
              </w:rPr>
              <w:fldChar w:fldCharType="begin"/>
            </w:r>
            <w:r>
              <w:rPr>
                <w:noProof/>
                <w:webHidden/>
              </w:rPr>
              <w:instrText xml:space="preserve"> PAGEREF _Toc402348948 \h </w:instrText>
            </w:r>
            <w:r>
              <w:rPr>
                <w:noProof/>
                <w:webHidden/>
              </w:rPr>
            </w:r>
            <w:r>
              <w:rPr>
                <w:noProof/>
                <w:webHidden/>
              </w:rPr>
              <w:fldChar w:fldCharType="separate"/>
            </w:r>
            <w:r>
              <w:rPr>
                <w:noProof/>
                <w:webHidden/>
              </w:rPr>
              <w:t>79</w:t>
            </w:r>
            <w:r>
              <w:rPr>
                <w:noProof/>
                <w:webHidden/>
              </w:rPr>
              <w:fldChar w:fldCharType="end"/>
            </w:r>
          </w:hyperlink>
        </w:p>
        <w:p w14:paraId="2A9042B1"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49" w:history="1">
            <w:r w:rsidRPr="00AD4C23">
              <w:rPr>
                <w:rStyle w:val="Hyperlink"/>
                <w:noProof/>
              </w:rPr>
              <w:t>9.4. Recipient Snapshot Study</w:t>
            </w:r>
            <w:r>
              <w:rPr>
                <w:noProof/>
                <w:webHidden/>
              </w:rPr>
              <w:tab/>
            </w:r>
            <w:r>
              <w:rPr>
                <w:noProof/>
                <w:webHidden/>
              </w:rPr>
              <w:fldChar w:fldCharType="begin"/>
            </w:r>
            <w:r>
              <w:rPr>
                <w:noProof/>
                <w:webHidden/>
              </w:rPr>
              <w:instrText xml:space="preserve"> PAGEREF _Toc402348949 \h </w:instrText>
            </w:r>
            <w:r>
              <w:rPr>
                <w:noProof/>
                <w:webHidden/>
              </w:rPr>
            </w:r>
            <w:r>
              <w:rPr>
                <w:noProof/>
                <w:webHidden/>
              </w:rPr>
              <w:fldChar w:fldCharType="separate"/>
            </w:r>
            <w:r>
              <w:rPr>
                <w:noProof/>
                <w:webHidden/>
              </w:rPr>
              <w:t>80</w:t>
            </w:r>
            <w:r>
              <w:rPr>
                <w:noProof/>
                <w:webHidden/>
              </w:rPr>
              <w:fldChar w:fldCharType="end"/>
            </w:r>
          </w:hyperlink>
        </w:p>
        <w:p w14:paraId="7B5B40F6"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50" w:history="1">
            <w:r w:rsidRPr="00AD4C23">
              <w:rPr>
                <w:rStyle w:val="Hyperlink"/>
                <w:noProof/>
              </w:rPr>
              <w:t>9.5. Controlled Comparison Study and Costs and Effects Study</w:t>
            </w:r>
            <w:r>
              <w:rPr>
                <w:noProof/>
                <w:webHidden/>
              </w:rPr>
              <w:tab/>
            </w:r>
            <w:r>
              <w:rPr>
                <w:noProof/>
                <w:webHidden/>
              </w:rPr>
              <w:fldChar w:fldCharType="begin"/>
            </w:r>
            <w:r>
              <w:rPr>
                <w:noProof/>
                <w:webHidden/>
              </w:rPr>
              <w:instrText xml:space="preserve"> PAGEREF _Toc402348950 \h </w:instrText>
            </w:r>
            <w:r>
              <w:rPr>
                <w:noProof/>
                <w:webHidden/>
              </w:rPr>
            </w:r>
            <w:r>
              <w:rPr>
                <w:noProof/>
                <w:webHidden/>
              </w:rPr>
              <w:fldChar w:fldCharType="separate"/>
            </w:r>
            <w:r>
              <w:rPr>
                <w:noProof/>
                <w:webHidden/>
              </w:rPr>
              <w:t>80</w:t>
            </w:r>
            <w:r>
              <w:rPr>
                <w:noProof/>
                <w:webHidden/>
              </w:rPr>
              <w:fldChar w:fldCharType="end"/>
            </w:r>
          </w:hyperlink>
        </w:p>
        <w:p w14:paraId="76D81433"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51" w:history="1">
            <w:r w:rsidRPr="00AD4C23">
              <w:rPr>
                <w:rStyle w:val="Hyperlink"/>
                <w:noProof/>
              </w:rPr>
              <w:t>9.6. Overall strengths and limitations</w:t>
            </w:r>
            <w:r>
              <w:rPr>
                <w:noProof/>
                <w:webHidden/>
              </w:rPr>
              <w:tab/>
            </w:r>
            <w:r>
              <w:rPr>
                <w:noProof/>
                <w:webHidden/>
              </w:rPr>
              <w:fldChar w:fldCharType="begin"/>
            </w:r>
            <w:r>
              <w:rPr>
                <w:noProof/>
                <w:webHidden/>
              </w:rPr>
              <w:instrText xml:space="preserve"> PAGEREF _Toc402348951 \h </w:instrText>
            </w:r>
            <w:r>
              <w:rPr>
                <w:noProof/>
                <w:webHidden/>
              </w:rPr>
            </w:r>
            <w:r>
              <w:rPr>
                <w:noProof/>
                <w:webHidden/>
              </w:rPr>
              <w:fldChar w:fldCharType="separate"/>
            </w:r>
            <w:r>
              <w:rPr>
                <w:noProof/>
                <w:webHidden/>
              </w:rPr>
              <w:t>82</w:t>
            </w:r>
            <w:r>
              <w:rPr>
                <w:noProof/>
                <w:webHidden/>
              </w:rPr>
              <w:fldChar w:fldCharType="end"/>
            </w:r>
          </w:hyperlink>
        </w:p>
        <w:p w14:paraId="5A8BEBE0"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52" w:history="1">
            <w:r w:rsidRPr="00AD4C23">
              <w:rPr>
                <w:rStyle w:val="Hyperlink"/>
                <w:noProof/>
              </w:rPr>
              <w:t>10. Summary and future directions</w:t>
            </w:r>
            <w:r>
              <w:rPr>
                <w:noProof/>
                <w:webHidden/>
              </w:rPr>
              <w:tab/>
            </w:r>
            <w:r>
              <w:rPr>
                <w:noProof/>
                <w:webHidden/>
              </w:rPr>
              <w:fldChar w:fldCharType="begin"/>
            </w:r>
            <w:r>
              <w:rPr>
                <w:noProof/>
                <w:webHidden/>
              </w:rPr>
              <w:instrText xml:space="preserve"> PAGEREF _Toc402348952 \h </w:instrText>
            </w:r>
            <w:r>
              <w:rPr>
                <w:noProof/>
                <w:webHidden/>
              </w:rPr>
            </w:r>
            <w:r>
              <w:rPr>
                <w:noProof/>
                <w:webHidden/>
              </w:rPr>
              <w:fldChar w:fldCharType="separate"/>
            </w:r>
            <w:r>
              <w:rPr>
                <w:noProof/>
                <w:webHidden/>
              </w:rPr>
              <w:t>83</w:t>
            </w:r>
            <w:r>
              <w:rPr>
                <w:noProof/>
                <w:webHidden/>
              </w:rPr>
              <w:fldChar w:fldCharType="end"/>
            </w:r>
          </w:hyperlink>
        </w:p>
        <w:p w14:paraId="44E4DA40"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53" w:history="1">
            <w:r w:rsidRPr="00AD4C23">
              <w:rPr>
                <w:rStyle w:val="Hyperlink"/>
                <w:noProof/>
              </w:rPr>
              <w:t>10.1. Discussion</w:t>
            </w:r>
            <w:r>
              <w:rPr>
                <w:noProof/>
                <w:webHidden/>
              </w:rPr>
              <w:tab/>
            </w:r>
            <w:r>
              <w:rPr>
                <w:noProof/>
                <w:webHidden/>
              </w:rPr>
              <w:fldChar w:fldCharType="begin"/>
            </w:r>
            <w:r>
              <w:rPr>
                <w:noProof/>
                <w:webHidden/>
              </w:rPr>
              <w:instrText xml:space="preserve"> PAGEREF _Toc402348953 \h </w:instrText>
            </w:r>
            <w:r>
              <w:rPr>
                <w:noProof/>
                <w:webHidden/>
              </w:rPr>
            </w:r>
            <w:r>
              <w:rPr>
                <w:noProof/>
                <w:webHidden/>
              </w:rPr>
              <w:fldChar w:fldCharType="separate"/>
            </w:r>
            <w:r>
              <w:rPr>
                <w:noProof/>
                <w:webHidden/>
              </w:rPr>
              <w:t>83</w:t>
            </w:r>
            <w:r>
              <w:rPr>
                <w:noProof/>
                <w:webHidden/>
              </w:rPr>
              <w:fldChar w:fldCharType="end"/>
            </w:r>
          </w:hyperlink>
        </w:p>
        <w:p w14:paraId="1A9595FB"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54" w:history="1">
            <w:r w:rsidRPr="00AD4C23">
              <w:rPr>
                <w:rStyle w:val="Hyperlink"/>
                <w:noProof/>
              </w:rPr>
              <w:t>Specific issues identified during the implementation</w:t>
            </w:r>
            <w:r>
              <w:rPr>
                <w:noProof/>
                <w:webHidden/>
              </w:rPr>
              <w:tab/>
            </w:r>
            <w:r>
              <w:rPr>
                <w:noProof/>
                <w:webHidden/>
              </w:rPr>
              <w:fldChar w:fldCharType="begin"/>
            </w:r>
            <w:r>
              <w:rPr>
                <w:noProof/>
                <w:webHidden/>
              </w:rPr>
              <w:instrText xml:space="preserve"> PAGEREF _Toc402348954 \h </w:instrText>
            </w:r>
            <w:r>
              <w:rPr>
                <w:noProof/>
                <w:webHidden/>
              </w:rPr>
            </w:r>
            <w:r>
              <w:rPr>
                <w:noProof/>
                <w:webHidden/>
              </w:rPr>
              <w:fldChar w:fldCharType="separate"/>
            </w:r>
            <w:r>
              <w:rPr>
                <w:noProof/>
                <w:webHidden/>
              </w:rPr>
              <w:t>84</w:t>
            </w:r>
            <w:r>
              <w:rPr>
                <w:noProof/>
                <w:webHidden/>
              </w:rPr>
              <w:fldChar w:fldCharType="end"/>
            </w:r>
          </w:hyperlink>
        </w:p>
        <w:p w14:paraId="77A771A8"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55" w:history="1">
            <w:r w:rsidRPr="00AD4C23">
              <w:rPr>
                <w:rStyle w:val="Hyperlink"/>
                <w:noProof/>
              </w:rPr>
              <w:t>Table 10.1:  Transition Care Program: assumptions behind the model and evidence for these assumptions.</w:t>
            </w:r>
            <w:r>
              <w:rPr>
                <w:noProof/>
                <w:webHidden/>
              </w:rPr>
              <w:tab/>
            </w:r>
            <w:r>
              <w:rPr>
                <w:noProof/>
                <w:webHidden/>
              </w:rPr>
              <w:fldChar w:fldCharType="begin"/>
            </w:r>
            <w:r>
              <w:rPr>
                <w:noProof/>
                <w:webHidden/>
              </w:rPr>
              <w:instrText xml:space="preserve"> PAGEREF _Toc402348955 \h </w:instrText>
            </w:r>
            <w:r>
              <w:rPr>
                <w:noProof/>
                <w:webHidden/>
              </w:rPr>
            </w:r>
            <w:r>
              <w:rPr>
                <w:noProof/>
                <w:webHidden/>
              </w:rPr>
              <w:fldChar w:fldCharType="separate"/>
            </w:r>
            <w:r>
              <w:rPr>
                <w:noProof/>
                <w:webHidden/>
              </w:rPr>
              <w:t>87</w:t>
            </w:r>
            <w:r>
              <w:rPr>
                <w:noProof/>
                <w:webHidden/>
              </w:rPr>
              <w:fldChar w:fldCharType="end"/>
            </w:r>
          </w:hyperlink>
        </w:p>
        <w:p w14:paraId="6DC03210"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56" w:history="1">
            <w:r w:rsidRPr="00AD4C23">
              <w:rPr>
                <w:rStyle w:val="Hyperlink"/>
                <w:noProof/>
              </w:rPr>
              <w:t>10.2. Comparison of the Innovative Care Rehabilitation Services pilot and the National Evaluation of the Transition Care Program</w:t>
            </w:r>
            <w:r>
              <w:rPr>
                <w:noProof/>
                <w:webHidden/>
              </w:rPr>
              <w:tab/>
            </w:r>
            <w:r>
              <w:rPr>
                <w:noProof/>
                <w:webHidden/>
              </w:rPr>
              <w:fldChar w:fldCharType="begin"/>
            </w:r>
            <w:r>
              <w:rPr>
                <w:noProof/>
                <w:webHidden/>
              </w:rPr>
              <w:instrText xml:space="preserve"> PAGEREF _Toc402348956 \h </w:instrText>
            </w:r>
            <w:r>
              <w:rPr>
                <w:noProof/>
                <w:webHidden/>
              </w:rPr>
            </w:r>
            <w:r>
              <w:rPr>
                <w:noProof/>
                <w:webHidden/>
              </w:rPr>
              <w:fldChar w:fldCharType="separate"/>
            </w:r>
            <w:r>
              <w:rPr>
                <w:noProof/>
                <w:webHidden/>
              </w:rPr>
              <w:t>89</w:t>
            </w:r>
            <w:r>
              <w:rPr>
                <w:noProof/>
                <w:webHidden/>
              </w:rPr>
              <w:fldChar w:fldCharType="end"/>
            </w:r>
          </w:hyperlink>
        </w:p>
        <w:p w14:paraId="014D8F92" w14:textId="77777777" w:rsidR="00464643" w:rsidRDefault="00464643">
          <w:pPr>
            <w:pStyle w:val="TOC3"/>
            <w:tabs>
              <w:tab w:val="right" w:leader="dot" w:pos="9346"/>
            </w:tabs>
            <w:rPr>
              <w:rFonts w:asciiTheme="minorHAnsi" w:eastAsiaTheme="minorEastAsia" w:hAnsiTheme="minorHAnsi" w:cstheme="minorBidi"/>
              <w:noProof/>
              <w:sz w:val="22"/>
              <w:szCs w:val="22"/>
            </w:rPr>
          </w:pPr>
          <w:hyperlink w:anchor="_Toc402348957" w:history="1">
            <w:r w:rsidRPr="00AD4C23">
              <w:rPr>
                <w:rStyle w:val="Hyperlink"/>
                <w:noProof/>
              </w:rPr>
              <w:t>Table 10.2: Comparison between the results from the National Evaluation of Innovative Care Rehabilitation Services and the National Evaluation of the Transition Care Program</w:t>
            </w:r>
            <w:r>
              <w:rPr>
                <w:noProof/>
                <w:webHidden/>
              </w:rPr>
              <w:tab/>
            </w:r>
            <w:r>
              <w:rPr>
                <w:noProof/>
                <w:webHidden/>
              </w:rPr>
              <w:fldChar w:fldCharType="begin"/>
            </w:r>
            <w:r>
              <w:rPr>
                <w:noProof/>
                <w:webHidden/>
              </w:rPr>
              <w:instrText xml:space="preserve"> PAGEREF _Toc402348957 \h </w:instrText>
            </w:r>
            <w:r>
              <w:rPr>
                <w:noProof/>
                <w:webHidden/>
              </w:rPr>
            </w:r>
            <w:r>
              <w:rPr>
                <w:noProof/>
                <w:webHidden/>
              </w:rPr>
              <w:fldChar w:fldCharType="separate"/>
            </w:r>
            <w:r>
              <w:rPr>
                <w:noProof/>
                <w:webHidden/>
              </w:rPr>
              <w:t>90</w:t>
            </w:r>
            <w:r>
              <w:rPr>
                <w:noProof/>
                <w:webHidden/>
              </w:rPr>
              <w:fldChar w:fldCharType="end"/>
            </w:r>
          </w:hyperlink>
        </w:p>
        <w:p w14:paraId="17897BFB"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58" w:history="1">
            <w:r w:rsidRPr="00AD4C23">
              <w:rPr>
                <w:rStyle w:val="Hyperlink"/>
                <w:noProof/>
              </w:rPr>
              <w:t>10.3. Areas for future work</w:t>
            </w:r>
            <w:r>
              <w:rPr>
                <w:noProof/>
                <w:webHidden/>
              </w:rPr>
              <w:tab/>
            </w:r>
            <w:r>
              <w:rPr>
                <w:noProof/>
                <w:webHidden/>
              </w:rPr>
              <w:fldChar w:fldCharType="begin"/>
            </w:r>
            <w:r>
              <w:rPr>
                <w:noProof/>
                <w:webHidden/>
              </w:rPr>
              <w:instrText xml:space="preserve"> PAGEREF _Toc402348958 \h </w:instrText>
            </w:r>
            <w:r>
              <w:rPr>
                <w:noProof/>
                <w:webHidden/>
              </w:rPr>
            </w:r>
            <w:r>
              <w:rPr>
                <w:noProof/>
                <w:webHidden/>
              </w:rPr>
              <w:fldChar w:fldCharType="separate"/>
            </w:r>
            <w:r>
              <w:rPr>
                <w:noProof/>
                <w:webHidden/>
              </w:rPr>
              <w:t>91</w:t>
            </w:r>
            <w:r>
              <w:rPr>
                <w:noProof/>
                <w:webHidden/>
              </w:rPr>
              <w:fldChar w:fldCharType="end"/>
            </w:r>
          </w:hyperlink>
        </w:p>
        <w:p w14:paraId="1065F88C"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59" w:history="1">
            <w:r w:rsidRPr="00AD4C23">
              <w:rPr>
                <w:rStyle w:val="Hyperlink"/>
                <w:noProof/>
              </w:rPr>
              <w:t>10.4. Summary</w:t>
            </w:r>
            <w:r>
              <w:rPr>
                <w:noProof/>
                <w:webHidden/>
              </w:rPr>
              <w:tab/>
            </w:r>
            <w:r>
              <w:rPr>
                <w:noProof/>
                <w:webHidden/>
              </w:rPr>
              <w:fldChar w:fldCharType="begin"/>
            </w:r>
            <w:r>
              <w:rPr>
                <w:noProof/>
                <w:webHidden/>
              </w:rPr>
              <w:instrText xml:space="preserve"> PAGEREF _Toc402348959 \h </w:instrText>
            </w:r>
            <w:r>
              <w:rPr>
                <w:noProof/>
                <w:webHidden/>
              </w:rPr>
            </w:r>
            <w:r>
              <w:rPr>
                <w:noProof/>
                <w:webHidden/>
              </w:rPr>
              <w:fldChar w:fldCharType="separate"/>
            </w:r>
            <w:r>
              <w:rPr>
                <w:noProof/>
                <w:webHidden/>
              </w:rPr>
              <w:t>92</w:t>
            </w:r>
            <w:r>
              <w:rPr>
                <w:noProof/>
                <w:webHidden/>
              </w:rPr>
              <w:fldChar w:fldCharType="end"/>
            </w:r>
          </w:hyperlink>
        </w:p>
        <w:p w14:paraId="32FCBFDB"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60" w:history="1">
            <w:r w:rsidRPr="00AD4C23">
              <w:rPr>
                <w:rStyle w:val="Hyperlink"/>
                <w:noProof/>
              </w:rPr>
              <w:t>11. References</w:t>
            </w:r>
            <w:r>
              <w:rPr>
                <w:noProof/>
                <w:webHidden/>
              </w:rPr>
              <w:tab/>
            </w:r>
            <w:r>
              <w:rPr>
                <w:noProof/>
                <w:webHidden/>
              </w:rPr>
              <w:fldChar w:fldCharType="begin"/>
            </w:r>
            <w:r>
              <w:rPr>
                <w:noProof/>
                <w:webHidden/>
              </w:rPr>
              <w:instrText xml:space="preserve"> PAGEREF _Toc402348960 \h </w:instrText>
            </w:r>
            <w:r>
              <w:rPr>
                <w:noProof/>
                <w:webHidden/>
              </w:rPr>
            </w:r>
            <w:r>
              <w:rPr>
                <w:noProof/>
                <w:webHidden/>
              </w:rPr>
              <w:fldChar w:fldCharType="separate"/>
            </w:r>
            <w:r>
              <w:rPr>
                <w:noProof/>
                <w:webHidden/>
              </w:rPr>
              <w:t>94</w:t>
            </w:r>
            <w:r>
              <w:rPr>
                <w:noProof/>
                <w:webHidden/>
              </w:rPr>
              <w:fldChar w:fldCharType="end"/>
            </w:r>
          </w:hyperlink>
        </w:p>
        <w:p w14:paraId="2558FE1A"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61" w:history="1">
            <w:r w:rsidRPr="00AD4C23">
              <w:rPr>
                <w:rStyle w:val="Hyperlink"/>
                <w:noProof/>
              </w:rPr>
              <w:t xml:space="preserve">Appendix 1: Extracts from </w:t>
            </w:r>
            <w:r w:rsidRPr="00AD4C23">
              <w:rPr>
                <w:rStyle w:val="Hyperlink"/>
                <w:i/>
                <w:noProof/>
              </w:rPr>
              <w:t>From Hospital to home – Improving care outcomes for older people, a National Action Plan for improving the care of older people across the acute-aged care continuum 2004 – 2008</w:t>
            </w:r>
            <w:r>
              <w:rPr>
                <w:noProof/>
                <w:webHidden/>
              </w:rPr>
              <w:tab/>
            </w:r>
            <w:r>
              <w:rPr>
                <w:noProof/>
                <w:webHidden/>
              </w:rPr>
              <w:fldChar w:fldCharType="begin"/>
            </w:r>
            <w:r>
              <w:rPr>
                <w:noProof/>
                <w:webHidden/>
              </w:rPr>
              <w:instrText xml:space="preserve"> PAGEREF _Toc402348961 \h </w:instrText>
            </w:r>
            <w:r>
              <w:rPr>
                <w:noProof/>
                <w:webHidden/>
              </w:rPr>
            </w:r>
            <w:r>
              <w:rPr>
                <w:noProof/>
                <w:webHidden/>
              </w:rPr>
              <w:fldChar w:fldCharType="separate"/>
            </w:r>
            <w:r>
              <w:rPr>
                <w:noProof/>
                <w:webHidden/>
              </w:rPr>
              <w:t>99</w:t>
            </w:r>
            <w:r>
              <w:rPr>
                <w:noProof/>
                <w:webHidden/>
              </w:rPr>
              <w:fldChar w:fldCharType="end"/>
            </w:r>
          </w:hyperlink>
        </w:p>
        <w:p w14:paraId="6218FCDA" w14:textId="77777777" w:rsidR="00464643" w:rsidRDefault="00464643">
          <w:pPr>
            <w:pStyle w:val="TOC2"/>
            <w:tabs>
              <w:tab w:val="left" w:pos="8623"/>
              <w:tab w:val="right" w:leader="dot" w:pos="9346"/>
            </w:tabs>
            <w:rPr>
              <w:rFonts w:asciiTheme="minorHAnsi" w:eastAsiaTheme="minorEastAsia" w:hAnsiTheme="minorHAnsi" w:cstheme="minorBidi"/>
              <w:noProof/>
              <w:sz w:val="22"/>
              <w:szCs w:val="22"/>
            </w:rPr>
          </w:pPr>
          <w:hyperlink w:anchor="_Toc402348962" w:history="1">
            <w:r w:rsidRPr="00AD4C23">
              <w:rPr>
                <w:rStyle w:val="Hyperlink"/>
                <w:noProof/>
              </w:rPr>
              <w:t xml:space="preserve">Principle 1: Older people have access to an appropriate level of health and aged care </w:t>
            </w:r>
            <w:r>
              <w:rPr>
                <w:rFonts w:asciiTheme="minorHAnsi" w:eastAsiaTheme="minorEastAsia" w:hAnsiTheme="minorHAnsi" w:cstheme="minorBidi"/>
                <w:noProof/>
                <w:sz w:val="22"/>
                <w:szCs w:val="22"/>
              </w:rPr>
              <w:tab/>
            </w:r>
            <w:r w:rsidRPr="00AD4C23">
              <w:rPr>
                <w:rStyle w:val="Hyperlink"/>
                <w:noProof/>
              </w:rPr>
              <w:t>services that match their changing needs.</w:t>
            </w:r>
            <w:r>
              <w:rPr>
                <w:noProof/>
                <w:webHidden/>
              </w:rPr>
              <w:tab/>
            </w:r>
            <w:r>
              <w:rPr>
                <w:noProof/>
                <w:webHidden/>
              </w:rPr>
              <w:fldChar w:fldCharType="begin"/>
            </w:r>
            <w:r>
              <w:rPr>
                <w:noProof/>
                <w:webHidden/>
              </w:rPr>
              <w:instrText xml:space="preserve"> PAGEREF _Toc402348962 \h </w:instrText>
            </w:r>
            <w:r>
              <w:rPr>
                <w:noProof/>
                <w:webHidden/>
              </w:rPr>
            </w:r>
            <w:r>
              <w:rPr>
                <w:noProof/>
                <w:webHidden/>
              </w:rPr>
              <w:fldChar w:fldCharType="separate"/>
            </w:r>
            <w:r>
              <w:rPr>
                <w:noProof/>
                <w:webHidden/>
              </w:rPr>
              <w:t>99</w:t>
            </w:r>
            <w:r>
              <w:rPr>
                <w:noProof/>
                <w:webHidden/>
              </w:rPr>
              <w:fldChar w:fldCharType="end"/>
            </w:r>
          </w:hyperlink>
        </w:p>
        <w:p w14:paraId="73A931BD" w14:textId="77777777" w:rsidR="00464643" w:rsidRDefault="00464643">
          <w:pPr>
            <w:pStyle w:val="TOC3"/>
            <w:tabs>
              <w:tab w:val="left" w:pos="1873"/>
              <w:tab w:val="right" w:leader="dot" w:pos="9346"/>
            </w:tabs>
            <w:rPr>
              <w:rFonts w:asciiTheme="minorHAnsi" w:eastAsiaTheme="minorEastAsia" w:hAnsiTheme="minorHAnsi" w:cstheme="minorBidi"/>
              <w:noProof/>
              <w:sz w:val="22"/>
              <w:szCs w:val="22"/>
            </w:rPr>
          </w:pPr>
          <w:hyperlink w:anchor="_Toc402348963" w:history="1">
            <w:r w:rsidRPr="00AD4C23">
              <w:rPr>
                <w:rStyle w:val="Hyperlink"/>
                <w:noProof/>
              </w:rPr>
              <w:t xml:space="preserve">Principle 5: </w:t>
            </w:r>
            <w:r>
              <w:rPr>
                <w:rFonts w:asciiTheme="minorHAnsi" w:eastAsiaTheme="minorEastAsia" w:hAnsiTheme="minorHAnsi" w:cstheme="minorBidi"/>
                <w:noProof/>
                <w:sz w:val="22"/>
                <w:szCs w:val="22"/>
              </w:rPr>
              <w:tab/>
            </w:r>
            <w:r w:rsidRPr="00AD4C23">
              <w:rPr>
                <w:rStyle w:val="Hyperlink"/>
                <w:noProof/>
              </w:rPr>
              <w:t>The health and aged care system operate to deliver an integrated suite of  services and care for older people.</w:t>
            </w:r>
            <w:r>
              <w:rPr>
                <w:noProof/>
                <w:webHidden/>
              </w:rPr>
              <w:tab/>
            </w:r>
            <w:r>
              <w:rPr>
                <w:noProof/>
                <w:webHidden/>
              </w:rPr>
              <w:fldChar w:fldCharType="begin"/>
            </w:r>
            <w:r>
              <w:rPr>
                <w:noProof/>
                <w:webHidden/>
              </w:rPr>
              <w:instrText xml:space="preserve"> PAGEREF _Toc402348963 \h </w:instrText>
            </w:r>
            <w:r>
              <w:rPr>
                <w:noProof/>
                <w:webHidden/>
              </w:rPr>
            </w:r>
            <w:r>
              <w:rPr>
                <w:noProof/>
                <w:webHidden/>
              </w:rPr>
              <w:fldChar w:fldCharType="separate"/>
            </w:r>
            <w:r>
              <w:rPr>
                <w:noProof/>
                <w:webHidden/>
              </w:rPr>
              <w:t>100</w:t>
            </w:r>
            <w:r>
              <w:rPr>
                <w:noProof/>
                <w:webHidden/>
              </w:rPr>
              <w:fldChar w:fldCharType="end"/>
            </w:r>
          </w:hyperlink>
        </w:p>
        <w:p w14:paraId="3CE60F87"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64" w:history="1">
            <w:r w:rsidRPr="00AD4C23">
              <w:rPr>
                <w:rStyle w:val="Hyperlink"/>
                <w:noProof/>
              </w:rPr>
              <w:t>Appendix 2</w:t>
            </w:r>
            <w:r>
              <w:rPr>
                <w:noProof/>
                <w:webHidden/>
              </w:rPr>
              <w:tab/>
            </w:r>
            <w:r>
              <w:rPr>
                <w:noProof/>
                <w:webHidden/>
              </w:rPr>
              <w:fldChar w:fldCharType="begin"/>
            </w:r>
            <w:r>
              <w:rPr>
                <w:noProof/>
                <w:webHidden/>
              </w:rPr>
              <w:instrText xml:space="preserve"> PAGEREF _Toc402348964 \h </w:instrText>
            </w:r>
            <w:r>
              <w:rPr>
                <w:noProof/>
                <w:webHidden/>
              </w:rPr>
            </w:r>
            <w:r>
              <w:rPr>
                <w:noProof/>
                <w:webHidden/>
              </w:rPr>
              <w:fldChar w:fldCharType="separate"/>
            </w:r>
            <w:r>
              <w:rPr>
                <w:noProof/>
                <w:webHidden/>
              </w:rPr>
              <w:t>102</w:t>
            </w:r>
            <w:r>
              <w:rPr>
                <w:noProof/>
                <w:webHidden/>
              </w:rPr>
              <w:fldChar w:fldCharType="end"/>
            </w:r>
          </w:hyperlink>
        </w:p>
        <w:p w14:paraId="60EE8F39" w14:textId="77777777" w:rsidR="00464643" w:rsidRDefault="00464643">
          <w:pPr>
            <w:pStyle w:val="TOC1"/>
            <w:tabs>
              <w:tab w:val="right" w:leader="dot" w:pos="9346"/>
            </w:tabs>
            <w:rPr>
              <w:rFonts w:asciiTheme="minorHAnsi" w:eastAsiaTheme="minorEastAsia" w:hAnsiTheme="minorHAnsi" w:cstheme="minorBidi"/>
              <w:noProof/>
              <w:sz w:val="22"/>
              <w:szCs w:val="22"/>
            </w:rPr>
          </w:pPr>
          <w:hyperlink w:anchor="_Toc402348965" w:history="1">
            <w:r w:rsidRPr="00AD4C23">
              <w:rPr>
                <w:rStyle w:val="Hyperlink"/>
                <w:noProof/>
              </w:rPr>
              <w:t>Appendix 3: Episodes of care definition according to the Meteor data dictionary</w:t>
            </w:r>
            <w:r>
              <w:rPr>
                <w:noProof/>
                <w:webHidden/>
              </w:rPr>
              <w:tab/>
            </w:r>
            <w:r>
              <w:rPr>
                <w:noProof/>
                <w:webHidden/>
              </w:rPr>
              <w:fldChar w:fldCharType="begin"/>
            </w:r>
            <w:r>
              <w:rPr>
                <w:noProof/>
                <w:webHidden/>
              </w:rPr>
              <w:instrText xml:space="preserve"> PAGEREF _Toc402348965 \h </w:instrText>
            </w:r>
            <w:r>
              <w:rPr>
                <w:noProof/>
                <w:webHidden/>
              </w:rPr>
            </w:r>
            <w:r>
              <w:rPr>
                <w:noProof/>
                <w:webHidden/>
              </w:rPr>
              <w:fldChar w:fldCharType="separate"/>
            </w:r>
            <w:r>
              <w:rPr>
                <w:noProof/>
                <w:webHidden/>
              </w:rPr>
              <w:t>104</w:t>
            </w:r>
            <w:r>
              <w:rPr>
                <w:noProof/>
                <w:webHidden/>
              </w:rPr>
              <w:fldChar w:fldCharType="end"/>
            </w:r>
          </w:hyperlink>
        </w:p>
        <w:p w14:paraId="3AF96E1A"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66" w:history="1">
            <w:r w:rsidRPr="00AD4C23">
              <w:rPr>
                <w:rStyle w:val="Hyperlink"/>
                <w:noProof/>
              </w:rPr>
              <w:t>Hospital service-care type, code N[N].N</w:t>
            </w:r>
            <w:r>
              <w:rPr>
                <w:noProof/>
                <w:webHidden/>
              </w:rPr>
              <w:tab/>
            </w:r>
            <w:r>
              <w:rPr>
                <w:noProof/>
                <w:webHidden/>
              </w:rPr>
              <w:fldChar w:fldCharType="begin"/>
            </w:r>
            <w:r>
              <w:rPr>
                <w:noProof/>
                <w:webHidden/>
              </w:rPr>
              <w:instrText xml:space="preserve"> PAGEREF _Toc402348966 \h </w:instrText>
            </w:r>
            <w:r>
              <w:rPr>
                <w:noProof/>
                <w:webHidden/>
              </w:rPr>
            </w:r>
            <w:r>
              <w:rPr>
                <w:noProof/>
                <w:webHidden/>
              </w:rPr>
              <w:fldChar w:fldCharType="separate"/>
            </w:r>
            <w:r>
              <w:rPr>
                <w:noProof/>
                <w:webHidden/>
              </w:rPr>
              <w:t>104</w:t>
            </w:r>
            <w:r>
              <w:rPr>
                <w:noProof/>
                <w:webHidden/>
              </w:rPr>
              <w:fldChar w:fldCharType="end"/>
            </w:r>
          </w:hyperlink>
        </w:p>
        <w:p w14:paraId="0E01A09C" w14:textId="77777777" w:rsidR="00464643" w:rsidRDefault="00464643">
          <w:pPr>
            <w:pStyle w:val="TOC2"/>
            <w:tabs>
              <w:tab w:val="right" w:leader="dot" w:pos="9346"/>
            </w:tabs>
            <w:rPr>
              <w:rFonts w:asciiTheme="minorHAnsi" w:eastAsiaTheme="minorEastAsia" w:hAnsiTheme="minorHAnsi" w:cstheme="minorBidi"/>
              <w:noProof/>
              <w:sz w:val="22"/>
              <w:szCs w:val="22"/>
            </w:rPr>
          </w:pPr>
          <w:hyperlink w:anchor="_Toc402348967" w:history="1">
            <w:r w:rsidRPr="00AD4C23">
              <w:rPr>
                <w:rStyle w:val="Hyperlink"/>
                <w:noProof/>
              </w:rPr>
              <w:t>Value domain attributes</w:t>
            </w:r>
            <w:r>
              <w:rPr>
                <w:noProof/>
                <w:webHidden/>
              </w:rPr>
              <w:tab/>
            </w:r>
            <w:r>
              <w:rPr>
                <w:noProof/>
                <w:webHidden/>
              </w:rPr>
              <w:fldChar w:fldCharType="begin"/>
            </w:r>
            <w:r>
              <w:rPr>
                <w:noProof/>
                <w:webHidden/>
              </w:rPr>
              <w:instrText xml:space="preserve"> PAGEREF _Toc402348967 \h </w:instrText>
            </w:r>
            <w:r>
              <w:rPr>
                <w:noProof/>
                <w:webHidden/>
              </w:rPr>
            </w:r>
            <w:r>
              <w:rPr>
                <w:noProof/>
                <w:webHidden/>
              </w:rPr>
              <w:fldChar w:fldCharType="separate"/>
            </w:r>
            <w:r>
              <w:rPr>
                <w:noProof/>
                <w:webHidden/>
              </w:rPr>
              <w:t>104</w:t>
            </w:r>
            <w:r>
              <w:rPr>
                <w:noProof/>
                <w:webHidden/>
              </w:rPr>
              <w:fldChar w:fldCharType="end"/>
            </w:r>
          </w:hyperlink>
        </w:p>
        <w:p w14:paraId="598975E4" w14:textId="77777777" w:rsidR="00FF7979" w:rsidRDefault="00FF7979" w:rsidP="00FF7979">
          <w:pPr>
            <w:rPr>
              <w:b/>
              <w:bCs/>
              <w:noProof/>
            </w:rPr>
          </w:pPr>
          <w:r>
            <w:rPr>
              <w:b/>
              <w:bCs/>
              <w:noProof/>
            </w:rPr>
            <w:fldChar w:fldCharType="end"/>
          </w:r>
        </w:p>
      </w:sdtContent>
    </w:sdt>
    <w:p w14:paraId="2091BEF3" w14:textId="03605F56" w:rsidR="00FF7979" w:rsidRDefault="00846CDA" w:rsidP="00FF7979">
      <w:pPr>
        <w:tabs>
          <w:tab w:val="right" w:pos="9778"/>
        </w:tabs>
        <w:ind w:right="-3" w:hanging="1276"/>
      </w:pPr>
      <w:r w:rsidRPr="00E83542">
        <w:t xml:space="preserve"> </w:t>
      </w:r>
      <w:r w:rsidR="009B5F9A">
        <w:br w:type="page"/>
      </w:r>
    </w:p>
    <w:p w14:paraId="70954733" w14:textId="77777777" w:rsidR="005D7ABA" w:rsidRDefault="00846CDA" w:rsidP="00CA0D72">
      <w:pPr>
        <w:pStyle w:val="Heading1"/>
        <w:ind w:right="-3"/>
      </w:pPr>
      <w:bookmarkStart w:id="0" w:name="_Toc402348847"/>
      <w:r>
        <w:lastRenderedPageBreak/>
        <w:t>Acknowledgements</w:t>
      </w:r>
      <w:bookmarkEnd w:id="0"/>
    </w:p>
    <w:p w14:paraId="12616FFC" w14:textId="77777777" w:rsidR="005D7ABA" w:rsidRDefault="00846CDA" w:rsidP="00CA0D72">
      <w:pPr>
        <w:ind w:right="-3"/>
      </w:pPr>
      <w:r w:rsidRPr="00D3160F">
        <w:t xml:space="preserve">This report has been compiled for the National Evaluation of the Transition Care Program on behalf of Flinders Consulting by the Evaluation Management Team: Ms Lynne Giles, Dr Julie </w:t>
      </w:r>
      <w:proofErr w:type="spellStart"/>
      <w:r w:rsidRPr="00D3160F">
        <w:t>Halbert</w:t>
      </w:r>
      <w:proofErr w:type="spellEnd"/>
      <w:r w:rsidRPr="00D3160F">
        <w:t xml:space="preserve">, Ms Jackie </w:t>
      </w:r>
      <w:proofErr w:type="spellStart"/>
      <w:r w:rsidRPr="00D3160F">
        <w:t>Stepien-Hulleman</w:t>
      </w:r>
      <w:proofErr w:type="spellEnd"/>
      <w:r w:rsidRPr="00D3160F">
        <w:t xml:space="preserve">, A/Prof Simon </w:t>
      </w:r>
      <w:proofErr w:type="spellStart"/>
      <w:r w:rsidRPr="00D3160F">
        <w:t>Eckermann</w:t>
      </w:r>
      <w:proofErr w:type="spellEnd"/>
      <w:r w:rsidRPr="00D3160F">
        <w:t xml:space="preserve">, Ms Stacey Masters, Mr Justin Prendergast, A/Prof Craig Whitehead, Ms Fiona Cheney, and Professor Maria Crotty (Chief Investigator).  Professor Ian Cameron of the Rehabilitation Studies Unit at the University of Sydney, Professor Len </w:t>
      </w:r>
      <w:proofErr w:type="spellStart"/>
      <w:r w:rsidRPr="00D3160F">
        <w:t>Gray</w:t>
      </w:r>
      <w:proofErr w:type="spellEnd"/>
      <w:r w:rsidRPr="00D3160F">
        <w:t xml:space="preserve"> of the Academic Unit in Geriatric Medicine at the University of Queensland, and Dr Owen Davies of the Department of Rehabilitation and Aged Care at Repatriation General Hospital provided helpful comments on a draft of this report.</w:t>
      </w:r>
    </w:p>
    <w:p w14:paraId="28B0F7A8" w14:textId="77777777" w:rsidR="005D7ABA" w:rsidRDefault="00846CDA" w:rsidP="00CA0D72">
      <w:pPr>
        <w:ind w:right="-3"/>
      </w:pPr>
      <w:r w:rsidRPr="00D3160F">
        <w:t xml:space="preserve">A number of people have contributed to this report, and their help and advice is gratefully acknowledged.  Special thanks are due to members of the Modelling, Information, Reporting and Analysis Group (MIRAG) in the Ageing and Aged Care Division of the Australian Government Department of Health and Ageing for facilitating access to the Commonwealth data sets in this report.  In particular, Dr David Cullen, Dr David Martin, Ms Naomi Rogers, Mr Tom Goff, and Mr Carl </w:t>
      </w:r>
      <w:proofErr w:type="spellStart"/>
      <w:r w:rsidRPr="00D3160F">
        <w:t>Hernaman</w:t>
      </w:r>
      <w:proofErr w:type="spellEnd"/>
      <w:r w:rsidRPr="00D3160F">
        <w:t xml:space="preserve"> have helped members of the evaluation team to obtain data and updates.  Ms Allison </w:t>
      </w:r>
      <w:proofErr w:type="spellStart"/>
      <w:r w:rsidRPr="00D3160F">
        <w:t>Rosevear</w:t>
      </w:r>
      <w:proofErr w:type="spellEnd"/>
      <w:r w:rsidRPr="00D3160F">
        <w:t xml:space="preserve">, Ms Jane Hanson, Ms </w:t>
      </w:r>
      <w:proofErr w:type="spellStart"/>
      <w:r w:rsidRPr="00D3160F">
        <w:t>Elke</w:t>
      </w:r>
      <w:proofErr w:type="spellEnd"/>
      <w:r w:rsidRPr="00D3160F">
        <w:t xml:space="preserve"> Zimmermann, and Ms Jo Broad from the Residential Program Management Branch of the Ageing and Aged Care Division of the Australian Government Department of Health and Ageing have also contributed to this report.</w:t>
      </w:r>
    </w:p>
    <w:p w14:paraId="7A5E3129" w14:textId="77777777" w:rsidR="005D7ABA" w:rsidRDefault="00846CDA" w:rsidP="00CA0D72">
      <w:pPr>
        <w:ind w:right="-3"/>
      </w:pPr>
      <w:r w:rsidRPr="00D3160F">
        <w:t xml:space="preserve">Members of the Transition Care Working Group in each state and territory have facilitated access to the respective hospital morbidity data collections, and we gratefully acknowledge this help.  Staff in Health Information in each state or territory have extracted the data, and we particularly thank the following people: Ms Julie Searle of ACT Health, Mr Gary </w:t>
      </w:r>
      <w:proofErr w:type="spellStart"/>
      <w:r w:rsidRPr="00D3160F">
        <w:t>Inglis</w:t>
      </w:r>
      <w:proofErr w:type="spellEnd"/>
      <w:r w:rsidRPr="00D3160F">
        <w:t xml:space="preserve"> of NT Department of Health and Community Services, Mr Peter Brandt, Mr John </w:t>
      </w:r>
      <w:proofErr w:type="spellStart"/>
      <w:r w:rsidRPr="00D3160F">
        <w:t>Agland</w:t>
      </w:r>
      <w:proofErr w:type="spellEnd"/>
      <w:r w:rsidRPr="00D3160F">
        <w:t xml:space="preserve"> and Ms Sara Subramanian of NSW Health, Mr James Snodgrass of Queensland Health, Mr Paul Basso and Ms Deborah Brown of SA Department of Health, Mr Peter Mansfield of Tasmanian Department of Health and Human Services, and Dr </w:t>
      </w:r>
      <w:proofErr w:type="spellStart"/>
      <w:r w:rsidRPr="00D3160F">
        <w:t>Vijaya</w:t>
      </w:r>
      <w:proofErr w:type="spellEnd"/>
      <w:r w:rsidRPr="00D3160F">
        <w:t xml:space="preserve"> </w:t>
      </w:r>
      <w:proofErr w:type="spellStart"/>
      <w:r w:rsidRPr="00D3160F">
        <w:t>Sundararajan</w:t>
      </w:r>
      <w:proofErr w:type="spellEnd"/>
      <w:r w:rsidRPr="00D3160F">
        <w:t xml:space="preserve"> and Mr David Quin of Victorian Department of Human Services.</w:t>
      </w:r>
    </w:p>
    <w:p w14:paraId="760ED5F7" w14:textId="77777777" w:rsidR="005D7ABA" w:rsidRDefault="00846CDA" w:rsidP="00CA0D72">
      <w:pPr>
        <w:ind w:right="-3"/>
      </w:pPr>
      <w:r w:rsidRPr="00D3160F">
        <w:t xml:space="preserve">Dr John Bass of the Data Linkage Group, Curtin University conducted the data linkages for the Australian Capital Territory, New South Wales, Queensland, South Australia, Tasmania, and Victoria.  Staff in the Health Information Linkage Branch of the Western Australian Department of Health (formerly Western Australian Data Linkage Unit) facilitated the linkage of Western Australian records, and we particularly thank Ms Di </w:t>
      </w:r>
      <w:proofErr w:type="spellStart"/>
      <w:r w:rsidRPr="00D3160F">
        <w:t>Rosman</w:t>
      </w:r>
      <w:proofErr w:type="spellEnd"/>
      <w:r w:rsidRPr="00D3160F">
        <w:t xml:space="preserve">, Ms Brooke Baxter, Ms Carol Garfield, and Ms Emma Brook in this regard.  Mr Gary </w:t>
      </w:r>
      <w:proofErr w:type="spellStart"/>
      <w:r w:rsidRPr="00D3160F">
        <w:t>Inglis</w:t>
      </w:r>
      <w:proofErr w:type="spellEnd"/>
      <w:r w:rsidRPr="00D3160F">
        <w:t xml:space="preserve"> of the Northern Territory Department of Health and Community Services facilitated the linkage of the Northern Territory hospital records.  Dr John Harding and Ms </w:t>
      </w:r>
      <w:proofErr w:type="spellStart"/>
      <w:r w:rsidRPr="00D3160F">
        <w:t>Khun</w:t>
      </w:r>
      <w:proofErr w:type="spellEnd"/>
      <w:r w:rsidRPr="00D3160F">
        <w:t xml:space="preserve"> Zhao of the Australian Institute of Health and Welfare facilitated linkage to the National Death Index.</w:t>
      </w:r>
    </w:p>
    <w:p w14:paraId="14A52AAF" w14:textId="0A90F4DF" w:rsidR="00AA59FF" w:rsidRPr="00FF7979" w:rsidRDefault="00AA59FF" w:rsidP="00FF7979">
      <w:pPr>
        <w:pStyle w:val="Heading2"/>
        <w:ind w:right="-3"/>
      </w:pPr>
      <w:r>
        <w:br w:type="page"/>
      </w:r>
      <w:bookmarkStart w:id="1" w:name="_Toc402348848"/>
      <w:r w:rsidRPr="00AA59FF">
        <w:lastRenderedPageBreak/>
        <w:t xml:space="preserve">Transition Care Working </w:t>
      </w:r>
      <w:proofErr w:type="gramStart"/>
      <w:r w:rsidRPr="00AA59FF">
        <w:t>Group</w:t>
      </w:r>
      <w:r w:rsidR="00304AC8">
        <w:t xml:space="preserve">  </w:t>
      </w:r>
      <w:r w:rsidRPr="00AA59FF">
        <w:t>(</w:t>
      </w:r>
      <w:proofErr w:type="gramEnd"/>
      <w:r w:rsidRPr="00AA59FF">
        <w:t>Current and former members)</w:t>
      </w:r>
      <w:bookmarkEnd w:id="1"/>
    </w:p>
    <w:p w14:paraId="1F6342AF" w14:textId="77777777" w:rsidR="00AA59FF" w:rsidRPr="00AA59FF" w:rsidRDefault="00AA59FF" w:rsidP="00CA0D72">
      <w:pPr>
        <w:pStyle w:val="Default"/>
        <w:ind w:right="-3"/>
        <w:rPr>
          <w:color w:val="auto"/>
        </w:rPr>
      </w:pPr>
    </w:p>
    <w:tbl>
      <w:tblPr>
        <w:tblStyle w:val="TableGrid"/>
        <w:tblW w:w="0" w:type="auto"/>
        <w:tblLook w:val="01E0" w:firstRow="1" w:lastRow="1" w:firstColumn="1" w:lastColumn="1" w:noHBand="0" w:noVBand="0"/>
        <w:tblDescription w:val="Transition Care Working Group  (Current and former members)"/>
      </w:tblPr>
      <w:tblGrid>
        <w:gridCol w:w="2835"/>
        <w:gridCol w:w="6062"/>
      </w:tblGrid>
      <w:tr w:rsidR="00324380" w:rsidRPr="00324380" w14:paraId="33B063FB" w14:textId="77777777" w:rsidTr="00FF7979">
        <w:trPr>
          <w:tblHeader/>
        </w:trPr>
        <w:tc>
          <w:tcPr>
            <w:tcW w:w="2835" w:type="dxa"/>
          </w:tcPr>
          <w:p w14:paraId="3E01F583" w14:textId="77777777" w:rsidR="00324380" w:rsidRPr="00324380" w:rsidRDefault="00324380" w:rsidP="00CA0D72">
            <w:pPr>
              <w:pStyle w:val="Table"/>
              <w:ind w:right="-3"/>
              <w:rPr>
                <w:b/>
              </w:rPr>
            </w:pPr>
            <w:r w:rsidRPr="00324380">
              <w:rPr>
                <w:b/>
              </w:rPr>
              <w:t>Name</w:t>
            </w:r>
          </w:p>
        </w:tc>
        <w:tc>
          <w:tcPr>
            <w:tcW w:w="6062" w:type="dxa"/>
          </w:tcPr>
          <w:p w14:paraId="6C34766F" w14:textId="77777777" w:rsidR="00324380" w:rsidRPr="00324380" w:rsidRDefault="00324380" w:rsidP="00CA0D72">
            <w:pPr>
              <w:pStyle w:val="Table"/>
              <w:ind w:right="-3"/>
              <w:rPr>
                <w:b/>
              </w:rPr>
            </w:pPr>
            <w:r w:rsidRPr="00324380">
              <w:rPr>
                <w:b/>
              </w:rPr>
              <w:t>Jurisdiction</w:t>
            </w:r>
          </w:p>
        </w:tc>
      </w:tr>
      <w:tr w:rsidR="00324380" w:rsidRPr="00324380" w14:paraId="17BAD8FC" w14:textId="77777777" w:rsidTr="00FF7979">
        <w:tc>
          <w:tcPr>
            <w:tcW w:w="2835" w:type="dxa"/>
          </w:tcPr>
          <w:p w14:paraId="10F85DFE" w14:textId="77777777" w:rsidR="00324380" w:rsidRPr="00324380" w:rsidRDefault="00324380" w:rsidP="00CA0D72">
            <w:pPr>
              <w:pStyle w:val="Table"/>
              <w:ind w:right="-3"/>
            </w:pPr>
            <w:r w:rsidRPr="00324380">
              <w:t xml:space="preserve">Jane Hanson </w:t>
            </w:r>
          </w:p>
        </w:tc>
        <w:tc>
          <w:tcPr>
            <w:tcW w:w="6062" w:type="dxa"/>
          </w:tcPr>
          <w:p w14:paraId="233A8988" w14:textId="77777777" w:rsidR="00324380" w:rsidRPr="00324380" w:rsidRDefault="00324380" w:rsidP="00CA0D72">
            <w:pPr>
              <w:pStyle w:val="Table"/>
              <w:ind w:right="-3"/>
            </w:pPr>
            <w:r w:rsidRPr="00324380">
              <w:t xml:space="preserve">Australian Government Department of Health and Ageing </w:t>
            </w:r>
          </w:p>
        </w:tc>
      </w:tr>
      <w:tr w:rsidR="00324380" w:rsidRPr="00324380" w14:paraId="4CBE4AA8" w14:textId="77777777" w:rsidTr="00FF7979">
        <w:tc>
          <w:tcPr>
            <w:tcW w:w="2835" w:type="dxa"/>
          </w:tcPr>
          <w:p w14:paraId="76230653" w14:textId="77777777" w:rsidR="00324380" w:rsidRPr="00324380" w:rsidRDefault="00324380" w:rsidP="00CA0D72">
            <w:pPr>
              <w:pStyle w:val="Table"/>
              <w:ind w:right="-3"/>
            </w:pPr>
            <w:r w:rsidRPr="00324380">
              <w:t xml:space="preserve">Pierre </w:t>
            </w:r>
            <w:proofErr w:type="spellStart"/>
            <w:r w:rsidRPr="00324380">
              <w:t>Nijssen</w:t>
            </w:r>
            <w:proofErr w:type="spellEnd"/>
            <w:r w:rsidRPr="00324380">
              <w:t xml:space="preserve">  </w:t>
            </w:r>
          </w:p>
        </w:tc>
        <w:tc>
          <w:tcPr>
            <w:tcW w:w="6062" w:type="dxa"/>
          </w:tcPr>
          <w:p w14:paraId="38B682A2" w14:textId="77777777" w:rsidR="00324380" w:rsidRPr="00324380" w:rsidRDefault="00324380" w:rsidP="00CA0D72">
            <w:pPr>
              <w:pStyle w:val="Table"/>
              <w:ind w:right="-3"/>
            </w:pPr>
            <w:r w:rsidRPr="00324380">
              <w:t xml:space="preserve">Australian Government Department of Health and Ageing </w:t>
            </w:r>
          </w:p>
        </w:tc>
      </w:tr>
      <w:tr w:rsidR="00324380" w:rsidRPr="00324380" w14:paraId="56D73DAA" w14:textId="77777777" w:rsidTr="00FF7979">
        <w:tc>
          <w:tcPr>
            <w:tcW w:w="2835" w:type="dxa"/>
          </w:tcPr>
          <w:p w14:paraId="3B42E5A6" w14:textId="77777777" w:rsidR="00324380" w:rsidRPr="00324380" w:rsidRDefault="00324380" w:rsidP="00CA0D72">
            <w:pPr>
              <w:pStyle w:val="Table"/>
              <w:ind w:right="-3"/>
            </w:pPr>
            <w:r w:rsidRPr="00324380">
              <w:t xml:space="preserve">Linda Jackson  </w:t>
            </w:r>
          </w:p>
        </w:tc>
        <w:tc>
          <w:tcPr>
            <w:tcW w:w="6062" w:type="dxa"/>
          </w:tcPr>
          <w:p w14:paraId="1070EA3F" w14:textId="77777777" w:rsidR="00324380" w:rsidRPr="00324380" w:rsidRDefault="00324380" w:rsidP="00CA0D72">
            <w:pPr>
              <w:pStyle w:val="Table"/>
              <w:ind w:right="-3"/>
            </w:pPr>
            <w:r w:rsidRPr="00324380">
              <w:t xml:space="preserve">Australian Government Department of Health and Ageing </w:t>
            </w:r>
          </w:p>
        </w:tc>
      </w:tr>
      <w:tr w:rsidR="00324380" w:rsidRPr="00324380" w14:paraId="1AB6127B" w14:textId="77777777" w:rsidTr="00FF7979">
        <w:tc>
          <w:tcPr>
            <w:tcW w:w="2835" w:type="dxa"/>
          </w:tcPr>
          <w:p w14:paraId="1A65873D" w14:textId="77777777" w:rsidR="00324380" w:rsidRPr="00324380" w:rsidRDefault="00324380" w:rsidP="00CA0D72">
            <w:pPr>
              <w:pStyle w:val="Table"/>
              <w:ind w:right="-3"/>
            </w:pPr>
            <w:r w:rsidRPr="00324380">
              <w:t xml:space="preserve">David Cullen </w:t>
            </w:r>
          </w:p>
        </w:tc>
        <w:tc>
          <w:tcPr>
            <w:tcW w:w="6062" w:type="dxa"/>
          </w:tcPr>
          <w:p w14:paraId="4401F8E4" w14:textId="77777777" w:rsidR="00324380" w:rsidRPr="00324380" w:rsidRDefault="00324380" w:rsidP="00CA0D72">
            <w:pPr>
              <w:pStyle w:val="Table"/>
              <w:ind w:right="-3"/>
            </w:pPr>
            <w:r w:rsidRPr="00324380">
              <w:t xml:space="preserve">Australian Government Department of Health and Ageing </w:t>
            </w:r>
          </w:p>
        </w:tc>
      </w:tr>
      <w:tr w:rsidR="00324380" w:rsidRPr="00324380" w14:paraId="0687C75E" w14:textId="77777777" w:rsidTr="00FF7979">
        <w:tc>
          <w:tcPr>
            <w:tcW w:w="2835" w:type="dxa"/>
          </w:tcPr>
          <w:p w14:paraId="55EFAF61" w14:textId="77777777" w:rsidR="00324380" w:rsidRPr="00324380" w:rsidRDefault="00324380" w:rsidP="00CA0D72">
            <w:pPr>
              <w:pStyle w:val="Table"/>
              <w:ind w:right="-3"/>
            </w:pPr>
            <w:r w:rsidRPr="00324380">
              <w:t xml:space="preserve">David Martin  </w:t>
            </w:r>
          </w:p>
        </w:tc>
        <w:tc>
          <w:tcPr>
            <w:tcW w:w="6062" w:type="dxa"/>
          </w:tcPr>
          <w:p w14:paraId="67280D01" w14:textId="77777777" w:rsidR="00324380" w:rsidRPr="00324380" w:rsidRDefault="00324380" w:rsidP="00CA0D72">
            <w:pPr>
              <w:pStyle w:val="Table"/>
              <w:ind w:right="-3"/>
            </w:pPr>
            <w:r w:rsidRPr="00324380">
              <w:t xml:space="preserve">Australian Government Department of Health and Ageing </w:t>
            </w:r>
          </w:p>
        </w:tc>
      </w:tr>
      <w:tr w:rsidR="00324380" w:rsidRPr="00324380" w14:paraId="04B7AFF1" w14:textId="77777777" w:rsidTr="00FF7979">
        <w:tc>
          <w:tcPr>
            <w:tcW w:w="2835" w:type="dxa"/>
          </w:tcPr>
          <w:p w14:paraId="21F8191F" w14:textId="77777777" w:rsidR="00324380" w:rsidRPr="00324380" w:rsidRDefault="00324380" w:rsidP="00CA0D72">
            <w:pPr>
              <w:pStyle w:val="Table"/>
              <w:ind w:right="-3"/>
            </w:pPr>
            <w:r w:rsidRPr="00324380">
              <w:t xml:space="preserve">Therese Gehrig  </w:t>
            </w:r>
          </w:p>
        </w:tc>
        <w:tc>
          <w:tcPr>
            <w:tcW w:w="6062" w:type="dxa"/>
          </w:tcPr>
          <w:p w14:paraId="45E8880A" w14:textId="77777777" w:rsidR="00324380" w:rsidRPr="00324380" w:rsidRDefault="00324380" w:rsidP="00CA0D72">
            <w:pPr>
              <w:pStyle w:val="Table"/>
              <w:ind w:right="-3"/>
            </w:pPr>
            <w:r w:rsidRPr="00324380">
              <w:t xml:space="preserve">ACT Health </w:t>
            </w:r>
          </w:p>
        </w:tc>
      </w:tr>
      <w:tr w:rsidR="00324380" w:rsidRPr="00324380" w14:paraId="1BE43B85" w14:textId="77777777" w:rsidTr="00FF7979">
        <w:tc>
          <w:tcPr>
            <w:tcW w:w="2835" w:type="dxa"/>
          </w:tcPr>
          <w:p w14:paraId="15E56EE5" w14:textId="77777777" w:rsidR="00324380" w:rsidRPr="00324380" w:rsidRDefault="00324380" w:rsidP="00CA0D72">
            <w:pPr>
              <w:pStyle w:val="Table"/>
              <w:ind w:right="-3"/>
            </w:pPr>
            <w:r w:rsidRPr="00324380">
              <w:t xml:space="preserve">Dagmar Kelly </w:t>
            </w:r>
          </w:p>
        </w:tc>
        <w:tc>
          <w:tcPr>
            <w:tcW w:w="6062" w:type="dxa"/>
          </w:tcPr>
          <w:p w14:paraId="1DDBFF77" w14:textId="77777777" w:rsidR="00324380" w:rsidRPr="00324380" w:rsidRDefault="00324380" w:rsidP="00CA0D72">
            <w:pPr>
              <w:pStyle w:val="Table"/>
              <w:ind w:right="-3"/>
            </w:pPr>
            <w:r w:rsidRPr="00324380">
              <w:t xml:space="preserve">ACT Health </w:t>
            </w:r>
          </w:p>
        </w:tc>
      </w:tr>
      <w:tr w:rsidR="00324380" w:rsidRPr="00324380" w14:paraId="5DDC98EB" w14:textId="77777777" w:rsidTr="00FF7979">
        <w:tc>
          <w:tcPr>
            <w:tcW w:w="2835" w:type="dxa"/>
          </w:tcPr>
          <w:p w14:paraId="1DCC1524" w14:textId="77777777" w:rsidR="00324380" w:rsidRPr="00324380" w:rsidRDefault="00324380" w:rsidP="00CA0D72">
            <w:pPr>
              <w:pStyle w:val="Table"/>
              <w:ind w:right="-3"/>
            </w:pPr>
            <w:r w:rsidRPr="00324380">
              <w:t xml:space="preserve">Clare Gardiner  </w:t>
            </w:r>
          </w:p>
        </w:tc>
        <w:tc>
          <w:tcPr>
            <w:tcW w:w="6062" w:type="dxa"/>
          </w:tcPr>
          <w:p w14:paraId="3953C5EB" w14:textId="77777777" w:rsidR="00324380" w:rsidRPr="00324380" w:rsidRDefault="00324380" w:rsidP="00CA0D72">
            <w:pPr>
              <w:pStyle w:val="Table"/>
              <w:ind w:right="-3"/>
            </w:pPr>
            <w:r w:rsidRPr="00324380">
              <w:t xml:space="preserve">NSW Health </w:t>
            </w:r>
          </w:p>
        </w:tc>
      </w:tr>
      <w:tr w:rsidR="00324380" w:rsidRPr="00324380" w14:paraId="2BC1BD97" w14:textId="77777777" w:rsidTr="00FF7979">
        <w:tc>
          <w:tcPr>
            <w:tcW w:w="2835" w:type="dxa"/>
          </w:tcPr>
          <w:p w14:paraId="72E35353" w14:textId="77777777" w:rsidR="00324380" w:rsidRPr="00324380" w:rsidRDefault="00324380" w:rsidP="00CA0D72">
            <w:pPr>
              <w:pStyle w:val="Table"/>
              <w:ind w:right="-3"/>
            </w:pPr>
            <w:r w:rsidRPr="00324380">
              <w:t xml:space="preserve">Jane </w:t>
            </w:r>
            <w:proofErr w:type="spellStart"/>
            <w:r w:rsidRPr="00324380">
              <w:t>Fenn</w:t>
            </w:r>
            <w:proofErr w:type="spellEnd"/>
            <w:r w:rsidRPr="00324380">
              <w:t xml:space="preserve">  </w:t>
            </w:r>
          </w:p>
        </w:tc>
        <w:tc>
          <w:tcPr>
            <w:tcW w:w="6062" w:type="dxa"/>
          </w:tcPr>
          <w:p w14:paraId="16007CD5" w14:textId="77777777" w:rsidR="00324380" w:rsidRPr="00324380" w:rsidRDefault="00324380" w:rsidP="00CA0D72">
            <w:pPr>
              <w:pStyle w:val="Table"/>
              <w:ind w:right="-3"/>
            </w:pPr>
            <w:r w:rsidRPr="00324380">
              <w:t xml:space="preserve">NSW Health </w:t>
            </w:r>
          </w:p>
        </w:tc>
      </w:tr>
      <w:tr w:rsidR="00324380" w:rsidRPr="00324380" w14:paraId="4D77FC92" w14:textId="77777777" w:rsidTr="00FF7979">
        <w:tc>
          <w:tcPr>
            <w:tcW w:w="2835" w:type="dxa"/>
          </w:tcPr>
          <w:p w14:paraId="429304E6" w14:textId="77777777" w:rsidR="00324380" w:rsidRPr="00324380" w:rsidRDefault="00324380" w:rsidP="00CA0D72">
            <w:pPr>
              <w:pStyle w:val="Table"/>
              <w:ind w:right="-3"/>
            </w:pPr>
            <w:r w:rsidRPr="00324380">
              <w:t xml:space="preserve">Barbara Anderson </w:t>
            </w:r>
          </w:p>
        </w:tc>
        <w:tc>
          <w:tcPr>
            <w:tcW w:w="6062" w:type="dxa"/>
          </w:tcPr>
          <w:p w14:paraId="1D2FCA7E" w14:textId="77777777" w:rsidR="00324380" w:rsidRPr="00324380" w:rsidRDefault="00324380" w:rsidP="00CA0D72">
            <w:pPr>
              <w:pStyle w:val="Table"/>
              <w:ind w:right="-3"/>
            </w:pPr>
            <w:r w:rsidRPr="00324380">
              <w:t xml:space="preserve">NSW Health </w:t>
            </w:r>
          </w:p>
        </w:tc>
      </w:tr>
      <w:tr w:rsidR="00324380" w:rsidRPr="00324380" w14:paraId="46994E3F" w14:textId="77777777" w:rsidTr="00FF7979">
        <w:tc>
          <w:tcPr>
            <w:tcW w:w="2835" w:type="dxa"/>
          </w:tcPr>
          <w:p w14:paraId="0F213ABE" w14:textId="77777777" w:rsidR="00324380" w:rsidRPr="00324380" w:rsidRDefault="00324380" w:rsidP="00CA0D72">
            <w:pPr>
              <w:pStyle w:val="Table"/>
              <w:ind w:right="-3"/>
            </w:pPr>
            <w:r w:rsidRPr="00324380">
              <w:t xml:space="preserve">Michael Woodhouse  </w:t>
            </w:r>
          </w:p>
        </w:tc>
        <w:tc>
          <w:tcPr>
            <w:tcW w:w="6062" w:type="dxa"/>
          </w:tcPr>
          <w:p w14:paraId="08D74C5D" w14:textId="77777777" w:rsidR="00324380" w:rsidRPr="00324380" w:rsidRDefault="00324380" w:rsidP="00CA0D72">
            <w:pPr>
              <w:pStyle w:val="Table"/>
              <w:ind w:right="-3"/>
            </w:pPr>
            <w:r w:rsidRPr="00324380">
              <w:t xml:space="preserve">Northern Territory </w:t>
            </w:r>
          </w:p>
        </w:tc>
      </w:tr>
      <w:tr w:rsidR="00324380" w:rsidRPr="00324380" w14:paraId="4C6F7877" w14:textId="77777777" w:rsidTr="00FF7979">
        <w:tc>
          <w:tcPr>
            <w:tcW w:w="2835" w:type="dxa"/>
          </w:tcPr>
          <w:p w14:paraId="025BA527" w14:textId="77777777" w:rsidR="00324380" w:rsidRPr="00324380" w:rsidRDefault="00324380" w:rsidP="00CA0D72">
            <w:pPr>
              <w:pStyle w:val="Table"/>
              <w:ind w:right="-3"/>
            </w:pPr>
            <w:r w:rsidRPr="00324380">
              <w:t xml:space="preserve">Liz </w:t>
            </w:r>
            <w:proofErr w:type="spellStart"/>
            <w:r w:rsidRPr="00324380">
              <w:t>Kasteel</w:t>
            </w:r>
            <w:proofErr w:type="spellEnd"/>
            <w:r w:rsidRPr="00324380">
              <w:t xml:space="preserve">  </w:t>
            </w:r>
          </w:p>
        </w:tc>
        <w:tc>
          <w:tcPr>
            <w:tcW w:w="6062" w:type="dxa"/>
          </w:tcPr>
          <w:p w14:paraId="10DB699D" w14:textId="77777777" w:rsidR="00324380" w:rsidRPr="00324380" w:rsidRDefault="00324380" w:rsidP="00CA0D72">
            <w:pPr>
              <w:pStyle w:val="Table"/>
              <w:ind w:right="-3"/>
            </w:pPr>
            <w:r w:rsidRPr="00324380">
              <w:t xml:space="preserve">Northern Territory </w:t>
            </w:r>
          </w:p>
        </w:tc>
      </w:tr>
      <w:tr w:rsidR="00324380" w:rsidRPr="00324380" w14:paraId="3CA6C130" w14:textId="77777777" w:rsidTr="00FF7979">
        <w:tc>
          <w:tcPr>
            <w:tcW w:w="2835" w:type="dxa"/>
          </w:tcPr>
          <w:p w14:paraId="6B6D4232" w14:textId="77777777" w:rsidR="00324380" w:rsidRPr="00324380" w:rsidRDefault="00324380" w:rsidP="00CA0D72">
            <w:pPr>
              <w:pStyle w:val="Table"/>
              <w:ind w:right="-3"/>
            </w:pPr>
            <w:r w:rsidRPr="00324380">
              <w:t xml:space="preserve">Sue Keys </w:t>
            </w:r>
          </w:p>
        </w:tc>
        <w:tc>
          <w:tcPr>
            <w:tcW w:w="6062" w:type="dxa"/>
          </w:tcPr>
          <w:p w14:paraId="5991779E" w14:textId="77777777" w:rsidR="00324380" w:rsidRPr="00324380" w:rsidRDefault="00324380" w:rsidP="00CA0D72">
            <w:pPr>
              <w:pStyle w:val="Table"/>
              <w:ind w:right="-3"/>
            </w:pPr>
            <w:r w:rsidRPr="00324380">
              <w:t xml:space="preserve">Northern Territory </w:t>
            </w:r>
          </w:p>
        </w:tc>
      </w:tr>
      <w:tr w:rsidR="00324380" w:rsidRPr="00324380" w14:paraId="13494BF5" w14:textId="77777777" w:rsidTr="00FF7979">
        <w:tc>
          <w:tcPr>
            <w:tcW w:w="2835" w:type="dxa"/>
          </w:tcPr>
          <w:p w14:paraId="644E31A4" w14:textId="77777777" w:rsidR="00324380" w:rsidRPr="00324380" w:rsidRDefault="00324380" w:rsidP="00CA0D72">
            <w:pPr>
              <w:pStyle w:val="Table"/>
              <w:ind w:right="-3"/>
            </w:pPr>
            <w:r w:rsidRPr="00324380">
              <w:t xml:space="preserve">Loris </w:t>
            </w:r>
            <w:proofErr w:type="spellStart"/>
            <w:r w:rsidRPr="00324380">
              <w:t>Semple</w:t>
            </w:r>
            <w:proofErr w:type="spellEnd"/>
            <w:r w:rsidRPr="00324380">
              <w:t xml:space="preserve"> </w:t>
            </w:r>
          </w:p>
        </w:tc>
        <w:tc>
          <w:tcPr>
            <w:tcW w:w="6062" w:type="dxa"/>
          </w:tcPr>
          <w:p w14:paraId="26D34D4D" w14:textId="77777777" w:rsidR="00324380" w:rsidRPr="00324380" w:rsidRDefault="00324380" w:rsidP="00CA0D72">
            <w:pPr>
              <w:pStyle w:val="Table"/>
              <w:ind w:right="-3"/>
            </w:pPr>
            <w:r w:rsidRPr="00324380">
              <w:t xml:space="preserve">Northern Territory </w:t>
            </w:r>
          </w:p>
        </w:tc>
      </w:tr>
      <w:tr w:rsidR="00324380" w:rsidRPr="00324380" w14:paraId="607C0E0A" w14:textId="77777777" w:rsidTr="00FF7979">
        <w:tc>
          <w:tcPr>
            <w:tcW w:w="2835" w:type="dxa"/>
          </w:tcPr>
          <w:p w14:paraId="7DF3A654" w14:textId="77777777" w:rsidR="00324380" w:rsidRPr="00324380" w:rsidRDefault="00324380" w:rsidP="00CA0D72">
            <w:pPr>
              <w:pStyle w:val="Table"/>
              <w:ind w:right="-3"/>
            </w:pPr>
            <w:r w:rsidRPr="00324380">
              <w:t xml:space="preserve">Amanda Croker </w:t>
            </w:r>
          </w:p>
        </w:tc>
        <w:tc>
          <w:tcPr>
            <w:tcW w:w="6062" w:type="dxa"/>
          </w:tcPr>
          <w:p w14:paraId="0740EACA" w14:textId="77777777" w:rsidR="00324380" w:rsidRPr="00324380" w:rsidRDefault="00324380" w:rsidP="00CA0D72">
            <w:pPr>
              <w:pStyle w:val="Table"/>
              <w:ind w:right="-3"/>
            </w:pPr>
            <w:r w:rsidRPr="00324380">
              <w:t xml:space="preserve">Queensland Health </w:t>
            </w:r>
          </w:p>
        </w:tc>
      </w:tr>
      <w:tr w:rsidR="00324380" w:rsidRPr="00324380" w14:paraId="743935CD" w14:textId="77777777" w:rsidTr="00FF7979">
        <w:tc>
          <w:tcPr>
            <w:tcW w:w="2835" w:type="dxa"/>
          </w:tcPr>
          <w:p w14:paraId="12337A7D" w14:textId="77777777" w:rsidR="00324380" w:rsidRPr="00324380" w:rsidRDefault="00324380" w:rsidP="00CA0D72">
            <w:pPr>
              <w:pStyle w:val="Table"/>
              <w:ind w:right="-3"/>
            </w:pPr>
            <w:r w:rsidRPr="00324380">
              <w:t xml:space="preserve">Shelly </w:t>
            </w:r>
            <w:proofErr w:type="spellStart"/>
            <w:r w:rsidRPr="00324380">
              <w:t>Kulperger</w:t>
            </w:r>
            <w:proofErr w:type="spellEnd"/>
            <w:r w:rsidRPr="00324380">
              <w:t xml:space="preserve"> </w:t>
            </w:r>
          </w:p>
        </w:tc>
        <w:tc>
          <w:tcPr>
            <w:tcW w:w="6062" w:type="dxa"/>
          </w:tcPr>
          <w:p w14:paraId="5BEED39E" w14:textId="77777777" w:rsidR="00324380" w:rsidRPr="00324380" w:rsidRDefault="00324380" w:rsidP="00CA0D72">
            <w:pPr>
              <w:pStyle w:val="Table"/>
              <w:ind w:right="-3"/>
            </w:pPr>
            <w:r w:rsidRPr="00324380">
              <w:t xml:space="preserve">Queensland Health </w:t>
            </w:r>
          </w:p>
        </w:tc>
      </w:tr>
      <w:tr w:rsidR="00324380" w:rsidRPr="00324380" w14:paraId="0CD04F25" w14:textId="77777777" w:rsidTr="00FF7979">
        <w:tc>
          <w:tcPr>
            <w:tcW w:w="2835" w:type="dxa"/>
          </w:tcPr>
          <w:p w14:paraId="51D1FEC5" w14:textId="77777777" w:rsidR="00324380" w:rsidRPr="00324380" w:rsidRDefault="00324380" w:rsidP="00CA0D72">
            <w:pPr>
              <w:pStyle w:val="Table"/>
              <w:ind w:right="-3"/>
            </w:pPr>
            <w:r w:rsidRPr="00324380">
              <w:t xml:space="preserve">Michael Edwards  </w:t>
            </w:r>
          </w:p>
        </w:tc>
        <w:tc>
          <w:tcPr>
            <w:tcW w:w="6062" w:type="dxa"/>
          </w:tcPr>
          <w:p w14:paraId="0027AACE" w14:textId="77777777" w:rsidR="00324380" w:rsidRPr="00324380" w:rsidRDefault="00324380" w:rsidP="00CA0D72">
            <w:pPr>
              <w:pStyle w:val="Table"/>
              <w:ind w:right="-3"/>
            </w:pPr>
            <w:r w:rsidRPr="00324380">
              <w:t xml:space="preserve">Queensland Health </w:t>
            </w:r>
          </w:p>
        </w:tc>
      </w:tr>
      <w:tr w:rsidR="00324380" w:rsidRPr="00324380" w14:paraId="34A34E5E" w14:textId="77777777" w:rsidTr="00FF7979">
        <w:tc>
          <w:tcPr>
            <w:tcW w:w="2835" w:type="dxa"/>
          </w:tcPr>
          <w:p w14:paraId="2E78FBA9" w14:textId="77777777" w:rsidR="00324380" w:rsidRPr="00324380" w:rsidRDefault="00324380" w:rsidP="00CA0D72">
            <w:pPr>
              <w:pStyle w:val="Table"/>
              <w:ind w:right="-3"/>
            </w:pPr>
            <w:r w:rsidRPr="00324380">
              <w:t xml:space="preserve">Ann </w:t>
            </w:r>
            <w:proofErr w:type="spellStart"/>
            <w:r w:rsidRPr="00324380">
              <w:t>Crowhurst</w:t>
            </w:r>
            <w:proofErr w:type="spellEnd"/>
            <w:r w:rsidRPr="00324380">
              <w:t xml:space="preserve"> </w:t>
            </w:r>
          </w:p>
        </w:tc>
        <w:tc>
          <w:tcPr>
            <w:tcW w:w="6062" w:type="dxa"/>
          </w:tcPr>
          <w:p w14:paraId="725B539B" w14:textId="77777777" w:rsidR="00324380" w:rsidRPr="00324380" w:rsidRDefault="00324380" w:rsidP="00CA0D72">
            <w:pPr>
              <w:pStyle w:val="Table"/>
              <w:ind w:right="-3"/>
            </w:pPr>
            <w:r w:rsidRPr="00324380">
              <w:t xml:space="preserve">Queensland Health </w:t>
            </w:r>
          </w:p>
        </w:tc>
      </w:tr>
      <w:tr w:rsidR="00324380" w:rsidRPr="00324380" w14:paraId="30FEA44C" w14:textId="77777777" w:rsidTr="00FF7979">
        <w:tc>
          <w:tcPr>
            <w:tcW w:w="2835" w:type="dxa"/>
          </w:tcPr>
          <w:p w14:paraId="78024157" w14:textId="77777777" w:rsidR="00324380" w:rsidRPr="00324380" w:rsidRDefault="00324380" w:rsidP="00CA0D72">
            <w:pPr>
              <w:pStyle w:val="Table"/>
              <w:ind w:right="-3"/>
            </w:pPr>
            <w:r w:rsidRPr="00324380">
              <w:t xml:space="preserve">Allan Quire </w:t>
            </w:r>
          </w:p>
        </w:tc>
        <w:tc>
          <w:tcPr>
            <w:tcW w:w="6062" w:type="dxa"/>
          </w:tcPr>
          <w:p w14:paraId="0991949B" w14:textId="77777777" w:rsidR="00324380" w:rsidRPr="00324380" w:rsidRDefault="00324380" w:rsidP="00CA0D72">
            <w:pPr>
              <w:pStyle w:val="Table"/>
              <w:ind w:right="-3"/>
            </w:pPr>
            <w:r w:rsidRPr="00324380">
              <w:t xml:space="preserve">SA Department of Health </w:t>
            </w:r>
          </w:p>
        </w:tc>
      </w:tr>
      <w:tr w:rsidR="00324380" w:rsidRPr="00324380" w14:paraId="690E5807" w14:textId="77777777" w:rsidTr="00FF7979">
        <w:tc>
          <w:tcPr>
            <w:tcW w:w="2835" w:type="dxa"/>
          </w:tcPr>
          <w:p w14:paraId="33F1D4F9" w14:textId="77777777" w:rsidR="00324380" w:rsidRPr="00324380" w:rsidRDefault="00324380" w:rsidP="00CA0D72">
            <w:pPr>
              <w:pStyle w:val="Table"/>
              <w:ind w:right="-3"/>
            </w:pPr>
            <w:r w:rsidRPr="00324380">
              <w:t xml:space="preserve">Mick </w:t>
            </w:r>
            <w:proofErr w:type="spellStart"/>
            <w:r w:rsidRPr="00324380">
              <w:t>Urukalo</w:t>
            </w:r>
            <w:proofErr w:type="spellEnd"/>
            <w:r w:rsidRPr="00324380">
              <w:t xml:space="preserve"> </w:t>
            </w:r>
          </w:p>
        </w:tc>
        <w:tc>
          <w:tcPr>
            <w:tcW w:w="6062" w:type="dxa"/>
          </w:tcPr>
          <w:p w14:paraId="5F84145F" w14:textId="77777777" w:rsidR="00324380" w:rsidRPr="00324380" w:rsidRDefault="00324380" w:rsidP="00CA0D72">
            <w:pPr>
              <w:pStyle w:val="Table"/>
              <w:ind w:right="-3"/>
            </w:pPr>
            <w:r w:rsidRPr="00324380">
              <w:t xml:space="preserve">SA Department of Health </w:t>
            </w:r>
          </w:p>
        </w:tc>
      </w:tr>
      <w:tr w:rsidR="00324380" w:rsidRPr="00324380" w14:paraId="63FB9912" w14:textId="77777777" w:rsidTr="00FF7979">
        <w:tc>
          <w:tcPr>
            <w:tcW w:w="2835" w:type="dxa"/>
          </w:tcPr>
          <w:p w14:paraId="6653E460" w14:textId="77777777" w:rsidR="00324380" w:rsidRPr="00324380" w:rsidRDefault="00324380" w:rsidP="00CA0D72">
            <w:pPr>
              <w:pStyle w:val="Table"/>
              <w:ind w:right="-3"/>
            </w:pPr>
            <w:r w:rsidRPr="00324380">
              <w:t xml:space="preserve">Marie </w:t>
            </w:r>
            <w:proofErr w:type="spellStart"/>
            <w:r w:rsidRPr="00324380">
              <w:t>DeRieu</w:t>
            </w:r>
            <w:proofErr w:type="spellEnd"/>
            <w:r w:rsidRPr="00324380">
              <w:t xml:space="preserve"> </w:t>
            </w:r>
          </w:p>
        </w:tc>
        <w:tc>
          <w:tcPr>
            <w:tcW w:w="6062" w:type="dxa"/>
          </w:tcPr>
          <w:p w14:paraId="3B6D1CEE" w14:textId="77777777" w:rsidR="00324380" w:rsidRPr="00324380" w:rsidRDefault="00324380" w:rsidP="00CA0D72">
            <w:pPr>
              <w:pStyle w:val="Table"/>
              <w:ind w:right="-3"/>
            </w:pPr>
            <w:r w:rsidRPr="00324380">
              <w:t xml:space="preserve">SA Department of Health </w:t>
            </w:r>
          </w:p>
        </w:tc>
      </w:tr>
      <w:tr w:rsidR="00324380" w:rsidRPr="00324380" w14:paraId="58E1B63F" w14:textId="77777777" w:rsidTr="00FF7979">
        <w:tc>
          <w:tcPr>
            <w:tcW w:w="2835" w:type="dxa"/>
          </w:tcPr>
          <w:p w14:paraId="462C33BC" w14:textId="77777777" w:rsidR="00324380" w:rsidRPr="00324380" w:rsidRDefault="00324380" w:rsidP="00CA0D72">
            <w:pPr>
              <w:pStyle w:val="Table"/>
              <w:ind w:right="-3"/>
            </w:pPr>
            <w:r w:rsidRPr="00324380">
              <w:t xml:space="preserve">Rachel </w:t>
            </w:r>
            <w:proofErr w:type="spellStart"/>
            <w:r w:rsidRPr="00324380">
              <w:t>Newrick</w:t>
            </w:r>
            <w:proofErr w:type="spellEnd"/>
            <w:r w:rsidRPr="00324380">
              <w:t xml:space="preserve"> (</w:t>
            </w:r>
            <w:proofErr w:type="spellStart"/>
            <w:r w:rsidRPr="00324380">
              <w:t>Beisiegel</w:t>
            </w:r>
            <w:proofErr w:type="spellEnd"/>
            <w:r w:rsidRPr="00324380">
              <w:t xml:space="preserve">) </w:t>
            </w:r>
          </w:p>
        </w:tc>
        <w:tc>
          <w:tcPr>
            <w:tcW w:w="6062" w:type="dxa"/>
          </w:tcPr>
          <w:p w14:paraId="28C9983A" w14:textId="77777777" w:rsidR="00324380" w:rsidRPr="00324380" w:rsidRDefault="00324380" w:rsidP="00CA0D72">
            <w:pPr>
              <w:pStyle w:val="Table"/>
              <w:ind w:right="-3"/>
            </w:pPr>
            <w:r w:rsidRPr="00324380">
              <w:t xml:space="preserve">SA Department of Health </w:t>
            </w:r>
          </w:p>
        </w:tc>
      </w:tr>
      <w:tr w:rsidR="00324380" w:rsidRPr="00324380" w14:paraId="57861FE2" w14:textId="77777777" w:rsidTr="00FF7979">
        <w:tc>
          <w:tcPr>
            <w:tcW w:w="2835" w:type="dxa"/>
          </w:tcPr>
          <w:p w14:paraId="66196C2C" w14:textId="77777777" w:rsidR="00324380" w:rsidRPr="00324380" w:rsidRDefault="00324380" w:rsidP="00CA0D72">
            <w:pPr>
              <w:pStyle w:val="Table"/>
              <w:ind w:right="-3"/>
            </w:pPr>
            <w:r w:rsidRPr="00324380">
              <w:t xml:space="preserve">Valerie Whelan </w:t>
            </w:r>
          </w:p>
        </w:tc>
        <w:tc>
          <w:tcPr>
            <w:tcW w:w="6062" w:type="dxa"/>
          </w:tcPr>
          <w:p w14:paraId="7857B34A" w14:textId="77777777" w:rsidR="00324380" w:rsidRPr="00324380" w:rsidRDefault="00324380" w:rsidP="00CA0D72">
            <w:pPr>
              <w:pStyle w:val="Table"/>
              <w:ind w:right="-3"/>
            </w:pPr>
            <w:r w:rsidRPr="00324380">
              <w:t xml:space="preserve">Tasmanian Department of Health and Human Services </w:t>
            </w:r>
          </w:p>
        </w:tc>
      </w:tr>
      <w:tr w:rsidR="00324380" w:rsidRPr="00324380" w14:paraId="64DCF0C9" w14:textId="77777777" w:rsidTr="00FF7979">
        <w:tc>
          <w:tcPr>
            <w:tcW w:w="2835" w:type="dxa"/>
          </w:tcPr>
          <w:p w14:paraId="4F8200A2" w14:textId="77777777" w:rsidR="00324380" w:rsidRPr="00324380" w:rsidRDefault="00324380" w:rsidP="00CA0D72">
            <w:pPr>
              <w:pStyle w:val="Table"/>
              <w:ind w:right="-3"/>
            </w:pPr>
            <w:r w:rsidRPr="00324380">
              <w:t xml:space="preserve">Fran Thompson </w:t>
            </w:r>
          </w:p>
        </w:tc>
        <w:tc>
          <w:tcPr>
            <w:tcW w:w="6062" w:type="dxa"/>
          </w:tcPr>
          <w:p w14:paraId="495F3765" w14:textId="77777777" w:rsidR="00324380" w:rsidRPr="00324380" w:rsidRDefault="00324380" w:rsidP="00CA0D72">
            <w:pPr>
              <w:pStyle w:val="Table"/>
              <w:ind w:right="-3"/>
            </w:pPr>
            <w:r w:rsidRPr="00324380">
              <w:t xml:space="preserve">Tasmanian Department of Health and Human Services </w:t>
            </w:r>
          </w:p>
        </w:tc>
      </w:tr>
      <w:tr w:rsidR="00324380" w:rsidRPr="00324380" w14:paraId="2C241F02" w14:textId="77777777" w:rsidTr="00FF7979">
        <w:tc>
          <w:tcPr>
            <w:tcW w:w="2835" w:type="dxa"/>
          </w:tcPr>
          <w:p w14:paraId="0B0E39B9" w14:textId="77777777" w:rsidR="00324380" w:rsidRPr="00324380" w:rsidRDefault="00324380" w:rsidP="00CA0D72">
            <w:pPr>
              <w:pStyle w:val="Table"/>
              <w:ind w:right="-3"/>
            </w:pPr>
            <w:r w:rsidRPr="00324380">
              <w:t xml:space="preserve">Sonia Lillico </w:t>
            </w:r>
          </w:p>
        </w:tc>
        <w:tc>
          <w:tcPr>
            <w:tcW w:w="6062" w:type="dxa"/>
          </w:tcPr>
          <w:p w14:paraId="3BC9147F" w14:textId="77777777" w:rsidR="00324380" w:rsidRPr="00324380" w:rsidRDefault="00324380" w:rsidP="00CA0D72">
            <w:pPr>
              <w:pStyle w:val="Table"/>
              <w:ind w:right="-3"/>
            </w:pPr>
            <w:r w:rsidRPr="00324380">
              <w:t xml:space="preserve">Tasmanian Department of Health and Human Services </w:t>
            </w:r>
          </w:p>
        </w:tc>
      </w:tr>
      <w:tr w:rsidR="00324380" w:rsidRPr="00324380" w14:paraId="42E226A1" w14:textId="77777777" w:rsidTr="00FF7979">
        <w:tc>
          <w:tcPr>
            <w:tcW w:w="2835" w:type="dxa"/>
          </w:tcPr>
          <w:p w14:paraId="00C66586" w14:textId="77777777" w:rsidR="00324380" w:rsidRPr="00324380" w:rsidRDefault="00324380" w:rsidP="00CA0D72">
            <w:pPr>
              <w:pStyle w:val="Table"/>
              <w:ind w:right="-3"/>
            </w:pPr>
            <w:r w:rsidRPr="00324380">
              <w:t xml:space="preserve">Betty </w:t>
            </w:r>
            <w:proofErr w:type="spellStart"/>
            <w:r w:rsidRPr="00324380">
              <w:t>Tzouvelis</w:t>
            </w:r>
            <w:proofErr w:type="spellEnd"/>
            <w:r w:rsidRPr="00324380">
              <w:t xml:space="preserve"> </w:t>
            </w:r>
          </w:p>
        </w:tc>
        <w:tc>
          <w:tcPr>
            <w:tcW w:w="6062" w:type="dxa"/>
          </w:tcPr>
          <w:p w14:paraId="56317855" w14:textId="77777777" w:rsidR="00324380" w:rsidRPr="00324380" w:rsidRDefault="00324380" w:rsidP="00CA0D72">
            <w:pPr>
              <w:pStyle w:val="Table"/>
              <w:ind w:right="-3"/>
            </w:pPr>
            <w:r w:rsidRPr="00324380">
              <w:t xml:space="preserve">Victorian Department of Human Services </w:t>
            </w:r>
          </w:p>
        </w:tc>
      </w:tr>
      <w:tr w:rsidR="00324380" w:rsidRPr="00324380" w14:paraId="7EA35890" w14:textId="77777777" w:rsidTr="00FF7979">
        <w:tc>
          <w:tcPr>
            <w:tcW w:w="2835" w:type="dxa"/>
          </w:tcPr>
          <w:p w14:paraId="78F0B3F2" w14:textId="77777777" w:rsidR="00324380" w:rsidRPr="00324380" w:rsidRDefault="00324380" w:rsidP="00CA0D72">
            <w:pPr>
              <w:pStyle w:val="Table"/>
              <w:ind w:right="-3"/>
            </w:pPr>
            <w:r w:rsidRPr="00324380">
              <w:t xml:space="preserve">Nicole Doran  </w:t>
            </w:r>
          </w:p>
        </w:tc>
        <w:tc>
          <w:tcPr>
            <w:tcW w:w="6062" w:type="dxa"/>
          </w:tcPr>
          <w:p w14:paraId="4534335D" w14:textId="77777777" w:rsidR="00324380" w:rsidRPr="00324380" w:rsidRDefault="00324380" w:rsidP="00CA0D72">
            <w:pPr>
              <w:pStyle w:val="Table"/>
              <w:ind w:right="-3"/>
            </w:pPr>
            <w:r w:rsidRPr="00324380">
              <w:t xml:space="preserve">Victorian Department of Human Services </w:t>
            </w:r>
          </w:p>
        </w:tc>
      </w:tr>
      <w:tr w:rsidR="00324380" w:rsidRPr="00324380" w14:paraId="37D40438" w14:textId="77777777" w:rsidTr="00FF7979">
        <w:tc>
          <w:tcPr>
            <w:tcW w:w="2835" w:type="dxa"/>
          </w:tcPr>
          <w:p w14:paraId="5B898E16" w14:textId="77777777" w:rsidR="00324380" w:rsidRPr="00324380" w:rsidRDefault="00324380" w:rsidP="00CA0D72">
            <w:pPr>
              <w:pStyle w:val="Table"/>
              <w:ind w:right="-3"/>
            </w:pPr>
            <w:r w:rsidRPr="00324380">
              <w:t xml:space="preserve">Carolyn Glover  </w:t>
            </w:r>
          </w:p>
        </w:tc>
        <w:tc>
          <w:tcPr>
            <w:tcW w:w="6062" w:type="dxa"/>
          </w:tcPr>
          <w:p w14:paraId="471CD2E9" w14:textId="77777777" w:rsidR="00324380" w:rsidRPr="00324380" w:rsidRDefault="00324380" w:rsidP="00CA0D72">
            <w:pPr>
              <w:pStyle w:val="Table"/>
              <w:ind w:right="-3"/>
            </w:pPr>
            <w:r w:rsidRPr="00324380">
              <w:t xml:space="preserve">Victorian Department of Human Services </w:t>
            </w:r>
          </w:p>
        </w:tc>
      </w:tr>
      <w:tr w:rsidR="00324380" w:rsidRPr="00324380" w14:paraId="14FF783F" w14:textId="77777777" w:rsidTr="00FF7979">
        <w:tc>
          <w:tcPr>
            <w:tcW w:w="2835" w:type="dxa"/>
          </w:tcPr>
          <w:p w14:paraId="5BB2AE6F" w14:textId="77777777" w:rsidR="00324380" w:rsidRPr="00324380" w:rsidRDefault="00324380" w:rsidP="00CA0D72">
            <w:pPr>
              <w:pStyle w:val="Table"/>
              <w:ind w:right="-3"/>
            </w:pPr>
            <w:r w:rsidRPr="00324380">
              <w:t xml:space="preserve">Kathy Stack </w:t>
            </w:r>
          </w:p>
        </w:tc>
        <w:tc>
          <w:tcPr>
            <w:tcW w:w="6062" w:type="dxa"/>
          </w:tcPr>
          <w:p w14:paraId="70DACD36" w14:textId="77777777" w:rsidR="00324380" w:rsidRPr="00324380" w:rsidRDefault="00324380" w:rsidP="00CA0D72">
            <w:pPr>
              <w:pStyle w:val="Table"/>
              <w:ind w:right="-3"/>
            </w:pPr>
            <w:r w:rsidRPr="00324380">
              <w:t xml:space="preserve">WA Department of Health </w:t>
            </w:r>
          </w:p>
        </w:tc>
      </w:tr>
      <w:tr w:rsidR="00324380" w:rsidRPr="00324380" w14:paraId="51E4C716" w14:textId="77777777" w:rsidTr="00FF7979">
        <w:tc>
          <w:tcPr>
            <w:tcW w:w="2835" w:type="dxa"/>
          </w:tcPr>
          <w:p w14:paraId="27B4C475" w14:textId="77777777" w:rsidR="00324380" w:rsidRPr="00324380" w:rsidRDefault="00324380" w:rsidP="00CA0D72">
            <w:pPr>
              <w:pStyle w:val="Table"/>
              <w:ind w:right="-3"/>
            </w:pPr>
            <w:r w:rsidRPr="00324380">
              <w:t xml:space="preserve">Gail Milner </w:t>
            </w:r>
          </w:p>
        </w:tc>
        <w:tc>
          <w:tcPr>
            <w:tcW w:w="6062" w:type="dxa"/>
          </w:tcPr>
          <w:p w14:paraId="5CE17F7D" w14:textId="77777777" w:rsidR="00324380" w:rsidRPr="00324380" w:rsidRDefault="00324380" w:rsidP="00CA0D72">
            <w:pPr>
              <w:pStyle w:val="Table"/>
              <w:ind w:right="-3"/>
            </w:pPr>
            <w:r w:rsidRPr="00324380">
              <w:t xml:space="preserve">WA Department of Health </w:t>
            </w:r>
          </w:p>
        </w:tc>
      </w:tr>
      <w:tr w:rsidR="00324380" w:rsidRPr="00324380" w14:paraId="095CDD00" w14:textId="77777777" w:rsidTr="00FF7979">
        <w:tc>
          <w:tcPr>
            <w:tcW w:w="2835" w:type="dxa"/>
          </w:tcPr>
          <w:p w14:paraId="50B66751" w14:textId="77777777" w:rsidR="00324380" w:rsidRPr="00324380" w:rsidRDefault="00324380" w:rsidP="00CA0D72">
            <w:pPr>
              <w:pStyle w:val="Table"/>
              <w:ind w:right="-3"/>
            </w:pPr>
            <w:r w:rsidRPr="00324380">
              <w:t xml:space="preserve">Jeanette Plenty  </w:t>
            </w:r>
          </w:p>
        </w:tc>
        <w:tc>
          <w:tcPr>
            <w:tcW w:w="6062" w:type="dxa"/>
          </w:tcPr>
          <w:p w14:paraId="00A65D7B" w14:textId="77777777" w:rsidR="00324380" w:rsidRPr="00324380" w:rsidRDefault="00324380" w:rsidP="00CA0D72">
            <w:pPr>
              <w:pStyle w:val="Table"/>
              <w:ind w:right="-3"/>
            </w:pPr>
            <w:r w:rsidRPr="00324380">
              <w:t xml:space="preserve">WA Department of Health </w:t>
            </w:r>
          </w:p>
        </w:tc>
      </w:tr>
      <w:tr w:rsidR="00324380" w:rsidRPr="00324380" w14:paraId="6DE2E143" w14:textId="77777777" w:rsidTr="00FF7979">
        <w:tc>
          <w:tcPr>
            <w:tcW w:w="2835" w:type="dxa"/>
          </w:tcPr>
          <w:p w14:paraId="4A970E03" w14:textId="77777777" w:rsidR="00324380" w:rsidRPr="00324380" w:rsidRDefault="00324380" w:rsidP="00CA0D72">
            <w:pPr>
              <w:pStyle w:val="Table"/>
              <w:ind w:right="-3"/>
            </w:pPr>
            <w:r w:rsidRPr="00324380">
              <w:t xml:space="preserve">Professor Leon Flicker  </w:t>
            </w:r>
          </w:p>
        </w:tc>
        <w:tc>
          <w:tcPr>
            <w:tcW w:w="6062" w:type="dxa"/>
          </w:tcPr>
          <w:p w14:paraId="2001533C" w14:textId="77777777" w:rsidR="00324380" w:rsidRPr="00324380" w:rsidRDefault="00324380" w:rsidP="00CA0D72">
            <w:pPr>
              <w:pStyle w:val="Table"/>
              <w:ind w:right="-3"/>
            </w:pPr>
            <w:r w:rsidRPr="00324380">
              <w:t xml:space="preserve">Royal Perth Hospital </w:t>
            </w:r>
          </w:p>
        </w:tc>
      </w:tr>
      <w:tr w:rsidR="00324380" w:rsidRPr="00324380" w14:paraId="4A09BD4D" w14:textId="77777777" w:rsidTr="00FF7979">
        <w:tc>
          <w:tcPr>
            <w:tcW w:w="2835" w:type="dxa"/>
          </w:tcPr>
          <w:p w14:paraId="33E8B795" w14:textId="77777777" w:rsidR="00324380" w:rsidRPr="00324380" w:rsidRDefault="00324380" w:rsidP="00CA0D72">
            <w:pPr>
              <w:pStyle w:val="Table"/>
              <w:ind w:right="-3"/>
            </w:pPr>
            <w:r w:rsidRPr="00324380">
              <w:t xml:space="preserve">Dr Paul Varghese  </w:t>
            </w:r>
          </w:p>
        </w:tc>
        <w:tc>
          <w:tcPr>
            <w:tcW w:w="6062" w:type="dxa"/>
          </w:tcPr>
          <w:p w14:paraId="01D7ACB8" w14:textId="77777777" w:rsidR="00324380" w:rsidRPr="00324380" w:rsidRDefault="00324380" w:rsidP="00CA0D72">
            <w:pPr>
              <w:pStyle w:val="Table"/>
              <w:ind w:right="-3"/>
            </w:pPr>
            <w:r w:rsidRPr="00324380">
              <w:t xml:space="preserve">Princess Alexandra Hospital (QLD) </w:t>
            </w:r>
          </w:p>
        </w:tc>
      </w:tr>
    </w:tbl>
    <w:p w14:paraId="64B50995" w14:textId="66A700F2" w:rsidR="00846CDA" w:rsidRDefault="00304AC8" w:rsidP="007E5706">
      <w:pPr>
        <w:pStyle w:val="Heading2"/>
        <w:ind w:right="-3"/>
      </w:pPr>
      <w:r>
        <w:br w:type="page"/>
      </w:r>
      <w:bookmarkStart w:id="2" w:name="_Toc402348849"/>
      <w:r w:rsidR="00AA59FF">
        <w:lastRenderedPageBreak/>
        <w:t>Summary of Ethics Applications</w:t>
      </w:r>
      <w:bookmarkEnd w:id="2"/>
      <w:r w:rsidR="00AA59FF">
        <w:t xml:space="preserve"> </w:t>
      </w:r>
    </w:p>
    <w:tbl>
      <w:tblPr>
        <w:tblStyle w:val="TableGrid"/>
        <w:tblW w:w="0" w:type="auto"/>
        <w:tblLook w:val="04A0" w:firstRow="1" w:lastRow="0" w:firstColumn="1" w:lastColumn="0" w:noHBand="0" w:noVBand="1"/>
        <w:tblDescription w:val="Summary of Ethics Applications "/>
      </w:tblPr>
      <w:tblGrid>
        <w:gridCol w:w="3652"/>
        <w:gridCol w:w="1480"/>
        <w:gridCol w:w="1480"/>
        <w:gridCol w:w="1480"/>
        <w:gridCol w:w="1480"/>
      </w:tblGrid>
      <w:tr w:rsidR="007E5706" w14:paraId="0F0658C2" w14:textId="77777777" w:rsidTr="007E5706">
        <w:trPr>
          <w:tblHeader/>
        </w:trPr>
        <w:tc>
          <w:tcPr>
            <w:tcW w:w="3652" w:type="dxa"/>
            <w:shd w:val="clear" w:color="auto" w:fill="D9D9D9" w:themeFill="background1" w:themeFillShade="D9"/>
            <w:vAlign w:val="center"/>
          </w:tcPr>
          <w:p w14:paraId="647549C2" w14:textId="1A0A2F14" w:rsidR="007E5706" w:rsidRPr="007E5706" w:rsidRDefault="007E5706"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029B9390" w14:textId="13BCBEED" w:rsidR="007E5706" w:rsidRPr="007E5706" w:rsidRDefault="007E5706"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2578A6FF" w14:textId="7C944704" w:rsidR="007E5706" w:rsidRPr="007E5706" w:rsidRDefault="007E5706"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20AB5A82" w14:textId="3EC37101" w:rsidR="007E5706" w:rsidRPr="007E5706" w:rsidRDefault="007E5706"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68BBFDD9" w14:textId="3C94A23D" w:rsidR="007E5706" w:rsidRPr="007E5706" w:rsidRDefault="007E5706" w:rsidP="00412F75">
            <w:pPr>
              <w:spacing w:before="60" w:after="60"/>
              <w:jc w:val="center"/>
              <w:rPr>
                <w:b/>
              </w:rPr>
            </w:pPr>
            <w:r w:rsidRPr="007E5706">
              <w:rPr>
                <w:b/>
              </w:rPr>
              <w:t>Final approval</w:t>
            </w:r>
          </w:p>
        </w:tc>
      </w:tr>
      <w:tr w:rsidR="007E5706" w14:paraId="10983489" w14:textId="77777777" w:rsidTr="007E5706">
        <w:tc>
          <w:tcPr>
            <w:tcW w:w="3652" w:type="dxa"/>
          </w:tcPr>
          <w:p w14:paraId="0187C5AD" w14:textId="4DF7C79C" w:rsidR="007E5706" w:rsidRDefault="007E5706" w:rsidP="007E5706">
            <w:r w:rsidRPr="00304AC8">
              <w:t>Department of Health and Ageing Departmental Ethics Committee</w:t>
            </w:r>
          </w:p>
        </w:tc>
        <w:tc>
          <w:tcPr>
            <w:tcW w:w="1480" w:type="dxa"/>
          </w:tcPr>
          <w:p w14:paraId="50B71DFE" w14:textId="35B18211" w:rsidR="007E5706" w:rsidRDefault="007E5706" w:rsidP="007E5706">
            <w:r w:rsidRPr="00304AC8">
              <w:t xml:space="preserve">18 Oct 2006 </w:t>
            </w:r>
          </w:p>
        </w:tc>
        <w:tc>
          <w:tcPr>
            <w:tcW w:w="1480" w:type="dxa"/>
          </w:tcPr>
          <w:p w14:paraId="1C067032" w14:textId="75D78A35" w:rsidR="007E5706" w:rsidRDefault="007E5706" w:rsidP="007E5706">
            <w:r w:rsidRPr="00304AC8">
              <w:t xml:space="preserve">18 Oct 2006 </w:t>
            </w:r>
          </w:p>
        </w:tc>
        <w:tc>
          <w:tcPr>
            <w:tcW w:w="1480" w:type="dxa"/>
          </w:tcPr>
          <w:p w14:paraId="3E0AE1B7" w14:textId="68DE10C2" w:rsidR="007E5706" w:rsidRDefault="007E5706" w:rsidP="007E5706">
            <w:r w:rsidRPr="00304AC8">
              <w:t xml:space="preserve">06 Nov 2006 </w:t>
            </w:r>
          </w:p>
        </w:tc>
        <w:tc>
          <w:tcPr>
            <w:tcW w:w="1480" w:type="dxa"/>
          </w:tcPr>
          <w:p w14:paraId="4282021F" w14:textId="2A35C5E8" w:rsidR="007E5706" w:rsidRDefault="007E5706" w:rsidP="007E5706">
            <w:r w:rsidRPr="00304AC8">
              <w:t xml:space="preserve">13 Dec 2006 </w:t>
            </w:r>
          </w:p>
        </w:tc>
      </w:tr>
      <w:tr w:rsidR="007E5706" w14:paraId="07A5F271" w14:textId="77777777" w:rsidTr="007E5706">
        <w:tc>
          <w:tcPr>
            <w:tcW w:w="3652" w:type="dxa"/>
          </w:tcPr>
          <w:p w14:paraId="3A241402" w14:textId="6BF6308B" w:rsidR="007E5706" w:rsidRDefault="007E5706" w:rsidP="007E5706">
            <w:r w:rsidRPr="00304AC8">
              <w:t xml:space="preserve">Flinders Clinical Research Ethics Committee </w:t>
            </w:r>
          </w:p>
        </w:tc>
        <w:tc>
          <w:tcPr>
            <w:tcW w:w="1480" w:type="dxa"/>
          </w:tcPr>
          <w:p w14:paraId="152058F6" w14:textId="5EB1277A" w:rsidR="007E5706" w:rsidRDefault="007E5706" w:rsidP="007E5706">
            <w:r w:rsidRPr="00304AC8">
              <w:t xml:space="preserve">27 Nov 2006 </w:t>
            </w:r>
          </w:p>
        </w:tc>
        <w:tc>
          <w:tcPr>
            <w:tcW w:w="1480" w:type="dxa"/>
          </w:tcPr>
          <w:p w14:paraId="15018CBE" w14:textId="4D444B36" w:rsidR="007E5706" w:rsidRDefault="007E5706" w:rsidP="007E5706">
            <w:r w:rsidRPr="00304AC8">
              <w:t xml:space="preserve">30 Oct 2006 </w:t>
            </w:r>
          </w:p>
        </w:tc>
        <w:tc>
          <w:tcPr>
            <w:tcW w:w="1480" w:type="dxa"/>
          </w:tcPr>
          <w:p w14:paraId="7781116A" w14:textId="500632EE" w:rsidR="007E5706" w:rsidRDefault="007E5706" w:rsidP="007E5706">
            <w:r w:rsidRPr="00304AC8">
              <w:t xml:space="preserve">11 Dec 2006 </w:t>
            </w:r>
          </w:p>
        </w:tc>
        <w:tc>
          <w:tcPr>
            <w:tcW w:w="1480" w:type="dxa"/>
          </w:tcPr>
          <w:p w14:paraId="2D85F8C9" w14:textId="18DCA5E9" w:rsidR="007E5706" w:rsidRDefault="007E5706" w:rsidP="007E5706">
            <w:r w:rsidRPr="00304AC8">
              <w:t xml:space="preserve">18 Dec 2006 </w:t>
            </w:r>
          </w:p>
        </w:tc>
      </w:tr>
    </w:tbl>
    <w:p w14:paraId="10F1E94F" w14:textId="0F486067" w:rsidR="007E5706" w:rsidRDefault="007E5706" w:rsidP="00412F75">
      <w:pPr>
        <w:pStyle w:val="Heading3"/>
      </w:pPr>
      <w:bookmarkStart w:id="3" w:name="_Toc402348850"/>
      <w:r w:rsidRPr="00304AC8">
        <w:t>ACT Government</w:t>
      </w:r>
      <w:bookmarkEnd w:id="3"/>
    </w:p>
    <w:tbl>
      <w:tblPr>
        <w:tblStyle w:val="TableGrid"/>
        <w:tblW w:w="0" w:type="auto"/>
        <w:tblLook w:val="04A0" w:firstRow="1" w:lastRow="0" w:firstColumn="1" w:lastColumn="0" w:noHBand="0" w:noVBand="1"/>
        <w:tblDescription w:val="ACT Government"/>
      </w:tblPr>
      <w:tblGrid>
        <w:gridCol w:w="3652"/>
        <w:gridCol w:w="1480"/>
        <w:gridCol w:w="1480"/>
        <w:gridCol w:w="1480"/>
        <w:gridCol w:w="1480"/>
      </w:tblGrid>
      <w:tr w:rsidR="007E5706" w14:paraId="47F8DCCC" w14:textId="77777777" w:rsidTr="007E5706">
        <w:trPr>
          <w:tblHeader/>
        </w:trPr>
        <w:tc>
          <w:tcPr>
            <w:tcW w:w="3652" w:type="dxa"/>
            <w:shd w:val="clear" w:color="auto" w:fill="D9D9D9" w:themeFill="background1" w:themeFillShade="D9"/>
            <w:vAlign w:val="center"/>
          </w:tcPr>
          <w:p w14:paraId="0A60CF11" w14:textId="3F6DF9F1" w:rsidR="007E5706" w:rsidRPr="007E5706" w:rsidRDefault="007E5706"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3EF46BAF" w14:textId="791A608C" w:rsidR="007E5706" w:rsidRPr="007E5706" w:rsidRDefault="007E5706"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41D3EE5E" w14:textId="77777777" w:rsidR="007E5706" w:rsidRPr="007E5706" w:rsidRDefault="007E5706"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7A6C6529" w14:textId="30C020AA" w:rsidR="007E5706" w:rsidRPr="007E5706" w:rsidRDefault="007E5706"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2B71CE02" w14:textId="27BE1C0A" w:rsidR="007E5706" w:rsidRPr="007E5706" w:rsidRDefault="007E5706" w:rsidP="00412F75">
            <w:pPr>
              <w:spacing w:before="60" w:after="60"/>
              <w:jc w:val="center"/>
              <w:rPr>
                <w:b/>
              </w:rPr>
            </w:pPr>
            <w:r w:rsidRPr="007E5706">
              <w:rPr>
                <w:b/>
              </w:rPr>
              <w:t>Final approval</w:t>
            </w:r>
          </w:p>
        </w:tc>
      </w:tr>
      <w:tr w:rsidR="007E5706" w14:paraId="695040EA" w14:textId="77777777" w:rsidTr="007E5706">
        <w:tc>
          <w:tcPr>
            <w:tcW w:w="3652" w:type="dxa"/>
          </w:tcPr>
          <w:p w14:paraId="313B4F2F" w14:textId="6603F94F" w:rsidR="007E5706" w:rsidRDefault="007E5706" w:rsidP="007E5706">
            <w:r w:rsidRPr="00304AC8">
              <w:t xml:space="preserve">ACT Health and Community Care </w:t>
            </w:r>
            <w:r>
              <w:t>Human Research Ethics Committee</w:t>
            </w:r>
          </w:p>
        </w:tc>
        <w:tc>
          <w:tcPr>
            <w:tcW w:w="1480" w:type="dxa"/>
          </w:tcPr>
          <w:p w14:paraId="4B598614" w14:textId="418030ED" w:rsidR="007E5706" w:rsidRDefault="007E5706" w:rsidP="007E5706">
            <w:r w:rsidRPr="00304AC8">
              <w:t xml:space="preserve">28 Nov 2006 </w:t>
            </w:r>
          </w:p>
        </w:tc>
        <w:tc>
          <w:tcPr>
            <w:tcW w:w="1480" w:type="dxa"/>
          </w:tcPr>
          <w:p w14:paraId="44799C76" w14:textId="6DE1DD25" w:rsidR="007E5706" w:rsidRDefault="007E5706" w:rsidP="007E5706">
            <w:r w:rsidRPr="00304AC8">
              <w:t xml:space="preserve">23 Nov 2006 </w:t>
            </w:r>
          </w:p>
        </w:tc>
        <w:tc>
          <w:tcPr>
            <w:tcW w:w="1480" w:type="dxa"/>
          </w:tcPr>
          <w:p w14:paraId="087423A0" w14:textId="0CEDC79C" w:rsidR="007E5706" w:rsidRDefault="007E5706" w:rsidP="007E5706">
            <w:r w:rsidRPr="00304AC8">
              <w:t xml:space="preserve">11 Dec 2006 </w:t>
            </w:r>
          </w:p>
        </w:tc>
        <w:tc>
          <w:tcPr>
            <w:tcW w:w="1480" w:type="dxa"/>
          </w:tcPr>
          <w:p w14:paraId="6A8772E9" w14:textId="190F6632" w:rsidR="007E5706" w:rsidRDefault="007E5706" w:rsidP="007E5706">
            <w:r w:rsidRPr="00304AC8">
              <w:t xml:space="preserve">26 Feb 2007 </w:t>
            </w:r>
          </w:p>
        </w:tc>
      </w:tr>
    </w:tbl>
    <w:p w14:paraId="2B902489" w14:textId="2B21DA49" w:rsidR="007E5706" w:rsidRDefault="007E5706" w:rsidP="00412F75">
      <w:pPr>
        <w:pStyle w:val="Heading3"/>
      </w:pPr>
      <w:bookmarkStart w:id="4" w:name="_Toc402348851"/>
      <w:r w:rsidRPr="00304AC8">
        <w:t>Victorian Government</w:t>
      </w:r>
      <w:bookmarkEnd w:id="4"/>
    </w:p>
    <w:tbl>
      <w:tblPr>
        <w:tblStyle w:val="TableGrid"/>
        <w:tblW w:w="0" w:type="auto"/>
        <w:tblLook w:val="04A0" w:firstRow="1" w:lastRow="0" w:firstColumn="1" w:lastColumn="0" w:noHBand="0" w:noVBand="1"/>
        <w:tblDescription w:val="Victorian Government"/>
      </w:tblPr>
      <w:tblGrid>
        <w:gridCol w:w="3652"/>
        <w:gridCol w:w="1480"/>
        <w:gridCol w:w="1480"/>
        <w:gridCol w:w="1480"/>
        <w:gridCol w:w="1480"/>
      </w:tblGrid>
      <w:tr w:rsidR="007E5706" w14:paraId="1C5BEBDF" w14:textId="77777777" w:rsidTr="00BF774F">
        <w:trPr>
          <w:tblHeader/>
        </w:trPr>
        <w:tc>
          <w:tcPr>
            <w:tcW w:w="3652" w:type="dxa"/>
            <w:shd w:val="clear" w:color="auto" w:fill="D9D9D9" w:themeFill="background1" w:themeFillShade="D9"/>
            <w:vAlign w:val="center"/>
          </w:tcPr>
          <w:p w14:paraId="4F72818D" w14:textId="77777777" w:rsidR="007E5706" w:rsidRPr="007E5706" w:rsidRDefault="007E5706"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76E0E685" w14:textId="77777777" w:rsidR="007E5706" w:rsidRPr="007E5706" w:rsidRDefault="007E5706"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2CF87687" w14:textId="77777777" w:rsidR="007E5706" w:rsidRPr="007E5706" w:rsidRDefault="007E5706"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52E7D669" w14:textId="77777777" w:rsidR="007E5706" w:rsidRPr="007E5706" w:rsidRDefault="007E5706"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23194AEB" w14:textId="77777777" w:rsidR="007E5706" w:rsidRPr="007E5706" w:rsidRDefault="007E5706" w:rsidP="00412F75">
            <w:pPr>
              <w:spacing w:before="60" w:after="60"/>
              <w:jc w:val="center"/>
              <w:rPr>
                <w:b/>
              </w:rPr>
            </w:pPr>
            <w:r w:rsidRPr="007E5706">
              <w:rPr>
                <w:b/>
              </w:rPr>
              <w:t>Final approval</w:t>
            </w:r>
          </w:p>
        </w:tc>
      </w:tr>
      <w:tr w:rsidR="00BF774F" w14:paraId="6B88F940" w14:textId="77777777" w:rsidTr="00BF774F">
        <w:tc>
          <w:tcPr>
            <w:tcW w:w="3652" w:type="dxa"/>
          </w:tcPr>
          <w:p w14:paraId="0D747CF7" w14:textId="22E527F9" w:rsidR="00BF774F" w:rsidRDefault="00BF774F" w:rsidP="00BF774F">
            <w:r w:rsidRPr="00304AC8">
              <w:t xml:space="preserve">Austin Health </w:t>
            </w:r>
            <w:r>
              <w:t>Human Research Ethics Committee</w:t>
            </w:r>
          </w:p>
        </w:tc>
        <w:tc>
          <w:tcPr>
            <w:tcW w:w="1480" w:type="dxa"/>
          </w:tcPr>
          <w:p w14:paraId="48EAD6FD" w14:textId="1789C138" w:rsidR="00BF774F" w:rsidRDefault="00BF774F" w:rsidP="00BF774F">
            <w:r w:rsidRPr="00304AC8">
              <w:t xml:space="preserve">28 Nov 2006 </w:t>
            </w:r>
          </w:p>
        </w:tc>
        <w:tc>
          <w:tcPr>
            <w:tcW w:w="1480" w:type="dxa"/>
          </w:tcPr>
          <w:p w14:paraId="744677C8" w14:textId="44A542C4" w:rsidR="00BF774F" w:rsidRDefault="00BF774F" w:rsidP="00BF774F">
            <w:r w:rsidRPr="00304AC8">
              <w:t xml:space="preserve">23 Nov 2006 </w:t>
            </w:r>
          </w:p>
        </w:tc>
        <w:tc>
          <w:tcPr>
            <w:tcW w:w="1480" w:type="dxa"/>
          </w:tcPr>
          <w:p w14:paraId="4E6E259F" w14:textId="63F6F76C" w:rsidR="00BF774F" w:rsidRDefault="00BF774F" w:rsidP="00BF774F">
            <w:r w:rsidRPr="00304AC8">
              <w:t xml:space="preserve">12 Dec 2006 </w:t>
            </w:r>
          </w:p>
        </w:tc>
        <w:tc>
          <w:tcPr>
            <w:tcW w:w="1480" w:type="dxa"/>
          </w:tcPr>
          <w:p w14:paraId="72A6293D" w14:textId="63CC5E2B" w:rsidR="00BF774F" w:rsidRDefault="00BF774F" w:rsidP="00BF774F">
            <w:r w:rsidRPr="00304AC8">
              <w:t xml:space="preserve">28 Feb 2007 </w:t>
            </w:r>
          </w:p>
        </w:tc>
      </w:tr>
      <w:tr w:rsidR="00BF774F" w14:paraId="448EE6A4" w14:textId="77777777" w:rsidTr="00BF774F">
        <w:tc>
          <w:tcPr>
            <w:tcW w:w="3652" w:type="dxa"/>
          </w:tcPr>
          <w:p w14:paraId="00CF0244" w14:textId="32458458" w:rsidR="00BF774F" w:rsidRDefault="00BF774F" w:rsidP="00BF774F">
            <w:r w:rsidRPr="00304AC8">
              <w:t xml:space="preserve">Barwon Health Research and Ethics Advisory Committee </w:t>
            </w:r>
          </w:p>
        </w:tc>
        <w:tc>
          <w:tcPr>
            <w:tcW w:w="1480" w:type="dxa"/>
          </w:tcPr>
          <w:p w14:paraId="2096A17A" w14:textId="2FF2ECF3" w:rsidR="00BF774F" w:rsidRDefault="00BF774F" w:rsidP="00BF774F">
            <w:r w:rsidRPr="00304AC8">
              <w:t xml:space="preserve">21 Nov 2006 </w:t>
            </w:r>
          </w:p>
        </w:tc>
        <w:tc>
          <w:tcPr>
            <w:tcW w:w="1480" w:type="dxa"/>
          </w:tcPr>
          <w:p w14:paraId="4DBD96B1" w14:textId="1578FCF9" w:rsidR="00BF774F" w:rsidRDefault="00BF774F" w:rsidP="00BF774F">
            <w:r w:rsidRPr="00304AC8">
              <w:t xml:space="preserve">21 Nov 2006 </w:t>
            </w:r>
          </w:p>
        </w:tc>
        <w:tc>
          <w:tcPr>
            <w:tcW w:w="1480" w:type="dxa"/>
          </w:tcPr>
          <w:p w14:paraId="7D4AF3AE" w14:textId="5D8D9600" w:rsidR="00BF774F" w:rsidRDefault="00BF774F" w:rsidP="00BF774F">
            <w:r w:rsidRPr="00304AC8">
              <w:t xml:space="preserve">28 Nov 2006 </w:t>
            </w:r>
          </w:p>
        </w:tc>
        <w:tc>
          <w:tcPr>
            <w:tcW w:w="1480" w:type="dxa"/>
          </w:tcPr>
          <w:p w14:paraId="3F73479B" w14:textId="1BC06B06" w:rsidR="00BF774F" w:rsidRDefault="00BF774F" w:rsidP="00BF774F">
            <w:r w:rsidRPr="00304AC8">
              <w:t xml:space="preserve">12 Dec 2006 </w:t>
            </w:r>
          </w:p>
        </w:tc>
      </w:tr>
      <w:tr w:rsidR="00BF774F" w14:paraId="3DEEC267" w14:textId="77777777" w:rsidTr="00BF774F">
        <w:tc>
          <w:tcPr>
            <w:tcW w:w="3652" w:type="dxa"/>
          </w:tcPr>
          <w:p w14:paraId="413C3B0B" w14:textId="77777777" w:rsidR="00BF774F" w:rsidRDefault="00BF774F" w:rsidP="00BF774F">
            <w:r w:rsidRPr="00304AC8">
              <w:t xml:space="preserve">Bundoora Extended Care Centre </w:t>
            </w:r>
            <w:r>
              <w:t>Human Research Ethics Committee</w:t>
            </w:r>
          </w:p>
          <w:p w14:paraId="3EB1F475" w14:textId="77777777" w:rsidR="00BF774F" w:rsidRDefault="00BF774F" w:rsidP="00BF774F"/>
          <w:p w14:paraId="3932F98B" w14:textId="4BFC06B8" w:rsidR="00BF774F" w:rsidRDefault="00BF774F" w:rsidP="00BF774F">
            <w:r w:rsidRPr="00304AC8">
              <w:t xml:space="preserve">Have asked for project to be overseen by the Northern </w:t>
            </w:r>
            <w:r>
              <w:t>Human Research Ethics Committee</w:t>
            </w:r>
            <w:r w:rsidRPr="00304AC8">
              <w:t xml:space="preserve"> (in same health region)</w:t>
            </w:r>
          </w:p>
        </w:tc>
        <w:tc>
          <w:tcPr>
            <w:tcW w:w="1480" w:type="dxa"/>
          </w:tcPr>
          <w:p w14:paraId="739C2CC6" w14:textId="031B1689" w:rsidR="00BF774F" w:rsidRDefault="00BF774F" w:rsidP="00BF774F"/>
        </w:tc>
        <w:tc>
          <w:tcPr>
            <w:tcW w:w="1480" w:type="dxa"/>
          </w:tcPr>
          <w:p w14:paraId="496E9B9E" w14:textId="6C141EB5" w:rsidR="00BF774F" w:rsidRDefault="00BF774F" w:rsidP="00BF774F">
            <w:r w:rsidRPr="00304AC8">
              <w:t>30 Nov 2006</w:t>
            </w:r>
          </w:p>
        </w:tc>
        <w:tc>
          <w:tcPr>
            <w:tcW w:w="1480" w:type="dxa"/>
          </w:tcPr>
          <w:p w14:paraId="3354E79F" w14:textId="77777777" w:rsidR="00BF774F" w:rsidRDefault="00BF774F" w:rsidP="00BF774F"/>
        </w:tc>
        <w:tc>
          <w:tcPr>
            <w:tcW w:w="1480" w:type="dxa"/>
          </w:tcPr>
          <w:p w14:paraId="5B4695D4" w14:textId="77777777" w:rsidR="00BF774F" w:rsidRDefault="00BF774F" w:rsidP="00BF774F"/>
        </w:tc>
      </w:tr>
      <w:tr w:rsidR="00BF774F" w14:paraId="3D8E39E2" w14:textId="77777777" w:rsidTr="00BF774F">
        <w:tc>
          <w:tcPr>
            <w:tcW w:w="3652" w:type="dxa"/>
          </w:tcPr>
          <w:p w14:paraId="0BA4C1D6" w14:textId="5AEAE4B0" w:rsidR="00BF774F" w:rsidRDefault="00BF774F" w:rsidP="00BF774F">
            <w:r w:rsidRPr="00304AC8">
              <w:t xml:space="preserve">Eastern Health Research and Ethics Committee </w:t>
            </w:r>
          </w:p>
        </w:tc>
        <w:tc>
          <w:tcPr>
            <w:tcW w:w="1480" w:type="dxa"/>
          </w:tcPr>
          <w:p w14:paraId="4AACEF1B" w14:textId="0054132D" w:rsidR="00BF774F" w:rsidRDefault="00BF774F" w:rsidP="00BF774F">
            <w:r w:rsidRPr="00304AC8">
              <w:t xml:space="preserve">QA Process </w:t>
            </w:r>
          </w:p>
        </w:tc>
        <w:tc>
          <w:tcPr>
            <w:tcW w:w="1480" w:type="dxa"/>
          </w:tcPr>
          <w:p w14:paraId="675DB9C5" w14:textId="347053A8" w:rsidR="00BF774F" w:rsidRDefault="00BF774F" w:rsidP="00BF774F">
            <w:r w:rsidRPr="00304AC8">
              <w:t xml:space="preserve">21 Nov 2006 </w:t>
            </w:r>
          </w:p>
        </w:tc>
        <w:tc>
          <w:tcPr>
            <w:tcW w:w="1480" w:type="dxa"/>
          </w:tcPr>
          <w:p w14:paraId="11ACA80A" w14:textId="54461140" w:rsidR="00BF774F" w:rsidRDefault="00BF774F" w:rsidP="00BF774F">
            <w:r w:rsidRPr="00304AC8">
              <w:t xml:space="preserve">14 Dec 2006 </w:t>
            </w:r>
          </w:p>
        </w:tc>
        <w:tc>
          <w:tcPr>
            <w:tcW w:w="1480" w:type="dxa"/>
          </w:tcPr>
          <w:p w14:paraId="27B74992" w14:textId="1F109579" w:rsidR="00BF774F" w:rsidRDefault="00BF774F" w:rsidP="00BF774F">
            <w:r w:rsidRPr="00304AC8">
              <w:t xml:space="preserve">Not Required </w:t>
            </w:r>
          </w:p>
        </w:tc>
      </w:tr>
      <w:tr w:rsidR="00BF774F" w14:paraId="480708DD" w14:textId="77777777" w:rsidTr="00BF774F">
        <w:tc>
          <w:tcPr>
            <w:tcW w:w="3652" w:type="dxa"/>
          </w:tcPr>
          <w:p w14:paraId="144F76C2" w14:textId="5A4318E6" w:rsidR="00BF774F" w:rsidRDefault="00BF774F" w:rsidP="00BF774F">
            <w:r>
              <w:t>Human Research Ethics Committee</w:t>
            </w:r>
            <w:r w:rsidRPr="00304AC8">
              <w:t xml:space="preserve">- A St Vincent's Health Melbourne </w:t>
            </w:r>
          </w:p>
        </w:tc>
        <w:tc>
          <w:tcPr>
            <w:tcW w:w="1480" w:type="dxa"/>
          </w:tcPr>
          <w:p w14:paraId="478BBA48" w14:textId="5B1F1681" w:rsidR="00BF774F" w:rsidRDefault="00BF774F" w:rsidP="00BF774F">
            <w:r w:rsidRPr="00304AC8">
              <w:t xml:space="preserve">QA Process </w:t>
            </w:r>
          </w:p>
        </w:tc>
        <w:tc>
          <w:tcPr>
            <w:tcW w:w="1480" w:type="dxa"/>
          </w:tcPr>
          <w:p w14:paraId="567632C6" w14:textId="52AF42BB" w:rsidR="00BF774F" w:rsidRDefault="00BF774F" w:rsidP="00BF774F">
            <w:r w:rsidRPr="00304AC8">
              <w:t xml:space="preserve">21 Nov 2006 </w:t>
            </w:r>
          </w:p>
        </w:tc>
        <w:tc>
          <w:tcPr>
            <w:tcW w:w="1480" w:type="dxa"/>
          </w:tcPr>
          <w:p w14:paraId="0F86AEDF" w14:textId="289FE10B" w:rsidR="00BF774F" w:rsidRDefault="00BF774F" w:rsidP="00BF774F">
            <w:r w:rsidRPr="00304AC8">
              <w:t xml:space="preserve">13 Dec 2006 </w:t>
            </w:r>
          </w:p>
        </w:tc>
        <w:tc>
          <w:tcPr>
            <w:tcW w:w="1480" w:type="dxa"/>
          </w:tcPr>
          <w:p w14:paraId="3CEF6BCA" w14:textId="1889260F" w:rsidR="00BF774F" w:rsidRDefault="00BF774F" w:rsidP="00BF774F">
            <w:r w:rsidRPr="00304AC8">
              <w:t xml:space="preserve">Not Required </w:t>
            </w:r>
          </w:p>
        </w:tc>
      </w:tr>
      <w:tr w:rsidR="00BF774F" w14:paraId="43797F88" w14:textId="77777777" w:rsidTr="00BF774F">
        <w:tc>
          <w:tcPr>
            <w:tcW w:w="3652" w:type="dxa"/>
          </w:tcPr>
          <w:p w14:paraId="37E897C9" w14:textId="6085D6BA" w:rsidR="00BF774F" w:rsidRDefault="00BF774F" w:rsidP="00BF774F">
            <w:r w:rsidRPr="00304AC8">
              <w:t xml:space="preserve">Melbourne Health </w:t>
            </w:r>
            <w:r>
              <w:t>Human Research Ethics Committee</w:t>
            </w:r>
          </w:p>
        </w:tc>
        <w:tc>
          <w:tcPr>
            <w:tcW w:w="1480" w:type="dxa"/>
          </w:tcPr>
          <w:p w14:paraId="7113C7B8" w14:textId="098B9024" w:rsidR="00BF774F" w:rsidRDefault="00BF774F" w:rsidP="00BF774F">
            <w:r w:rsidRPr="00304AC8">
              <w:t xml:space="preserve">QA Process </w:t>
            </w:r>
          </w:p>
        </w:tc>
        <w:tc>
          <w:tcPr>
            <w:tcW w:w="1480" w:type="dxa"/>
          </w:tcPr>
          <w:p w14:paraId="1EE1C58C" w14:textId="4A255E23" w:rsidR="00BF774F" w:rsidRDefault="00BF774F" w:rsidP="00BF774F">
            <w:r w:rsidRPr="00304AC8">
              <w:t xml:space="preserve">04 Dec 2006 </w:t>
            </w:r>
          </w:p>
        </w:tc>
        <w:tc>
          <w:tcPr>
            <w:tcW w:w="1480" w:type="dxa"/>
          </w:tcPr>
          <w:p w14:paraId="56644E52" w14:textId="1699533D" w:rsidR="00BF774F" w:rsidRDefault="00BF774F" w:rsidP="00BF774F">
            <w:r w:rsidRPr="00304AC8">
              <w:t xml:space="preserve">06 Dec 2006 </w:t>
            </w:r>
          </w:p>
        </w:tc>
        <w:tc>
          <w:tcPr>
            <w:tcW w:w="1480" w:type="dxa"/>
          </w:tcPr>
          <w:p w14:paraId="611D7E0C" w14:textId="131AFB91" w:rsidR="00BF774F" w:rsidRDefault="00BF774F" w:rsidP="00BF774F">
            <w:r w:rsidRPr="00304AC8">
              <w:t xml:space="preserve">18 Jul 2007 </w:t>
            </w:r>
          </w:p>
        </w:tc>
      </w:tr>
      <w:tr w:rsidR="00BF774F" w14:paraId="57AF5AF2" w14:textId="77777777" w:rsidTr="00BF774F">
        <w:tc>
          <w:tcPr>
            <w:tcW w:w="3652" w:type="dxa"/>
          </w:tcPr>
          <w:p w14:paraId="5000B113" w14:textId="0D31AA31" w:rsidR="00BF774F" w:rsidRDefault="00BF774F" w:rsidP="00BF774F">
            <w:r w:rsidRPr="00304AC8">
              <w:t xml:space="preserve">Peninsula Health Research &amp; Ethics Committee </w:t>
            </w:r>
          </w:p>
        </w:tc>
        <w:tc>
          <w:tcPr>
            <w:tcW w:w="1480" w:type="dxa"/>
          </w:tcPr>
          <w:p w14:paraId="459610D3" w14:textId="455ADC56" w:rsidR="00BF774F" w:rsidRDefault="00BF774F" w:rsidP="00BF774F">
            <w:r w:rsidRPr="00304AC8">
              <w:t xml:space="preserve">17 Nov 2006 </w:t>
            </w:r>
          </w:p>
        </w:tc>
        <w:tc>
          <w:tcPr>
            <w:tcW w:w="1480" w:type="dxa"/>
          </w:tcPr>
          <w:p w14:paraId="29105036" w14:textId="49C3B478" w:rsidR="00BF774F" w:rsidRDefault="00BF774F" w:rsidP="00BF774F">
            <w:r w:rsidRPr="00304AC8">
              <w:t xml:space="preserve">16 Nov 2006 </w:t>
            </w:r>
          </w:p>
        </w:tc>
        <w:tc>
          <w:tcPr>
            <w:tcW w:w="1480" w:type="dxa"/>
          </w:tcPr>
          <w:p w14:paraId="71E1EE1F" w14:textId="73EF48A4" w:rsidR="00BF774F" w:rsidRDefault="00BF774F" w:rsidP="00BF774F">
            <w:r w:rsidRPr="00304AC8">
              <w:t xml:space="preserve">06 Dec 2006 </w:t>
            </w:r>
          </w:p>
        </w:tc>
        <w:tc>
          <w:tcPr>
            <w:tcW w:w="1480" w:type="dxa"/>
          </w:tcPr>
          <w:p w14:paraId="0379188C" w14:textId="3DC2AEBE" w:rsidR="00BF774F" w:rsidRDefault="00BF774F" w:rsidP="00BF774F">
            <w:r w:rsidRPr="00304AC8">
              <w:t xml:space="preserve">06 Dec 2006 </w:t>
            </w:r>
          </w:p>
        </w:tc>
      </w:tr>
      <w:tr w:rsidR="00BF774F" w14:paraId="67546B63" w14:textId="77777777" w:rsidTr="00BF774F">
        <w:tc>
          <w:tcPr>
            <w:tcW w:w="3652" w:type="dxa"/>
          </w:tcPr>
          <w:p w14:paraId="60C22DC1" w14:textId="70B68FE7" w:rsidR="00BF774F" w:rsidRDefault="00BF774F" w:rsidP="00BF774F">
            <w:r w:rsidRPr="00304AC8">
              <w:t xml:space="preserve">Southern Health </w:t>
            </w:r>
            <w:r>
              <w:t xml:space="preserve">Human Research Ethics Committee </w:t>
            </w:r>
            <w:r w:rsidRPr="00304AC8">
              <w:t>B</w:t>
            </w:r>
          </w:p>
        </w:tc>
        <w:tc>
          <w:tcPr>
            <w:tcW w:w="1480" w:type="dxa"/>
          </w:tcPr>
          <w:p w14:paraId="14622EB1" w14:textId="26BB8BCD" w:rsidR="00BF774F" w:rsidRDefault="00BF774F" w:rsidP="00BF774F">
            <w:r w:rsidRPr="00304AC8">
              <w:t xml:space="preserve">QA Process </w:t>
            </w:r>
          </w:p>
        </w:tc>
        <w:tc>
          <w:tcPr>
            <w:tcW w:w="1480" w:type="dxa"/>
          </w:tcPr>
          <w:p w14:paraId="15A5ED28" w14:textId="03EF0D1F" w:rsidR="00BF774F" w:rsidRDefault="00BF774F" w:rsidP="00BF774F">
            <w:r w:rsidRPr="00304AC8">
              <w:t xml:space="preserve">21 Nov 2006 </w:t>
            </w:r>
          </w:p>
        </w:tc>
        <w:tc>
          <w:tcPr>
            <w:tcW w:w="1480" w:type="dxa"/>
          </w:tcPr>
          <w:p w14:paraId="1987DB7E" w14:textId="04D702FB" w:rsidR="00BF774F" w:rsidRDefault="00BF774F" w:rsidP="00BF774F">
            <w:r w:rsidRPr="00304AC8">
              <w:t xml:space="preserve">14 Dec 2006 </w:t>
            </w:r>
          </w:p>
        </w:tc>
        <w:tc>
          <w:tcPr>
            <w:tcW w:w="1480" w:type="dxa"/>
          </w:tcPr>
          <w:p w14:paraId="0BFC40F3" w14:textId="479A0ACF" w:rsidR="00BF774F" w:rsidRDefault="00BF774F" w:rsidP="00BF774F">
            <w:r w:rsidRPr="00304AC8">
              <w:t xml:space="preserve">Not required </w:t>
            </w:r>
          </w:p>
        </w:tc>
      </w:tr>
      <w:tr w:rsidR="00BF774F" w14:paraId="21A71631" w14:textId="77777777" w:rsidTr="00BF774F">
        <w:tc>
          <w:tcPr>
            <w:tcW w:w="3652" w:type="dxa"/>
          </w:tcPr>
          <w:p w14:paraId="4F3E9453" w14:textId="7B9D86CE" w:rsidR="00BF774F" w:rsidRDefault="00BF774F" w:rsidP="00BF774F">
            <w:r w:rsidRPr="00304AC8">
              <w:lastRenderedPageBreak/>
              <w:t>The Alfred Research &amp; Ethics Unit (</w:t>
            </w:r>
            <w:proofErr w:type="spellStart"/>
            <w:r w:rsidRPr="00304AC8">
              <w:t>Bayside</w:t>
            </w:r>
            <w:proofErr w:type="spellEnd"/>
            <w:r w:rsidRPr="00304AC8">
              <w:t xml:space="preserve">) </w:t>
            </w:r>
          </w:p>
        </w:tc>
        <w:tc>
          <w:tcPr>
            <w:tcW w:w="1480" w:type="dxa"/>
          </w:tcPr>
          <w:p w14:paraId="2ECD175C" w14:textId="65498458" w:rsidR="00BF774F" w:rsidRDefault="00BF774F" w:rsidP="00BF774F">
            <w:r w:rsidRPr="00304AC8">
              <w:t xml:space="preserve">20 Nov 2006 </w:t>
            </w:r>
          </w:p>
        </w:tc>
        <w:tc>
          <w:tcPr>
            <w:tcW w:w="1480" w:type="dxa"/>
          </w:tcPr>
          <w:p w14:paraId="0D05EAC8" w14:textId="50671961" w:rsidR="00BF774F" w:rsidRDefault="00BF774F" w:rsidP="00BF774F">
            <w:r w:rsidRPr="00304AC8">
              <w:t xml:space="preserve">21 Nov 2006 </w:t>
            </w:r>
          </w:p>
        </w:tc>
        <w:tc>
          <w:tcPr>
            <w:tcW w:w="1480" w:type="dxa"/>
          </w:tcPr>
          <w:p w14:paraId="370CC3A3" w14:textId="1E459048" w:rsidR="00BF774F" w:rsidRDefault="00BF774F" w:rsidP="00BF774F">
            <w:r w:rsidRPr="00304AC8">
              <w:t xml:space="preserve">21 Dec 2006 </w:t>
            </w:r>
          </w:p>
        </w:tc>
        <w:tc>
          <w:tcPr>
            <w:tcW w:w="1480" w:type="dxa"/>
          </w:tcPr>
          <w:p w14:paraId="7FBA1AE7" w14:textId="6DBCDF2A" w:rsidR="00BF774F" w:rsidRDefault="00BF774F" w:rsidP="00BF774F">
            <w:r w:rsidRPr="00304AC8">
              <w:t xml:space="preserve">02 Jan 2007 </w:t>
            </w:r>
          </w:p>
        </w:tc>
      </w:tr>
      <w:tr w:rsidR="00BF774F" w14:paraId="29E78DF6" w14:textId="77777777" w:rsidTr="00BF774F">
        <w:tc>
          <w:tcPr>
            <w:tcW w:w="3652" w:type="dxa"/>
          </w:tcPr>
          <w:p w14:paraId="50EBD004" w14:textId="01CA3344" w:rsidR="00BF774F" w:rsidRDefault="00BF774F" w:rsidP="00BF774F">
            <w:r w:rsidRPr="00304AC8">
              <w:t xml:space="preserve">Northern Hospital Human Research &amp; Ethics Committee </w:t>
            </w:r>
          </w:p>
        </w:tc>
        <w:tc>
          <w:tcPr>
            <w:tcW w:w="1480" w:type="dxa"/>
          </w:tcPr>
          <w:p w14:paraId="0197F91B" w14:textId="451D657C" w:rsidR="00BF774F" w:rsidRDefault="00BF774F" w:rsidP="00BF774F">
            <w:r w:rsidRPr="00304AC8">
              <w:t xml:space="preserve">17 Nov 2006 </w:t>
            </w:r>
          </w:p>
        </w:tc>
        <w:tc>
          <w:tcPr>
            <w:tcW w:w="1480" w:type="dxa"/>
          </w:tcPr>
          <w:p w14:paraId="3E3C3782" w14:textId="13CB1F38" w:rsidR="00BF774F" w:rsidRDefault="00BF774F" w:rsidP="00BF774F">
            <w:r w:rsidRPr="00304AC8">
              <w:t xml:space="preserve">16 Nov 2006 </w:t>
            </w:r>
          </w:p>
        </w:tc>
        <w:tc>
          <w:tcPr>
            <w:tcW w:w="1480" w:type="dxa"/>
          </w:tcPr>
          <w:p w14:paraId="272A40A2" w14:textId="7279514D" w:rsidR="00BF774F" w:rsidRDefault="00BF774F" w:rsidP="00BF774F">
            <w:r w:rsidRPr="00304AC8">
              <w:t xml:space="preserve">28 Nov 2006 </w:t>
            </w:r>
          </w:p>
        </w:tc>
        <w:tc>
          <w:tcPr>
            <w:tcW w:w="1480" w:type="dxa"/>
          </w:tcPr>
          <w:p w14:paraId="1AFE53F5" w14:textId="3330EC63" w:rsidR="00BF774F" w:rsidRDefault="00BF774F" w:rsidP="00BF774F">
            <w:r w:rsidRPr="00304AC8">
              <w:t xml:space="preserve">30 Nov 2006 </w:t>
            </w:r>
          </w:p>
        </w:tc>
      </w:tr>
      <w:tr w:rsidR="00BF774F" w14:paraId="69BBE5FF" w14:textId="77777777" w:rsidTr="00BF774F">
        <w:tc>
          <w:tcPr>
            <w:tcW w:w="3652" w:type="dxa"/>
          </w:tcPr>
          <w:p w14:paraId="333DD36F" w14:textId="76E95DB7" w:rsidR="00BF774F" w:rsidRDefault="00BF774F" w:rsidP="00BF774F">
            <w:r w:rsidRPr="00304AC8">
              <w:t xml:space="preserve">Victorian Department of Human Services </w:t>
            </w:r>
            <w:r>
              <w:t>Human Research Ethics Committee</w:t>
            </w:r>
          </w:p>
        </w:tc>
        <w:tc>
          <w:tcPr>
            <w:tcW w:w="1480" w:type="dxa"/>
          </w:tcPr>
          <w:p w14:paraId="65E52496" w14:textId="71BD27D1" w:rsidR="00BF774F" w:rsidRDefault="00BF774F" w:rsidP="00BF774F">
            <w:r w:rsidRPr="00304AC8">
              <w:t xml:space="preserve">22 Nov 2006 </w:t>
            </w:r>
          </w:p>
        </w:tc>
        <w:tc>
          <w:tcPr>
            <w:tcW w:w="1480" w:type="dxa"/>
          </w:tcPr>
          <w:p w14:paraId="22B97179" w14:textId="00AD842D" w:rsidR="00BF774F" w:rsidRDefault="00BF774F" w:rsidP="00BF774F">
            <w:r w:rsidRPr="00304AC8">
              <w:t xml:space="preserve">20 Nov 2006 </w:t>
            </w:r>
          </w:p>
        </w:tc>
        <w:tc>
          <w:tcPr>
            <w:tcW w:w="1480" w:type="dxa"/>
          </w:tcPr>
          <w:p w14:paraId="3F4306C6" w14:textId="1BB46095" w:rsidR="00BF774F" w:rsidRDefault="00BF774F" w:rsidP="00BF774F">
            <w:r w:rsidRPr="00304AC8">
              <w:t xml:space="preserve">06 Dec 2006 </w:t>
            </w:r>
          </w:p>
        </w:tc>
        <w:tc>
          <w:tcPr>
            <w:tcW w:w="1480" w:type="dxa"/>
          </w:tcPr>
          <w:p w14:paraId="0967AF47" w14:textId="71E9EA60" w:rsidR="00BF774F" w:rsidRDefault="00BF774F" w:rsidP="00BF774F">
            <w:r w:rsidRPr="00304AC8">
              <w:t xml:space="preserve">19 Dec 2006 </w:t>
            </w:r>
          </w:p>
        </w:tc>
      </w:tr>
    </w:tbl>
    <w:p w14:paraId="656213BB" w14:textId="5E0A1921" w:rsidR="007E5706" w:rsidRDefault="00BF774F" w:rsidP="00412F75">
      <w:pPr>
        <w:pStyle w:val="Heading3"/>
      </w:pPr>
      <w:bookmarkStart w:id="5" w:name="_Toc402348852"/>
      <w:r w:rsidRPr="00304AC8">
        <w:t>Queensland Government</w:t>
      </w:r>
      <w:bookmarkEnd w:id="5"/>
    </w:p>
    <w:tbl>
      <w:tblPr>
        <w:tblStyle w:val="TableGrid"/>
        <w:tblW w:w="0" w:type="auto"/>
        <w:tblLook w:val="04A0" w:firstRow="1" w:lastRow="0" w:firstColumn="1" w:lastColumn="0" w:noHBand="0" w:noVBand="1"/>
        <w:tblDescription w:val="Queensland Government"/>
      </w:tblPr>
      <w:tblGrid>
        <w:gridCol w:w="3652"/>
        <w:gridCol w:w="1480"/>
        <w:gridCol w:w="1480"/>
        <w:gridCol w:w="1480"/>
        <w:gridCol w:w="1480"/>
      </w:tblGrid>
      <w:tr w:rsidR="00BF774F" w14:paraId="0F76E78F" w14:textId="77777777" w:rsidTr="00BF774F">
        <w:trPr>
          <w:tblHeader/>
        </w:trPr>
        <w:tc>
          <w:tcPr>
            <w:tcW w:w="3652" w:type="dxa"/>
            <w:shd w:val="clear" w:color="auto" w:fill="D9D9D9" w:themeFill="background1" w:themeFillShade="D9"/>
            <w:vAlign w:val="center"/>
          </w:tcPr>
          <w:p w14:paraId="22A36AC6" w14:textId="77777777" w:rsidR="00BF774F" w:rsidRPr="007E5706" w:rsidRDefault="00BF774F"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7243E201" w14:textId="77777777" w:rsidR="00BF774F" w:rsidRPr="007E5706" w:rsidRDefault="00BF774F"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3142236B" w14:textId="77777777" w:rsidR="00BF774F" w:rsidRPr="007E5706" w:rsidRDefault="00BF774F"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51559EA8" w14:textId="77777777" w:rsidR="00BF774F" w:rsidRPr="007E5706" w:rsidRDefault="00BF774F"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5CB46441" w14:textId="77777777" w:rsidR="00BF774F" w:rsidRPr="007E5706" w:rsidRDefault="00BF774F" w:rsidP="00412F75">
            <w:pPr>
              <w:spacing w:before="60" w:after="60"/>
              <w:jc w:val="center"/>
              <w:rPr>
                <w:b/>
              </w:rPr>
            </w:pPr>
            <w:r w:rsidRPr="007E5706">
              <w:rPr>
                <w:b/>
              </w:rPr>
              <w:t>Final approval</w:t>
            </w:r>
          </w:p>
        </w:tc>
      </w:tr>
      <w:tr w:rsidR="00CF653B" w14:paraId="10CB3E8C" w14:textId="77777777" w:rsidTr="00BF774F">
        <w:tc>
          <w:tcPr>
            <w:tcW w:w="3652" w:type="dxa"/>
          </w:tcPr>
          <w:p w14:paraId="5F9E1989" w14:textId="5624594E" w:rsidR="00CF653B" w:rsidRDefault="00CF653B" w:rsidP="00412F75">
            <w:pPr>
              <w:spacing w:beforeLines="40" w:before="96" w:afterLines="40" w:after="96"/>
            </w:pPr>
            <w:proofErr w:type="spellStart"/>
            <w:r w:rsidRPr="00304AC8">
              <w:t>Bayside</w:t>
            </w:r>
            <w:proofErr w:type="spellEnd"/>
            <w:r w:rsidRPr="00304AC8">
              <w:t xml:space="preserve"> Health Service District </w:t>
            </w:r>
            <w:r>
              <w:t>Human Research Ethics Committee</w:t>
            </w:r>
          </w:p>
        </w:tc>
        <w:tc>
          <w:tcPr>
            <w:tcW w:w="1480" w:type="dxa"/>
          </w:tcPr>
          <w:p w14:paraId="4F468CA3" w14:textId="76D271DA" w:rsidR="00CF653B" w:rsidRDefault="00CF653B" w:rsidP="00412F75">
            <w:pPr>
              <w:spacing w:beforeLines="40" w:before="96" w:afterLines="40" w:after="96"/>
            </w:pPr>
            <w:r w:rsidRPr="00304AC8">
              <w:t xml:space="preserve">06 Dec 2006 </w:t>
            </w:r>
          </w:p>
        </w:tc>
        <w:tc>
          <w:tcPr>
            <w:tcW w:w="1480" w:type="dxa"/>
          </w:tcPr>
          <w:p w14:paraId="608E2A52" w14:textId="39DC914E" w:rsidR="00CF653B" w:rsidRDefault="00CF653B" w:rsidP="00412F75">
            <w:pPr>
              <w:spacing w:beforeLines="40" w:before="96" w:afterLines="40" w:after="96"/>
            </w:pPr>
            <w:r w:rsidRPr="00304AC8">
              <w:t xml:space="preserve">29 Nov 2006 </w:t>
            </w:r>
          </w:p>
        </w:tc>
        <w:tc>
          <w:tcPr>
            <w:tcW w:w="1480" w:type="dxa"/>
          </w:tcPr>
          <w:p w14:paraId="48FA7537" w14:textId="0A980ED4" w:rsidR="00CF653B" w:rsidRDefault="00CF653B" w:rsidP="00412F75">
            <w:pPr>
              <w:spacing w:beforeLines="40" w:before="96" w:afterLines="40" w:after="96"/>
            </w:pPr>
            <w:r w:rsidRPr="00304AC8">
              <w:t xml:space="preserve">14 Dec 2006 </w:t>
            </w:r>
          </w:p>
        </w:tc>
        <w:tc>
          <w:tcPr>
            <w:tcW w:w="1480" w:type="dxa"/>
          </w:tcPr>
          <w:p w14:paraId="4B6F8843" w14:textId="1C096FD7" w:rsidR="00CF653B" w:rsidRDefault="00CF653B" w:rsidP="00412F75">
            <w:pPr>
              <w:spacing w:beforeLines="40" w:before="96" w:afterLines="40" w:after="96"/>
            </w:pPr>
            <w:r w:rsidRPr="00304AC8">
              <w:t xml:space="preserve">14 Dec 2006 </w:t>
            </w:r>
          </w:p>
        </w:tc>
      </w:tr>
      <w:tr w:rsidR="00CF653B" w14:paraId="38B83CA1" w14:textId="77777777" w:rsidTr="00BF774F">
        <w:tc>
          <w:tcPr>
            <w:tcW w:w="3652" w:type="dxa"/>
          </w:tcPr>
          <w:p w14:paraId="602B29EB" w14:textId="74D37C35" w:rsidR="00CF653B" w:rsidRDefault="00CF653B" w:rsidP="00412F75">
            <w:pPr>
              <w:spacing w:beforeLines="40" w:before="96" w:afterLines="40" w:after="96"/>
            </w:pPr>
            <w:r w:rsidRPr="00304AC8">
              <w:t xml:space="preserve">Cairns Base Hospital Ethics Committee </w:t>
            </w:r>
          </w:p>
        </w:tc>
        <w:tc>
          <w:tcPr>
            <w:tcW w:w="1480" w:type="dxa"/>
          </w:tcPr>
          <w:p w14:paraId="72F40AE3" w14:textId="6AF92733" w:rsidR="00CF653B" w:rsidRDefault="00CF653B" w:rsidP="00412F75">
            <w:pPr>
              <w:spacing w:beforeLines="40" w:before="96" w:afterLines="40" w:after="96"/>
            </w:pPr>
            <w:r w:rsidRPr="00304AC8">
              <w:t xml:space="preserve">16 Jan 2007 </w:t>
            </w:r>
          </w:p>
        </w:tc>
        <w:tc>
          <w:tcPr>
            <w:tcW w:w="1480" w:type="dxa"/>
          </w:tcPr>
          <w:p w14:paraId="1752A399" w14:textId="0A9EC85B" w:rsidR="00CF653B" w:rsidRDefault="00CF653B" w:rsidP="00412F75">
            <w:pPr>
              <w:spacing w:beforeLines="40" w:before="96" w:afterLines="40" w:after="96"/>
            </w:pPr>
            <w:r w:rsidRPr="00304AC8">
              <w:t xml:space="preserve">19 Dec 2006 </w:t>
            </w:r>
          </w:p>
        </w:tc>
        <w:tc>
          <w:tcPr>
            <w:tcW w:w="1480" w:type="dxa"/>
          </w:tcPr>
          <w:p w14:paraId="585AE518" w14:textId="26284FAA" w:rsidR="00CF653B" w:rsidRDefault="00CF653B" w:rsidP="00412F75">
            <w:pPr>
              <w:spacing w:beforeLines="40" w:before="96" w:afterLines="40" w:after="96"/>
            </w:pPr>
            <w:r w:rsidRPr="00304AC8">
              <w:t xml:space="preserve">01 Mar 2007 </w:t>
            </w:r>
          </w:p>
        </w:tc>
        <w:tc>
          <w:tcPr>
            <w:tcW w:w="1480" w:type="dxa"/>
          </w:tcPr>
          <w:p w14:paraId="3213B29F" w14:textId="50AE7503" w:rsidR="00CF653B" w:rsidRDefault="00CF653B" w:rsidP="00412F75">
            <w:pPr>
              <w:spacing w:beforeLines="40" w:before="96" w:afterLines="40" w:after="96"/>
            </w:pPr>
            <w:r w:rsidRPr="00304AC8">
              <w:t xml:space="preserve">09 Mar 2007 </w:t>
            </w:r>
          </w:p>
        </w:tc>
      </w:tr>
      <w:tr w:rsidR="00CF653B" w14:paraId="7BCAA50E" w14:textId="77777777" w:rsidTr="00BF774F">
        <w:tc>
          <w:tcPr>
            <w:tcW w:w="3652" w:type="dxa"/>
          </w:tcPr>
          <w:p w14:paraId="3ED4789D" w14:textId="5B26186C" w:rsidR="00CF653B" w:rsidRDefault="00CF653B" w:rsidP="00412F75">
            <w:pPr>
              <w:spacing w:beforeLines="40" w:before="96" w:afterLines="40" w:after="96"/>
            </w:pPr>
            <w:r w:rsidRPr="00304AC8">
              <w:t xml:space="preserve">Gold Coast Health Service District </w:t>
            </w:r>
            <w:r>
              <w:t>Human Research Ethics Committee</w:t>
            </w:r>
          </w:p>
        </w:tc>
        <w:tc>
          <w:tcPr>
            <w:tcW w:w="1480" w:type="dxa"/>
          </w:tcPr>
          <w:p w14:paraId="7823EC95" w14:textId="5F83C677" w:rsidR="00CF653B" w:rsidRDefault="00CF653B" w:rsidP="00412F75">
            <w:pPr>
              <w:spacing w:beforeLines="40" w:before="96" w:afterLines="40" w:after="96"/>
            </w:pPr>
            <w:r w:rsidRPr="00304AC8">
              <w:t xml:space="preserve">17 Jan 2007 </w:t>
            </w:r>
          </w:p>
        </w:tc>
        <w:tc>
          <w:tcPr>
            <w:tcW w:w="1480" w:type="dxa"/>
          </w:tcPr>
          <w:p w14:paraId="15381042" w14:textId="09CCF3EC" w:rsidR="00CF653B" w:rsidRDefault="00CF653B" w:rsidP="00412F75">
            <w:pPr>
              <w:spacing w:beforeLines="40" w:before="96" w:afterLines="40" w:after="96"/>
            </w:pPr>
            <w:r w:rsidRPr="00304AC8">
              <w:t xml:space="preserve">15 Dec 2006 </w:t>
            </w:r>
          </w:p>
        </w:tc>
        <w:tc>
          <w:tcPr>
            <w:tcW w:w="1480" w:type="dxa"/>
          </w:tcPr>
          <w:p w14:paraId="22D47EAF" w14:textId="16B66793" w:rsidR="00CF653B" w:rsidRDefault="00CF653B" w:rsidP="00412F75">
            <w:pPr>
              <w:spacing w:beforeLines="40" w:before="96" w:afterLines="40" w:after="96"/>
            </w:pPr>
            <w:r w:rsidRPr="00304AC8">
              <w:t xml:space="preserve">31 Jan 2007 </w:t>
            </w:r>
          </w:p>
        </w:tc>
        <w:tc>
          <w:tcPr>
            <w:tcW w:w="1480" w:type="dxa"/>
          </w:tcPr>
          <w:p w14:paraId="4D0CB6B9" w14:textId="6EB026C6" w:rsidR="00CF653B" w:rsidRDefault="00CF653B" w:rsidP="00412F75">
            <w:pPr>
              <w:spacing w:beforeLines="40" w:before="96" w:afterLines="40" w:after="96"/>
            </w:pPr>
            <w:r w:rsidRPr="00304AC8">
              <w:t xml:space="preserve">23 Apr 2007 </w:t>
            </w:r>
          </w:p>
        </w:tc>
      </w:tr>
      <w:tr w:rsidR="00CF653B" w14:paraId="10BBF9B5" w14:textId="77777777" w:rsidTr="00BF774F">
        <w:tc>
          <w:tcPr>
            <w:tcW w:w="3652" w:type="dxa"/>
          </w:tcPr>
          <w:p w14:paraId="282AFFBA" w14:textId="1D455E39" w:rsidR="00CF653B" w:rsidRDefault="00CF653B" w:rsidP="00412F75">
            <w:pPr>
              <w:spacing w:beforeLines="40" w:before="96" w:afterLines="40" w:after="96"/>
            </w:pPr>
            <w:r w:rsidRPr="00304AC8">
              <w:t xml:space="preserve">Mackay Health Service District </w:t>
            </w:r>
            <w:r>
              <w:t>Human Research Ethics Committee</w:t>
            </w:r>
          </w:p>
        </w:tc>
        <w:tc>
          <w:tcPr>
            <w:tcW w:w="1480" w:type="dxa"/>
          </w:tcPr>
          <w:p w14:paraId="14A13CCB" w14:textId="093C8382" w:rsidR="00CF653B" w:rsidRDefault="00CF653B" w:rsidP="00412F75">
            <w:pPr>
              <w:spacing w:beforeLines="40" w:before="96" w:afterLines="40" w:after="96"/>
            </w:pPr>
          </w:p>
        </w:tc>
        <w:tc>
          <w:tcPr>
            <w:tcW w:w="1480" w:type="dxa"/>
          </w:tcPr>
          <w:p w14:paraId="08A5F065" w14:textId="653FCF12" w:rsidR="00CF653B" w:rsidRDefault="00CF653B" w:rsidP="00412F75">
            <w:pPr>
              <w:spacing w:beforeLines="40" w:before="96" w:afterLines="40" w:after="96"/>
            </w:pPr>
            <w:r w:rsidRPr="00304AC8">
              <w:t xml:space="preserve">19 Dec 2006 </w:t>
            </w:r>
          </w:p>
        </w:tc>
        <w:tc>
          <w:tcPr>
            <w:tcW w:w="1480" w:type="dxa"/>
          </w:tcPr>
          <w:p w14:paraId="61041274" w14:textId="4EF38A2E" w:rsidR="00CF653B" w:rsidRDefault="00CF653B" w:rsidP="00412F75">
            <w:pPr>
              <w:spacing w:beforeLines="40" w:before="96" w:afterLines="40" w:after="96"/>
            </w:pPr>
            <w:r w:rsidRPr="00304AC8">
              <w:t xml:space="preserve">17 Jan 2007 </w:t>
            </w:r>
          </w:p>
        </w:tc>
        <w:tc>
          <w:tcPr>
            <w:tcW w:w="1480" w:type="dxa"/>
          </w:tcPr>
          <w:p w14:paraId="7444DC15" w14:textId="1FB8119B" w:rsidR="00CF653B" w:rsidRDefault="00CF653B" w:rsidP="00412F75">
            <w:pPr>
              <w:spacing w:beforeLines="40" w:before="96" w:afterLines="40" w:after="96"/>
            </w:pPr>
            <w:r w:rsidRPr="00304AC8">
              <w:t xml:space="preserve">approved </w:t>
            </w:r>
          </w:p>
        </w:tc>
      </w:tr>
      <w:tr w:rsidR="00CF653B" w14:paraId="14A36738" w14:textId="77777777" w:rsidTr="00BF774F">
        <w:tc>
          <w:tcPr>
            <w:tcW w:w="3652" w:type="dxa"/>
          </w:tcPr>
          <w:p w14:paraId="166753C5" w14:textId="46F9E862" w:rsidR="00CF653B" w:rsidRDefault="00CF653B" w:rsidP="00412F75">
            <w:pPr>
              <w:spacing w:beforeLines="40" w:before="96" w:afterLines="40" w:after="96"/>
            </w:pPr>
            <w:r w:rsidRPr="00304AC8">
              <w:t xml:space="preserve">Princess Alexandra Hospital </w:t>
            </w:r>
            <w:r>
              <w:t>Human Research Ethics Committee</w:t>
            </w:r>
          </w:p>
        </w:tc>
        <w:tc>
          <w:tcPr>
            <w:tcW w:w="1480" w:type="dxa"/>
          </w:tcPr>
          <w:p w14:paraId="15057D31" w14:textId="5B50009A" w:rsidR="00CF653B" w:rsidRDefault="00CF653B" w:rsidP="00412F75">
            <w:pPr>
              <w:spacing w:beforeLines="40" w:before="96" w:afterLines="40" w:after="96"/>
            </w:pPr>
            <w:r w:rsidRPr="00304AC8">
              <w:t xml:space="preserve">17 Nov 2006 </w:t>
            </w:r>
          </w:p>
        </w:tc>
        <w:tc>
          <w:tcPr>
            <w:tcW w:w="1480" w:type="dxa"/>
          </w:tcPr>
          <w:p w14:paraId="0EA0855D" w14:textId="1212DD35" w:rsidR="00CF653B" w:rsidRDefault="00CF653B" w:rsidP="00412F75">
            <w:pPr>
              <w:spacing w:beforeLines="40" w:before="96" w:afterLines="40" w:after="96"/>
            </w:pPr>
            <w:r w:rsidRPr="00304AC8">
              <w:t xml:space="preserve">16 Nov 2006 </w:t>
            </w:r>
          </w:p>
        </w:tc>
        <w:tc>
          <w:tcPr>
            <w:tcW w:w="1480" w:type="dxa"/>
          </w:tcPr>
          <w:p w14:paraId="3F28FBFB" w14:textId="032CAE48" w:rsidR="00CF653B" w:rsidRDefault="00CF653B" w:rsidP="00412F75">
            <w:pPr>
              <w:spacing w:beforeLines="40" w:before="96" w:afterLines="40" w:after="96"/>
            </w:pPr>
            <w:r w:rsidRPr="00304AC8">
              <w:t xml:space="preserve">05 Dec 2006 </w:t>
            </w:r>
          </w:p>
        </w:tc>
        <w:tc>
          <w:tcPr>
            <w:tcW w:w="1480" w:type="dxa"/>
          </w:tcPr>
          <w:p w14:paraId="225792B1" w14:textId="3C169BE8" w:rsidR="00CF653B" w:rsidRDefault="00CF653B" w:rsidP="00412F75">
            <w:pPr>
              <w:spacing w:beforeLines="40" w:before="96" w:afterLines="40" w:after="96"/>
            </w:pPr>
            <w:r w:rsidRPr="00304AC8">
              <w:t xml:space="preserve">16 Apr 2007 </w:t>
            </w:r>
          </w:p>
        </w:tc>
      </w:tr>
      <w:tr w:rsidR="00CF653B" w14:paraId="0A905FD1" w14:textId="77777777" w:rsidTr="00BF774F">
        <w:tc>
          <w:tcPr>
            <w:tcW w:w="3652" w:type="dxa"/>
          </w:tcPr>
          <w:p w14:paraId="5BBB9DCB" w14:textId="0D968BBE" w:rsidR="00CF653B" w:rsidRDefault="00CF653B" w:rsidP="00412F75">
            <w:pPr>
              <w:spacing w:beforeLines="40" w:before="96" w:afterLines="40" w:after="96"/>
            </w:pPr>
            <w:r w:rsidRPr="00304AC8">
              <w:t xml:space="preserve">Queensland Health Research Ethics Committee </w:t>
            </w:r>
          </w:p>
        </w:tc>
        <w:tc>
          <w:tcPr>
            <w:tcW w:w="1480" w:type="dxa"/>
          </w:tcPr>
          <w:p w14:paraId="47A15567" w14:textId="1AEAB99D" w:rsidR="00CF653B" w:rsidRDefault="00CF653B" w:rsidP="00412F75">
            <w:pPr>
              <w:spacing w:beforeLines="40" w:before="96" w:afterLines="40" w:after="96"/>
            </w:pPr>
            <w:r w:rsidRPr="00304AC8">
              <w:t xml:space="preserve">06 Dec 2006 </w:t>
            </w:r>
          </w:p>
        </w:tc>
        <w:tc>
          <w:tcPr>
            <w:tcW w:w="1480" w:type="dxa"/>
          </w:tcPr>
          <w:p w14:paraId="13563666" w14:textId="4DE50DD2" w:rsidR="00CF653B" w:rsidRDefault="00CF653B" w:rsidP="00412F75">
            <w:pPr>
              <w:spacing w:beforeLines="40" w:before="96" w:afterLines="40" w:after="96"/>
            </w:pPr>
            <w:r w:rsidRPr="00304AC8">
              <w:t xml:space="preserve">28 Nov 2006 </w:t>
            </w:r>
          </w:p>
        </w:tc>
        <w:tc>
          <w:tcPr>
            <w:tcW w:w="1480" w:type="dxa"/>
          </w:tcPr>
          <w:p w14:paraId="6D71A2B2" w14:textId="02F8F77C" w:rsidR="00CF653B" w:rsidRDefault="00CF653B" w:rsidP="00412F75">
            <w:pPr>
              <w:spacing w:beforeLines="40" w:before="96" w:afterLines="40" w:after="96"/>
            </w:pPr>
            <w:r w:rsidRPr="00304AC8">
              <w:t xml:space="preserve">18 Dec 2006 </w:t>
            </w:r>
          </w:p>
        </w:tc>
        <w:tc>
          <w:tcPr>
            <w:tcW w:w="1480" w:type="dxa"/>
          </w:tcPr>
          <w:p w14:paraId="3B7B76FB" w14:textId="08A3CA9B" w:rsidR="00CF653B" w:rsidRDefault="00CF653B" w:rsidP="00412F75">
            <w:pPr>
              <w:spacing w:beforeLines="40" w:before="96" w:afterLines="40" w:after="96"/>
            </w:pPr>
            <w:r w:rsidRPr="00304AC8">
              <w:t xml:space="preserve">28 Feb 2007 </w:t>
            </w:r>
          </w:p>
        </w:tc>
      </w:tr>
      <w:tr w:rsidR="00CF653B" w14:paraId="28CA4C13" w14:textId="77777777" w:rsidTr="00BF774F">
        <w:tc>
          <w:tcPr>
            <w:tcW w:w="3652" w:type="dxa"/>
          </w:tcPr>
          <w:p w14:paraId="5FB8863A" w14:textId="3732E2EB" w:rsidR="00CF653B" w:rsidRDefault="00CF653B" w:rsidP="00412F75">
            <w:pPr>
              <w:spacing w:beforeLines="40" w:before="96" w:afterLines="40" w:after="96"/>
            </w:pPr>
            <w:r w:rsidRPr="00304AC8">
              <w:t xml:space="preserve">Redcliffe-Caboolture Health Service District Ethics </w:t>
            </w:r>
            <w:r>
              <w:t>Committee</w:t>
            </w:r>
          </w:p>
        </w:tc>
        <w:tc>
          <w:tcPr>
            <w:tcW w:w="1480" w:type="dxa"/>
          </w:tcPr>
          <w:p w14:paraId="45024CD7" w14:textId="2018B3BF" w:rsidR="00CF653B" w:rsidRDefault="00CF653B" w:rsidP="00412F75">
            <w:pPr>
              <w:spacing w:beforeLines="40" w:before="96" w:afterLines="40" w:after="96"/>
            </w:pPr>
            <w:r w:rsidRPr="00304AC8">
              <w:t xml:space="preserve">17 Jan 2007 </w:t>
            </w:r>
          </w:p>
        </w:tc>
        <w:tc>
          <w:tcPr>
            <w:tcW w:w="1480" w:type="dxa"/>
          </w:tcPr>
          <w:p w14:paraId="044AB1EB" w14:textId="1860FF87" w:rsidR="00CF653B" w:rsidRDefault="00CF653B" w:rsidP="00412F75">
            <w:pPr>
              <w:spacing w:beforeLines="40" w:before="96" w:afterLines="40" w:after="96"/>
            </w:pPr>
            <w:r w:rsidRPr="00304AC8">
              <w:t xml:space="preserve">15 Dec 2006 </w:t>
            </w:r>
          </w:p>
        </w:tc>
        <w:tc>
          <w:tcPr>
            <w:tcW w:w="1480" w:type="dxa"/>
          </w:tcPr>
          <w:p w14:paraId="409847BB" w14:textId="5D93CD6E" w:rsidR="00CF653B" w:rsidRDefault="00CF653B" w:rsidP="00412F75">
            <w:pPr>
              <w:spacing w:beforeLines="40" w:before="96" w:afterLines="40" w:after="96"/>
            </w:pPr>
            <w:r w:rsidRPr="00304AC8">
              <w:t xml:space="preserve">07 Feb 2007 </w:t>
            </w:r>
          </w:p>
        </w:tc>
        <w:tc>
          <w:tcPr>
            <w:tcW w:w="1480" w:type="dxa"/>
          </w:tcPr>
          <w:p w14:paraId="2D04B617" w14:textId="5E4E6CAC" w:rsidR="00CF653B" w:rsidRDefault="00CF653B" w:rsidP="00412F75">
            <w:pPr>
              <w:spacing w:beforeLines="40" w:before="96" w:afterLines="40" w:after="96"/>
            </w:pPr>
            <w:r w:rsidRPr="00304AC8">
              <w:t xml:space="preserve">04 Apr 2007 </w:t>
            </w:r>
          </w:p>
        </w:tc>
      </w:tr>
      <w:tr w:rsidR="00CF653B" w14:paraId="5E90993D" w14:textId="77777777" w:rsidTr="00BF774F">
        <w:tc>
          <w:tcPr>
            <w:tcW w:w="3652" w:type="dxa"/>
          </w:tcPr>
          <w:p w14:paraId="73D545D2" w14:textId="3A891E4E" w:rsidR="00CF653B" w:rsidRDefault="00CF653B" w:rsidP="00412F75">
            <w:pPr>
              <w:spacing w:beforeLines="40" w:before="96" w:afterLines="40" w:after="96"/>
            </w:pPr>
            <w:r w:rsidRPr="00304AC8">
              <w:t xml:space="preserve">Rockhampton Health Service District </w:t>
            </w:r>
            <w:r>
              <w:t>Human Research Ethics Committee</w:t>
            </w:r>
            <w:r w:rsidRPr="00304AC8">
              <w:t xml:space="preserve"> </w:t>
            </w:r>
          </w:p>
        </w:tc>
        <w:tc>
          <w:tcPr>
            <w:tcW w:w="1480" w:type="dxa"/>
          </w:tcPr>
          <w:p w14:paraId="57E49015" w14:textId="2AD8108F" w:rsidR="00CF653B" w:rsidRDefault="00CF653B" w:rsidP="00412F75">
            <w:pPr>
              <w:spacing w:beforeLines="40" w:before="96" w:afterLines="40" w:after="96"/>
            </w:pPr>
            <w:r w:rsidRPr="00304AC8">
              <w:t xml:space="preserve">7 Feb 2007 </w:t>
            </w:r>
          </w:p>
        </w:tc>
        <w:tc>
          <w:tcPr>
            <w:tcW w:w="1480" w:type="dxa"/>
          </w:tcPr>
          <w:p w14:paraId="76786D23" w14:textId="210E3B0E" w:rsidR="00CF653B" w:rsidRDefault="00CF653B" w:rsidP="00412F75">
            <w:pPr>
              <w:spacing w:beforeLines="40" w:before="96" w:afterLines="40" w:after="96"/>
            </w:pPr>
            <w:r w:rsidRPr="00304AC8">
              <w:t>15 Dec 2006</w:t>
            </w:r>
          </w:p>
        </w:tc>
        <w:tc>
          <w:tcPr>
            <w:tcW w:w="1480" w:type="dxa"/>
          </w:tcPr>
          <w:p w14:paraId="04FFCD0E" w14:textId="1CC23245" w:rsidR="00CF653B" w:rsidRDefault="00CF653B" w:rsidP="00412F75">
            <w:pPr>
              <w:spacing w:beforeLines="40" w:before="96" w:afterLines="40" w:after="96"/>
            </w:pPr>
            <w:r w:rsidRPr="00304AC8">
              <w:t>22 Feb 2007</w:t>
            </w:r>
          </w:p>
        </w:tc>
        <w:tc>
          <w:tcPr>
            <w:tcW w:w="1480" w:type="dxa"/>
          </w:tcPr>
          <w:p w14:paraId="646A56CB" w14:textId="239579AC" w:rsidR="00CF653B" w:rsidRDefault="00CF653B" w:rsidP="00412F75">
            <w:pPr>
              <w:spacing w:beforeLines="40" w:before="96" w:afterLines="40" w:after="96"/>
            </w:pPr>
            <w:r w:rsidRPr="00304AC8">
              <w:t>01 Mar 2007</w:t>
            </w:r>
          </w:p>
        </w:tc>
      </w:tr>
      <w:tr w:rsidR="00CF653B" w14:paraId="2A34AE89" w14:textId="77777777" w:rsidTr="00BF774F">
        <w:tc>
          <w:tcPr>
            <w:tcW w:w="3652" w:type="dxa"/>
          </w:tcPr>
          <w:p w14:paraId="6C539DC9" w14:textId="43E0565A" w:rsidR="00CF653B" w:rsidRDefault="00CF653B" w:rsidP="00412F75">
            <w:pPr>
              <w:spacing w:beforeLines="40" w:before="96" w:afterLines="40" w:after="96"/>
            </w:pPr>
            <w:r w:rsidRPr="00304AC8">
              <w:t xml:space="preserve">Royal Brisbane and Women's Hospital </w:t>
            </w:r>
            <w:r>
              <w:t>Human Research Ethics Committee</w:t>
            </w:r>
          </w:p>
        </w:tc>
        <w:tc>
          <w:tcPr>
            <w:tcW w:w="1480" w:type="dxa"/>
          </w:tcPr>
          <w:p w14:paraId="5ED9260C" w14:textId="724BAF9A" w:rsidR="00CF653B" w:rsidRDefault="00CF653B" w:rsidP="00412F75">
            <w:pPr>
              <w:spacing w:beforeLines="40" w:before="96" w:afterLines="40" w:after="96"/>
            </w:pPr>
            <w:r w:rsidRPr="00304AC8">
              <w:t xml:space="preserve">11 Jan 2007 </w:t>
            </w:r>
          </w:p>
        </w:tc>
        <w:tc>
          <w:tcPr>
            <w:tcW w:w="1480" w:type="dxa"/>
          </w:tcPr>
          <w:p w14:paraId="4B958821" w14:textId="7DDCAFF8" w:rsidR="00CF653B" w:rsidRDefault="00CF653B" w:rsidP="00412F75">
            <w:pPr>
              <w:spacing w:beforeLines="40" w:before="96" w:afterLines="40" w:after="96"/>
            </w:pPr>
            <w:r w:rsidRPr="00304AC8">
              <w:t>15 Dec 2006</w:t>
            </w:r>
          </w:p>
        </w:tc>
        <w:tc>
          <w:tcPr>
            <w:tcW w:w="1480" w:type="dxa"/>
          </w:tcPr>
          <w:p w14:paraId="429437CC" w14:textId="3DEF0AD4" w:rsidR="00CF653B" w:rsidRDefault="00CF653B" w:rsidP="00412F75">
            <w:pPr>
              <w:spacing w:beforeLines="40" w:before="96" w:afterLines="40" w:after="96"/>
            </w:pPr>
            <w:r w:rsidRPr="00304AC8">
              <w:t>19 Feb 2007</w:t>
            </w:r>
          </w:p>
        </w:tc>
        <w:tc>
          <w:tcPr>
            <w:tcW w:w="1480" w:type="dxa"/>
          </w:tcPr>
          <w:p w14:paraId="4B2D76D5" w14:textId="2780EA6B" w:rsidR="00CF653B" w:rsidRDefault="00CF653B" w:rsidP="00412F75">
            <w:pPr>
              <w:spacing w:beforeLines="40" w:before="96" w:afterLines="40" w:after="96"/>
            </w:pPr>
            <w:r w:rsidRPr="00304AC8">
              <w:t>06 Jun 2007</w:t>
            </w:r>
          </w:p>
        </w:tc>
      </w:tr>
      <w:tr w:rsidR="00CF653B" w14:paraId="14E9D01D" w14:textId="77777777" w:rsidTr="00BF774F">
        <w:tc>
          <w:tcPr>
            <w:tcW w:w="3652" w:type="dxa"/>
          </w:tcPr>
          <w:p w14:paraId="4218797D" w14:textId="0282AA71" w:rsidR="00CF653B" w:rsidRDefault="00CF653B" w:rsidP="00412F75">
            <w:pPr>
              <w:spacing w:beforeLines="40" w:before="96" w:afterLines="40" w:after="96"/>
            </w:pPr>
            <w:r w:rsidRPr="00304AC8">
              <w:t xml:space="preserve">The Prince Charles Hospital Health Service District </w:t>
            </w:r>
            <w:r>
              <w:t>Human Research Ethics Committee</w:t>
            </w:r>
            <w:r w:rsidRPr="00304AC8">
              <w:t xml:space="preserve"> </w:t>
            </w:r>
          </w:p>
        </w:tc>
        <w:tc>
          <w:tcPr>
            <w:tcW w:w="1480" w:type="dxa"/>
          </w:tcPr>
          <w:p w14:paraId="3FF98155" w14:textId="239CA31B" w:rsidR="00CF653B" w:rsidRDefault="00CF653B" w:rsidP="00412F75">
            <w:pPr>
              <w:spacing w:beforeLines="40" w:before="96" w:afterLines="40" w:after="96"/>
            </w:pPr>
            <w:r w:rsidRPr="00304AC8">
              <w:t>29 Nov 2006</w:t>
            </w:r>
          </w:p>
        </w:tc>
        <w:tc>
          <w:tcPr>
            <w:tcW w:w="1480" w:type="dxa"/>
          </w:tcPr>
          <w:p w14:paraId="61E37A4F" w14:textId="23C8E0F8" w:rsidR="00CF653B" w:rsidRDefault="00CF653B" w:rsidP="00412F75">
            <w:pPr>
              <w:spacing w:beforeLines="40" w:before="96" w:afterLines="40" w:after="96"/>
            </w:pPr>
            <w:r w:rsidRPr="00304AC8">
              <w:t>28 Nov 2006</w:t>
            </w:r>
          </w:p>
        </w:tc>
        <w:tc>
          <w:tcPr>
            <w:tcW w:w="1480" w:type="dxa"/>
          </w:tcPr>
          <w:p w14:paraId="6ED82022" w14:textId="6CC931CF" w:rsidR="00CF653B" w:rsidRDefault="00CF653B" w:rsidP="00412F75">
            <w:pPr>
              <w:spacing w:beforeLines="40" w:before="96" w:afterLines="40" w:after="96"/>
            </w:pPr>
            <w:r w:rsidRPr="00304AC8">
              <w:t>13 Dec 2006</w:t>
            </w:r>
          </w:p>
        </w:tc>
        <w:tc>
          <w:tcPr>
            <w:tcW w:w="1480" w:type="dxa"/>
          </w:tcPr>
          <w:p w14:paraId="7455A6B8" w14:textId="004B013A" w:rsidR="00CF653B" w:rsidRDefault="00CF653B" w:rsidP="00412F75">
            <w:pPr>
              <w:spacing w:beforeLines="40" w:before="96" w:afterLines="40" w:after="96"/>
            </w:pPr>
            <w:r w:rsidRPr="00304AC8">
              <w:t>13 Dec 2006</w:t>
            </w:r>
          </w:p>
        </w:tc>
      </w:tr>
      <w:tr w:rsidR="00CF653B" w14:paraId="58D4626A" w14:textId="77777777" w:rsidTr="00BF774F">
        <w:tc>
          <w:tcPr>
            <w:tcW w:w="3652" w:type="dxa"/>
          </w:tcPr>
          <w:p w14:paraId="68E1B855" w14:textId="78CD249D" w:rsidR="00CF653B" w:rsidRDefault="00CF653B" w:rsidP="00412F75">
            <w:pPr>
              <w:spacing w:beforeLines="40" w:before="96" w:afterLines="40" w:after="96"/>
            </w:pPr>
            <w:r w:rsidRPr="00304AC8">
              <w:t xml:space="preserve">Townsville Health Service District Institutional Ethics </w:t>
            </w:r>
            <w:r>
              <w:t>Committee</w:t>
            </w:r>
          </w:p>
        </w:tc>
        <w:tc>
          <w:tcPr>
            <w:tcW w:w="1480" w:type="dxa"/>
          </w:tcPr>
          <w:p w14:paraId="36697FE1" w14:textId="0DA8324A" w:rsidR="00CF653B" w:rsidRDefault="00CF653B" w:rsidP="00412F75">
            <w:pPr>
              <w:spacing w:beforeLines="40" w:before="96" w:afterLines="40" w:after="96"/>
            </w:pPr>
            <w:r w:rsidRPr="00304AC8">
              <w:t>23 Nov 2006</w:t>
            </w:r>
          </w:p>
        </w:tc>
        <w:tc>
          <w:tcPr>
            <w:tcW w:w="1480" w:type="dxa"/>
          </w:tcPr>
          <w:p w14:paraId="085B9CE7" w14:textId="2CFF52C1" w:rsidR="00CF653B" w:rsidRDefault="00CF653B" w:rsidP="00412F75">
            <w:pPr>
              <w:spacing w:beforeLines="40" w:before="96" w:afterLines="40" w:after="96"/>
            </w:pPr>
            <w:r w:rsidRPr="00304AC8">
              <w:t>21 Nov 2006</w:t>
            </w:r>
          </w:p>
        </w:tc>
        <w:tc>
          <w:tcPr>
            <w:tcW w:w="1480" w:type="dxa"/>
          </w:tcPr>
          <w:p w14:paraId="3D9F0C4E" w14:textId="2AAF4294" w:rsidR="00CF653B" w:rsidRDefault="00CF653B" w:rsidP="00412F75">
            <w:pPr>
              <w:spacing w:beforeLines="40" w:before="96" w:afterLines="40" w:after="96"/>
            </w:pPr>
            <w:r w:rsidRPr="00304AC8">
              <w:t>07 Dec 2006</w:t>
            </w:r>
          </w:p>
        </w:tc>
        <w:tc>
          <w:tcPr>
            <w:tcW w:w="1480" w:type="dxa"/>
          </w:tcPr>
          <w:p w14:paraId="19A7E3A1" w14:textId="4CDB0466" w:rsidR="00CF653B" w:rsidRDefault="00CF653B" w:rsidP="00412F75">
            <w:pPr>
              <w:spacing w:beforeLines="40" w:before="96" w:afterLines="40" w:after="96"/>
            </w:pPr>
            <w:r w:rsidRPr="00304AC8">
              <w:t>05 Feb 2007</w:t>
            </w:r>
          </w:p>
        </w:tc>
      </w:tr>
      <w:tr w:rsidR="00CF653B" w14:paraId="6DC548EC" w14:textId="77777777" w:rsidTr="00BF774F">
        <w:tc>
          <w:tcPr>
            <w:tcW w:w="3652" w:type="dxa"/>
          </w:tcPr>
          <w:p w14:paraId="2D42487C" w14:textId="09448DC2" w:rsidR="00CF653B" w:rsidRPr="00304AC8" w:rsidRDefault="00CF653B" w:rsidP="00412F75">
            <w:pPr>
              <w:spacing w:beforeLines="40" w:before="96" w:afterLines="40" w:after="96"/>
            </w:pPr>
            <w:r w:rsidRPr="00304AC8">
              <w:t xml:space="preserve">Toowoomba Health Service District </w:t>
            </w:r>
            <w:r>
              <w:t>Human Research Ethics Committee</w:t>
            </w:r>
          </w:p>
        </w:tc>
        <w:tc>
          <w:tcPr>
            <w:tcW w:w="1480" w:type="dxa"/>
          </w:tcPr>
          <w:p w14:paraId="62E39815" w14:textId="25FEF0A5" w:rsidR="00CF653B" w:rsidRPr="00304AC8" w:rsidRDefault="00CF653B" w:rsidP="00412F75">
            <w:pPr>
              <w:spacing w:beforeLines="40" w:before="96" w:afterLines="40" w:after="96"/>
            </w:pPr>
            <w:r w:rsidRPr="00304AC8">
              <w:t>29 Nov 2006</w:t>
            </w:r>
          </w:p>
        </w:tc>
        <w:tc>
          <w:tcPr>
            <w:tcW w:w="1480" w:type="dxa"/>
          </w:tcPr>
          <w:p w14:paraId="504E5211" w14:textId="4062A104" w:rsidR="00CF653B" w:rsidRPr="00304AC8" w:rsidRDefault="00CF653B" w:rsidP="00412F75">
            <w:pPr>
              <w:spacing w:beforeLines="40" w:before="96" w:afterLines="40" w:after="96"/>
            </w:pPr>
            <w:r w:rsidRPr="00304AC8">
              <w:t>27 Nov 2006</w:t>
            </w:r>
          </w:p>
        </w:tc>
        <w:tc>
          <w:tcPr>
            <w:tcW w:w="1480" w:type="dxa"/>
          </w:tcPr>
          <w:p w14:paraId="67AF3A5A" w14:textId="22C7DD56" w:rsidR="00CF653B" w:rsidRPr="00304AC8" w:rsidRDefault="00CF653B" w:rsidP="00412F75">
            <w:pPr>
              <w:spacing w:beforeLines="40" w:before="96" w:afterLines="40" w:after="96"/>
            </w:pPr>
            <w:r w:rsidRPr="00304AC8">
              <w:t>14 Dec 2006</w:t>
            </w:r>
          </w:p>
        </w:tc>
        <w:tc>
          <w:tcPr>
            <w:tcW w:w="1480" w:type="dxa"/>
          </w:tcPr>
          <w:p w14:paraId="485E8947" w14:textId="6882FFA3" w:rsidR="00CF653B" w:rsidRPr="00304AC8" w:rsidRDefault="00CF653B" w:rsidP="00412F75">
            <w:pPr>
              <w:spacing w:beforeLines="40" w:before="96" w:afterLines="40" w:after="96"/>
            </w:pPr>
            <w:r w:rsidRPr="00304AC8">
              <w:t>06 Dec 2006</w:t>
            </w:r>
          </w:p>
        </w:tc>
      </w:tr>
      <w:tr w:rsidR="00CF653B" w14:paraId="061D096B" w14:textId="77777777" w:rsidTr="00BF774F">
        <w:tc>
          <w:tcPr>
            <w:tcW w:w="3652" w:type="dxa"/>
          </w:tcPr>
          <w:p w14:paraId="4333370A" w14:textId="0495F06D" w:rsidR="00CF653B" w:rsidRPr="00304AC8" w:rsidRDefault="00CF653B" w:rsidP="00BF774F">
            <w:r w:rsidRPr="00304AC8">
              <w:lastRenderedPageBreak/>
              <w:t xml:space="preserve">West Moreton Health Service District </w:t>
            </w:r>
            <w:r>
              <w:t>Human Research Ethics Committee</w:t>
            </w:r>
          </w:p>
        </w:tc>
        <w:tc>
          <w:tcPr>
            <w:tcW w:w="1480" w:type="dxa"/>
          </w:tcPr>
          <w:p w14:paraId="1ED3603D" w14:textId="073541C5" w:rsidR="00CF653B" w:rsidRPr="00304AC8" w:rsidRDefault="00CF653B" w:rsidP="00BF774F">
            <w:r w:rsidRPr="00304AC8">
              <w:t>20 Nov 2006</w:t>
            </w:r>
          </w:p>
        </w:tc>
        <w:tc>
          <w:tcPr>
            <w:tcW w:w="1480" w:type="dxa"/>
          </w:tcPr>
          <w:p w14:paraId="2E1FC353" w14:textId="2128D093" w:rsidR="00CF653B" w:rsidRPr="00304AC8" w:rsidRDefault="00CF653B" w:rsidP="00BF774F">
            <w:r w:rsidRPr="00304AC8">
              <w:t>17 Nov 2006</w:t>
            </w:r>
          </w:p>
        </w:tc>
        <w:tc>
          <w:tcPr>
            <w:tcW w:w="1480" w:type="dxa"/>
          </w:tcPr>
          <w:p w14:paraId="139525B7" w14:textId="35D65F1C" w:rsidR="00CF653B" w:rsidRPr="00304AC8" w:rsidRDefault="00CF653B" w:rsidP="00BF774F">
            <w:r w:rsidRPr="00304AC8">
              <w:t>04 Dec 2006</w:t>
            </w:r>
          </w:p>
        </w:tc>
        <w:tc>
          <w:tcPr>
            <w:tcW w:w="1480" w:type="dxa"/>
          </w:tcPr>
          <w:p w14:paraId="5BD499CC" w14:textId="7C0B887D" w:rsidR="00CF653B" w:rsidRPr="00304AC8" w:rsidRDefault="00CF653B" w:rsidP="00BF774F">
            <w:r w:rsidRPr="00304AC8">
              <w:t>26 Feb 2007</w:t>
            </w:r>
          </w:p>
        </w:tc>
      </w:tr>
    </w:tbl>
    <w:p w14:paraId="6BD2EDD6" w14:textId="3F29419E" w:rsidR="00BF774F" w:rsidRDefault="00CF653B" w:rsidP="00412F75">
      <w:pPr>
        <w:pStyle w:val="Heading3"/>
        <w:spacing w:before="180"/>
      </w:pPr>
      <w:bookmarkStart w:id="6" w:name="_Toc402348853"/>
      <w:r w:rsidRPr="00304AC8">
        <w:t>NSW Government</w:t>
      </w:r>
      <w:bookmarkEnd w:id="6"/>
    </w:p>
    <w:tbl>
      <w:tblPr>
        <w:tblStyle w:val="TableGrid"/>
        <w:tblW w:w="0" w:type="auto"/>
        <w:tblLook w:val="04A0" w:firstRow="1" w:lastRow="0" w:firstColumn="1" w:lastColumn="0" w:noHBand="0" w:noVBand="1"/>
        <w:tblDescription w:val="NSW Government"/>
      </w:tblPr>
      <w:tblGrid>
        <w:gridCol w:w="3652"/>
        <w:gridCol w:w="1480"/>
        <w:gridCol w:w="1480"/>
        <w:gridCol w:w="1480"/>
        <w:gridCol w:w="1480"/>
      </w:tblGrid>
      <w:tr w:rsidR="00CF653B" w14:paraId="5DC73EF4" w14:textId="77777777" w:rsidTr="00CF653B">
        <w:trPr>
          <w:tblHeader/>
        </w:trPr>
        <w:tc>
          <w:tcPr>
            <w:tcW w:w="3652" w:type="dxa"/>
            <w:shd w:val="clear" w:color="auto" w:fill="D9D9D9" w:themeFill="background1" w:themeFillShade="D9"/>
            <w:vAlign w:val="center"/>
          </w:tcPr>
          <w:p w14:paraId="0C5CD153" w14:textId="77777777" w:rsidR="00CF653B" w:rsidRPr="007E5706" w:rsidRDefault="00CF653B"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5FD70670" w14:textId="77777777" w:rsidR="00CF653B" w:rsidRPr="007E5706" w:rsidRDefault="00CF653B"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571ED3BF" w14:textId="77777777" w:rsidR="00CF653B" w:rsidRPr="007E5706" w:rsidRDefault="00CF653B"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54AE3727" w14:textId="77777777" w:rsidR="00CF653B" w:rsidRPr="007E5706" w:rsidRDefault="00CF653B"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3A86BB2B" w14:textId="77777777" w:rsidR="00CF653B" w:rsidRPr="007E5706" w:rsidRDefault="00CF653B" w:rsidP="00412F75">
            <w:pPr>
              <w:spacing w:before="60" w:after="60"/>
              <w:jc w:val="center"/>
              <w:rPr>
                <w:b/>
              </w:rPr>
            </w:pPr>
            <w:r w:rsidRPr="007E5706">
              <w:rPr>
                <w:b/>
              </w:rPr>
              <w:t>Final approval</w:t>
            </w:r>
          </w:p>
        </w:tc>
      </w:tr>
      <w:tr w:rsidR="00CF653B" w14:paraId="73F2A709" w14:textId="77777777" w:rsidTr="00CF653B">
        <w:tc>
          <w:tcPr>
            <w:tcW w:w="3652" w:type="dxa"/>
          </w:tcPr>
          <w:p w14:paraId="3FC70AC8" w14:textId="3A3DDD71" w:rsidR="00CF653B" w:rsidRDefault="00CF653B" w:rsidP="00CF653B">
            <w:r w:rsidRPr="00304AC8">
              <w:t xml:space="preserve">NSW Department of Health </w:t>
            </w:r>
            <w:r>
              <w:t>Human Research Ethics Committee</w:t>
            </w:r>
          </w:p>
        </w:tc>
        <w:tc>
          <w:tcPr>
            <w:tcW w:w="1480" w:type="dxa"/>
          </w:tcPr>
          <w:p w14:paraId="51F562F6" w14:textId="7265115D" w:rsidR="00CF653B" w:rsidRDefault="00CF653B" w:rsidP="00CF653B">
            <w:r w:rsidRPr="00304AC8">
              <w:t xml:space="preserve">23 Nov 2006 </w:t>
            </w:r>
          </w:p>
        </w:tc>
        <w:tc>
          <w:tcPr>
            <w:tcW w:w="1480" w:type="dxa"/>
          </w:tcPr>
          <w:p w14:paraId="4DE25C12" w14:textId="2A580A68" w:rsidR="00CF653B" w:rsidRDefault="00CF653B" w:rsidP="00CF653B">
            <w:r w:rsidRPr="00304AC8">
              <w:t>20 Nov 2006</w:t>
            </w:r>
          </w:p>
        </w:tc>
        <w:tc>
          <w:tcPr>
            <w:tcW w:w="1480" w:type="dxa"/>
          </w:tcPr>
          <w:p w14:paraId="7FF2FD2B" w14:textId="0E9407BC" w:rsidR="00CF653B" w:rsidRDefault="00CF653B" w:rsidP="00CF653B">
            <w:r w:rsidRPr="00304AC8">
              <w:t>14 Dec 2006</w:t>
            </w:r>
          </w:p>
        </w:tc>
        <w:tc>
          <w:tcPr>
            <w:tcW w:w="1480" w:type="dxa"/>
          </w:tcPr>
          <w:p w14:paraId="27E76AA3" w14:textId="5FF96381" w:rsidR="00CF653B" w:rsidRDefault="00CF653B" w:rsidP="00CF653B">
            <w:r w:rsidRPr="00304AC8">
              <w:t>01 Feb 2007</w:t>
            </w:r>
          </w:p>
        </w:tc>
      </w:tr>
    </w:tbl>
    <w:p w14:paraId="15FB0F86" w14:textId="138970F2" w:rsidR="00BF774F" w:rsidRDefault="00CF653B" w:rsidP="00412F75">
      <w:pPr>
        <w:pStyle w:val="Heading3"/>
        <w:spacing w:before="180"/>
      </w:pPr>
      <w:bookmarkStart w:id="7" w:name="_Toc402348854"/>
      <w:r w:rsidRPr="00304AC8">
        <w:t>SA Government</w:t>
      </w:r>
      <w:bookmarkEnd w:id="7"/>
    </w:p>
    <w:tbl>
      <w:tblPr>
        <w:tblStyle w:val="TableGrid"/>
        <w:tblW w:w="0" w:type="auto"/>
        <w:tblLook w:val="04A0" w:firstRow="1" w:lastRow="0" w:firstColumn="1" w:lastColumn="0" w:noHBand="0" w:noVBand="1"/>
        <w:tblDescription w:val="SA Government"/>
      </w:tblPr>
      <w:tblGrid>
        <w:gridCol w:w="3652"/>
        <w:gridCol w:w="1480"/>
        <w:gridCol w:w="1480"/>
        <w:gridCol w:w="1480"/>
        <w:gridCol w:w="1480"/>
      </w:tblGrid>
      <w:tr w:rsidR="00CF653B" w14:paraId="70195276" w14:textId="77777777" w:rsidTr="00CF653B">
        <w:trPr>
          <w:tblHeader/>
        </w:trPr>
        <w:tc>
          <w:tcPr>
            <w:tcW w:w="3652" w:type="dxa"/>
            <w:shd w:val="clear" w:color="auto" w:fill="D9D9D9" w:themeFill="background1" w:themeFillShade="D9"/>
            <w:vAlign w:val="center"/>
          </w:tcPr>
          <w:p w14:paraId="5475F481" w14:textId="77777777" w:rsidR="00CF653B" w:rsidRPr="007E5706" w:rsidRDefault="00CF653B"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4C31DCD1" w14:textId="77777777" w:rsidR="00CF653B" w:rsidRPr="007E5706" w:rsidRDefault="00CF653B"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2FF1239B" w14:textId="77777777" w:rsidR="00CF653B" w:rsidRPr="007E5706" w:rsidRDefault="00CF653B"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50EFB771" w14:textId="77777777" w:rsidR="00CF653B" w:rsidRPr="007E5706" w:rsidRDefault="00CF653B"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175D447E" w14:textId="77777777" w:rsidR="00CF653B" w:rsidRPr="007E5706" w:rsidRDefault="00CF653B" w:rsidP="00412F75">
            <w:pPr>
              <w:spacing w:before="60" w:after="60"/>
              <w:jc w:val="center"/>
              <w:rPr>
                <w:b/>
              </w:rPr>
            </w:pPr>
            <w:r w:rsidRPr="007E5706">
              <w:rPr>
                <w:b/>
              </w:rPr>
              <w:t>Final approval</w:t>
            </w:r>
          </w:p>
        </w:tc>
      </w:tr>
      <w:tr w:rsidR="00CF653B" w14:paraId="61A859DC" w14:textId="77777777" w:rsidTr="00CF653B">
        <w:tc>
          <w:tcPr>
            <w:tcW w:w="3652" w:type="dxa"/>
          </w:tcPr>
          <w:p w14:paraId="167D7E05" w14:textId="28C5E90A" w:rsidR="00CF653B" w:rsidRDefault="00CF653B" w:rsidP="00CF653B">
            <w:r w:rsidRPr="00304AC8">
              <w:t xml:space="preserve">SA Department of Health </w:t>
            </w:r>
            <w:r>
              <w:t>Human Research Ethics Committee</w:t>
            </w:r>
          </w:p>
        </w:tc>
        <w:tc>
          <w:tcPr>
            <w:tcW w:w="1480" w:type="dxa"/>
          </w:tcPr>
          <w:p w14:paraId="675830C0" w14:textId="4B89E213" w:rsidR="00CF653B" w:rsidRDefault="00CF653B" w:rsidP="00CF653B">
            <w:r w:rsidRPr="00304AC8">
              <w:t xml:space="preserve">26 Oct 2006 </w:t>
            </w:r>
          </w:p>
        </w:tc>
        <w:tc>
          <w:tcPr>
            <w:tcW w:w="1480" w:type="dxa"/>
          </w:tcPr>
          <w:p w14:paraId="3D5312A9" w14:textId="03B2CAA6" w:rsidR="00CF653B" w:rsidRDefault="00CF653B" w:rsidP="00CF653B">
            <w:r w:rsidRPr="00304AC8">
              <w:t xml:space="preserve">26 Oct 2006 </w:t>
            </w:r>
          </w:p>
        </w:tc>
        <w:tc>
          <w:tcPr>
            <w:tcW w:w="1480" w:type="dxa"/>
          </w:tcPr>
          <w:p w14:paraId="36FFC03A" w14:textId="7D14EA50" w:rsidR="00CF653B" w:rsidRDefault="00CF653B" w:rsidP="00CF653B">
            <w:r w:rsidRPr="00304AC8">
              <w:t>08 Nov 2006</w:t>
            </w:r>
          </w:p>
        </w:tc>
        <w:tc>
          <w:tcPr>
            <w:tcW w:w="1480" w:type="dxa"/>
          </w:tcPr>
          <w:p w14:paraId="0C7E3AF4" w14:textId="266DFF1E" w:rsidR="00CF653B" w:rsidRDefault="00CF653B" w:rsidP="00CF653B">
            <w:r w:rsidRPr="00304AC8">
              <w:t>09 Feb 2007</w:t>
            </w:r>
          </w:p>
        </w:tc>
      </w:tr>
    </w:tbl>
    <w:p w14:paraId="3EFEEA79" w14:textId="027A216B" w:rsidR="00CF653B" w:rsidRPr="00412F75" w:rsidRDefault="00CF653B" w:rsidP="00412F75">
      <w:pPr>
        <w:pStyle w:val="Heading3"/>
        <w:spacing w:before="180"/>
      </w:pPr>
      <w:bookmarkStart w:id="8" w:name="_Toc402348855"/>
      <w:r w:rsidRPr="00412F75">
        <w:t>Tasmanian Government</w:t>
      </w:r>
      <w:bookmarkEnd w:id="8"/>
    </w:p>
    <w:tbl>
      <w:tblPr>
        <w:tblStyle w:val="TableGrid"/>
        <w:tblW w:w="0" w:type="auto"/>
        <w:tblLook w:val="04A0" w:firstRow="1" w:lastRow="0" w:firstColumn="1" w:lastColumn="0" w:noHBand="0" w:noVBand="1"/>
        <w:tblDescription w:val="Tasmanian Government"/>
      </w:tblPr>
      <w:tblGrid>
        <w:gridCol w:w="3652"/>
        <w:gridCol w:w="1480"/>
        <w:gridCol w:w="1480"/>
        <w:gridCol w:w="1480"/>
        <w:gridCol w:w="1480"/>
      </w:tblGrid>
      <w:tr w:rsidR="00CF653B" w14:paraId="55624605" w14:textId="77777777" w:rsidTr="00CF653B">
        <w:trPr>
          <w:tblHeader/>
        </w:trPr>
        <w:tc>
          <w:tcPr>
            <w:tcW w:w="3652" w:type="dxa"/>
            <w:shd w:val="clear" w:color="auto" w:fill="D9D9D9" w:themeFill="background1" w:themeFillShade="D9"/>
            <w:vAlign w:val="center"/>
          </w:tcPr>
          <w:p w14:paraId="2AB6FEF7" w14:textId="77777777" w:rsidR="00CF653B" w:rsidRPr="007E5706" w:rsidRDefault="00CF653B"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49600453" w14:textId="77777777" w:rsidR="00CF653B" w:rsidRPr="007E5706" w:rsidRDefault="00CF653B"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0392BFA5" w14:textId="77777777" w:rsidR="00CF653B" w:rsidRPr="007E5706" w:rsidRDefault="00CF653B"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2FCEC81A" w14:textId="77777777" w:rsidR="00CF653B" w:rsidRPr="007E5706" w:rsidRDefault="00CF653B"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2ADF58E6" w14:textId="77777777" w:rsidR="00CF653B" w:rsidRPr="007E5706" w:rsidRDefault="00CF653B" w:rsidP="00412F75">
            <w:pPr>
              <w:spacing w:before="60" w:after="60"/>
              <w:jc w:val="center"/>
              <w:rPr>
                <w:b/>
              </w:rPr>
            </w:pPr>
            <w:r w:rsidRPr="007E5706">
              <w:rPr>
                <w:b/>
              </w:rPr>
              <w:t>Final approval</w:t>
            </w:r>
          </w:p>
        </w:tc>
      </w:tr>
      <w:tr w:rsidR="00412F75" w14:paraId="58E17C28" w14:textId="77777777" w:rsidTr="00CF653B">
        <w:tc>
          <w:tcPr>
            <w:tcW w:w="3652" w:type="dxa"/>
          </w:tcPr>
          <w:p w14:paraId="36251F2F" w14:textId="50596574" w:rsidR="00412F75" w:rsidRDefault="00412F75" w:rsidP="00CF653B">
            <w:r w:rsidRPr="00304AC8">
              <w:t xml:space="preserve">Southern Tasmania Health &amp; Medical </w:t>
            </w:r>
            <w:r>
              <w:t>Human Research Ethics Committee</w:t>
            </w:r>
          </w:p>
        </w:tc>
        <w:tc>
          <w:tcPr>
            <w:tcW w:w="1480" w:type="dxa"/>
          </w:tcPr>
          <w:p w14:paraId="492A2118" w14:textId="1095F91F" w:rsidR="00412F75" w:rsidRDefault="00412F75" w:rsidP="00CF653B">
            <w:r w:rsidRPr="00304AC8">
              <w:t xml:space="preserve">09 Nov 2006 </w:t>
            </w:r>
          </w:p>
        </w:tc>
        <w:tc>
          <w:tcPr>
            <w:tcW w:w="1480" w:type="dxa"/>
          </w:tcPr>
          <w:p w14:paraId="70447972" w14:textId="6482D5E7" w:rsidR="00412F75" w:rsidRDefault="00412F75" w:rsidP="00CF653B">
            <w:r w:rsidRPr="00304AC8">
              <w:t xml:space="preserve">09 Nov 2006 </w:t>
            </w:r>
          </w:p>
        </w:tc>
        <w:tc>
          <w:tcPr>
            <w:tcW w:w="1480" w:type="dxa"/>
          </w:tcPr>
          <w:p w14:paraId="0DF4018E" w14:textId="0A54EF3D" w:rsidR="00412F75" w:rsidRDefault="00412F75" w:rsidP="00CF653B">
            <w:r w:rsidRPr="00304AC8">
              <w:t>11 Dec 2006</w:t>
            </w:r>
          </w:p>
        </w:tc>
        <w:tc>
          <w:tcPr>
            <w:tcW w:w="1480" w:type="dxa"/>
          </w:tcPr>
          <w:p w14:paraId="64EC50B7" w14:textId="776AB559" w:rsidR="00412F75" w:rsidRDefault="00412F75" w:rsidP="00CF653B">
            <w:r w:rsidRPr="00304AC8">
              <w:t>04 Dec 2006</w:t>
            </w:r>
          </w:p>
        </w:tc>
      </w:tr>
    </w:tbl>
    <w:p w14:paraId="128C481B" w14:textId="7FEB55D7" w:rsidR="00CF653B" w:rsidRDefault="00412F75" w:rsidP="00412F75">
      <w:pPr>
        <w:pStyle w:val="Heading3"/>
        <w:spacing w:before="180"/>
      </w:pPr>
      <w:bookmarkStart w:id="9" w:name="_Toc402348856"/>
      <w:r w:rsidRPr="00304AC8">
        <w:t>WA Government</w:t>
      </w:r>
      <w:bookmarkEnd w:id="9"/>
    </w:p>
    <w:tbl>
      <w:tblPr>
        <w:tblStyle w:val="TableGrid"/>
        <w:tblW w:w="0" w:type="auto"/>
        <w:tblLook w:val="04A0" w:firstRow="1" w:lastRow="0" w:firstColumn="1" w:lastColumn="0" w:noHBand="0" w:noVBand="1"/>
        <w:tblDescription w:val="WA Government"/>
      </w:tblPr>
      <w:tblGrid>
        <w:gridCol w:w="3652"/>
        <w:gridCol w:w="1480"/>
        <w:gridCol w:w="1480"/>
        <w:gridCol w:w="1480"/>
        <w:gridCol w:w="1480"/>
      </w:tblGrid>
      <w:tr w:rsidR="00CF653B" w14:paraId="0AFBAE4E" w14:textId="77777777" w:rsidTr="00CF653B">
        <w:trPr>
          <w:tblHeader/>
        </w:trPr>
        <w:tc>
          <w:tcPr>
            <w:tcW w:w="3652" w:type="dxa"/>
            <w:shd w:val="clear" w:color="auto" w:fill="D9D9D9" w:themeFill="background1" w:themeFillShade="D9"/>
            <w:vAlign w:val="center"/>
          </w:tcPr>
          <w:p w14:paraId="0590C00C" w14:textId="77777777" w:rsidR="00CF653B" w:rsidRPr="007E5706" w:rsidRDefault="00CF653B"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1D24319A" w14:textId="77777777" w:rsidR="00CF653B" w:rsidRPr="007E5706" w:rsidRDefault="00CF653B"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108F9EFD" w14:textId="77777777" w:rsidR="00CF653B" w:rsidRPr="007E5706" w:rsidRDefault="00CF653B"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70D312AB" w14:textId="77777777" w:rsidR="00CF653B" w:rsidRPr="007E5706" w:rsidRDefault="00CF653B"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6C802440" w14:textId="77777777" w:rsidR="00CF653B" w:rsidRPr="007E5706" w:rsidRDefault="00CF653B" w:rsidP="00412F75">
            <w:pPr>
              <w:spacing w:before="60" w:after="60"/>
              <w:jc w:val="center"/>
              <w:rPr>
                <w:b/>
              </w:rPr>
            </w:pPr>
            <w:r w:rsidRPr="007E5706">
              <w:rPr>
                <w:b/>
              </w:rPr>
              <w:t>Final approval</w:t>
            </w:r>
          </w:p>
        </w:tc>
      </w:tr>
      <w:tr w:rsidR="00412F75" w14:paraId="4A73CF59" w14:textId="77777777" w:rsidTr="00CF653B">
        <w:tc>
          <w:tcPr>
            <w:tcW w:w="3652" w:type="dxa"/>
          </w:tcPr>
          <w:p w14:paraId="745A8DF8" w14:textId="2031EBD3" w:rsidR="00412F75" w:rsidRDefault="00412F75" w:rsidP="00CF653B">
            <w:r w:rsidRPr="00304AC8">
              <w:t xml:space="preserve">Confidentiality of Health Information Committee </w:t>
            </w:r>
          </w:p>
        </w:tc>
        <w:tc>
          <w:tcPr>
            <w:tcW w:w="1480" w:type="dxa"/>
          </w:tcPr>
          <w:p w14:paraId="510566AB" w14:textId="4C0D70D3" w:rsidR="00412F75" w:rsidRDefault="00412F75" w:rsidP="00CF653B"/>
        </w:tc>
        <w:tc>
          <w:tcPr>
            <w:tcW w:w="1480" w:type="dxa"/>
          </w:tcPr>
          <w:p w14:paraId="57408676" w14:textId="3630BF84" w:rsidR="00412F75" w:rsidRDefault="00412F75" w:rsidP="00CF653B">
            <w:r w:rsidRPr="00304AC8">
              <w:t xml:space="preserve">29 Jan 2007 </w:t>
            </w:r>
          </w:p>
        </w:tc>
        <w:tc>
          <w:tcPr>
            <w:tcW w:w="1480" w:type="dxa"/>
          </w:tcPr>
          <w:p w14:paraId="61733CA0" w14:textId="072FF7D5" w:rsidR="00412F75" w:rsidRDefault="00412F75" w:rsidP="00CF653B">
            <w:r w:rsidRPr="00304AC8">
              <w:t>06 Feb 2007</w:t>
            </w:r>
          </w:p>
        </w:tc>
        <w:tc>
          <w:tcPr>
            <w:tcW w:w="1480" w:type="dxa"/>
          </w:tcPr>
          <w:p w14:paraId="1CE9A536" w14:textId="564367CA" w:rsidR="00412F75" w:rsidRDefault="00412F75" w:rsidP="00CF653B">
            <w:r w:rsidRPr="00304AC8">
              <w:t>19 Feb 2007</w:t>
            </w:r>
          </w:p>
        </w:tc>
      </w:tr>
    </w:tbl>
    <w:p w14:paraId="5A5E64B6" w14:textId="283721FF" w:rsidR="00412F75" w:rsidRDefault="00412F75" w:rsidP="00412F75">
      <w:pPr>
        <w:pStyle w:val="Heading3"/>
        <w:spacing w:before="180"/>
      </w:pPr>
      <w:bookmarkStart w:id="10" w:name="_Toc402348857"/>
      <w:r w:rsidRPr="00304AC8">
        <w:t>NT Government</w:t>
      </w:r>
      <w:bookmarkEnd w:id="10"/>
    </w:p>
    <w:tbl>
      <w:tblPr>
        <w:tblStyle w:val="TableGrid"/>
        <w:tblW w:w="0" w:type="auto"/>
        <w:tblLook w:val="04A0" w:firstRow="1" w:lastRow="0" w:firstColumn="1" w:lastColumn="0" w:noHBand="0" w:noVBand="1"/>
        <w:tblDescription w:val="NT Government"/>
      </w:tblPr>
      <w:tblGrid>
        <w:gridCol w:w="3652"/>
        <w:gridCol w:w="1480"/>
        <w:gridCol w:w="1480"/>
        <w:gridCol w:w="1480"/>
        <w:gridCol w:w="1480"/>
      </w:tblGrid>
      <w:tr w:rsidR="00412F75" w14:paraId="3D5F456F" w14:textId="77777777" w:rsidTr="00412F75">
        <w:trPr>
          <w:tblHeader/>
        </w:trPr>
        <w:tc>
          <w:tcPr>
            <w:tcW w:w="3652" w:type="dxa"/>
            <w:shd w:val="clear" w:color="auto" w:fill="D9D9D9" w:themeFill="background1" w:themeFillShade="D9"/>
            <w:vAlign w:val="center"/>
          </w:tcPr>
          <w:p w14:paraId="32C0D898" w14:textId="77777777" w:rsidR="00412F75" w:rsidRPr="007E5706" w:rsidRDefault="00412F75" w:rsidP="00412F75">
            <w:pPr>
              <w:spacing w:before="60" w:after="60"/>
              <w:jc w:val="center"/>
              <w:rPr>
                <w:b/>
              </w:rPr>
            </w:pPr>
            <w:r w:rsidRPr="007E5706">
              <w:rPr>
                <w:b/>
              </w:rPr>
              <w:t>National Applications</w:t>
            </w:r>
          </w:p>
        </w:tc>
        <w:tc>
          <w:tcPr>
            <w:tcW w:w="1480" w:type="dxa"/>
            <w:shd w:val="clear" w:color="auto" w:fill="D9D9D9" w:themeFill="background1" w:themeFillShade="D9"/>
            <w:vAlign w:val="center"/>
          </w:tcPr>
          <w:p w14:paraId="2B41FC83" w14:textId="77777777" w:rsidR="00412F75" w:rsidRPr="007E5706" w:rsidRDefault="00412F75" w:rsidP="00412F75">
            <w:pPr>
              <w:spacing w:before="60" w:after="60"/>
              <w:jc w:val="center"/>
              <w:rPr>
                <w:b/>
              </w:rPr>
            </w:pPr>
            <w:r w:rsidRPr="007E5706">
              <w:rPr>
                <w:b/>
              </w:rPr>
              <w:t>Due date</w:t>
            </w:r>
          </w:p>
        </w:tc>
        <w:tc>
          <w:tcPr>
            <w:tcW w:w="1480" w:type="dxa"/>
            <w:shd w:val="clear" w:color="auto" w:fill="D9D9D9" w:themeFill="background1" w:themeFillShade="D9"/>
            <w:vAlign w:val="center"/>
          </w:tcPr>
          <w:p w14:paraId="1D80F766" w14:textId="77777777" w:rsidR="00412F75" w:rsidRPr="007E5706" w:rsidRDefault="00412F75" w:rsidP="00412F75">
            <w:pPr>
              <w:spacing w:before="60" w:after="60"/>
              <w:jc w:val="center"/>
              <w:rPr>
                <w:b/>
              </w:rPr>
            </w:pPr>
            <w:r w:rsidRPr="007E5706">
              <w:rPr>
                <w:b/>
              </w:rPr>
              <w:t>Date submitted</w:t>
            </w:r>
          </w:p>
        </w:tc>
        <w:tc>
          <w:tcPr>
            <w:tcW w:w="1480" w:type="dxa"/>
            <w:shd w:val="clear" w:color="auto" w:fill="D9D9D9" w:themeFill="background1" w:themeFillShade="D9"/>
            <w:vAlign w:val="center"/>
          </w:tcPr>
          <w:p w14:paraId="779FB44E" w14:textId="77777777" w:rsidR="00412F75" w:rsidRPr="007E5706" w:rsidRDefault="00412F75" w:rsidP="00412F75">
            <w:pPr>
              <w:spacing w:before="60" w:after="60"/>
              <w:jc w:val="center"/>
              <w:rPr>
                <w:b/>
              </w:rPr>
            </w:pPr>
            <w:r w:rsidRPr="007E5706">
              <w:rPr>
                <w:b/>
              </w:rPr>
              <w:t>Date of meeting</w:t>
            </w:r>
          </w:p>
        </w:tc>
        <w:tc>
          <w:tcPr>
            <w:tcW w:w="1480" w:type="dxa"/>
            <w:shd w:val="clear" w:color="auto" w:fill="D9D9D9" w:themeFill="background1" w:themeFillShade="D9"/>
            <w:vAlign w:val="center"/>
          </w:tcPr>
          <w:p w14:paraId="44D513A4" w14:textId="77777777" w:rsidR="00412F75" w:rsidRPr="007E5706" w:rsidRDefault="00412F75" w:rsidP="00412F75">
            <w:pPr>
              <w:spacing w:before="60" w:after="60"/>
              <w:jc w:val="center"/>
              <w:rPr>
                <w:b/>
              </w:rPr>
            </w:pPr>
            <w:r w:rsidRPr="007E5706">
              <w:rPr>
                <w:b/>
              </w:rPr>
              <w:t>Final approval</w:t>
            </w:r>
          </w:p>
        </w:tc>
      </w:tr>
      <w:tr w:rsidR="00412F75" w14:paraId="161A17CE" w14:textId="77777777" w:rsidTr="00412F75">
        <w:tc>
          <w:tcPr>
            <w:tcW w:w="3652" w:type="dxa"/>
          </w:tcPr>
          <w:p w14:paraId="0AF77869" w14:textId="0095DBFD" w:rsidR="00412F75" w:rsidRDefault="00412F75" w:rsidP="00412F75">
            <w:r w:rsidRPr="00304AC8">
              <w:t xml:space="preserve">Central Australia </w:t>
            </w:r>
            <w:r>
              <w:t>Human Research Ethics Committee</w:t>
            </w:r>
            <w:r w:rsidRPr="00304AC8">
              <w:t xml:space="preserve"> </w:t>
            </w:r>
          </w:p>
        </w:tc>
        <w:tc>
          <w:tcPr>
            <w:tcW w:w="1480" w:type="dxa"/>
          </w:tcPr>
          <w:p w14:paraId="52D319C1" w14:textId="10253C0D" w:rsidR="00412F75" w:rsidRDefault="00412F75" w:rsidP="00412F75">
            <w:r w:rsidRPr="00304AC8">
              <w:t>26 Oct 2006</w:t>
            </w:r>
          </w:p>
        </w:tc>
        <w:tc>
          <w:tcPr>
            <w:tcW w:w="1480" w:type="dxa"/>
          </w:tcPr>
          <w:p w14:paraId="078FD124" w14:textId="7F7D7F9A" w:rsidR="00412F75" w:rsidRDefault="00412F75" w:rsidP="00412F75">
            <w:r w:rsidRPr="00304AC8">
              <w:t>21 Nov 2006</w:t>
            </w:r>
          </w:p>
        </w:tc>
        <w:tc>
          <w:tcPr>
            <w:tcW w:w="1480" w:type="dxa"/>
          </w:tcPr>
          <w:p w14:paraId="33570541" w14:textId="0C952F91" w:rsidR="00412F75" w:rsidRDefault="00412F75" w:rsidP="00412F75">
            <w:r w:rsidRPr="00304AC8">
              <w:t>23 Nov 2006</w:t>
            </w:r>
          </w:p>
        </w:tc>
        <w:tc>
          <w:tcPr>
            <w:tcW w:w="1480" w:type="dxa"/>
          </w:tcPr>
          <w:p w14:paraId="2C716AC7" w14:textId="524E7384" w:rsidR="00412F75" w:rsidRDefault="00412F75" w:rsidP="00412F75">
            <w:r w:rsidRPr="00304AC8">
              <w:t>24 Nov 2006</w:t>
            </w:r>
          </w:p>
        </w:tc>
      </w:tr>
      <w:tr w:rsidR="00412F75" w14:paraId="15F73DA2" w14:textId="77777777" w:rsidTr="00412F75">
        <w:tc>
          <w:tcPr>
            <w:tcW w:w="3652" w:type="dxa"/>
          </w:tcPr>
          <w:p w14:paraId="483AC89E" w14:textId="26B25E61" w:rsidR="00412F75" w:rsidRDefault="00412F75" w:rsidP="00412F75">
            <w:r>
              <w:t>Human Research Ethics Committee</w:t>
            </w:r>
            <w:r w:rsidRPr="00304AC8">
              <w:t xml:space="preserve"> of Northern Territory Department of Health &amp; Community Services and Menzies School of Health Research</w:t>
            </w:r>
          </w:p>
        </w:tc>
        <w:tc>
          <w:tcPr>
            <w:tcW w:w="1480" w:type="dxa"/>
          </w:tcPr>
          <w:p w14:paraId="122F2C05" w14:textId="23DB7765" w:rsidR="00412F75" w:rsidRDefault="00412F75" w:rsidP="00412F75">
            <w:r w:rsidRPr="00304AC8">
              <w:t>15 Nov 2006</w:t>
            </w:r>
          </w:p>
        </w:tc>
        <w:tc>
          <w:tcPr>
            <w:tcW w:w="1480" w:type="dxa"/>
          </w:tcPr>
          <w:p w14:paraId="36B86E65" w14:textId="35803476" w:rsidR="00412F75" w:rsidRDefault="00412F75" w:rsidP="00412F75">
            <w:r w:rsidRPr="00304AC8">
              <w:t>14 Nov 2006</w:t>
            </w:r>
          </w:p>
        </w:tc>
        <w:tc>
          <w:tcPr>
            <w:tcW w:w="1480" w:type="dxa"/>
          </w:tcPr>
          <w:p w14:paraId="5C6FE378" w14:textId="12695362" w:rsidR="00412F75" w:rsidRDefault="00412F75" w:rsidP="00412F75">
            <w:r w:rsidRPr="00304AC8">
              <w:t>07 Dec 2006</w:t>
            </w:r>
          </w:p>
        </w:tc>
        <w:tc>
          <w:tcPr>
            <w:tcW w:w="1480" w:type="dxa"/>
          </w:tcPr>
          <w:p w14:paraId="4B765712" w14:textId="6DB09923" w:rsidR="00412F75" w:rsidRDefault="00412F75" w:rsidP="00412F75">
            <w:r w:rsidRPr="00304AC8">
              <w:t>13 April 2007</w:t>
            </w:r>
          </w:p>
        </w:tc>
      </w:tr>
    </w:tbl>
    <w:p w14:paraId="3EFF2112" w14:textId="77777777" w:rsidR="00640717" w:rsidRPr="00D3160F" w:rsidRDefault="00640717" w:rsidP="00CA0D72">
      <w:pPr>
        <w:spacing w:before="0" w:after="0"/>
        <w:ind w:right="-3"/>
      </w:pPr>
      <w:r w:rsidRPr="00D3160F">
        <w:br w:type="page"/>
      </w:r>
    </w:p>
    <w:p w14:paraId="5CA48362" w14:textId="77777777" w:rsidR="00640717" w:rsidRDefault="00640717" w:rsidP="00CA0D72">
      <w:pPr>
        <w:pStyle w:val="Heading1"/>
        <w:ind w:right="-3"/>
      </w:pPr>
      <w:bookmarkStart w:id="11" w:name="_Toc402348858"/>
      <w:r>
        <w:lastRenderedPageBreak/>
        <w:t>Glossary</w:t>
      </w:r>
      <w:bookmarkEnd w:id="11"/>
      <w:r>
        <w:t xml:space="preserve"> </w:t>
      </w:r>
    </w:p>
    <w:tbl>
      <w:tblPr>
        <w:tblStyle w:val="TableGrid"/>
        <w:tblW w:w="9606" w:type="dxa"/>
        <w:tblLook w:val="04A0" w:firstRow="1" w:lastRow="0" w:firstColumn="1" w:lastColumn="0" w:noHBand="0" w:noVBand="1"/>
        <w:tblDescription w:val="Glossary"/>
      </w:tblPr>
      <w:tblGrid>
        <w:gridCol w:w="1809"/>
        <w:gridCol w:w="7797"/>
      </w:tblGrid>
      <w:tr w:rsidR="005D7ABA" w14:paraId="6E9375E3" w14:textId="77777777" w:rsidTr="005D7ABA">
        <w:trPr>
          <w:tblHeader/>
        </w:trPr>
        <w:tc>
          <w:tcPr>
            <w:tcW w:w="1809" w:type="dxa"/>
          </w:tcPr>
          <w:p w14:paraId="46024D2B" w14:textId="77777777" w:rsidR="005D7ABA" w:rsidRDefault="005D7ABA" w:rsidP="00210B5D">
            <w:pPr>
              <w:spacing w:before="20"/>
              <w:ind w:right="-3"/>
            </w:pPr>
            <w:r w:rsidRPr="00412F75">
              <w:rPr>
                <w:b/>
              </w:rPr>
              <w:t>Glossary</w:t>
            </w:r>
          </w:p>
        </w:tc>
        <w:tc>
          <w:tcPr>
            <w:tcW w:w="7797" w:type="dxa"/>
          </w:tcPr>
          <w:p w14:paraId="61575637" w14:textId="77777777" w:rsidR="005D7ABA" w:rsidRDefault="005D7ABA" w:rsidP="00210B5D">
            <w:pPr>
              <w:spacing w:before="20"/>
              <w:ind w:right="-3"/>
            </w:pPr>
            <w:r w:rsidRPr="00412F75">
              <w:rPr>
                <w:b/>
              </w:rPr>
              <w:t>Description</w:t>
            </w:r>
          </w:p>
        </w:tc>
      </w:tr>
      <w:tr w:rsidR="005D7ABA" w14:paraId="31C60F7D" w14:textId="77777777" w:rsidTr="005D7ABA">
        <w:tc>
          <w:tcPr>
            <w:tcW w:w="1809" w:type="dxa"/>
          </w:tcPr>
          <w:p w14:paraId="2A1E739C" w14:textId="77777777" w:rsidR="005D7ABA" w:rsidRPr="002E039D" w:rsidRDefault="005D7ABA" w:rsidP="00210B5D">
            <w:pPr>
              <w:spacing w:before="20"/>
              <w:ind w:right="-3"/>
            </w:pPr>
            <w:r>
              <w:t>ABS</w:t>
            </w:r>
          </w:p>
        </w:tc>
        <w:tc>
          <w:tcPr>
            <w:tcW w:w="7797" w:type="dxa"/>
          </w:tcPr>
          <w:p w14:paraId="6D4601F5" w14:textId="77777777" w:rsidR="005D7ABA" w:rsidRPr="002E039D" w:rsidRDefault="005D7ABA" w:rsidP="00210B5D">
            <w:pPr>
              <w:spacing w:before="20"/>
              <w:ind w:right="-3"/>
            </w:pPr>
            <w:r>
              <w:t>Australian Bureau of Statistics</w:t>
            </w:r>
          </w:p>
        </w:tc>
      </w:tr>
      <w:tr w:rsidR="005D7ABA" w14:paraId="62BC4BDC" w14:textId="77777777" w:rsidTr="005D7ABA">
        <w:tc>
          <w:tcPr>
            <w:tcW w:w="1809" w:type="dxa"/>
          </w:tcPr>
          <w:p w14:paraId="164CEF13" w14:textId="77777777" w:rsidR="005D7ABA" w:rsidRPr="002E039D" w:rsidRDefault="005D7ABA" w:rsidP="00210B5D">
            <w:pPr>
              <w:spacing w:before="20"/>
              <w:ind w:right="-3"/>
            </w:pPr>
            <w:r w:rsidRPr="002E039D">
              <w:t xml:space="preserve">ACAT </w:t>
            </w:r>
          </w:p>
        </w:tc>
        <w:tc>
          <w:tcPr>
            <w:tcW w:w="7797" w:type="dxa"/>
          </w:tcPr>
          <w:p w14:paraId="207C7C61" w14:textId="77777777" w:rsidR="005D7ABA" w:rsidRPr="002E039D" w:rsidRDefault="005D7ABA" w:rsidP="00210B5D">
            <w:pPr>
              <w:spacing w:before="20"/>
              <w:ind w:right="-3"/>
            </w:pPr>
            <w:r w:rsidRPr="002E039D">
              <w:t xml:space="preserve">Aged Care Assessment Team </w:t>
            </w:r>
          </w:p>
        </w:tc>
      </w:tr>
      <w:tr w:rsidR="005D7ABA" w14:paraId="6A03C7C3" w14:textId="77777777" w:rsidTr="005D7ABA">
        <w:tc>
          <w:tcPr>
            <w:tcW w:w="1809" w:type="dxa"/>
          </w:tcPr>
          <w:p w14:paraId="6CB720B8" w14:textId="77777777" w:rsidR="005D7ABA" w:rsidRPr="002E039D" w:rsidRDefault="005D7ABA" w:rsidP="00210B5D">
            <w:pPr>
              <w:spacing w:before="20"/>
              <w:ind w:right="-3"/>
            </w:pPr>
            <w:r w:rsidRPr="002E039D">
              <w:t xml:space="preserve">ACCR </w:t>
            </w:r>
          </w:p>
        </w:tc>
        <w:tc>
          <w:tcPr>
            <w:tcW w:w="7797" w:type="dxa"/>
          </w:tcPr>
          <w:p w14:paraId="486F1EF7" w14:textId="77777777" w:rsidR="005D7ABA" w:rsidRPr="002E039D" w:rsidRDefault="005D7ABA" w:rsidP="00210B5D">
            <w:pPr>
              <w:spacing w:before="20"/>
              <w:ind w:right="-3"/>
            </w:pPr>
            <w:r w:rsidRPr="002E039D">
              <w:t xml:space="preserve">Aged Care Client Record </w:t>
            </w:r>
          </w:p>
        </w:tc>
      </w:tr>
      <w:tr w:rsidR="005D7ABA" w14:paraId="1B11A8CF" w14:textId="77777777" w:rsidTr="005D7ABA">
        <w:tc>
          <w:tcPr>
            <w:tcW w:w="1809" w:type="dxa"/>
          </w:tcPr>
          <w:p w14:paraId="2E138278" w14:textId="77777777" w:rsidR="005D7ABA" w:rsidRPr="002E039D" w:rsidRDefault="005D7ABA" w:rsidP="00210B5D">
            <w:pPr>
              <w:spacing w:before="20"/>
              <w:ind w:right="-3"/>
            </w:pPr>
            <w:r w:rsidRPr="002E039D">
              <w:t xml:space="preserve">ADL </w:t>
            </w:r>
          </w:p>
        </w:tc>
        <w:tc>
          <w:tcPr>
            <w:tcW w:w="7797" w:type="dxa"/>
          </w:tcPr>
          <w:p w14:paraId="3D810E62" w14:textId="77777777" w:rsidR="005D7ABA" w:rsidRPr="002E039D" w:rsidRDefault="005D7ABA" w:rsidP="00210B5D">
            <w:pPr>
              <w:spacing w:before="20"/>
              <w:ind w:right="-3"/>
            </w:pPr>
            <w:r w:rsidRPr="002E039D">
              <w:t xml:space="preserve">Activity of Daily Living </w:t>
            </w:r>
          </w:p>
        </w:tc>
      </w:tr>
      <w:tr w:rsidR="005D7ABA" w14:paraId="747BCA26" w14:textId="77777777" w:rsidTr="005D7ABA">
        <w:tc>
          <w:tcPr>
            <w:tcW w:w="1809" w:type="dxa"/>
          </w:tcPr>
          <w:p w14:paraId="0F85D38F" w14:textId="77777777" w:rsidR="005D7ABA" w:rsidRPr="002E039D" w:rsidRDefault="005D7ABA" w:rsidP="00210B5D">
            <w:pPr>
              <w:spacing w:before="20"/>
              <w:ind w:right="-3"/>
            </w:pPr>
            <w:r w:rsidRPr="002E039D">
              <w:t xml:space="preserve">AROC </w:t>
            </w:r>
          </w:p>
        </w:tc>
        <w:tc>
          <w:tcPr>
            <w:tcW w:w="7797" w:type="dxa"/>
          </w:tcPr>
          <w:p w14:paraId="1C11DDEF" w14:textId="77777777" w:rsidR="005D7ABA" w:rsidRPr="002E039D" w:rsidRDefault="005D7ABA" w:rsidP="00210B5D">
            <w:pPr>
              <w:spacing w:before="20"/>
              <w:ind w:right="-3"/>
            </w:pPr>
            <w:r w:rsidRPr="002E039D">
              <w:t xml:space="preserve">Australasian Rehabilitation Outcomes Centre </w:t>
            </w:r>
          </w:p>
        </w:tc>
      </w:tr>
      <w:tr w:rsidR="005D7ABA" w14:paraId="1CEE3D97" w14:textId="77777777" w:rsidTr="005D7ABA">
        <w:tc>
          <w:tcPr>
            <w:tcW w:w="1809" w:type="dxa"/>
          </w:tcPr>
          <w:p w14:paraId="4C071A13" w14:textId="77777777" w:rsidR="005D7ABA" w:rsidRPr="002E039D" w:rsidRDefault="005D7ABA" w:rsidP="00210B5D">
            <w:pPr>
              <w:spacing w:before="20"/>
              <w:ind w:right="-3"/>
            </w:pPr>
            <w:r w:rsidRPr="002E039D">
              <w:t xml:space="preserve">CACP </w:t>
            </w:r>
          </w:p>
        </w:tc>
        <w:tc>
          <w:tcPr>
            <w:tcW w:w="7797" w:type="dxa"/>
          </w:tcPr>
          <w:p w14:paraId="478037EC" w14:textId="77777777" w:rsidR="005D7ABA" w:rsidRPr="002E039D" w:rsidRDefault="005D7ABA" w:rsidP="00210B5D">
            <w:pPr>
              <w:spacing w:before="20"/>
              <w:ind w:right="-3"/>
            </w:pPr>
            <w:r w:rsidRPr="002E039D">
              <w:t xml:space="preserve">Community Aged Care Package </w:t>
            </w:r>
          </w:p>
        </w:tc>
      </w:tr>
      <w:tr w:rsidR="005D7ABA" w14:paraId="76521E46" w14:textId="77777777" w:rsidTr="005D7ABA">
        <w:tc>
          <w:tcPr>
            <w:tcW w:w="1809" w:type="dxa"/>
          </w:tcPr>
          <w:p w14:paraId="7ABD900F" w14:textId="77777777" w:rsidR="005D7ABA" w:rsidRPr="002E039D" w:rsidRDefault="005D7ABA" w:rsidP="00210B5D">
            <w:pPr>
              <w:spacing w:before="20"/>
              <w:ind w:right="-3"/>
            </w:pPr>
            <w:r w:rsidRPr="002E039D">
              <w:t xml:space="preserve">CI </w:t>
            </w:r>
          </w:p>
        </w:tc>
        <w:tc>
          <w:tcPr>
            <w:tcW w:w="7797" w:type="dxa"/>
          </w:tcPr>
          <w:p w14:paraId="554C9738" w14:textId="77777777" w:rsidR="005D7ABA" w:rsidRPr="002E039D" w:rsidRDefault="005D7ABA" w:rsidP="00210B5D">
            <w:pPr>
              <w:spacing w:before="20"/>
              <w:ind w:right="-3"/>
            </w:pPr>
            <w:r w:rsidRPr="002E039D">
              <w:t xml:space="preserve">Confidence Interval </w:t>
            </w:r>
          </w:p>
        </w:tc>
      </w:tr>
      <w:tr w:rsidR="005D7ABA" w14:paraId="1F76BF4F" w14:textId="77777777" w:rsidTr="005D7ABA">
        <w:tc>
          <w:tcPr>
            <w:tcW w:w="1809" w:type="dxa"/>
          </w:tcPr>
          <w:p w14:paraId="476068F4" w14:textId="77777777" w:rsidR="005D7ABA" w:rsidRPr="002E039D" w:rsidRDefault="005D7ABA" w:rsidP="00210B5D">
            <w:pPr>
              <w:spacing w:before="20"/>
              <w:ind w:right="-3"/>
            </w:pPr>
            <w:r w:rsidRPr="002E039D">
              <w:t>CTM-3</w:t>
            </w:r>
          </w:p>
        </w:tc>
        <w:tc>
          <w:tcPr>
            <w:tcW w:w="7797" w:type="dxa"/>
          </w:tcPr>
          <w:p w14:paraId="58A72657" w14:textId="77777777" w:rsidR="005D7ABA" w:rsidRPr="002E039D" w:rsidRDefault="005D7ABA" w:rsidP="00210B5D">
            <w:pPr>
              <w:spacing w:before="20"/>
              <w:ind w:right="-3"/>
            </w:pPr>
            <w:r w:rsidRPr="002E039D">
              <w:t xml:space="preserve">Care Transition Measure </w:t>
            </w:r>
          </w:p>
        </w:tc>
      </w:tr>
      <w:tr w:rsidR="005D7ABA" w14:paraId="293BB857" w14:textId="77777777" w:rsidTr="005D7ABA">
        <w:tc>
          <w:tcPr>
            <w:tcW w:w="1809" w:type="dxa"/>
          </w:tcPr>
          <w:p w14:paraId="2995FC2A" w14:textId="77777777" w:rsidR="005D7ABA" w:rsidRPr="002E039D" w:rsidRDefault="005D7ABA" w:rsidP="00210B5D">
            <w:pPr>
              <w:spacing w:before="20"/>
              <w:ind w:right="-3"/>
            </w:pPr>
            <w:r w:rsidRPr="002E039D">
              <w:t xml:space="preserve">EACH </w:t>
            </w:r>
          </w:p>
        </w:tc>
        <w:tc>
          <w:tcPr>
            <w:tcW w:w="7797" w:type="dxa"/>
          </w:tcPr>
          <w:p w14:paraId="79F78F27" w14:textId="77777777" w:rsidR="005D7ABA" w:rsidRPr="002E039D" w:rsidRDefault="005D7ABA" w:rsidP="00210B5D">
            <w:pPr>
              <w:spacing w:before="20"/>
              <w:ind w:right="-3"/>
            </w:pPr>
            <w:r w:rsidRPr="002E039D">
              <w:t xml:space="preserve">Extended Aged Care at Home </w:t>
            </w:r>
          </w:p>
        </w:tc>
      </w:tr>
      <w:tr w:rsidR="005D7ABA" w14:paraId="171642D9" w14:textId="77777777" w:rsidTr="005D7ABA">
        <w:tc>
          <w:tcPr>
            <w:tcW w:w="1809" w:type="dxa"/>
          </w:tcPr>
          <w:p w14:paraId="731BAE1B" w14:textId="77777777" w:rsidR="005D7ABA" w:rsidRPr="002E039D" w:rsidRDefault="005D7ABA" w:rsidP="00210B5D">
            <w:pPr>
              <w:spacing w:before="20"/>
              <w:ind w:right="-3"/>
            </w:pPr>
            <w:proofErr w:type="spellStart"/>
            <w:r w:rsidRPr="002E039D">
              <w:t>EachD</w:t>
            </w:r>
            <w:proofErr w:type="spellEnd"/>
            <w:r w:rsidRPr="002E039D">
              <w:t xml:space="preserve"> </w:t>
            </w:r>
          </w:p>
        </w:tc>
        <w:tc>
          <w:tcPr>
            <w:tcW w:w="7797" w:type="dxa"/>
          </w:tcPr>
          <w:p w14:paraId="07F32D1C" w14:textId="77777777" w:rsidR="005D7ABA" w:rsidRPr="002E039D" w:rsidRDefault="005D7ABA" w:rsidP="00210B5D">
            <w:pPr>
              <w:spacing w:before="20"/>
              <w:ind w:right="-3"/>
            </w:pPr>
            <w:r w:rsidRPr="002E039D">
              <w:t xml:space="preserve">Extended Aged Care at Home Dementia </w:t>
            </w:r>
          </w:p>
        </w:tc>
      </w:tr>
      <w:tr w:rsidR="005D7ABA" w14:paraId="4E11B032" w14:textId="77777777" w:rsidTr="005D7ABA">
        <w:tc>
          <w:tcPr>
            <w:tcW w:w="1809" w:type="dxa"/>
          </w:tcPr>
          <w:p w14:paraId="4C0F30BC" w14:textId="77777777" w:rsidR="005D7ABA" w:rsidRPr="002E039D" w:rsidRDefault="005D7ABA" w:rsidP="00210B5D">
            <w:pPr>
              <w:spacing w:before="20"/>
              <w:ind w:right="-3"/>
            </w:pPr>
            <w:r w:rsidRPr="002E039D">
              <w:t xml:space="preserve">FIM </w:t>
            </w:r>
          </w:p>
        </w:tc>
        <w:tc>
          <w:tcPr>
            <w:tcW w:w="7797" w:type="dxa"/>
          </w:tcPr>
          <w:p w14:paraId="7DCD7515" w14:textId="77777777" w:rsidR="005D7ABA" w:rsidRPr="002E039D" w:rsidRDefault="005D7ABA" w:rsidP="00210B5D">
            <w:pPr>
              <w:spacing w:before="20"/>
              <w:ind w:right="-3"/>
            </w:pPr>
            <w:r w:rsidRPr="002E039D">
              <w:t xml:space="preserve">Functional Independence Measure </w:t>
            </w:r>
          </w:p>
        </w:tc>
      </w:tr>
      <w:tr w:rsidR="005D7ABA" w14:paraId="40AE0F1B" w14:textId="77777777" w:rsidTr="005D7ABA">
        <w:tc>
          <w:tcPr>
            <w:tcW w:w="1809" w:type="dxa"/>
          </w:tcPr>
          <w:p w14:paraId="17A15AE3" w14:textId="77777777" w:rsidR="005D7ABA" w:rsidRPr="002E039D" w:rsidRDefault="005D7ABA" w:rsidP="00210B5D">
            <w:pPr>
              <w:spacing w:before="20"/>
              <w:ind w:right="-3"/>
            </w:pPr>
            <w:r w:rsidRPr="002E039D">
              <w:t xml:space="preserve">Flexible Care </w:t>
            </w:r>
          </w:p>
        </w:tc>
        <w:tc>
          <w:tcPr>
            <w:tcW w:w="7797" w:type="dxa"/>
          </w:tcPr>
          <w:p w14:paraId="24287F72" w14:textId="77777777" w:rsidR="005D7ABA" w:rsidRPr="002E039D" w:rsidRDefault="005D7ABA" w:rsidP="00210B5D">
            <w:pPr>
              <w:spacing w:before="20"/>
              <w:ind w:right="-3"/>
            </w:pPr>
            <w:r w:rsidRPr="002E039D">
              <w:t>Means care provided in a residential or community setting through an aged care service that addresses the needs of the care recipients in alternative ways to the care provided through residential care services and community care services</w:t>
            </w:r>
          </w:p>
        </w:tc>
      </w:tr>
      <w:tr w:rsidR="005D7ABA" w14:paraId="24E4366E" w14:textId="77777777" w:rsidTr="005D7ABA">
        <w:tc>
          <w:tcPr>
            <w:tcW w:w="1809" w:type="dxa"/>
          </w:tcPr>
          <w:p w14:paraId="70865EB7" w14:textId="77777777" w:rsidR="005D7ABA" w:rsidRPr="002E039D" w:rsidRDefault="005D7ABA" w:rsidP="00210B5D">
            <w:pPr>
              <w:spacing w:before="20"/>
              <w:ind w:right="-3"/>
            </w:pPr>
            <w:r w:rsidRPr="002E039D">
              <w:t xml:space="preserve">GEM </w:t>
            </w:r>
          </w:p>
        </w:tc>
        <w:tc>
          <w:tcPr>
            <w:tcW w:w="7797" w:type="dxa"/>
          </w:tcPr>
          <w:p w14:paraId="6DEC7F80" w14:textId="77777777" w:rsidR="005D7ABA" w:rsidRPr="002E039D" w:rsidRDefault="005D7ABA" w:rsidP="00210B5D">
            <w:pPr>
              <w:spacing w:before="20"/>
              <w:ind w:right="-3"/>
            </w:pPr>
            <w:r w:rsidRPr="002E039D">
              <w:t xml:space="preserve">Geriatric Evaluation and Management </w:t>
            </w:r>
          </w:p>
        </w:tc>
      </w:tr>
      <w:tr w:rsidR="005D7ABA" w14:paraId="7397D432" w14:textId="77777777" w:rsidTr="005D7ABA">
        <w:tc>
          <w:tcPr>
            <w:tcW w:w="1809" w:type="dxa"/>
          </w:tcPr>
          <w:p w14:paraId="6208E736" w14:textId="77777777" w:rsidR="005D7ABA" w:rsidRPr="002E039D" w:rsidRDefault="005D7ABA" w:rsidP="00210B5D">
            <w:pPr>
              <w:spacing w:before="20"/>
              <w:ind w:right="-3"/>
            </w:pPr>
            <w:r w:rsidRPr="002E039D">
              <w:t xml:space="preserve">GP </w:t>
            </w:r>
          </w:p>
        </w:tc>
        <w:tc>
          <w:tcPr>
            <w:tcW w:w="7797" w:type="dxa"/>
          </w:tcPr>
          <w:p w14:paraId="0A9AE6E0" w14:textId="77777777" w:rsidR="005D7ABA" w:rsidRPr="002E039D" w:rsidRDefault="005D7ABA" w:rsidP="00210B5D">
            <w:pPr>
              <w:spacing w:before="20"/>
              <w:ind w:right="-3"/>
            </w:pPr>
            <w:r w:rsidRPr="002E039D">
              <w:t xml:space="preserve">General Practitioner </w:t>
            </w:r>
          </w:p>
        </w:tc>
      </w:tr>
      <w:tr w:rsidR="005D7ABA" w14:paraId="71EA4D81" w14:textId="77777777" w:rsidTr="005D7ABA">
        <w:tc>
          <w:tcPr>
            <w:tcW w:w="1809" w:type="dxa"/>
          </w:tcPr>
          <w:p w14:paraId="22B4848B" w14:textId="77777777" w:rsidR="005D7ABA" w:rsidRPr="002E039D" w:rsidRDefault="005D7ABA" w:rsidP="00210B5D">
            <w:pPr>
              <w:spacing w:before="20"/>
              <w:ind w:right="-3"/>
            </w:pPr>
            <w:r w:rsidRPr="002E039D">
              <w:t xml:space="preserve">HACC </w:t>
            </w:r>
          </w:p>
        </w:tc>
        <w:tc>
          <w:tcPr>
            <w:tcW w:w="7797" w:type="dxa"/>
          </w:tcPr>
          <w:p w14:paraId="024D7E13" w14:textId="77777777" w:rsidR="005D7ABA" w:rsidRPr="002E039D" w:rsidRDefault="005D7ABA" w:rsidP="00210B5D">
            <w:pPr>
              <w:spacing w:before="20"/>
              <w:ind w:right="-3"/>
            </w:pPr>
            <w:r w:rsidRPr="002E039D">
              <w:t xml:space="preserve">Home and Community Care </w:t>
            </w:r>
          </w:p>
        </w:tc>
      </w:tr>
      <w:tr w:rsidR="005D7ABA" w14:paraId="3F21BA9D" w14:textId="77777777" w:rsidTr="005D7ABA">
        <w:tc>
          <w:tcPr>
            <w:tcW w:w="1809" w:type="dxa"/>
          </w:tcPr>
          <w:p w14:paraId="44AC4D52" w14:textId="77777777" w:rsidR="005D7ABA" w:rsidRPr="002E039D" w:rsidRDefault="005D7ABA" w:rsidP="00210B5D">
            <w:pPr>
              <w:spacing w:before="20"/>
              <w:ind w:right="-3"/>
            </w:pPr>
            <w:r w:rsidRPr="002E039D">
              <w:t>HR</w:t>
            </w:r>
          </w:p>
        </w:tc>
        <w:tc>
          <w:tcPr>
            <w:tcW w:w="7797" w:type="dxa"/>
          </w:tcPr>
          <w:p w14:paraId="211F0C25" w14:textId="77777777" w:rsidR="005D7ABA" w:rsidRPr="002E039D" w:rsidRDefault="005D7ABA" w:rsidP="00210B5D">
            <w:pPr>
              <w:spacing w:before="20"/>
              <w:ind w:right="-3"/>
            </w:pPr>
            <w:r w:rsidRPr="002E039D">
              <w:t xml:space="preserve">Hazard Ratio </w:t>
            </w:r>
          </w:p>
        </w:tc>
      </w:tr>
      <w:tr w:rsidR="005D7ABA" w14:paraId="79A65FF5" w14:textId="77777777" w:rsidTr="005D7ABA">
        <w:tc>
          <w:tcPr>
            <w:tcW w:w="1809" w:type="dxa"/>
          </w:tcPr>
          <w:p w14:paraId="0C00E457" w14:textId="77777777" w:rsidR="005D7ABA" w:rsidRPr="002E039D" w:rsidRDefault="005D7ABA" w:rsidP="00210B5D">
            <w:pPr>
              <w:spacing w:before="20"/>
              <w:ind w:right="-3"/>
            </w:pPr>
            <w:r w:rsidRPr="002E039D">
              <w:t>ICRS</w:t>
            </w:r>
          </w:p>
        </w:tc>
        <w:tc>
          <w:tcPr>
            <w:tcW w:w="7797" w:type="dxa"/>
          </w:tcPr>
          <w:p w14:paraId="1944A624" w14:textId="77777777" w:rsidR="005D7ABA" w:rsidRPr="002E039D" w:rsidRDefault="005D7ABA" w:rsidP="00210B5D">
            <w:pPr>
              <w:spacing w:before="20"/>
              <w:ind w:right="-3"/>
            </w:pPr>
            <w:r w:rsidRPr="002E039D">
              <w:t xml:space="preserve">Innovative Care Rehabilitation Services </w:t>
            </w:r>
          </w:p>
        </w:tc>
      </w:tr>
      <w:tr w:rsidR="005D7ABA" w14:paraId="435A9A9B" w14:textId="77777777" w:rsidTr="005D7ABA">
        <w:tc>
          <w:tcPr>
            <w:tcW w:w="1809" w:type="dxa"/>
          </w:tcPr>
          <w:p w14:paraId="7EBC32A3" w14:textId="77777777" w:rsidR="005D7ABA" w:rsidRPr="002E039D" w:rsidRDefault="005D7ABA" w:rsidP="00210B5D">
            <w:pPr>
              <w:spacing w:before="20"/>
              <w:ind w:right="-3"/>
            </w:pPr>
            <w:r w:rsidRPr="002E039D">
              <w:t xml:space="preserve">IQR </w:t>
            </w:r>
          </w:p>
        </w:tc>
        <w:tc>
          <w:tcPr>
            <w:tcW w:w="7797" w:type="dxa"/>
          </w:tcPr>
          <w:p w14:paraId="14EF81FE" w14:textId="77777777" w:rsidR="005D7ABA" w:rsidRPr="002E039D" w:rsidRDefault="005D7ABA" w:rsidP="00210B5D">
            <w:pPr>
              <w:spacing w:before="20"/>
              <w:ind w:right="-3"/>
            </w:pPr>
            <w:proofErr w:type="spellStart"/>
            <w:r w:rsidRPr="002E039D">
              <w:t>InterQuartile</w:t>
            </w:r>
            <w:proofErr w:type="spellEnd"/>
            <w:r w:rsidRPr="002E039D">
              <w:t xml:space="preserve"> Range </w:t>
            </w:r>
          </w:p>
        </w:tc>
      </w:tr>
      <w:tr w:rsidR="005D7ABA" w14:paraId="6456AEB9" w14:textId="77777777" w:rsidTr="005D7ABA">
        <w:tc>
          <w:tcPr>
            <w:tcW w:w="1809" w:type="dxa"/>
          </w:tcPr>
          <w:p w14:paraId="05EA0208" w14:textId="77777777" w:rsidR="005D7ABA" w:rsidRPr="002E039D" w:rsidRDefault="005D7ABA" w:rsidP="00210B5D">
            <w:pPr>
              <w:spacing w:before="20"/>
              <w:ind w:right="-3"/>
            </w:pPr>
            <w:r w:rsidRPr="002E039D">
              <w:t xml:space="preserve">ISD </w:t>
            </w:r>
          </w:p>
        </w:tc>
        <w:tc>
          <w:tcPr>
            <w:tcW w:w="7797" w:type="dxa"/>
          </w:tcPr>
          <w:p w14:paraId="7D5C9896" w14:textId="77777777" w:rsidR="005D7ABA" w:rsidRPr="002E039D" w:rsidRDefault="005D7ABA" w:rsidP="00210B5D">
            <w:pPr>
              <w:spacing w:before="20"/>
              <w:ind w:right="-3"/>
            </w:pPr>
            <w:r w:rsidRPr="002E039D">
              <w:t xml:space="preserve">Integrated Service Delivery </w:t>
            </w:r>
          </w:p>
        </w:tc>
      </w:tr>
      <w:tr w:rsidR="005D7ABA" w14:paraId="79632E54" w14:textId="77777777" w:rsidTr="005D7ABA">
        <w:tc>
          <w:tcPr>
            <w:tcW w:w="1809" w:type="dxa"/>
          </w:tcPr>
          <w:p w14:paraId="6C79CF30" w14:textId="77777777" w:rsidR="005D7ABA" w:rsidRPr="002E039D" w:rsidRDefault="005D7ABA" w:rsidP="00210B5D">
            <w:pPr>
              <w:spacing w:before="20"/>
              <w:ind w:right="-3"/>
            </w:pPr>
            <w:r w:rsidRPr="002E039D">
              <w:t xml:space="preserve">IRR </w:t>
            </w:r>
          </w:p>
        </w:tc>
        <w:tc>
          <w:tcPr>
            <w:tcW w:w="7797" w:type="dxa"/>
          </w:tcPr>
          <w:p w14:paraId="180E586E" w14:textId="77777777" w:rsidR="005D7ABA" w:rsidRPr="002E039D" w:rsidRDefault="005D7ABA" w:rsidP="00210B5D">
            <w:pPr>
              <w:spacing w:before="20"/>
              <w:ind w:right="-3"/>
            </w:pPr>
            <w:r w:rsidRPr="002E039D">
              <w:t xml:space="preserve">Incidence Rate Ratio </w:t>
            </w:r>
          </w:p>
        </w:tc>
      </w:tr>
      <w:tr w:rsidR="005D7ABA" w14:paraId="1CA95385" w14:textId="77777777" w:rsidTr="005D7ABA">
        <w:tc>
          <w:tcPr>
            <w:tcW w:w="1809" w:type="dxa"/>
          </w:tcPr>
          <w:p w14:paraId="6CF53975" w14:textId="77777777" w:rsidR="005D7ABA" w:rsidRPr="002E039D" w:rsidRDefault="005D7ABA" w:rsidP="00210B5D">
            <w:pPr>
              <w:spacing w:before="20"/>
              <w:ind w:right="-3"/>
            </w:pPr>
            <w:r w:rsidRPr="002E039D">
              <w:t xml:space="preserve">MBI </w:t>
            </w:r>
          </w:p>
        </w:tc>
        <w:tc>
          <w:tcPr>
            <w:tcW w:w="7797" w:type="dxa"/>
          </w:tcPr>
          <w:p w14:paraId="16AA41C1" w14:textId="77777777" w:rsidR="005D7ABA" w:rsidRPr="002E039D" w:rsidRDefault="005D7ABA" w:rsidP="00210B5D">
            <w:pPr>
              <w:spacing w:before="20"/>
              <w:ind w:right="-3"/>
            </w:pPr>
            <w:r w:rsidRPr="002E039D">
              <w:t xml:space="preserve">Modified </w:t>
            </w:r>
            <w:proofErr w:type="spellStart"/>
            <w:r w:rsidRPr="002E039D">
              <w:t>Barthel</w:t>
            </w:r>
            <w:proofErr w:type="spellEnd"/>
            <w:r w:rsidRPr="002E039D">
              <w:t xml:space="preserve"> Index </w:t>
            </w:r>
          </w:p>
        </w:tc>
      </w:tr>
      <w:tr w:rsidR="005D7ABA" w14:paraId="127E4099" w14:textId="77777777" w:rsidTr="005D7ABA">
        <w:tc>
          <w:tcPr>
            <w:tcW w:w="1809" w:type="dxa"/>
          </w:tcPr>
          <w:p w14:paraId="26F5D6F5" w14:textId="77777777" w:rsidR="005D7ABA" w:rsidRPr="002E039D" w:rsidRDefault="005D7ABA" w:rsidP="00210B5D">
            <w:pPr>
              <w:spacing w:before="20"/>
              <w:ind w:right="-3"/>
            </w:pPr>
            <w:r w:rsidRPr="002E039D">
              <w:t xml:space="preserve">MCSI </w:t>
            </w:r>
          </w:p>
        </w:tc>
        <w:tc>
          <w:tcPr>
            <w:tcW w:w="7797" w:type="dxa"/>
          </w:tcPr>
          <w:p w14:paraId="40442CFA" w14:textId="77777777" w:rsidR="005D7ABA" w:rsidRPr="002E039D" w:rsidRDefault="005D7ABA" w:rsidP="00210B5D">
            <w:pPr>
              <w:spacing w:before="20"/>
              <w:ind w:right="-3"/>
            </w:pPr>
            <w:r w:rsidRPr="002E039D">
              <w:t xml:space="preserve">Modified Caregiver Strain Index </w:t>
            </w:r>
          </w:p>
        </w:tc>
      </w:tr>
      <w:tr w:rsidR="005D7ABA" w14:paraId="66D55241" w14:textId="77777777" w:rsidTr="005D7ABA">
        <w:tc>
          <w:tcPr>
            <w:tcW w:w="1809" w:type="dxa"/>
          </w:tcPr>
          <w:p w14:paraId="1080F5E4" w14:textId="77777777" w:rsidR="005D7ABA" w:rsidRPr="002E039D" w:rsidRDefault="005D7ABA" w:rsidP="00210B5D">
            <w:pPr>
              <w:spacing w:before="20"/>
              <w:ind w:right="-3"/>
            </w:pPr>
            <w:r w:rsidRPr="002E039D">
              <w:t xml:space="preserve">NETCP </w:t>
            </w:r>
          </w:p>
        </w:tc>
        <w:tc>
          <w:tcPr>
            <w:tcW w:w="7797" w:type="dxa"/>
          </w:tcPr>
          <w:p w14:paraId="3E65EA2B" w14:textId="77777777" w:rsidR="005D7ABA" w:rsidRPr="002E039D" w:rsidRDefault="005D7ABA" w:rsidP="00210B5D">
            <w:pPr>
              <w:spacing w:before="20"/>
              <w:ind w:right="-3"/>
            </w:pPr>
            <w:r w:rsidRPr="002E039D">
              <w:t xml:space="preserve">National Evaluation of the Transition Care Program </w:t>
            </w:r>
          </w:p>
        </w:tc>
      </w:tr>
      <w:tr w:rsidR="005D7ABA" w14:paraId="3031FBE2" w14:textId="77777777" w:rsidTr="005D7ABA">
        <w:tc>
          <w:tcPr>
            <w:tcW w:w="1809" w:type="dxa"/>
          </w:tcPr>
          <w:p w14:paraId="20C17144" w14:textId="77777777" w:rsidR="005D7ABA" w:rsidRPr="002E039D" w:rsidRDefault="005D7ABA" w:rsidP="00210B5D">
            <w:pPr>
              <w:spacing w:before="20"/>
              <w:ind w:right="-3"/>
            </w:pPr>
            <w:r w:rsidRPr="002E039D">
              <w:t xml:space="preserve">OR </w:t>
            </w:r>
          </w:p>
        </w:tc>
        <w:tc>
          <w:tcPr>
            <w:tcW w:w="7797" w:type="dxa"/>
          </w:tcPr>
          <w:p w14:paraId="3822F587" w14:textId="77777777" w:rsidR="005D7ABA" w:rsidRPr="002E039D" w:rsidRDefault="005D7ABA" w:rsidP="00210B5D">
            <w:pPr>
              <w:spacing w:before="20"/>
              <w:ind w:right="-3"/>
            </w:pPr>
            <w:r w:rsidRPr="002E039D">
              <w:t xml:space="preserve">Odds Ratio </w:t>
            </w:r>
          </w:p>
        </w:tc>
      </w:tr>
      <w:tr w:rsidR="005D7ABA" w14:paraId="111582A8" w14:textId="77777777" w:rsidTr="005D7ABA">
        <w:tc>
          <w:tcPr>
            <w:tcW w:w="1809" w:type="dxa"/>
          </w:tcPr>
          <w:p w14:paraId="0898DDA7" w14:textId="77777777" w:rsidR="005D7ABA" w:rsidRPr="002E039D" w:rsidRDefault="005D7ABA" w:rsidP="00210B5D">
            <w:pPr>
              <w:spacing w:before="20"/>
              <w:ind w:right="-3"/>
            </w:pPr>
            <w:r w:rsidRPr="002E039D">
              <w:t xml:space="preserve">PAC </w:t>
            </w:r>
          </w:p>
        </w:tc>
        <w:tc>
          <w:tcPr>
            <w:tcW w:w="7797" w:type="dxa"/>
          </w:tcPr>
          <w:p w14:paraId="6B7C0D42" w14:textId="77777777" w:rsidR="005D7ABA" w:rsidRPr="002E039D" w:rsidRDefault="005D7ABA" w:rsidP="00210B5D">
            <w:pPr>
              <w:spacing w:before="20"/>
              <w:ind w:right="-3"/>
            </w:pPr>
            <w:proofErr w:type="spellStart"/>
            <w:r w:rsidRPr="002E039D">
              <w:t>Post Acute</w:t>
            </w:r>
            <w:proofErr w:type="spellEnd"/>
            <w:r w:rsidRPr="002E039D">
              <w:t xml:space="preserve"> Care </w:t>
            </w:r>
          </w:p>
        </w:tc>
      </w:tr>
      <w:tr w:rsidR="005D7ABA" w14:paraId="220EBF9D" w14:textId="77777777" w:rsidTr="005D7ABA">
        <w:tc>
          <w:tcPr>
            <w:tcW w:w="1809" w:type="dxa"/>
          </w:tcPr>
          <w:p w14:paraId="01422D3E" w14:textId="77777777" w:rsidR="005D7ABA" w:rsidRPr="002E039D" w:rsidRDefault="005D7ABA" w:rsidP="00210B5D">
            <w:pPr>
              <w:spacing w:before="20"/>
              <w:ind w:right="-3"/>
            </w:pPr>
            <w:r w:rsidRPr="002E039D">
              <w:t xml:space="preserve">SD </w:t>
            </w:r>
          </w:p>
        </w:tc>
        <w:tc>
          <w:tcPr>
            <w:tcW w:w="7797" w:type="dxa"/>
          </w:tcPr>
          <w:p w14:paraId="62CE5E91" w14:textId="77777777" w:rsidR="005D7ABA" w:rsidRPr="002E039D" w:rsidRDefault="005D7ABA" w:rsidP="00210B5D">
            <w:pPr>
              <w:spacing w:before="20"/>
              <w:ind w:right="-3"/>
            </w:pPr>
            <w:r w:rsidRPr="002E039D">
              <w:t xml:space="preserve">Standard Deviation </w:t>
            </w:r>
          </w:p>
        </w:tc>
      </w:tr>
      <w:tr w:rsidR="005D7ABA" w14:paraId="3554973D" w14:textId="77777777" w:rsidTr="005D7ABA">
        <w:tc>
          <w:tcPr>
            <w:tcW w:w="1809" w:type="dxa"/>
          </w:tcPr>
          <w:p w14:paraId="2AD9AE4C" w14:textId="77777777" w:rsidR="005D7ABA" w:rsidRPr="002E039D" w:rsidRDefault="005D7ABA" w:rsidP="00210B5D">
            <w:pPr>
              <w:spacing w:before="20"/>
              <w:ind w:right="-3"/>
            </w:pPr>
            <w:r w:rsidRPr="002E039D">
              <w:t xml:space="preserve">SLA </w:t>
            </w:r>
          </w:p>
        </w:tc>
        <w:tc>
          <w:tcPr>
            <w:tcW w:w="7797" w:type="dxa"/>
          </w:tcPr>
          <w:p w14:paraId="7C005F4A" w14:textId="77777777" w:rsidR="005D7ABA" w:rsidRPr="002E039D" w:rsidRDefault="005D7ABA" w:rsidP="00210B5D">
            <w:pPr>
              <w:spacing w:before="20"/>
              <w:ind w:right="-3"/>
            </w:pPr>
            <w:r w:rsidRPr="002E039D">
              <w:t xml:space="preserve">Statistical Local Area </w:t>
            </w:r>
          </w:p>
        </w:tc>
      </w:tr>
      <w:tr w:rsidR="005D7ABA" w14:paraId="7249F036" w14:textId="77777777" w:rsidTr="005D7ABA">
        <w:tc>
          <w:tcPr>
            <w:tcW w:w="1809" w:type="dxa"/>
          </w:tcPr>
          <w:p w14:paraId="093AD4A8" w14:textId="77777777" w:rsidR="005D7ABA" w:rsidRPr="002E039D" w:rsidRDefault="005D7ABA" w:rsidP="00210B5D">
            <w:pPr>
              <w:spacing w:before="20"/>
              <w:ind w:right="-3"/>
            </w:pPr>
            <w:r w:rsidRPr="002E039D">
              <w:t xml:space="preserve">SNFs </w:t>
            </w:r>
          </w:p>
        </w:tc>
        <w:tc>
          <w:tcPr>
            <w:tcW w:w="7797" w:type="dxa"/>
          </w:tcPr>
          <w:p w14:paraId="30FCEE2D" w14:textId="77777777" w:rsidR="005D7ABA" w:rsidRPr="002E039D" w:rsidRDefault="005D7ABA" w:rsidP="00210B5D">
            <w:pPr>
              <w:spacing w:before="20"/>
              <w:ind w:right="-3"/>
            </w:pPr>
            <w:r w:rsidRPr="002E039D">
              <w:t xml:space="preserve">Skilled Nursing Facilities </w:t>
            </w:r>
          </w:p>
        </w:tc>
      </w:tr>
      <w:tr w:rsidR="005D7ABA" w14:paraId="3707B16F" w14:textId="77777777" w:rsidTr="005D7ABA">
        <w:tc>
          <w:tcPr>
            <w:tcW w:w="1809" w:type="dxa"/>
          </w:tcPr>
          <w:p w14:paraId="19914CD8" w14:textId="77777777" w:rsidR="005D7ABA" w:rsidRPr="002E039D" w:rsidRDefault="005D7ABA" w:rsidP="00210B5D">
            <w:pPr>
              <w:spacing w:before="20"/>
              <w:ind w:right="-3"/>
            </w:pPr>
            <w:r w:rsidRPr="002E039D">
              <w:t xml:space="preserve">SWIC </w:t>
            </w:r>
          </w:p>
        </w:tc>
        <w:tc>
          <w:tcPr>
            <w:tcW w:w="7797" w:type="dxa"/>
          </w:tcPr>
          <w:p w14:paraId="763DAC4B" w14:textId="77777777" w:rsidR="005D7ABA" w:rsidRPr="002E039D" w:rsidRDefault="005D7ABA" w:rsidP="00210B5D">
            <w:pPr>
              <w:spacing w:before="20"/>
              <w:ind w:right="-3"/>
            </w:pPr>
            <w:r w:rsidRPr="002E039D">
              <w:t xml:space="preserve">Survival without institutional care </w:t>
            </w:r>
          </w:p>
        </w:tc>
      </w:tr>
      <w:tr w:rsidR="005D7ABA" w14:paraId="4F192D26" w14:textId="77777777" w:rsidTr="005D7ABA">
        <w:tc>
          <w:tcPr>
            <w:tcW w:w="1809" w:type="dxa"/>
          </w:tcPr>
          <w:p w14:paraId="3D2EB04A" w14:textId="77777777" w:rsidR="005D7ABA" w:rsidRPr="002E039D" w:rsidRDefault="005D7ABA" w:rsidP="00210B5D">
            <w:pPr>
              <w:spacing w:before="20"/>
              <w:ind w:right="-3"/>
            </w:pPr>
            <w:r w:rsidRPr="002E039D">
              <w:t xml:space="preserve">TC </w:t>
            </w:r>
          </w:p>
        </w:tc>
        <w:tc>
          <w:tcPr>
            <w:tcW w:w="7797" w:type="dxa"/>
          </w:tcPr>
          <w:p w14:paraId="432DCCDE" w14:textId="77777777" w:rsidR="005D7ABA" w:rsidRPr="002E039D" w:rsidRDefault="005D7ABA" w:rsidP="00210B5D">
            <w:pPr>
              <w:spacing w:before="20"/>
              <w:ind w:right="-3"/>
            </w:pPr>
            <w:r w:rsidRPr="002E039D">
              <w:t xml:space="preserve">Transition Care </w:t>
            </w:r>
          </w:p>
        </w:tc>
      </w:tr>
      <w:tr w:rsidR="005D7ABA" w14:paraId="5D5443F3" w14:textId="77777777" w:rsidTr="005D7ABA">
        <w:tc>
          <w:tcPr>
            <w:tcW w:w="1809" w:type="dxa"/>
          </w:tcPr>
          <w:p w14:paraId="13E5F61B" w14:textId="77777777" w:rsidR="005D7ABA" w:rsidRPr="002E039D" w:rsidRDefault="005D7ABA" w:rsidP="00210B5D">
            <w:pPr>
              <w:spacing w:before="20"/>
              <w:ind w:right="-3"/>
            </w:pPr>
            <w:r w:rsidRPr="002E039D">
              <w:t>TCP</w:t>
            </w:r>
          </w:p>
        </w:tc>
        <w:tc>
          <w:tcPr>
            <w:tcW w:w="7797" w:type="dxa"/>
          </w:tcPr>
          <w:p w14:paraId="781F217A" w14:textId="77777777" w:rsidR="005D7ABA" w:rsidRPr="002E039D" w:rsidRDefault="005D7ABA" w:rsidP="00210B5D">
            <w:pPr>
              <w:spacing w:before="20"/>
              <w:ind w:right="-3"/>
            </w:pPr>
            <w:r w:rsidRPr="002E039D">
              <w:t xml:space="preserve">Transition Care Program </w:t>
            </w:r>
          </w:p>
        </w:tc>
      </w:tr>
    </w:tbl>
    <w:p w14:paraId="78C81596" w14:textId="77777777" w:rsidR="005D7ABA" w:rsidRDefault="00846CDA" w:rsidP="00CA0D72">
      <w:pPr>
        <w:pStyle w:val="Heading1"/>
        <w:ind w:right="-3"/>
      </w:pPr>
      <w:bookmarkStart w:id="12" w:name="_Toc402348859"/>
      <w:r w:rsidRPr="00640717">
        <w:lastRenderedPageBreak/>
        <w:t>Executive Summary</w:t>
      </w:r>
      <w:bookmarkEnd w:id="12"/>
    </w:p>
    <w:p w14:paraId="57A41AE7" w14:textId="32336575" w:rsidR="00640717" w:rsidRDefault="00640717" w:rsidP="00CA0D72">
      <w:pPr>
        <w:pStyle w:val="CM14"/>
        <w:ind w:right="-3"/>
        <w:jc w:val="both"/>
        <w:rPr>
          <w:b/>
          <w:bCs/>
          <w:sz w:val="20"/>
          <w:szCs w:val="20"/>
        </w:rPr>
      </w:pPr>
    </w:p>
    <w:p w14:paraId="741C1DAF" w14:textId="77777777" w:rsidR="005D7ABA" w:rsidRDefault="00846CDA" w:rsidP="00CA0D72">
      <w:pPr>
        <w:pStyle w:val="Heading2"/>
        <w:ind w:right="-3"/>
      </w:pPr>
      <w:bookmarkStart w:id="13" w:name="_Toc402348860"/>
      <w:r>
        <w:t>Key Findings</w:t>
      </w:r>
      <w:bookmarkEnd w:id="13"/>
    </w:p>
    <w:p w14:paraId="594DBE9C" w14:textId="77777777" w:rsidR="005D7ABA" w:rsidRDefault="00846CDA" w:rsidP="00CC4B48">
      <w:pPr>
        <w:pStyle w:val="Normal-Dot"/>
        <w:numPr>
          <w:ilvl w:val="0"/>
          <w:numId w:val="11"/>
        </w:numPr>
        <w:ind w:right="-3"/>
      </w:pPr>
      <w:r w:rsidRPr="00412F75">
        <w:t xml:space="preserve">The Transition Care Program provided additional treatment and care options following hospitalization that </w:t>
      </w:r>
      <w:r w:rsidR="00640717" w:rsidRPr="00412F75">
        <w:t>w</w:t>
      </w:r>
      <w:r w:rsidRPr="00412F75">
        <w:t>ere highly valued by patients and their families.</w:t>
      </w:r>
    </w:p>
    <w:p w14:paraId="203DD059" w14:textId="77777777" w:rsidR="005D7ABA" w:rsidRDefault="00846CDA" w:rsidP="00CC4B48">
      <w:pPr>
        <w:pStyle w:val="Normal-Dot"/>
        <w:numPr>
          <w:ilvl w:val="0"/>
          <w:numId w:val="11"/>
        </w:numPr>
        <w:ind w:right="-3"/>
      </w:pPr>
      <w:r w:rsidRPr="00412F75">
        <w:t xml:space="preserve">Functional improvements occurred.  When compared with similar groups of frail older people </w:t>
      </w:r>
      <w:r w:rsidR="00640717" w:rsidRPr="00412F75">
        <w:t xml:space="preserve">discharged </w:t>
      </w:r>
      <w:r w:rsidRPr="00412F75">
        <w:t>from hospital during the same time period, those who received Transition Care had fewer readmissions to hospital and were less likely to move into permanent residential aged care.</w:t>
      </w:r>
    </w:p>
    <w:p w14:paraId="73F86CE7" w14:textId="77777777" w:rsidR="005D7ABA" w:rsidRDefault="00846CDA" w:rsidP="00CC4B48">
      <w:pPr>
        <w:pStyle w:val="Normal-Dot"/>
        <w:numPr>
          <w:ilvl w:val="0"/>
          <w:numId w:val="11"/>
        </w:numPr>
        <w:ind w:right="-3"/>
      </w:pPr>
      <w:r w:rsidRPr="00412F75">
        <w:t>These outcomes are achieved at a comparatively high cost.  For every day a recipient of Transition Care survives without institutional care i.e. without hospital or residential aged care over a six month period it costs $344 per day.  Costs were evaluated during an early phase of the program when they are likely to be high.</w:t>
      </w:r>
    </w:p>
    <w:p w14:paraId="15BA7319" w14:textId="77777777" w:rsidR="005D7ABA" w:rsidRDefault="00846CDA" w:rsidP="00CC4B48">
      <w:pPr>
        <w:pStyle w:val="Normal-Dot"/>
        <w:numPr>
          <w:ilvl w:val="0"/>
          <w:numId w:val="11"/>
        </w:numPr>
        <w:ind w:right="-3"/>
      </w:pPr>
      <w:r w:rsidRPr="00412F75">
        <w:t>The program was implemented within a health context where older people across Australia have widely variable access to rehabilitation and geriatric hospital beds.  It did not appear that areas which were short of aged care services or subacute beds had been prioritized in the allocation of the first 2,000 Transition Care places.</w:t>
      </w:r>
    </w:p>
    <w:p w14:paraId="677AB047" w14:textId="77777777" w:rsidR="005D7ABA" w:rsidRDefault="00846CDA" w:rsidP="00CA0D72">
      <w:pPr>
        <w:pStyle w:val="Heading2"/>
        <w:ind w:right="-3"/>
      </w:pPr>
      <w:bookmarkStart w:id="14" w:name="_Toc402348861"/>
      <w:r>
        <w:t>What is Transition Care?</w:t>
      </w:r>
      <w:bookmarkEnd w:id="14"/>
    </w:p>
    <w:p w14:paraId="171D1C60" w14:textId="77777777" w:rsidR="005D7ABA" w:rsidRDefault="00846CDA" w:rsidP="00CA0D72">
      <w:pPr>
        <w:ind w:right="-3"/>
      </w:pPr>
      <w:r w:rsidRPr="00D3160F">
        <w:t>Transition Care is a form of flexible care provided to an older person at the end of an inpatient hospital episode in the form of a package of services that includes at least low intensity therapy and either nursing support or personal care.  The care is characterized as goal-oriented, time limited, therapy focused, and necessary to complete the care recipient’s restorative process, optimize their functional capacity, and assist them and their families to make long term arrangements for care.</w:t>
      </w:r>
    </w:p>
    <w:p w14:paraId="7FCDB319" w14:textId="77777777" w:rsidR="005D7ABA" w:rsidRDefault="00846CDA" w:rsidP="00CA0D72">
      <w:pPr>
        <w:ind w:right="-3"/>
      </w:pPr>
      <w:r w:rsidRPr="00D3160F">
        <w:t>Transition Care is legislated under the Aged Care Act 1997 and in the 2004-5 Federal Budget the national Transition Care Program was announced as part of the Government Investing in Australia’s Aged Care: More Places, Better Care package.  The Australian Government committed to providing 2,000 flexible aged care places for Transition Care with a proportion allocated to each state and territory broadly in line with their proportion of people aged 70 years and over.</w:t>
      </w:r>
    </w:p>
    <w:p w14:paraId="2EA2D688" w14:textId="77777777" w:rsidR="005D7ABA" w:rsidRDefault="00846CDA" w:rsidP="00CA0D72">
      <w:pPr>
        <w:pStyle w:val="Heading2"/>
        <w:ind w:right="-3"/>
      </w:pPr>
      <w:bookmarkStart w:id="15" w:name="_Toc402348862"/>
      <w:r>
        <w:t>What did we do?</w:t>
      </w:r>
      <w:bookmarkEnd w:id="15"/>
    </w:p>
    <w:p w14:paraId="6075C917" w14:textId="77777777" w:rsidR="005D7ABA" w:rsidRDefault="00846CDA" w:rsidP="00CA0D72">
      <w:pPr>
        <w:ind w:right="-3"/>
      </w:pPr>
      <w:r w:rsidRPr="00D3160F">
        <w:t>We carried out six studies to assess the introduction of this new program across Australia:</w:t>
      </w:r>
    </w:p>
    <w:p w14:paraId="04E8542D" w14:textId="77777777" w:rsidR="005D7ABA" w:rsidRDefault="00846CDA" w:rsidP="00CC4B48">
      <w:pPr>
        <w:pStyle w:val="ListParagraph"/>
        <w:numPr>
          <w:ilvl w:val="0"/>
          <w:numId w:val="12"/>
        </w:numPr>
        <w:ind w:right="-3"/>
      </w:pPr>
      <w:r w:rsidRPr="00D3160F">
        <w:t>The Regional Characterization Report described Commonwealth aged care places and state funded acute and rehabilitation beds for older people across Australia in June 2006.</w:t>
      </w:r>
    </w:p>
    <w:p w14:paraId="5F3CDF29" w14:textId="77777777" w:rsidR="005D7ABA" w:rsidRDefault="00846CDA" w:rsidP="00CC4B48">
      <w:pPr>
        <w:pStyle w:val="ListParagraph"/>
        <w:numPr>
          <w:ilvl w:val="0"/>
          <w:numId w:val="12"/>
        </w:numPr>
        <w:ind w:right="-3"/>
      </w:pPr>
      <w:r w:rsidRPr="00D3160F">
        <w:t>The Quality Report summarized 23 reports on the program operation which had been completed by Transition Care services between 28 September 2006 and 18 May 2007, an average of nine months following service commencement.</w:t>
      </w:r>
    </w:p>
    <w:p w14:paraId="5DF75B06" w14:textId="77777777" w:rsidR="005D7ABA" w:rsidRDefault="00846CDA" w:rsidP="00CC4B48">
      <w:pPr>
        <w:pStyle w:val="ListParagraph"/>
        <w:numPr>
          <w:ilvl w:val="0"/>
          <w:numId w:val="12"/>
        </w:numPr>
        <w:ind w:right="-3"/>
      </w:pPr>
      <w:r w:rsidRPr="00D3160F">
        <w:t>The Models of Transition Care Report described the characteristics of Transition Care recipients and the three main types of Transition Care: predominantly community-based services, residential-based services, and services that offered a combination of community-based and residential-based places.</w:t>
      </w:r>
    </w:p>
    <w:p w14:paraId="468F865B" w14:textId="77777777" w:rsidR="005D7ABA" w:rsidRDefault="00846CDA" w:rsidP="00CC4B48">
      <w:pPr>
        <w:pStyle w:val="ListParagraph"/>
        <w:numPr>
          <w:ilvl w:val="0"/>
          <w:numId w:val="12"/>
        </w:numPr>
        <w:ind w:right="-3"/>
      </w:pPr>
      <w:r w:rsidRPr="00D3160F">
        <w:t xml:space="preserve">The Recipient Snapshot Report described the reports of older people and their families on the program three months after their discharge from the Transition Care Program between 1 February and 30 June 2007. No one in either Western Australia or Northern Territory was interviewed.  We interviewed people on the phone (374 interviews with an older person who received Transition Care and 256 with a family member or carer who acted as a proxy) which </w:t>
      </w:r>
      <w:r w:rsidRPr="00D3160F">
        <w:lastRenderedPageBreak/>
        <w:t xml:space="preserve">represented a fifth of those who had received the program.  We asked them about: their living arrangements and use of community care services; their satisfaction with the program; how well the move from Transition Care to the community or residential aged care went (we used an American instrument to measure how successful this had been, the Care Transition Measure); about their level of functional independence (using the Modified </w:t>
      </w:r>
      <w:proofErr w:type="spellStart"/>
      <w:r w:rsidRPr="00D3160F">
        <w:t>Barthel</w:t>
      </w:r>
      <w:proofErr w:type="spellEnd"/>
      <w:r w:rsidRPr="00D3160F">
        <w:t xml:space="preserve"> Index); any hospital readmissions; any costs incurred and their self-rated health.  We also asked carers about their experiences.</w:t>
      </w:r>
    </w:p>
    <w:p w14:paraId="389B0DD0" w14:textId="77777777" w:rsidR="005D7ABA" w:rsidRDefault="00846CDA" w:rsidP="00CC4B48">
      <w:pPr>
        <w:pStyle w:val="ListParagraph"/>
        <w:numPr>
          <w:ilvl w:val="0"/>
          <w:numId w:val="12"/>
        </w:numPr>
        <w:ind w:right="-3"/>
      </w:pPr>
      <w:r w:rsidRPr="00D3160F">
        <w:t>Controlled Comparisons, Costs and Effects Report.  We followed 2,443 people who were approved for Transition Care between 1 October 2006 and 31 March 2007 by an Aged Care Assessment Team (ACAT) and who were discharged from Transition Care by 30 September 2007.  In the data linkage component, administrative health records were matched on name (if available), sex, and date of birth, with elements of address used to refine the matches. This enabled us to calculate how many hospital readmissions, transfers into residential aged care and deaths occurred at both three and six months following approval for Transition Care.  We compared their outcomes with two groups of similar older people coming out of hospital at the same time; i) people who were approved for a Transition Care place but who did not receive it (n=879); and ii) people approved for Community Aged Care Packages between 1 October 2006 and 31 March 2007 (n=2,188).  We estimated the costs of providing the program after taking into account any savings achieved by reducing readmissions and movement into permanent residential aged care.</w:t>
      </w:r>
    </w:p>
    <w:p w14:paraId="20F77E0A" w14:textId="77777777" w:rsidR="005D7ABA" w:rsidRDefault="00846CDA" w:rsidP="00CA0D72">
      <w:pPr>
        <w:pStyle w:val="Heading2"/>
        <w:ind w:right="-3"/>
      </w:pPr>
      <w:bookmarkStart w:id="16" w:name="_Toc402348863"/>
      <w:r>
        <w:t>What did we find?</w:t>
      </w:r>
      <w:bookmarkEnd w:id="16"/>
    </w:p>
    <w:p w14:paraId="16CD7054" w14:textId="2F6DC3A6" w:rsidR="005D7ABA" w:rsidRDefault="00846CDA" w:rsidP="00CC4B48">
      <w:pPr>
        <w:pStyle w:val="ListParagraph"/>
        <w:numPr>
          <w:ilvl w:val="0"/>
          <w:numId w:val="13"/>
        </w:numPr>
        <w:ind w:right="-3"/>
      </w:pPr>
      <w:r w:rsidRPr="00D3160F">
        <w:t>We found that the Transition Care Program was identifying people with a need for further care following a stay in hospital and that recovery continued after discharge from hospital.</w:t>
      </w:r>
    </w:p>
    <w:p w14:paraId="29D559CF" w14:textId="77777777" w:rsidR="005D7ABA" w:rsidRDefault="00846CDA" w:rsidP="00CC4B48">
      <w:pPr>
        <w:pStyle w:val="ListParagraph"/>
        <w:numPr>
          <w:ilvl w:val="0"/>
          <w:numId w:val="13"/>
        </w:numPr>
        <w:ind w:right="-3"/>
      </w:pPr>
      <w:r w:rsidRPr="00D3160F">
        <w:t>Those selected were medically frail and 37% of older people who received the program had returned to hospital at least once by three months.  By six months this proportion had risen to 47%.  Those receiving Transition Care in a community-based setting were more likely to be readmitted (51%) when compared with those who received Transition Care in a residential-based setting (43%).  Despite this, there was little evidence of medication review or medical assessment.</w:t>
      </w:r>
    </w:p>
    <w:p w14:paraId="3AC129D0" w14:textId="77777777" w:rsidR="005D7ABA" w:rsidRDefault="00846CDA" w:rsidP="00CC4B48">
      <w:pPr>
        <w:pStyle w:val="ListParagraph"/>
        <w:numPr>
          <w:ilvl w:val="0"/>
          <w:numId w:val="13"/>
        </w:numPr>
        <w:ind w:right="-3"/>
      </w:pPr>
      <w:r w:rsidRPr="00D3160F">
        <w:t xml:space="preserve">About a quarter (22%) of people ended up in permanent residential aged care three months after approval and by six months this was 30%.  Those who had received Transition Care in a residential-based setting were more likely to go onto long term care with 58% living in residential aged care at six months. This group were frail and had an average admission score on the Modified </w:t>
      </w:r>
      <w:proofErr w:type="spellStart"/>
      <w:r w:rsidRPr="00D3160F">
        <w:t>Barthel</w:t>
      </w:r>
      <w:proofErr w:type="spellEnd"/>
      <w:r w:rsidRPr="00D3160F">
        <w:t xml:space="preserve"> Index of 51.1 out of a possible 100 (a measure of function where higher scores reflect higher levels of function).</w:t>
      </w:r>
    </w:p>
    <w:p w14:paraId="547BDD79" w14:textId="77777777" w:rsidR="005D7ABA" w:rsidRDefault="00846CDA" w:rsidP="00CC4B48">
      <w:pPr>
        <w:pStyle w:val="ListParagraph"/>
        <w:numPr>
          <w:ilvl w:val="0"/>
          <w:numId w:val="13"/>
        </w:numPr>
        <w:ind w:right="-3"/>
      </w:pPr>
      <w:r w:rsidRPr="00D3160F">
        <w:t>By six months 13% of people who received Transition Care had died.  Of those who received Transition Care only in a residential setting, 20% died and amongst those older than 85 almost a quarter had died by six months.</w:t>
      </w:r>
    </w:p>
    <w:p w14:paraId="38885E40" w14:textId="77777777" w:rsidR="005D7ABA" w:rsidRDefault="00846CDA" w:rsidP="00CC4B48">
      <w:pPr>
        <w:pStyle w:val="ListParagraph"/>
        <w:numPr>
          <w:ilvl w:val="0"/>
          <w:numId w:val="13"/>
        </w:numPr>
        <w:ind w:right="-3"/>
      </w:pPr>
      <w:r w:rsidRPr="00D3160F">
        <w:t>When we compared the outcomes of the people who received Transition Care with other frail groups discharged from hospital in the same time period we found that Transition Care reduced the risk of entering an institution (hospital and residential aged care) in the six months post ACAT approval.  The hazard (risk) of a hospital readmission in the six months post ACAT approval was significantly greater in two control groups relative to the Transition Care recipients.  Similarly, the hazard of an admission to residential aged care in the six months post ACAT approval period was lower among Transition Care recipients overall.  However the risk was similar for those who received Transition Care only in a residential setting and those who were approved but did not enter the program.</w:t>
      </w:r>
    </w:p>
    <w:p w14:paraId="39D57663" w14:textId="2EEC410D" w:rsidR="005D7ABA" w:rsidRDefault="00846CDA" w:rsidP="00CC4B48">
      <w:pPr>
        <w:pStyle w:val="StyleNormal-Dot10pt"/>
        <w:numPr>
          <w:ilvl w:val="0"/>
          <w:numId w:val="14"/>
        </w:numPr>
        <w:ind w:right="-3"/>
      </w:pPr>
      <w:r>
        <w:t xml:space="preserve">Three months after ACAT approval, a recipient of Transition Care only in a community setting had survived an additional 11.8 days without admission into hospital or residential aged care when compared with those in the Control 2 group and the additional cost to </w:t>
      </w:r>
      <w:r>
        <w:lastRenderedPageBreak/>
        <w:t>achieve this for an individual Transition Care recipient was $888 per day.  At six months this reduced to $344 per day.</w:t>
      </w:r>
    </w:p>
    <w:p w14:paraId="75C64971" w14:textId="77777777" w:rsidR="005D7ABA" w:rsidRDefault="00846CDA" w:rsidP="00CC4B48">
      <w:pPr>
        <w:pStyle w:val="StyleNormal-Dot10pt"/>
        <w:numPr>
          <w:ilvl w:val="0"/>
          <w:numId w:val="14"/>
        </w:numPr>
        <w:ind w:right="-3"/>
      </w:pPr>
      <w:r w:rsidRPr="00640717">
        <w:t>Nursing and allied health hours on the Transition Care services affected outcomes.  The risk of hospital readmission decreased with more nursing hours.  The risk of residential aged care admissions decreased with more allied health hours.</w:t>
      </w:r>
    </w:p>
    <w:p w14:paraId="581431FE" w14:textId="62947E83" w:rsidR="005D7ABA" w:rsidRDefault="00846CDA" w:rsidP="00CC4B48">
      <w:pPr>
        <w:pStyle w:val="StyleNormal-Dot10pt"/>
        <w:numPr>
          <w:ilvl w:val="0"/>
          <w:numId w:val="14"/>
        </w:numPr>
        <w:ind w:right="-3"/>
      </w:pPr>
      <w:r w:rsidRPr="00640717">
        <w:t>In the telephone interviews most recipients and carers felt that they had a good understanding of their health issues and that staff had taken their wishes into account when planning services.  Carer’s experiences were assessed in telephone interviews and varied but overall moderate levels of strain (as measured by the Modified Caregiver Strain index) were reported.  The average age of the 386 carers who were interviewed was 63 years and carers were predominantly spouses or daughters.  Carers reported most difficulty with restrictions on their free time, the recent changes to their personal plans and they found it difficult to deal with the degree to which the person they cared for had changed from their former self.</w:t>
      </w:r>
    </w:p>
    <w:p w14:paraId="3B4C649E" w14:textId="77777777" w:rsidR="005D7ABA" w:rsidRDefault="00846CDA" w:rsidP="00CC4B48">
      <w:pPr>
        <w:pStyle w:val="StyleNormal-Dot10pt"/>
        <w:numPr>
          <w:ilvl w:val="0"/>
          <w:numId w:val="14"/>
        </w:numPr>
        <w:ind w:right="-3"/>
      </w:pPr>
      <w:r w:rsidRPr="00640717">
        <w:t>The Transition Care services reported difficulties engaging GPs but it also appeared the models did not emphasise assessment or management of medical issues.  Few pharmacists or medical specialists (such as geriatricians or medical rehabilitation specialists) were listed as staff in the Quality Reports.</w:t>
      </w:r>
    </w:p>
    <w:p w14:paraId="73C369DF" w14:textId="77777777" w:rsidR="005D7ABA" w:rsidRDefault="00846CDA" w:rsidP="00CC4B48">
      <w:pPr>
        <w:pStyle w:val="Normal-Dot"/>
        <w:numPr>
          <w:ilvl w:val="0"/>
          <w:numId w:val="14"/>
        </w:numPr>
        <w:ind w:right="-3"/>
      </w:pPr>
      <w:r w:rsidRPr="00640717">
        <w:t xml:space="preserve">When we began the National Evaluation of the Transition Care Program in 2006 there were three rehabilitation and geriatric evaluation and management (GEM) beds per 1,000 older persons aged 70 and over compared with 26 acute hospital beds per 1,000 older people, but there was considerable variation across Australia with Victoria having the most </w:t>
      </w:r>
      <w:r>
        <w:t>rehabilitation beds.</w:t>
      </w:r>
    </w:p>
    <w:p w14:paraId="5FCED3D4" w14:textId="77777777" w:rsidR="005D7ABA" w:rsidRDefault="00846CDA" w:rsidP="00CC4B48">
      <w:pPr>
        <w:pStyle w:val="Normal-Dot"/>
        <w:numPr>
          <w:ilvl w:val="0"/>
          <w:numId w:val="14"/>
        </w:numPr>
        <w:ind w:right="-3"/>
      </w:pPr>
      <w:r>
        <w:t>Transition Care places are making a significant contribution to post acute services in many areas of Australia but the jurisdictions’ approach to allocation was unclear and many areas of service need had not been allocated places.</w:t>
      </w:r>
    </w:p>
    <w:p w14:paraId="18E0C10C" w14:textId="2AC1971C" w:rsidR="005D7ABA" w:rsidRDefault="00846CDA" w:rsidP="00CC4B48">
      <w:pPr>
        <w:pStyle w:val="Normal-Dot"/>
        <w:numPr>
          <w:ilvl w:val="0"/>
          <w:numId w:val="14"/>
        </w:numPr>
        <w:ind w:right="-3"/>
      </w:pPr>
      <w:r>
        <w:t>While the Transition Care Program was not intended to substitute for rehabilitation services it appeared to take on this role in regions with limited services.  However, it seemed less efficient than conventional rehabilitation programs.  Comparisons between the outcomes from Victorian GEM units and residential-based Transition Care found that the Victorian GEM units admitted more disabled patients and achieved functional improvements more rapidly.</w:t>
      </w:r>
    </w:p>
    <w:p w14:paraId="76941FDD" w14:textId="77777777" w:rsidR="005D7ABA" w:rsidRDefault="00846CDA" w:rsidP="00CC4B48">
      <w:pPr>
        <w:pStyle w:val="Normal-Dot"/>
        <w:numPr>
          <w:ilvl w:val="0"/>
          <w:numId w:val="14"/>
        </w:numPr>
        <w:ind w:right="-3"/>
      </w:pPr>
      <w:r>
        <w:t xml:space="preserve">A similar inefficiency was noted in the use of community-based Transition Care places for people with high Modified </w:t>
      </w:r>
      <w:proofErr w:type="spellStart"/>
      <w:r>
        <w:t>Barthel</w:t>
      </w:r>
      <w:proofErr w:type="spellEnd"/>
      <w:r>
        <w:t xml:space="preserve"> Index scores which suggested that in other jurisdictions they might have received home rehabilitation programs.  Transition Care requires an ACAT assessment to be completed while home rehabilitation services do not.  The delay associated with this extra step i.e. accessing an ACAT assessment may introduce delays in hospital discharge.  Delays of up to a week between ACAT assessment and entry into Transition Care occurred, suggesting people were waiting in hospital for the program.</w:t>
      </w:r>
    </w:p>
    <w:p w14:paraId="660E71FD" w14:textId="77777777" w:rsidR="005D7ABA" w:rsidRDefault="00846CDA" w:rsidP="00CA0D72">
      <w:pPr>
        <w:pStyle w:val="Heading2"/>
        <w:ind w:right="-3"/>
      </w:pPr>
      <w:bookmarkStart w:id="17" w:name="_Toc402348864"/>
      <w:r>
        <w:t>What did we conclude?</w:t>
      </w:r>
      <w:bookmarkEnd w:id="17"/>
    </w:p>
    <w:p w14:paraId="20C8B67B" w14:textId="77777777" w:rsidR="005D7ABA" w:rsidRDefault="00846CDA" w:rsidP="00CC4B48">
      <w:pPr>
        <w:pStyle w:val="StyleNormal-Dot10pt"/>
        <w:numPr>
          <w:ilvl w:val="0"/>
          <w:numId w:val="15"/>
        </w:numPr>
        <w:ind w:right="-3"/>
      </w:pPr>
      <w:r>
        <w:t>At the individual level positive outcomes were achieved.  Transition Care was valued by patients and carers and although it configured very differently across jurisdictions it seemed to increase the options for older people following hospitalization.  Appropriate people were offered the program and improvements in individuals’ function occurred.  When comparisons were made with other frail older people discharged from hospital at the same time, decreases in the risk of transfer back to hospital and permanent residential aged care were seen.</w:t>
      </w:r>
    </w:p>
    <w:p w14:paraId="0F58EBB9" w14:textId="5337DA90" w:rsidR="005D7ABA" w:rsidRDefault="00846CDA" w:rsidP="00CC4B48">
      <w:pPr>
        <w:pStyle w:val="StyleNormal-Dot10pt"/>
        <w:numPr>
          <w:ilvl w:val="0"/>
          <w:numId w:val="15"/>
        </w:numPr>
        <w:ind w:right="-3"/>
      </w:pPr>
      <w:r>
        <w:t>These positive outcomes were achieved using flexible models and could be implemented in rural settings.  Higher nursing and allied health staffing hours were associated with better outcomes.</w:t>
      </w:r>
    </w:p>
    <w:p w14:paraId="4FA759E9" w14:textId="77777777" w:rsidR="005D7ABA" w:rsidRDefault="00846CDA" w:rsidP="00CC4B48">
      <w:pPr>
        <w:pStyle w:val="StyleNormal-Dot10pt"/>
        <w:numPr>
          <w:ilvl w:val="0"/>
          <w:numId w:val="15"/>
        </w:numPr>
        <w:ind w:right="-3"/>
      </w:pPr>
      <w:r>
        <w:lastRenderedPageBreak/>
        <w:t>The interface between Transition Care and hospital rehabilitation services needs to be clarified.  The level of access to rehabilitation and geriatric beds in a region influenced recipient selection and in many regions the Transition Care Program appeared to be fulfilling the traditional role of rehabilitation services.  These programs seem less efficient than conventional rehabilitation particularly when providing a substitute for GEM type wards.</w:t>
      </w:r>
    </w:p>
    <w:p w14:paraId="14297380" w14:textId="77777777" w:rsidR="005D7ABA" w:rsidRDefault="00846CDA" w:rsidP="00CC4B48">
      <w:pPr>
        <w:pStyle w:val="StyleNormal-Dot10pt"/>
        <w:numPr>
          <w:ilvl w:val="0"/>
          <w:numId w:val="15"/>
        </w:numPr>
        <w:ind w:right="-3"/>
      </w:pPr>
      <w:r>
        <w:t>Transition Care provided in a residential-based setting requires more evaluation to clarify which groups will benefit, to explore whether this care should be delivered to a minimum number of co-located recipients, to identify minimum staffing levels and quality measures.  Transition Care provided in a residential-based setting alone did not appear to prevent transfer to residential aged care.</w:t>
      </w:r>
    </w:p>
    <w:p w14:paraId="0221FF40" w14:textId="623130C9" w:rsidR="005D7ABA" w:rsidRDefault="00846CDA" w:rsidP="00CC4B48">
      <w:pPr>
        <w:pStyle w:val="StyleNormal-Dot10pt"/>
        <w:numPr>
          <w:ilvl w:val="0"/>
          <w:numId w:val="15"/>
        </w:numPr>
        <w:ind w:right="-3"/>
      </w:pPr>
      <w:r>
        <w:t>The economic evaluation of the program suggested that the program was not low cost.  Some of the inefficiencies are probably related to evaluating the early phase of a new program addressing complex policy issues.  Issues that could be examined include: providing incentives to reduce episode costs or rewarding Transition Care services for complex cases e.g. those with dementia.</w:t>
      </w:r>
    </w:p>
    <w:p w14:paraId="466F74A9" w14:textId="77777777" w:rsidR="005D7ABA" w:rsidRDefault="00846CDA" w:rsidP="00CC4B48">
      <w:pPr>
        <w:pStyle w:val="StyleNormal-Dot10pt"/>
        <w:numPr>
          <w:ilvl w:val="0"/>
          <w:numId w:val="15"/>
        </w:numPr>
        <w:ind w:right="-3"/>
      </w:pPr>
      <w:r>
        <w:t xml:space="preserve">Without increasing medical, pharmacy and nursing input into the programs, further reductions in readmissions will be difficult.  Transition Care services struggled with the interface with acute care (communication and support) therefore measures of the quality of transfer from hospital </w:t>
      </w:r>
      <w:proofErr w:type="gramStart"/>
      <w:r>
        <w:t>need</w:t>
      </w:r>
      <w:proofErr w:type="gramEnd"/>
      <w:r>
        <w:t xml:space="preserve"> monitoring.</w:t>
      </w:r>
    </w:p>
    <w:p w14:paraId="6FF50A14" w14:textId="77777777" w:rsidR="005D7ABA" w:rsidRDefault="00846CDA" w:rsidP="00CC4B48">
      <w:pPr>
        <w:pStyle w:val="StyleNormal-Dot10pt"/>
        <w:numPr>
          <w:ilvl w:val="0"/>
          <w:numId w:val="15"/>
        </w:numPr>
        <w:ind w:right="-3"/>
      </w:pPr>
      <w:r>
        <w:t>Strategies to improve communication from hospitals (such as pay for performance approaches which have been used in the US) should be explored.   Given the shortfall in health and aged care services for older people and the significance of Transition Care places to communities, transparent allocation of Transition Care places should ideally occur.  In the short term priority should be given to areas of service need including rural areas.</w:t>
      </w:r>
    </w:p>
    <w:p w14:paraId="160AE4B5" w14:textId="77777777" w:rsidR="005D7ABA" w:rsidRDefault="00846CDA" w:rsidP="00CC4B48">
      <w:pPr>
        <w:pStyle w:val="Normal-Dot"/>
        <w:numPr>
          <w:ilvl w:val="0"/>
          <w:numId w:val="15"/>
        </w:numPr>
        <w:ind w:right="-3"/>
      </w:pPr>
      <w:r>
        <w:t>It seems unlikely that simply adding more Transition Care places to regions will change hospital flows if there is an inadequate investment in geriatric rehabilitation beds.  If population based planning benchmarks of the ideal number of rehabilitation beds for older people could be developed in tandem with the expansion of the Transition Care Program, greater effects on flows across care sectors are likely to occur.</w:t>
      </w:r>
    </w:p>
    <w:p w14:paraId="58DF9BA9" w14:textId="77777777" w:rsidR="005D7ABA" w:rsidRDefault="00846CDA" w:rsidP="00CC4B48">
      <w:pPr>
        <w:pStyle w:val="StyleNormal-Dot10pt"/>
        <w:numPr>
          <w:ilvl w:val="0"/>
          <w:numId w:val="15"/>
        </w:numPr>
        <w:ind w:right="-3"/>
      </w:pPr>
      <w:r>
        <w:t>A broader range of interventions and models in the program could be considered.  For example, models for people with dementia could be developed further.  One of the requirements for admission to the Transition Care Program is that patients are medically stable, but one fifth of those in residential based Transition Care had died by six months post ACAT approval.  Thus end-of-life care is an issue faced by Transition Care services, and this may reflect selection issues or the rapid onset of some medical conditions among frail older people.  Evaluation of new models should include an economic evaluation with 12 month follow-up and assess medication costs.</w:t>
      </w:r>
    </w:p>
    <w:p w14:paraId="050FC809" w14:textId="3AF4B564" w:rsidR="00A202B7" w:rsidRDefault="00846CDA" w:rsidP="00CC4B48">
      <w:pPr>
        <w:pStyle w:val="Normal-Dot"/>
        <w:numPr>
          <w:ilvl w:val="0"/>
          <w:numId w:val="15"/>
        </w:numPr>
        <w:ind w:right="-3"/>
      </w:pPr>
      <w:r>
        <w:t xml:space="preserve">We demonstrated that using linked datasets is a feasible way of assessing the outcomes of the Transition Care Program.  Cognitive and other health issues can make interviewing a representative sample of older people difficult but this approach allows timely evaluation of a national program at the acute and aged care interface.  Further analyses of linked data sets are likely to assist with future iterations </w:t>
      </w:r>
      <w:r w:rsidR="00A202B7">
        <w:t>of the Transition Care Program.</w:t>
      </w:r>
      <w:r w:rsidR="00A202B7">
        <w:br w:type="page"/>
      </w:r>
    </w:p>
    <w:p w14:paraId="2892CE14" w14:textId="77777777" w:rsidR="005D7ABA" w:rsidRDefault="00846CDA" w:rsidP="00A202B7">
      <w:pPr>
        <w:pStyle w:val="Heading1"/>
      </w:pPr>
      <w:bookmarkStart w:id="18" w:name="_Toc402348865"/>
      <w:r>
        <w:lastRenderedPageBreak/>
        <w:t>1. Introduction</w:t>
      </w:r>
      <w:bookmarkEnd w:id="18"/>
    </w:p>
    <w:p w14:paraId="35437FF2" w14:textId="77777777" w:rsidR="005D7ABA" w:rsidRDefault="00846CDA" w:rsidP="00CA0D72">
      <w:pPr>
        <w:pStyle w:val="Heading2"/>
        <w:ind w:right="-3"/>
      </w:pPr>
      <w:bookmarkStart w:id="19" w:name="_Toc402348866"/>
      <w:r>
        <w:t>1.1. Framework for the Evaluation</w:t>
      </w:r>
      <w:bookmarkEnd w:id="19"/>
    </w:p>
    <w:p w14:paraId="2AAFC4B7" w14:textId="77777777" w:rsidR="005D7ABA" w:rsidRDefault="00846CDA" w:rsidP="00CA0D72">
      <w:pPr>
        <w:ind w:right="-3"/>
      </w:pPr>
      <w:r w:rsidRPr="00D3160F">
        <w:t xml:space="preserve">The Transition Care Program (TCP) provides care that is therapeutic, goal oriented, time-limited and targeted to older people at the conclusion of a hospital episode who require more time and support in a </w:t>
      </w:r>
      <w:proofErr w:type="spellStart"/>
      <w:r w:rsidRPr="00D3160F">
        <w:t>non hospital</w:t>
      </w:r>
      <w:proofErr w:type="spellEnd"/>
      <w:r w:rsidRPr="00D3160F">
        <w:t xml:space="preserve"> environment to complete their restorative process and optimize their functional capacity while assisting them and their family or carer to make long term care arrangements.</w:t>
      </w:r>
    </w:p>
    <w:p w14:paraId="72F0DA34" w14:textId="77777777" w:rsidR="005D7ABA" w:rsidRDefault="00846CDA" w:rsidP="00CA0D72">
      <w:pPr>
        <w:ind w:right="-3"/>
      </w:pPr>
      <w:r w:rsidRPr="00D3160F">
        <w:t>The six key questions for the National Evaluation of the Transition Care program (NETCP) are:</w:t>
      </w:r>
    </w:p>
    <w:p w14:paraId="3EB3491F" w14:textId="77777777" w:rsidR="005D7ABA" w:rsidRDefault="00846CDA" w:rsidP="00CC4B48">
      <w:pPr>
        <w:pStyle w:val="ListParagraph"/>
        <w:numPr>
          <w:ilvl w:val="0"/>
          <w:numId w:val="16"/>
        </w:numPr>
        <w:ind w:right="-3"/>
      </w:pPr>
      <w:r w:rsidRPr="00D3160F">
        <w:t>Are the outcomes being achieved?</w:t>
      </w:r>
    </w:p>
    <w:p w14:paraId="157F672F" w14:textId="77777777" w:rsidR="005D7ABA" w:rsidRDefault="00846CDA" w:rsidP="00CC4B48">
      <w:pPr>
        <w:pStyle w:val="ListParagraph"/>
        <w:numPr>
          <w:ilvl w:val="0"/>
          <w:numId w:val="16"/>
        </w:numPr>
        <w:ind w:right="-3"/>
      </w:pPr>
      <w:r w:rsidRPr="00D3160F">
        <w:t>How are the outcomes at the individual level being achieved?</w:t>
      </w:r>
    </w:p>
    <w:p w14:paraId="2A4F83FB" w14:textId="77777777" w:rsidR="005D7ABA" w:rsidRDefault="00846CDA" w:rsidP="00CC4B48">
      <w:pPr>
        <w:pStyle w:val="ListParagraph"/>
        <w:numPr>
          <w:ilvl w:val="0"/>
          <w:numId w:val="16"/>
        </w:numPr>
        <w:ind w:right="-3"/>
      </w:pPr>
      <w:r w:rsidRPr="00D3160F">
        <w:t>How are the outcomes at the system level being achieved?</w:t>
      </w:r>
    </w:p>
    <w:p w14:paraId="20017295" w14:textId="77777777" w:rsidR="005D7ABA" w:rsidRDefault="00846CDA" w:rsidP="00CC4B48">
      <w:pPr>
        <w:pStyle w:val="ListParagraph"/>
        <w:numPr>
          <w:ilvl w:val="0"/>
          <w:numId w:val="16"/>
        </w:numPr>
        <w:ind w:right="-3"/>
      </w:pPr>
      <w:r w:rsidRPr="00D3160F">
        <w:t>What are the costs of achieving the outcomes for the Australian Government, State and Territory Governments, and the care recipient in absolute terms and relative terms?</w:t>
      </w:r>
    </w:p>
    <w:p w14:paraId="6D0E3821" w14:textId="77777777" w:rsidR="005D7ABA" w:rsidRDefault="00846CDA" w:rsidP="00CC4B48">
      <w:pPr>
        <w:pStyle w:val="ListParagraph"/>
        <w:numPr>
          <w:ilvl w:val="0"/>
          <w:numId w:val="16"/>
        </w:numPr>
        <w:ind w:right="-3"/>
      </w:pPr>
      <w:r w:rsidRPr="00D3160F">
        <w:t>What did the Quality Report say about quality in Transition Care (TC) Services?</w:t>
      </w:r>
    </w:p>
    <w:p w14:paraId="00521F36" w14:textId="77777777" w:rsidR="005D7ABA" w:rsidRDefault="00846CDA" w:rsidP="00CC4B48">
      <w:pPr>
        <w:pStyle w:val="ListParagraph"/>
        <w:numPr>
          <w:ilvl w:val="0"/>
          <w:numId w:val="16"/>
        </w:numPr>
        <w:ind w:right="-3"/>
      </w:pPr>
      <w:r w:rsidRPr="00D3160F">
        <w:t>How can the TCP design be improved?</w:t>
      </w:r>
    </w:p>
    <w:p w14:paraId="073AC1A2" w14:textId="77777777" w:rsidR="005D7ABA" w:rsidRDefault="00846CDA" w:rsidP="00CA0D72">
      <w:pPr>
        <w:ind w:right="-3"/>
      </w:pPr>
      <w:r w:rsidRPr="00D3160F">
        <w:t>To address these questions, a suite of six studies was undertaken for the NETCP.  The six studies and a brief description of the methods employed in each study are presented below.  The timeframe covered by each report is summarized in Table 1.1 on Page 9.</w:t>
      </w:r>
    </w:p>
    <w:p w14:paraId="0117A522" w14:textId="77777777" w:rsidR="005D7ABA" w:rsidRDefault="00846CDA" w:rsidP="00CA0D72">
      <w:pPr>
        <w:pStyle w:val="Heading3"/>
        <w:ind w:right="-3"/>
      </w:pPr>
      <w:bookmarkStart w:id="20" w:name="_Toc402348867"/>
      <w:r>
        <w:t>i) Regional Characterization Report</w:t>
      </w:r>
      <w:bookmarkEnd w:id="20"/>
    </w:p>
    <w:p w14:paraId="7DDC7D11" w14:textId="77777777" w:rsidR="005D7ABA" w:rsidRDefault="00846CDA" w:rsidP="00CA0D72">
      <w:pPr>
        <w:ind w:right="-3"/>
      </w:pPr>
      <w:r w:rsidRPr="00D3160F">
        <w:t>This report provided a summary of key health services for older people according to Aged Care Assessment Team (ACAT) (known as Aged Care Assessment Service in Victoria) region.  The demographic and health service indicators were derived from data supplied by the Australian Bureau of Statistics (ABS), the Australian Government Department of Health and Ageing, the Australasian Rehabilitation Outcomes Centre (AROC) at the University of Wollongong, and the Lincoln Centre for Ageing and Community Care Research at La Trobe University.  The indicators that were shown in this report were population, provision ratio of aged care places or TC places per 1,000 older people, the number of first-time admissions to residential aged care per 1,000 older people, Home and Community Care (HACC) clients per 1,000 older people, number of ACAT assessments, and number of acute and subacute hospital beds per 1,000 older people.  The data encompassed the period 1 July 2005 to 30 June 2006.  In the Regional Characterization Report, population data were estimated at 30 June 2006; Aged Care places at 31 December 2005 and 30 June 2006; AROC provided data as at 30 June 2006.  Estimates of hospital bed utilization were for the 2005/06 financial year.</w:t>
      </w:r>
    </w:p>
    <w:p w14:paraId="1D19C790" w14:textId="77777777" w:rsidR="005D7ABA" w:rsidRDefault="00846CDA" w:rsidP="00CA0D72">
      <w:pPr>
        <w:pStyle w:val="Heading3"/>
        <w:ind w:right="-3"/>
      </w:pPr>
      <w:bookmarkStart w:id="21" w:name="_Toc402348868"/>
      <w:r>
        <w:t>ii) Quality Assessment Study</w:t>
      </w:r>
      <w:bookmarkEnd w:id="21"/>
    </w:p>
    <w:p w14:paraId="687373FE" w14:textId="77777777" w:rsidR="005D7ABA" w:rsidRDefault="00846CDA" w:rsidP="00CA0D72">
      <w:pPr>
        <w:ind w:right="-3"/>
      </w:pPr>
      <w:r>
        <w:t xml:space="preserve">This study was designed to summarize and identify themes and report suggestions of ways to improve TC services.  Quality Reports were completed between 28 September 2006 and 18 May 2007, an average of nine months following service commencement.  A grounded theory, or inductive, approach was used whereby the themes identified were derived from the text rather than a body of literature.  The reporting of </w:t>
      </w:r>
      <w:r w:rsidRPr="00D3160F">
        <w:t>TC services’ responses to the Quality Report focused on a description of responses and, where appropriate, thematic analysis.</w:t>
      </w:r>
    </w:p>
    <w:p w14:paraId="17A4997E" w14:textId="77777777" w:rsidR="005D7ABA" w:rsidRDefault="00846CDA" w:rsidP="00CA0D72">
      <w:pPr>
        <w:pStyle w:val="Heading3"/>
        <w:ind w:right="-3"/>
      </w:pPr>
      <w:bookmarkStart w:id="22" w:name="_Toc402348869"/>
      <w:r>
        <w:t>iii) Models of Transition Care</w:t>
      </w:r>
      <w:bookmarkEnd w:id="22"/>
    </w:p>
    <w:p w14:paraId="62BEE0D5" w14:textId="77777777" w:rsidR="005D7ABA" w:rsidRDefault="00846CDA" w:rsidP="00CA0D72">
      <w:pPr>
        <w:ind w:right="-3"/>
      </w:pPr>
      <w:r w:rsidRPr="00D3160F">
        <w:t>This study was conducted to characterize the types of TC models used by different TC services.  The report drew data from the TC Quality and Quarterly Reports, survey of TC services conducted in November 2006, and information from the Australian Government Department of Health and Ageing administrative database concerning TC Payments for the 2006/07 financial year.</w:t>
      </w:r>
    </w:p>
    <w:p w14:paraId="36557EAB" w14:textId="77777777" w:rsidR="005D7ABA" w:rsidRDefault="00846CDA" w:rsidP="00CA0D72">
      <w:pPr>
        <w:pStyle w:val="Heading3"/>
        <w:ind w:right="-3"/>
      </w:pPr>
      <w:bookmarkStart w:id="23" w:name="_Toc402348870"/>
      <w:proofErr w:type="gramStart"/>
      <w:r>
        <w:lastRenderedPageBreak/>
        <w:t>iv) Recipient</w:t>
      </w:r>
      <w:proofErr w:type="gramEnd"/>
      <w:r>
        <w:t xml:space="preserve"> Snapshot Study</w:t>
      </w:r>
      <w:bookmarkEnd w:id="23"/>
    </w:p>
    <w:p w14:paraId="743F74F4" w14:textId="77777777" w:rsidR="005D7ABA" w:rsidRDefault="00846CDA" w:rsidP="00CA0D72">
      <w:pPr>
        <w:ind w:right="-3"/>
      </w:pPr>
      <w:r w:rsidRPr="00D3160F">
        <w:t>This study was designed to describe the demographic, residential, and cognitive characteristics, and health service use of TC recipients, three months after completion of TC.  A secondary purpose was to describe the satisfaction of carers with TC and any strain that they reported.  The interviews took place between 1 May and 30 September 2007, corresponding to recipients who were discharged from TC between 1 February and 30 June 2007.</w:t>
      </w:r>
    </w:p>
    <w:p w14:paraId="01F914BD" w14:textId="77777777" w:rsidR="005D7ABA" w:rsidRDefault="00846CDA" w:rsidP="00CA0D72">
      <w:pPr>
        <w:ind w:right="-3"/>
      </w:pPr>
      <w:r w:rsidRPr="00D3160F">
        <w:t xml:space="preserve">The telephone interview schedule included seven domains concerning the recipient’s experience and outcomes from TC including: i) living arrangements and use of community care services; ii) satisfaction with TC; iii) the quality of the transition from TC to the community or residential aged care (Care Transition Measure, CTM-3); iv) functional independence (Modified </w:t>
      </w:r>
      <w:proofErr w:type="spellStart"/>
      <w:r w:rsidRPr="00D3160F">
        <w:t>Barthel</w:t>
      </w:r>
      <w:proofErr w:type="spellEnd"/>
      <w:r w:rsidRPr="00D3160F">
        <w:t xml:space="preserve"> Index; MBI); v) hospital readmissions vi) costs associated with TC and main source of income; and vii) self-rated health.  The number of outcome measures was kept low in order to minimise the respondent burden imposed by the interviews.</w:t>
      </w:r>
    </w:p>
    <w:p w14:paraId="69E4ACE6" w14:textId="77777777" w:rsidR="005D7ABA" w:rsidRDefault="00846CDA" w:rsidP="00CA0D72">
      <w:pPr>
        <w:ind w:right="-3"/>
      </w:pPr>
      <w:r w:rsidRPr="00D3160F">
        <w:t>A brief carer interview was also administered.  This included carer’s age, relationship to TC recipient, the Modified Caregiver Strain Index (MCSI), carer involvement in decisions, and overall satisfaction with TC.</w:t>
      </w:r>
    </w:p>
    <w:p w14:paraId="505A4503" w14:textId="77777777" w:rsidR="005D7ABA" w:rsidRDefault="00846CDA" w:rsidP="00CA0D72">
      <w:pPr>
        <w:pStyle w:val="Heading3"/>
        <w:ind w:right="-3"/>
      </w:pPr>
      <w:bookmarkStart w:id="24" w:name="_Toc402348871"/>
      <w:r>
        <w:t>v) Controlled Comparison Study</w:t>
      </w:r>
      <w:bookmarkEnd w:id="24"/>
    </w:p>
    <w:p w14:paraId="465A5F74" w14:textId="04C9E4C6" w:rsidR="005D7ABA" w:rsidRDefault="00846CDA" w:rsidP="00CA0D72">
      <w:pPr>
        <w:ind w:right="-3"/>
      </w:pPr>
      <w:r w:rsidRPr="00D3160F">
        <w:t>The purpose of this report was to describe the hospital readmissions, residential aged care service utilization, and mortality in the three months and the six months post ACAT approval for individuals who were ACAT assessed for TC between 1 October 2006 and 31 March 2007, and who were discharged from TC by 30 September 2007.  These three outcomes were compared to those for people who were approved for a TC place (who either did not receive TC despite approval or who had not been discharged from TC by 30 September 2007; Control 1) and for people approved for Community Aged Care Packages (CACP); Control 2) with the approvals for both groups occurring between 1 October 2006 and 31 March 2007.</w:t>
      </w:r>
    </w:p>
    <w:p w14:paraId="21D5E5D7" w14:textId="77777777" w:rsidR="005D7ABA" w:rsidRDefault="00846CDA" w:rsidP="00CA0D72">
      <w:pPr>
        <w:pStyle w:val="Heading3"/>
        <w:ind w:right="-3"/>
      </w:pPr>
      <w:bookmarkStart w:id="25" w:name="_Toc402348872"/>
      <w:proofErr w:type="gramStart"/>
      <w:r>
        <w:t>vi) Costs</w:t>
      </w:r>
      <w:proofErr w:type="gramEnd"/>
      <w:r>
        <w:t xml:space="preserve"> and Effects Study</w:t>
      </w:r>
      <w:bookmarkEnd w:id="25"/>
    </w:p>
    <w:p w14:paraId="7B4CD251" w14:textId="77777777" w:rsidR="005D7ABA" w:rsidRDefault="00846CDA" w:rsidP="00CA0D72">
      <w:pPr>
        <w:ind w:right="-3"/>
      </w:pPr>
      <w:r>
        <w:t>This study built on the Controlled Comparison Study to describe the costs and effects of the outcomes of TC recipients relative to the two control groups, and considered both the three and six months post ACAT approval periods.  The impact of regional level variables such as hospital and residential aged care availability on the analyses are considered in a national analysis of admissions to residential aged care and readmissions to hospital in the three months post ACAT approval.  Data linkage of a number of administrative health datasets was undertaken to assess the outcomes.</w:t>
      </w:r>
    </w:p>
    <w:p w14:paraId="1923FEE6" w14:textId="25DF1C49" w:rsidR="00A202B7" w:rsidRDefault="00846CDA" w:rsidP="00CC4B48">
      <w:pPr>
        <w:ind w:right="-3"/>
        <w:sectPr w:rsidR="00A202B7" w:rsidSect="00CA0D72">
          <w:pgSz w:w="11904" w:h="17340"/>
          <w:pgMar w:top="1134" w:right="1272" w:bottom="1134" w:left="1276" w:header="720" w:footer="720" w:gutter="0"/>
          <w:cols w:space="720"/>
          <w:noEndnote/>
        </w:sectPr>
      </w:pPr>
      <w:r>
        <w:t>Both studies were undertaken using a controlled comparison design with three months and six months follow-up from the date of ACAT approval.  Data were extracted from a range of primary sources for the data linkage, the starting point for the linkage was the ACAT approval, and the other datasets were linked into</w:t>
      </w:r>
      <w:r w:rsidR="00CC4B48">
        <w:t xml:space="preserve"> the originating ACAT approval.</w:t>
      </w:r>
    </w:p>
    <w:p w14:paraId="5F7AF1C6" w14:textId="77777777" w:rsidR="005D7ABA" w:rsidRDefault="00A37DF9" w:rsidP="00CA0D72">
      <w:pPr>
        <w:ind w:right="-3"/>
        <w:rPr>
          <w:b/>
        </w:rPr>
      </w:pPr>
      <w:r w:rsidRPr="00A37DF9">
        <w:rPr>
          <w:b/>
        </w:rPr>
        <w:lastRenderedPageBreak/>
        <w:t>Table 1.1: National Evaluation of the Transition Care Program timetable</w:t>
      </w:r>
    </w:p>
    <w:p w14:paraId="5FD06401" w14:textId="4D2D574D" w:rsidR="00846CDA" w:rsidRDefault="00846CDA" w:rsidP="00CA0D72">
      <w:pPr>
        <w:pStyle w:val="Default"/>
        <w:ind w:right="-3"/>
        <w:rPr>
          <w:color w:val="auto"/>
          <w:sz w:val="16"/>
          <w:szCs w:val="16"/>
        </w:rPr>
      </w:pPr>
    </w:p>
    <w:tbl>
      <w:tblPr>
        <w:tblStyle w:val="TableGrid"/>
        <w:tblW w:w="15580" w:type="dxa"/>
        <w:tblLayout w:type="fixed"/>
        <w:tblLook w:val="0000" w:firstRow="0" w:lastRow="0" w:firstColumn="0" w:lastColumn="0" w:noHBand="0" w:noVBand="0"/>
        <w:tblDescription w:val="Table 1.1: National Evaluation of the Transition Care Program timetable "/>
      </w:tblPr>
      <w:tblGrid>
        <w:gridCol w:w="1992"/>
        <w:gridCol w:w="452"/>
        <w:gridCol w:w="452"/>
        <w:gridCol w:w="452"/>
        <w:gridCol w:w="452"/>
        <w:gridCol w:w="455"/>
        <w:gridCol w:w="462"/>
        <w:gridCol w:w="452"/>
        <w:gridCol w:w="452"/>
        <w:gridCol w:w="452"/>
        <w:gridCol w:w="452"/>
        <w:gridCol w:w="455"/>
        <w:gridCol w:w="452"/>
        <w:gridCol w:w="452"/>
        <w:gridCol w:w="452"/>
        <w:gridCol w:w="452"/>
        <w:gridCol w:w="452"/>
        <w:gridCol w:w="455"/>
        <w:gridCol w:w="452"/>
        <w:gridCol w:w="452"/>
        <w:gridCol w:w="452"/>
        <w:gridCol w:w="452"/>
        <w:gridCol w:w="452"/>
        <w:gridCol w:w="455"/>
        <w:gridCol w:w="452"/>
        <w:gridCol w:w="452"/>
        <w:gridCol w:w="452"/>
        <w:gridCol w:w="452"/>
        <w:gridCol w:w="452"/>
        <w:gridCol w:w="455"/>
        <w:gridCol w:w="455"/>
      </w:tblGrid>
      <w:tr w:rsidR="00A37DF9" w14:paraId="556EDB21" w14:textId="77777777" w:rsidTr="00CC4B48">
        <w:trPr>
          <w:trHeight w:val="1602"/>
          <w:tblHeader/>
        </w:trPr>
        <w:tc>
          <w:tcPr>
            <w:tcW w:w="1992" w:type="dxa"/>
          </w:tcPr>
          <w:p w14:paraId="7C615E6E" w14:textId="5647A60A" w:rsidR="00A37DF9" w:rsidRDefault="00A202B7" w:rsidP="00CA0D72">
            <w:pPr>
              <w:pStyle w:val="Default"/>
              <w:ind w:right="-3"/>
              <w:rPr>
                <w:color w:val="auto"/>
              </w:rPr>
            </w:pPr>
            <w:r>
              <w:rPr>
                <w:b/>
                <w:bCs/>
                <w:sz w:val="16"/>
                <w:szCs w:val="16"/>
              </w:rPr>
              <w:t>Report Name</w:t>
            </w:r>
          </w:p>
        </w:tc>
        <w:tc>
          <w:tcPr>
            <w:tcW w:w="452" w:type="dxa"/>
            <w:textDirection w:val="btLr"/>
          </w:tcPr>
          <w:p w14:paraId="3E70A037" w14:textId="27FDAE8E" w:rsidR="00A37DF9" w:rsidRDefault="00A37DF9" w:rsidP="00A202B7">
            <w:pPr>
              <w:pStyle w:val="Default"/>
              <w:ind w:left="113" w:right="-3"/>
              <w:rPr>
                <w:sz w:val="16"/>
                <w:szCs w:val="16"/>
              </w:rPr>
            </w:pPr>
            <w:r>
              <w:rPr>
                <w:b/>
                <w:bCs/>
                <w:sz w:val="16"/>
                <w:szCs w:val="16"/>
              </w:rPr>
              <w:t>July</w:t>
            </w:r>
            <w:r w:rsidR="00A202B7">
              <w:rPr>
                <w:b/>
                <w:bCs/>
                <w:sz w:val="16"/>
                <w:szCs w:val="16"/>
              </w:rPr>
              <w:t xml:space="preserve"> - 2005</w:t>
            </w:r>
          </w:p>
        </w:tc>
        <w:tc>
          <w:tcPr>
            <w:tcW w:w="452" w:type="dxa"/>
            <w:textDirection w:val="btLr"/>
          </w:tcPr>
          <w:p w14:paraId="01BF3A5F" w14:textId="50D00E13" w:rsidR="00A37DF9" w:rsidRDefault="00A37DF9" w:rsidP="00A202B7">
            <w:pPr>
              <w:pStyle w:val="Default"/>
              <w:ind w:left="113" w:right="-3"/>
              <w:rPr>
                <w:sz w:val="16"/>
                <w:szCs w:val="16"/>
              </w:rPr>
            </w:pPr>
            <w:r>
              <w:rPr>
                <w:b/>
                <w:bCs/>
                <w:sz w:val="16"/>
                <w:szCs w:val="16"/>
              </w:rPr>
              <w:t>August</w:t>
            </w:r>
            <w:r w:rsidR="00A202B7">
              <w:rPr>
                <w:b/>
                <w:bCs/>
                <w:sz w:val="16"/>
                <w:szCs w:val="16"/>
              </w:rPr>
              <w:t xml:space="preserve"> - 2005</w:t>
            </w:r>
          </w:p>
        </w:tc>
        <w:tc>
          <w:tcPr>
            <w:tcW w:w="452" w:type="dxa"/>
            <w:textDirection w:val="btLr"/>
          </w:tcPr>
          <w:p w14:paraId="202F0091" w14:textId="445BAE4C" w:rsidR="00A37DF9" w:rsidRDefault="00A37DF9" w:rsidP="00A202B7">
            <w:pPr>
              <w:pStyle w:val="Default"/>
              <w:ind w:left="113" w:right="-3"/>
              <w:rPr>
                <w:sz w:val="16"/>
                <w:szCs w:val="16"/>
              </w:rPr>
            </w:pPr>
            <w:r>
              <w:rPr>
                <w:b/>
                <w:bCs/>
                <w:sz w:val="16"/>
                <w:szCs w:val="16"/>
              </w:rPr>
              <w:t>September</w:t>
            </w:r>
            <w:r w:rsidR="00A202B7">
              <w:rPr>
                <w:b/>
                <w:bCs/>
                <w:sz w:val="16"/>
                <w:szCs w:val="16"/>
              </w:rPr>
              <w:t xml:space="preserve"> - 2005</w:t>
            </w:r>
          </w:p>
        </w:tc>
        <w:tc>
          <w:tcPr>
            <w:tcW w:w="452" w:type="dxa"/>
            <w:textDirection w:val="btLr"/>
          </w:tcPr>
          <w:p w14:paraId="46357B0B" w14:textId="3B5A3E35" w:rsidR="00A37DF9" w:rsidRDefault="00A37DF9" w:rsidP="00A202B7">
            <w:pPr>
              <w:pStyle w:val="Default"/>
              <w:ind w:left="113" w:right="-3"/>
              <w:rPr>
                <w:sz w:val="16"/>
                <w:szCs w:val="16"/>
              </w:rPr>
            </w:pPr>
            <w:r>
              <w:rPr>
                <w:b/>
                <w:bCs/>
                <w:sz w:val="16"/>
                <w:szCs w:val="16"/>
              </w:rPr>
              <w:t>October</w:t>
            </w:r>
            <w:r w:rsidR="00A202B7">
              <w:rPr>
                <w:b/>
                <w:bCs/>
                <w:sz w:val="16"/>
                <w:szCs w:val="16"/>
              </w:rPr>
              <w:t xml:space="preserve"> - 2005</w:t>
            </w:r>
          </w:p>
        </w:tc>
        <w:tc>
          <w:tcPr>
            <w:tcW w:w="455" w:type="dxa"/>
            <w:textDirection w:val="btLr"/>
          </w:tcPr>
          <w:p w14:paraId="0CBE209A" w14:textId="009237BA" w:rsidR="00A37DF9" w:rsidRDefault="00A37DF9" w:rsidP="00A202B7">
            <w:pPr>
              <w:pStyle w:val="Default"/>
              <w:ind w:left="113" w:right="-3"/>
              <w:rPr>
                <w:sz w:val="16"/>
                <w:szCs w:val="16"/>
              </w:rPr>
            </w:pPr>
            <w:r>
              <w:rPr>
                <w:b/>
                <w:bCs/>
                <w:sz w:val="16"/>
                <w:szCs w:val="16"/>
              </w:rPr>
              <w:t>November</w:t>
            </w:r>
            <w:r w:rsidR="00A202B7">
              <w:rPr>
                <w:b/>
                <w:bCs/>
                <w:sz w:val="16"/>
                <w:szCs w:val="16"/>
              </w:rPr>
              <w:t xml:space="preserve"> - 2005</w:t>
            </w:r>
          </w:p>
        </w:tc>
        <w:tc>
          <w:tcPr>
            <w:tcW w:w="462" w:type="dxa"/>
            <w:textDirection w:val="btLr"/>
          </w:tcPr>
          <w:p w14:paraId="74F571FC" w14:textId="6C203E60" w:rsidR="00A37DF9" w:rsidRDefault="00A37DF9" w:rsidP="00A202B7">
            <w:pPr>
              <w:pStyle w:val="Default"/>
              <w:ind w:left="113" w:right="-3"/>
              <w:rPr>
                <w:sz w:val="16"/>
                <w:szCs w:val="16"/>
              </w:rPr>
            </w:pPr>
            <w:r>
              <w:rPr>
                <w:b/>
                <w:bCs/>
                <w:sz w:val="16"/>
                <w:szCs w:val="16"/>
              </w:rPr>
              <w:t>December</w:t>
            </w:r>
            <w:r w:rsidR="00A202B7">
              <w:rPr>
                <w:b/>
                <w:bCs/>
                <w:sz w:val="16"/>
                <w:szCs w:val="16"/>
              </w:rPr>
              <w:t xml:space="preserve"> - 2005</w:t>
            </w:r>
          </w:p>
        </w:tc>
        <w:tc>
          <w:tcPr>
            <w:tcW w:w="452" w:type="dxa"/>
            <w:textDirection w:val="btLr"/>
          </w:tcPr>
          <w:p w14:paraId="0722B9AD" w14:textId="7DD2DB41" w:rsidR="00A37DF9" w:rsidRDefault="00A37DF9" w:rsidP="00A202B7">
            <w:pPr>
              <w:pStyle w:val="Default"/>
              <w:ind w:left="113" w:right="-3"/>
              <w:rPr>
                <w:sz w:val="16"/>
                <w:szCs w:val="16"/>
              </w:rPr>
            </w:pPr>
            <w:r>
              <w:rPr>
                <w:b/>
                <w:bCs/>
                <w:sz w:val="16"/>
                <w:szCs w:val="16"/>
              </w:rPr>
              <w:t>January</w:t>
            </w:r>
            <w:r w:rsidR="00A202B7">
              <w:rPr>
                <w:b/>
                <w:bCs/>
                <w:sz w:val="16"/>
                <w:szCs w:val="16"/>
              </w:rPr>
              <w:t xml:space="preserve"> - 2006</w:t>
            </w:r>
          </w:p>
        </w:tc>
        <w:tc>
          <w:tcPr>
            <w:tcW w:w="452" w:type="dxa"/>
            <w:textDirection w:val="btLr"/>
          </w:tcPr>
          <w:p w14:paraId="5A39CF54" w14:textId="00D6EA4C" w:rsidR="00A37DF9" w:rsidRDefault="00A37DF9" w:rsidP="00A202B7">
            <w:pPr>
              <w:pStyle w:val="Default"/>
              <w:ind w:left="113" w:right="-3"/>
              <w:rPr>
                <w:sz w:val="16"/>
                <w:szCs w:val="16"/>
              </w:rPr>
            </w:pPr>
            <w:r>
              <w:rPr>
                <w:b/>
                <w:bCs/>
                <w:sz w:val="16"/>
                <w:szCs w:val="16"/>
              </w:rPr>
              <w:t>February</w:t>
            </w:r>
            <w:r w:rsidR="00A202B7">
              <w:rPr>
                <w:b/>
                <w:bCs/>
                <w:sz w:val="16"/>
                <w:szCs w:val="16"/>
              </w:rPr>
              <w:t xml:space="preserve"> - 2006</w:t>
            </w:r>
          </w:p>
        </w:tc>
        <w:tc>
          <w:tcPr>
            <w:tcW w:w="452" w:type="dxa"/>
            <w:textDirection w:val="btLr"/>
          </w:tcPr>
          <w:p w14:paraId="76D3AD2B" w14:textId="4FE70A53" w:rsidR="00A37DF9" w:rsidRDefault="00A37DF9" w:rsidP="00A202B7">
            <w:pPr>
              <w:pStyle w:val="Default"/>
              <w:ind w:left="113" w:right="-3"/>
              <w:rPr>
                <w:sz w:val="16"/>
                <w:szCs w:val="16"/>
              </w:rPr>
            </w:pPr>
            <w:r>
              <w:rPr>
                <w:b/>
                <w:bCs/>
                <w:sz w:val="16"/>
                <w:szCs w:val="16"/>
              </w:rPr>
              <w:t>March</w:t>
            </w:r>
            <w:r w:rsidR="00A202B7">
              <w:rPr>
                <w:b/>
                <w:bCs/>
                <w:sz w:val="16"/>
                <w:szCs w:val="16"/>
              </w:rPr>
              <w:t xml:space="preserve"> - 2006</w:t>
            </w:r>
          </w:p>
        </w:tc>
        <w:tc>
          <w:tcPr>
            <w:tcW w:w="452" w:type="dxa"/>
            <w:textDirection w:val="btLr"/>
          </w:tcPr>
          <w:p w14:paraId="31A73ACA" w14:textId="6D83EC24" w:rsidR="00A37DF9" w:rsidRDefault="00A37DF9" w:rsidP="00A202B7">
            <w:pPr>
              <w:pStyle w:val="Default"/>
              <w:ind w:left="113" w:right="-3"/>
              <w:rPr>
                <w:sz w:val="16"/>
                <w:szCs w:val="16"/>
              </w:rPr>
            </w:pPr>
            <w:r>
              <w:rPr>
                <w:b/>
                <w:bCs/>
                <w:sz w:val="16"/>
                <w:szCs w:val="16"/>
              </w:rPr>
              <w:t>April</w:t>
            </w:r>
            <w:r w:rsidR="00A202B7">
              <w:rPr>
                <w:b/>
                <w:bCs/>
                <w:sz w:val="16"/>
                <w:szCs w:val="16"/>
              </w:rPr>
              <w:t xml:space="preserve"> - 2006</w:t>
            </w:r>
          </w:p>
        </w:tc>
        <w:tc>
          <w:tcPr>
            <w:tcW w:w="455" w:type="dxa"/>
            <w:textDirection w:val="btLr"/>
          </w:tcPr>
          <w:p w14:paraId="77872E12" w14:textId="79070C26" w:rsidR="00A37DF9" w:rsidRDefault="00A37DF9" w:rsidP="00A202B7">
            <w:pPr>
              <w:pStyle w:val="Default"/>
              <w:ind w:left="113" w:right="-3"/>
              <w:rPr>
                <w:sz w:val="16"/>
                <w:szCs w:val="16"/>
              </w:rPr>
            </w:pPr>
            <w:r>
              <w:rPr>
                <w:b/>
                <w:bCs/>
                <w:sz w:val="16"/>
                <w:szCs w:val="16"/>
              </w:rPr>
              <w:t>May</w:t>
            </w:r>
            <w:r w:rsidR="00A202B7">
              <w:rPr>
                <w:b/>
                <w:bCs/>
                <w:sz w:val="16"/>
                <w:szCs w:val="16"/>
              </w:rPr>
              <w:t xml:space="preserve"> - 2006</w:t>
            </w:r>
          </w:p>
        </w:tc>
        <w:tc>
          <w:tcPr>
            <w:tcW w:w="452" w:type="dxa"/>
            <w:textDirection w:val="btLr"/>
          </w:tcPr>
          <w:p w14:paraId="17FF6ED0" w14:textId="1E69FD60" w:rsidR="00A37DF9" w:rsidRDefault="00A37DF9" w:rsidP="00A202B7">
            <w:pPr>
              <w:pStyle w:val="Default"/>
              <w:ind w:left="113" w:right="-3"/>
              <w:rPr>
                <w:sz w:val="16"/>
                <w:szCs w:val="16"/>
              </w:rPr>
            </w:pPr>
            <w:r>
              <w:rPr>
                <w:b/>
                <w:bCs/>
                <w:sz w:val="16"/>
                <w:szCs w:val="16"/>
              </w:rPr>
              <w:t>June</w:t>
            </w:r>
            <w:r w:rsidR="00A202B7">
              <w:rPr>
                <w:b/>
                <w:bCs/>
                <w:sz w:val="16"/>
                <w:szCs w:val="16"/>
              </w:rPr>
              <w:t xml:space="preserve"> - 2006</w:t>
            </w:r>
          </w:p>
        </w:tc>
        <w:tc>
          <w:tcPr>
            <w:tcW w:w="452" w:type="dxa"/>
            <w:textDirection w:val="btLr"/>
          </w:tcPr>
          <w:p w14:paraId="3D4AE838" w14:textId="632A112F" w:rsidR="00A37DF9" w:rsidRDefault="00A37DF9" w:rsidP="00A202B7">
            <w:pPr>
              <w:pStyle w:val="Default"/>
              <w:ind w:left="113" w:right="-3"/>
              <w:rPr>
                <w:sz w:val="16"/>
                <w:szCs w:val="16"/>
              </w:rPr>
            </w:pPr>
            <w:r>
              <w:rPr>
                <w:b/>
                <w:bCs/>
                <w:sz w:val="16"/>
                <w:szCs w:val="16"/>
              </w:rPr>
              <w:t>July</w:t>
            </w:r>
            <w:r w:rsidR="00A202B7">
              <w:rPr>
                <w:b/>
                <w:bCs/>
                <w:sz w:val="16"/>
                <w:szCs w:val="16"/>
              </w:rPr>
              <w:t xml:space="preserve"> - 2006</w:t>
            </w:r>
          </w:p>
        </w:tc>
        <w:tc>
          <w:tcPr>
            <w:tcW w:w="452" w:type="dxa"/>
            <w:textDirection w:val="btLr"/>
          </w:tcPr>
          <w:p w14:paraId="7DBB9132" w14:textId="7EEFEE83" w:rsidR="00A37DF9" w:rsidRDefault="00A37DF9" w:rsidP="00A202B7">
            <w:pPr>
              <w:pStyle w:val="Default"/>
              <w:ind w:left="113" w:right="-3"/>
              <w:rPr>
                <w:sz w:val="16"/>
                <w:szCs w:val="16"/>
              </w:rPr>
            </w:pPr>
            <w:r>
              <w:rPr>
                <w:b/>
                <w:bCs/>
                <w:sz w:val="16"/>
                <w:szCs w:val="16"/>
              </w:rPr>
              <w:t>August</w:t>
            </w:r>
            <w:r w:rsidR="00A202B7">
              <w:rPr>
                <w:b/>
                <w:bCs/>
                <w:sz w:val="16"/>
                <w:szCs w:val="16"/>
              </w:rPr>
              <w:t xml:space="preserve"> - 2006</w:t>
            </w:r>
          </w:p>
        </w:tc>
        <w:tc>
          <w:tcPr>
            <w:tcW w:w="452" w:type="dxa"/>
            <w:textDirection w:val="btLr"/>
          </w:tcPr>
          <w:p w14:paraId="1FBE17BD" w14:textId="2D2336FF" w:rsidR="00A37DF9" w:rsidRDefault="00A37DF9" w:rsidP="00A202B7">
            <w:pPr>
              <w:pStyle w:val="Default"/>
              <w:ind w:left="113" w:right="-3"/>
              <w:rPr>
                <w:sz w:val="16"/>
                <w:szCs w:val="16"/>
              </w:rPr>
            </w:pPr>
            <w:r>
              <w:rPr>
                <w:b/>
                <w:bCs/>
                <w:sz w:val="16"/>
                <w:szCs w:val="16"/>
              </w:rPr>
              <w:t>September</w:t>
            </w:r>
            <w:r w:rsidR="00A202B7">
              <w:rPr>
                <w:b/>
                <w:bCs/>
                <w:sz w:val="16"/>
                <w:szCs w:val="16"/>
              </w:rPr>
              <w:t xml:space="preserve"> - 2006</w:t>
            </w:r>
          </w:p>
        </w:tc>
        <w:tc>
          <w:tcPr>
            <w:tcW w:w="452" w:type="dxa"/>
            <w:textDirection w:val="btLr"/>
          </w:tcPr>
          <w:p w14:paraId="5AA168C7" w14:textId="4972BCCC" w:rsidR="00A37DF9" w:rsidRDefault="00A37DF9" w:rsidP="00A202B7">
            <w:pPr>
              <w:pStyle w:val="Default"/>
              <w:ind w:left="113" w:right="-3"/>
              <w:rPr>
                <w:sz w:val="16"/>
                <w:szCs w:val="16"/>
              </w:rPr>
            </w:pPr>
            <w:r>
              <w:rPr>
                <w:b/>
                <w:bCs/>
                <w:sz w:val="16"/>
                <w:szCs w:val="16"/>
              </w:rPr>
              <w:t>October</w:t>
            </w:r>
            <w:r w:rsidR="00A202B7">
              <w:rPr>
                <w:b/>
                <w:bCs/>
                <w:sz w:val="16"/>
                <w:szCs w:val="16"/>
              </w:rPr>
              <w:t xml:space="preserve"> - 2006</w:t>
            </w:r>
          </w:p>
        </w:tc>
        <w:tc>
          <w:tcPr>
            <w:tcW w:w="455" w:type="dxa"/>
            <w:textDirection w:val="btLr"/>
          </w:tcPr>
          <w:p w14:paraId="7D3D8031" w14:textId="0D8FEFEA" w:rsidR="00A37DF9" w:rsidRDefault="00A37DF9" w:rsidP="00A202B7">
            <w:pPr>
              <w:pStyle w:val="Default"/>
              <w:ind w:left="113" w:right="-3"/>
              <w:rPr>
                <w:sz w:val="16"/>
                <w:szCs w:val="16"/>
              </w:rPr>
            </w:pPr>
            <w:r>
              <w:rPr>
                <w:b/>
                <w:bCs/>
                <w:sz w:val="16"/>
                <w:szCs w:val="16"/>
              </w:rPr>
              <w:t>November</w:t>
            </w:r>
            <w:r w:rsidR="00A202B7">
              <w:rPr>
                <w:b/>
                <w:bCs/>
                <w:sz w:val="16"/>
                <w:szCs w:val="16"/>
              </w:rPr>
              <w:t xml:space="preserve"> - 2006</w:t>
            </w:r>
          </w:p>
        </w:tc>
        <w:tc>
          <w:tcPr>
            <w:tcW w:w="452" w:type="dxa"/>
            <w:textDirection w:val="btLr"/>
          </w:tcPr>
          <w:p w14:paraId="3B6BD934" w14:textId="4B6C3436" w:rsidR="00A37DF9" w:rsidRDefault="00A37DF9" w:rsidP="00A202B7">
            <w:pPr>
              <w:pStyle w:val="Default"/>
              <w:ind w:left="113" w:right="-3"/>
              <w:rPr>
                <w:sz w:val="16"/>
                <w:szCs w:val="16"/>
              </w:rPr>
            </w:pPr>
            <w:r>
              <w:rPr>
                <w:b/>
                <w:bCs/>
                <w:sz w:val="16"/>
                <w:szCs w:val="16"/>
              </w:rPr>
              <w:t>December</w:t>
            </w:r>
            <w:r w:rsidR="00A202B7">
              <w:rPr>
                <w:b/>
                <w:bCs/>
                <w:sz w:val="16"/>
                <w:szCs w:val="16"/>
              </w:rPr>
              <w:t xml:space="preserve"> - 2006</w:t>
            </w:r>
          </w:p>
        </w:tc>
        <w:tc>
          <w:tcPr>
            <w:tcW w:w="452" w:type="dxa"/>
            <w:textDirection w:val="btLr"/>
          </w:tcPr>
          <w:p w14:paraId="33786E0B" w14:textId="77CD912A" w:rsidR="00A37DF9" w:rsidRDefault="00A37DF9" w:rsidP="00A202B7">
            <w:pPr>
              <w:pStyle w:val="Default"/>
              <w:ind w:left="113" w:right="-3"/>
              <w:rPr>
                <w:sz w:val="16"/>
                <w:szCs w:val="16"/>
              </w:rPr>
            </w:pPr>
            <w:r>
              <w:rPr>
                <w:b/>
                <w:bCs/>
                <w:sz w:val="16"/>
                <w:szCs w:val="16"/>
              </w:rPr>
              <w:t>January</w:t>
            </w:r>
            <w:r w:rsidR="00A202B7">
              <w:rPr>
                <w:b/>
                <w:bCs/>
                <w:sz w:val="16"/>
                <w:szCs w:val="16"/>
              </w:rPr>
              <w:t xml:space="preserve"> - 2007</w:t>
            </w:r>
          </w:p>
        </w:tc>
        <w:tc>
          <w:tcPr>
            <w:tcW w:w="452" w:type="dxa"/>
            <w:textDirection w:val="btLr"/>
          </w:tcPr>
          <w:p w14:paraId="2E2260C8" w14:textId="148BB636" w:rsidR="00A37DF9" w:rsidRDefault="00A37DF9" w:rsidP="00A202B7">
            <w:pPr>
              <w:pStyle w:val="Default"/>
              <w:ind w:left="113" w:right="-3"/>
              <w:rPr>
                <w:sz w:val="16"/>
                <w:szCs w:val="16"/>
              </w:rPr>
            </w:pPr>
            <w:r>
              <w:rPr>
                <w:b/>
                <w:bCs/>
                <w:sz w:val="16"/>
                <w:szCs w:val="16"/>
              </w:rPr>
              <w:t>February</w:t>
            </w:r>
            <w:r w:rsidR="00A202B7">
              <w:rPr>
                <w:b/>
                <w:bCs/>
                <w:sz w:val="16"/>
                <w:szCs w:val="16"/>
              </w:rPr>
              <w:t xml:space="preserve"> - 2007</w:t>
            </w:r>
          </w:p>
        </w:tc>
        <w:tc>
          <w:tcPr>
            <w:tcW w:w="452" w:type="dxa"/>
            <w:textDirection w:val="btLr"/>
          </w:tcPr>
          <w:p w14:paraId="77E7A8C0" w14:textId="4EDA0471" w:rsidR="00A37DF9" w:rsidRDefault="00A37DF9" w:rsidP="00A202B7">
            <w:pPr>
              <w:pStyle w:val="Default"/>
              <w:ind w:left="113" w:right="-3"/>
              <w:rPr>
                <w:sz w:val="16"/>
                <w:szCs w:val="16"/>
              </w:rPr>
            </w:pPr>
            <w:r>
              <w:rPr>
                <w:b/>
                <w:bCs/>
                <w:sz w:val="16"/>
                <w:szCs w:val="16"/>
              </w:rPr>
              <w:t>March</w:t>
            </w:r>
            <w:r w:rsidR="00A202B7">
              <w:rPr>
                <w:b/>
                <w:bCs/>
                <w:sz w:val="16"/>
                <w:szCs w:val="16"/>
              </w:rPr>
              <w:t xml:space="preserve"> - 2007</w:t>
            </w:r>
          </w:p>
        </w:tc>
        <w:tc>
          <w:tcPr>
            <w:tcW w:w="452" w:type="dxa"/>
            <w:textDirection w:val="btLr"/>
          </w:tcPr>
          <w:p w14:paraId="0D41D4A0" w14:textId="1CE94030" w:rsidR="00A37DF9" w:rsidRDefault="00A37DF9" w:rsidP="00A202B7">
            <w:pPr>
              <w:pStyle w:val="Default"/>
              <w:ind w:left="113" w:right="-3"/>
              <w:rPr>
                <w:sz w:val="16"/>
                <w:szCs w:val="16"/>
              </w:rPr>
            </w:pPr>
            <w:r>
              <w:rPr>
                <w:b/>
                <w:bCs/>
                <w:sz w:val="16"/>
                <w:szCs w:val="16"/>
              </w:rPr>
              <w:t>April</w:t>
            </w:r>
            <w:r w:rsidR="00A202B7">
              <w:rPr>
                <w:b/>
                <w:bCs/>
                <w:sz w:val="16"/>
                <w:szCs w:val="16"/>
              </w:rPr>
              <w:t xml:space="preserve"> - 2007</w:t>
            </w:r>
          </w:p>
        </w:tc>
        <w:tc>
          <w:tcPr>
            <w:tcW w:w="455" w:type="dxa"/>
            <w:textDirection w:val="btLr"/>
          </w:tcPr>
          <w:p w14:paraId="3186AFCE" w14:textId="3B5042CF" w:rsidR="00A37DF9" w:rsidRDefault="00A37DF9" w:rsidP="00A202B7">
            <w:pPr>
              <w:pStyle w:val="Default"/>
              <w:ind w:left="113" w:right="-3"/>
              <w:rPr>
                <w:sz w:val="16"/>
                <w:szCs w:val="16"/>
              </w:rPr>
            </w:pPr>
            <w:r>
              <w:rPr>
                <w:b/>
                <w:bCs/>
                <w:sz w:val="16"/>
                <w:szCs w:val="16"/>
              </w:rPr>
              <w:t>May</w:t>
            </w:r>
            <w:r w:rsidR="00A202B7">
              <w:rPr>
                <w:b/>
                <w:bCs/>
                <w:sz w:val="16"/>
                <w:szCs w:val="16"/>
              </w:rPr>
              <w:t xml:space="preserve"> - 2007</w:t>
            </w:r>
          </w:p>
        </w:tc>
        <w:tc>
          <w:tcPr>
            <w:tcW w:w="452" w:type="dxa"/>
            <w:textDirection w:val="btLr"/>
          </w:tcPr>
          <w:p w14:paraId="171335B9" w14:textId="111FE315" w:rsidR="00A37DF9" w:rsidRDefault="00A37DF9" w:rsidP="00A202B7">
            <w:pPr>
              <w:pStyle w:val="Default"/>
              <w:ind w:left="113" w:right="-3"/>
              <w:rPr>
                <w:sz w:val="16"/>
                <w:szCs w:val="16"/>
              </w:rPr>
            </w:pPr>
            <w:r>
              <w:rPr>
                <w:b/>
                <w:bCs/>
                <w:sz w:val="16"/>
                <w:szCs w:val="16"/>
              </w:rPr>
              <w:t>June</w:t>
            </w:r>
            <w:r w:rsidR="00A202B7">
              <w:rPr>
                <w:b/>
                <w:bCs/>
                <w:sz w:val="16"/>
                <w:szCs w:val="16"/>
              </w:rPr>
              <w:t xml:space="preserve"> - 2007</w:t>
            </w:r>
          </w:p>
        </w:tc>
        <w:tc>
          <w:tcPr>
            <w:tcW w:w="452" w:type="dxa"/>
            <w:textDirection w:val="btLr"/>
          </w:tcPr>
          <w:p w14:paraId="5700C369" w14:textId="0F5754FA" w:rsidR="00A37DF9" w:rsidRDefault="00A37DF9" w:rsidP="00A202B7">
            <w:pPr>
              <w:pStyle w:val="Default"/>
              <w:ind w:left="113" w:right="-3"/>
              <w:rPr>
                <w:sz w:val="16"/>
                <w:szCs w:val="16"/>
              </w:rPr>
            </w:pPr>
            <w:r>
              <w:rPr>
                <w:b/>
                <w:bCs/>
                <w:sz w:val="16"/>
                <w:szCs w:val="16"/>
              </w:rPr>
              <w:t>July</w:t>
            </w:r>
            <w:r w:rsidR="00A202B7">
              <w:rPr>
                <w:b/>
                <w:bCs/>
                <w:sz w:val="16"/>
                <w:szCs w:val="16"/>
              </w:rPr>
              <w:t xml:space="preserve"> - 2007</w:t>
            </w:r>
          </w:p>
        </w:tc>
        <w:tc>
          <w:tcPr>
            <w:tcW w:w="452" w:type="dxa"/>
            <w:textDirection w:val="btLr"/>
          </w:tcPr>
          <w:p w14:paraId="53557EBE" w14:textId="228C43F8" w:rsidR="00A37DF9" w:rsidRDefault="00A37DF9" w:rsidP="00A202B7">
            <w:pPr>
              <w:pStyle w:val="Default"/>
              <w:ind w:left="113" w:right="-3"/>
              <w:rPr>
                <w:sz w:val="16"/>
                <w:szCs w:val="16"/>
              </w:rPr>
            </w:pPr>
            <w:r>
              <w:rPr>
                <w:b/>
                <w:bCs/>
                <w:sz w:val="16"/>
                <w:szCs w:val="16"/>
              </w:rPr>
              <w:t>August</w:t>
            </w:r>
            <w:r w:rsidR="00A202B7">
              <w:rPr>
                <w:b/>
                <w:bCs/>
                <w:sz w:val="16"/>
                <w:szCs w:val="16"/>
              </w:rPr>
              <w:t xml:space="preserve"> - 2007</w:t>
            </w:r>
          </w:p>
        </w:tc>
        <w:tc>
          <w:tcPr>
            <w:tcW w:w="452" w:type="dxa"/>
            <w:textDirection w:val="btLr"/>
          </w:tcPr>
          <w:p w14:paraId="11EC1292" w14:textId="0F8E40BB" w:rsidR="00A37DF9" w:rsidRDefault="00A37DF9" w:rsidP="00A202B7">
            <w:pPr>
              <w:pStyle w:val="Default"/>
              <w:ind w:left="113" w:right="-3"/>
              <w:rPr>
                <w:sz w:val="16"/>
                <w:szCs w:val="16"/>
              </w:rPr>
            </w:pPr>
            <w:r>
              <w:rPr>
                <w:b/>
                <w:bCs/>
                <w:sz w:val="16"/>
                <w:szCs w:val="16"/>
              </w:rPr>
              <w:t>September</w:t>
            </w:r>
            <w:r w:rsidR="00A202B7">
              <w:rPr>
                <w:b/>
                <w:bCs/>
                <w:sz w:val="16"/>
                <w:szCs w:val="16"/>
              </w:rPr>
              <w:t xml:space="preserve"> - 2007</w:t>
            </w:r>
          </w:p>
        </w:tc>
        <w:tc>
          <w:tcPr>
            <w:tcW w:w="452" w:type="dxa"/>
            <w:textDirection w:val="btLr"/>
          </w:tcPr>
          <w:p w14:paraId="289132D2" w14:textId="7EBB94EB" w:rsidR="00A37DF9" w:rsidRDefault="00A37DF9" w:rsidP="00A202B7">
            <w:pPr>
              <w:pStyle w:val="Default"/>
              <w:ind w:left="113" w:right="-3"/>
              <w:rPr>
                <w:sz w:val="16"/>
                <w:szCs w:val="16"/>
              </w:rPr>
            </w:pPr>
            <w:r>
              <w:rPr>
                <w:b/>
                <w:bCs/>
                <w:sz w:val="16"/>
                <w:szCs w:val="16"/>
              </w:rPr>
              <w:t>October</w:t>
            </w:r>
            <w:r w:rsidR="00A202B7">
              <w:rPr>
                <w:b/>
                <w:bCs/>
                <w:sz w:val="16"/>
                <w:szCs w:val="16"/>
              </w:rPr>
              <w:t xml:space="preserve"> - 2007</w:t>
            </w:r>
          </w:p>
        </w:tc>
        <w:tc>
          <w:tcPr>
            <w:tcW w:w="455" w:type="dxa"/>
            <w:textDirection w:val="btLr"/>
          </w:tcPr>
          <w:p w14:paraId="65577C93" w14:textId="0D844658" w:rsidR="00A37DF9" w:rsidRDefault="00A37DF9" w:rsidP="00A202B7">
            <w:pPr>
              <w:pStyle w:val="Default"/>
              <w:ind w:left="113" w:right="-3"/>
              <w:rPr>
                <w:sz w:val="16"/>
                <w:szCs w:val="16"/>
              </w:rPr>
            </w:pPr>
            <w:r>
              <w:rPr>
                <w:b/>
                <w:bCs/>
                <w:sz w:val="16"/>
                <w:szCs w:val="16"/>
              </w:rPr>
              <w:t>November</w:t>
            </w:r>
            <w:r w:rsidR="00A202B7">
              <w:rPr>
                <w:b/>
                <w:bCs/>
                <w:sz w:val="16"/>
                <w:szCs w:val="16"/>
              </w:rPr>
              <w:t xml:space="preserve"> - 2007</w:t>
            </w:r>
          </w:p>
        </w:tc>
        <w:tc>
          <w:tcPr>
            <w:tcW w:w="455" w:type="dxa"/>
            <w:textDirection w:val="btLr"/>
          </w:tcPr>
          <w:p w14:paraId="68530EE2" w14:textId="47D7AA12" w:rsidR="00A37DF9" w:rsidRDefault="00A37DF9" w:rsidP="00A202B7">
            <w:pPr>
              <w:pStyle w:val="Default"/>
              <w:ind w:left="113" w:right="-3"/>
              <w:rPr>
                <w:sz w:val="16"/>
                <w:szCs w:val="16"/>
              </w:rPr>
            </w:pPr>
            <w:r>
              <w:rPr>
                <w:b/>
                <w:bCs/>
                <w:sz w:val="16"/>
                <w:szCs w:val="16"/>
              </w:rPr>
              <w:t>December</w:t>
            </w:r>
            <w:r w:rsidR="00A202B7">
              <w:rPr>
                <w:b/>
                <w:bCs/>
                <w:sz w:val="16"/>
                <w:szCs w:val="16"/>
              </w:rPr>
              <w:t xml:space="preserve"> - 2007</w:t>
            </w:r>
          </w:p>
        </w:tc>
      </w:tr>
      <w:tr w:rsidR="00A37DF9" w14:paraId="131A89B8" w14:textId="77777777" w:rsidTr="00CC4B48">
        <w:trPr>
          <w:trHeight w:val="1033"/>
        </w:trPr>
        <w:tc>
          <w:tcPr>
            <w:tcW w:w="1992" w:type="dxa"/>
          </w:tcPr>
          <w:p w14:paraId="18D95177" w14:textId="77777777" w:rsidR="00A37DF9" w:rsidRPr="00CC4B48" w:rsidRDefault="00A37DF9" w:rsidP="00CA0D72">
            <w:pPr>
              <w:pStyle w:val="Default"/>
              <w:ind w:right="-3"/>
              <w:rPr>
                <w:sz w:val="10"/>
                <w:szCs w:val="10"/>
              </w:rPr>
            </w:pPr>
            <w:r w:rsidRPr="00CC4B48">
              <w:rPr>
                <w:iCs/>
                <w:sz w:val="16"/>
                <w:szCs w:val="16"/>
              </w:rPr>
              <w:t>Regional Characterization Study</w:t>
            </w:r>
            <w:r w:rsidRPr="00CC4B48">
              <w:rPr>
                <w:iCs/>
                <w:sz w:val="10"/>
                <w:szCs w:val="10"/>
              </w:rPr>
              <w:t xml:space="preserve">1 </w:t>
            </w:r>
          </w:p>
        </w:tc>
        <w:tc>
          <w:tcPr>
            <w:tcW w:w="452" w:type="dxa"/>
            <w:shd w:val="clear" w:color="auto" w:fill="000000" w:themeFill="text1"/>
          </w:tcPr>
          <w:p w14:paraId="6055ACFE" w14:textId="77777777" w:rsidR="00A37DF9" w:rsidRDefault="00A37DF9" w:rsidP="00CA0D72">
            <w:pPr>
              <w:pStyle w:val="Default"/>
              <w:framePr w:w="1490" w:wrap="auto" w:vAnchor="page" w:hAnchor="page" w:x="3212" w:y="13786"/>
              <w:ind w:right="-3"/>
              <w:rPr>
                <w:color w:val="auto"/>
              </w:rPr>
            </w:pPr>
          </w:p>
        </w:tc>
        <w:tc>
          <w:tcPr>
            <w:tcW w:w="452" w:type="dxa"/>
            <w:shd w:val="clear" w:color="auto" w:fill="000000" w:themeFill="text1"/>
          </w:tcPr>
          <w:p w14:paraId="454998A7" w14:textId="77777777" w:rsidR="00A37DF9" w:rsidRDefault="00A37DF9" w:rsidP="00CA0D72">
            <w:pPr>
              <w:pStyle w:val="Default"/>
              <w:framePr w:w="1490" w:wrap="auto" w:vAnchor="page" w:hAnchor="page" w:x="3212" w:y="13332"/>
              <w:ind w:right="-3"/>
              <w:rPr>
                <w:color w:val="auto"/>
              </w:rPr>
            </w:pPr>
          </w:p>
        </w:tc>
        <w:tc>
          <w:tcPr>
            <w:tcW w:w="452" w:type="dxa"/>
            <w:shd w:val="clear" w:color="auto" w:fill="000000" w:themeFill="text1"/>
          </w:tcPr>
          <w:p w14:paraId="39DB53A4" w14:textId="77777777" w:rsidR="00A37DF9" w:rsidRDefault="00A37DF9" w:rsidP="00CA0D72">
            <w:pPr>
              <w:pStyle w:val="Default"/>
              <w:framePr w:w="1490" w:wrap="auto" w:vAnchor="page" w:hAnchor="page" w:x="3212" w:y="12878"/>
              <w:ind w:right="-3"/>
              <w:rPr>
                <w:color w:val="auto"/>
              </w:rPr>
            </w:pPr>
          </w:p>
        </w:tc>
        <w:tc>
          <w:tcPr>
            <w:tcW w:w="452" w:type="dxa"/>
            <w:shd w:val="clear" w:color="auto" w:fill="000000" w:themeFill="text1"/>
          </w:tcPr>
          <w:p w14:paraId="4DB78F06" w14:textId="77777777" w:rsidR="00A37DF9" w:rsidRDefault="00A37DF9" w:rsidP="00CA0D72">
            <w:pPr>
              <w:pStyle w:val="Default"/>
              <w:framePr w:w="1490" w:wrap="auto" w:vAnchor="page" w:hAnchor="page" w:x="3212" w:y="12424"/>
              <w:ind w:right="-3"/>
              <w:rPr>
                <w:color w:val="auto"/>
              </w:rPr>
            </w:pPr>
          </w:p>
        </w:tc>
        <w:tc>
          <w:tcPr>
            <w:tcW w:w="455" w:type="dxa"/>
            <w:shd w:val="clear" w:color="auto" w:fill="000000" w:themeFill="text1"/>
          </w:tcPr>
          <w:p w14:paraId="34CE5206" w14:textId="77777777" w:rsidR="00A37DF9" w:rsidRDefault="00A37DF9" w:rsidP="00CA0D72">
            <w:pPr>
              <w:pStyle w:val="Default"/>
              <w:framePr w:w="1490" w:wrap="auto" w:vAnchor="page" w:hAnchor="page" w:x="3212" w:y="11970"/>
              <w:ind w:right="-3"/>
              <w:rPr>
                <w:color w:val="auto"/>
              </w:rPr>
            </w:pPr>
          </w:p>
        </w:tc>
        <w:tc>
          <w:tcPr>
            <w:tcW w:w="462" w:type="dxa"/>
            <w:shd w:val="clear" w:color="auto" w:fill="000000" w:themeFill="text1"/>
          </w:tcPr>
          <w:p w14:paraId="6DE14CD5" w14:textId="77777777" w:rsidR="00A37DF9" w:rsidRDefault="00A37DF9" w:rsidP="00CA0D72">
            <w:pPr>
              <w:pStyle w:val="Default"/>
              <w:framePr w:w="1490" w:wrap="auto" w:vAnchor="page" w:hAnchor="page" w:x="3212" w:y="11516"/>
              <w:ind w:right="-3"/>
              <w:rPr>
                <w:color w:val="auto"/>
              </w:rPr>
            </w:pPr>
          </w:p>
        </w:tc>
        <w:tc>
          <w:tcPr>
            <w:tcW w:w="452" w:type="dxa"/>
            <w:shd w:val="clear" w:color="auto" w:fill="000000" w:themeFill="text1"/>
          </w:tcPr>
          <w:p w14:paraId="74966E07" w14:textId="77777777" w:rsidR="00A37DF9" w:rsidRDefault="00A37DF9" w:rsidP="00CA0D72">
            <w:pPr>
              <w:pStyle w:val="Default"/>
              <w:framePr w:w="1490" w:wrap="auto" w:vAnchor="page" w:hAnchor="page" w:x="3212" w:y="11062"/>
              <w:ind w:right="-3"/>
              <w:rPr>
                <w:color w:val="auto"/>
              </w:rPr>
            </w:pPr>
          </w:p>
        </w:tc>
        <w:tc>
          <w:tcPr>
            <w:tcW w:w="452" w:type="dxa"/>
            <w:shd w:val="clear" w:color="auto" w:fill="000000" w:themeFill="text1"/>
          </w:tcPr>
          <w:p w14:paraId="2F4477CF" w14:textId="77777777" w:rsidR="00A37DF9" w:rsidRDefault="00A37DF9" w:rsidP="00CA0D72">
            <w:pPr>
              <w:pStyle w:val="Default"/>
              <w:framePr w:w="1490" w:wrap="auto" w:vAnchor="page" w:hAnchor="page" w:x="3212" w:y="10608"/>
              <w:ind w:right="-3"/>
              <w:rPr>
                <w:color w:val="auto"/>
              </w:rPr>
            </w:pPr>
          </w:p>
        </w:tc>
        <w:tc>
          <w:tcPr>
            <w:tcW w:w="452" w:type="dxa"/>
            <w:shd w:val="clear" w:color="auto" w:fill="000000" w:themeFill="text1"/>
          </w:tcPr>
          <w:p w14:paraId="6CF73759" w14:textId="423189AD" w:rsidR="00A37DF9" w:rsidRDefault="00A37DF9" w:rsidP="00CA0D72">
            <w:pPr>
              <w:pStyle w:val="Default"/>
              <w:framePr w:w="1490" w:wrap="auto" w:vAnchor="page" w:hAnchor="page" w:x="3212" w:y="10154"/>
              <w:ind w:right="-3"/>
              <w:rPr>
                <w:color w:val="auto"/>
              </w:rPr>
            </w:pPr>
          </w:p>
        </w:tc>
        <w:tc>
          <w:tcPr>
            <w:tcW w:w="452" w:type="dxa"/>
            <w:shd w:val="clear" w:color="auto" w:fill="000000" w:themeFill="text1"/>
          </w:tcPr>
          <w:p w14:paraId="751ADE4F" w14:textId="77777777" w:rsidR="00A37DF9" w:rsidRDefault="00A37DF9" w:rsidP="00CA0D72">
            <w:pPr>
              <w:pStyle w:val="Default"/>
              <w:framePr w:w="1490" w:wrap="auto" w:vAnchor="page" w:hAnchor="page" w:x="3212" w:y="9700"/>
              <w:ind w:right="-3"/>
              <w:rPr>
                <w:color w:val="auto"/>
              </w:rPr>
            </w:pPr>
          </w:p>
        </w:tc>
        <w:tc>
          <w:tcPr>
            <w:tcW w:w="455" w:type="dxa"/>
            <w:shd w:val="clear" w:color="auto" w:fill="000000" w:themeFill="text1"/>
          </w:tcPr>
          <w:p w14:paraId="0C989FDC" w14:textId="77777777" w:rsidR="00A37DF9" w:rsidRDefault="00A37DF9" w:rsidP="00CA0D72">
            <w:pPr>
              <w:pStyle w:val="Default"/>
              <w:framePr w:w="1490" w:wrap="auto" w:vAnchor="page" w:hAnchor="page" w:x="3212" w:y="9246"/>
              <w:ind w:right="-3"/>
              <w:rPr>
                <w:color w:val="auto"/>
              </w:rPr>
            </w:pPr>
          </w:p>
        </w:tc>
        <w:tc>
          <w:tcPr>
            <w:tcW w:w="452" w:type="dxa"/>
            <w:shd w:val="clear" w:color="auto" w:fill="000000" w:themeFill="text1"/>
          </w:tcPr>
          <w:p w14:paraId="775DCD6B" w14:textId="77777777" w:rsidR="00A37DF9" w:rsidRDefault="00A37DF9" w:rsidP="00CA0D72">
            <w:pPr>
              <w:pStyle w:val="Default"/>
              <w:framePr w:w="1490" w:wrap="auto" w:vAnchor="page" w:hAnchor="page" w:x="3212" w:y="8792"/>
              <w:ind w:right="-3"/>
              <w:rPr>
                <w:color w:val="auto"/>
              </w:rPr>
            </w:pPr>
          </w:p>
        </w:tc>
        <w:tc>
          <w:tcPr>
            <w:tcW w:w="452" w:type="dxa"/>
          </w:tcPr>
          <w:p w14:paraId="649E751C" w14:textId="77777777" w:rsidR="00A37DF9" w:rsidRDefault="00A37DF9" w:rsidP="00CA0D72">
            <w:pPr>
              <w:pStyle w:val="Default"/>
              <w:ind w:right="-3"/>
              <w:rPr>
                <w:color w:val="auto"/>
              </w:rPr>
            </w:pPr>
          </w:p>
        </w:tc>
        <w:tc>
          <w:tcPr>
            <w:tcW w:w="452" w:type="dxa"/>
          </w:tcPr>
          <w:p w14:paraId="2DFF9AF3" w14:textId="77777777" w:rsidR="00A37DF9" w:rsidRDefault="00A37DF9" w:rsidP="00CA0D72">
            <w:pPr>
              <w:pStyle w:val="Default"/>
              <w:ind w:right="-3"/>
              <w:rPr>
                <w:color w:val="auto"/>
              </w:rPr>
            </w:pPr>
          </w:p>
        </w:tc>
        <w:tc>
          <w:tcPr>
            <w:tcW w:w="452" w:type="dxa"/>
          </w:tcPr>
          <w:p w14:paraId="41E825B5" w14:textId="77777777" w:rsidR="00A37DF9" w:rsidRDefault="00A37DF9" w:rsidP="00CA0D72">
            <w:pPr>
              <w:pStyle w:val="Default"/>
              <w:ind w:right="-3"/>
              <w:rPr>
                <w:color w:val="auto"/>
              </w:rPr>
            </w:pPr>
          </w:p>
        </w:tc>
        <w:tc>
          <w:tcPr>
            <w:tcW w:w="452" w:type="dxa"/>
          </w:tcPr>
          <w:p w14:paraId="01FB6AE6" w14:textId="77777777" w:rsidR="00A37DF9" w:rsidRDefault="00A37DF9" w:rsidP="00CA0D72">
            <w:pPr>
              <w:pStyle w:val="Default"/>
              <w:ind w:right="-3"/>
              <w:rPr>
                <w:color w:val="auto"/>
              </w:rPr>
            </w:pPr>
          </w:p>
        </w:tc>
        <w:tc>
          <w:tcPr>
            <w:tcW w:w="455" w:type="dxa"/>
          </w:tcPr>
          <w:p w14:paraId="25409A60" w14:textId="77777777" w:rsidR="00A37DF9" w:rsidRDefault="00A37DF9" w:rsidP="00CA0D72">
            <w:pPr>
              <w:pStyle w:val="Default"/>
              <w:ind w:right="-3"/>
              <w:rPr>
                <w:color w:val="auto"/>
              </w:rPr>
            </w:pPr>
          </w:p>
        </w:tc>
        <w:tc>
          <w:tcPr>
            <w:tcW w:w="452" w:type="dxa"/>
          </w:tcPr>
          <w:p w14:paraId="3A6F1DC9" w14:textId="77777777" w:rsidR="00A37DF9" w:rsidRDefault="00A37DF9" w:rsidP="00CA0D72">
            <w:pPr>
              <w:pStyle w:val="Default"/>
              <w:ind w:right="-3"/>
              <w:rPr>
                <w:color w:val="auto"/>
              </w:rPr>
            </w:pPr>
          </w:p>
        </w:tc>
        <w:tc>
          <w:tcPr>
            <w:tcW w:w="452" w:type="dxa"/>
          </w:tcPr>
          <w:p w14:paraId="53D66862" w14:textId="77777777" w:rsidR="00A37DF9" w:rsidRDefault="00A37DF9" w:rsidP="00CA0D72">
            <w:pPr>
              <w:pStyle w:val="Default"/>
              <w:ind w:right="-3"/>
              <w:rPr>
                <w:color w:val="auto"/>
              </w:rPr>
            </w:pPr>
          </w:p>
        </w:tc>
        <w:tc>
          <w:tcPr>
            <w:tcW w:w="452" w:type="dxa"/>
          </w:tcPr>
          <w:p w14:paraId="636F5290" w14:textId="77777777" w:rsidR="00A37DF9" w:rsidRDefault="00A37DF9" w:rsidP="00CA0D72">
            <w:pPr>
              <w:pStyle w:val="Default"/>
              <w:ind w:right="-3"/>
              <w:rPr>
                <w:color w:val="auto"/>
              </w:rPr>
            </w:pPr>
          </w:p>
        </w:tc>
        <w:tc>
          <w:tcPr>
            <w:tcW w:w="452" w:type="dxa"/>
          </w:tcPr>
          <w:p w14:paraId="40BF4BC8" w14:textId="77777777" w:rsidR="00A37DF9" w:rsidRDefault="00A37DF9" w:rsidP="00CA0D72">
            <w:pPr>
              <w:pStyle w:val="Default"/>
              <w:ind w:right="-3"/>
              <w:rPr>
                <w:color w:val="auto"/>
              </w:rPr>
            </w:pPr>
          </w:p>
        </w:tc>
        <w:tc>
          <w:tcPr>
            <w:tcW w:w="452" w:type="dxa"/>
          </w:tcPr>
          <w:p w14:paraId="05CB1FF6" w14:textId="77777777" w:rsidR="00A37DF9" w:rsidRDefault="00A37DF9" w:rsidP="00CA0D72">
            <w:pPr>
              <w:pStyle w:val="Default"/>
              <w:ind w:right="-3"/>
              <w:rPr>
                <w:color w:val="auto"/>
              </w:rPr>
            </w:pPr>
          </w:p>
        </w:tc>
        <w:tc>
          <w:tcPr>
            <w:tcW w:w="455" w:type="dxa"/>
          </w:tcPr>
          <w:p w14:paraId="5C95CDD9" w14:textId="77777777" w:rsidR="00A37DF9" w:rsidRDefault="00A37DF9" w:rsidP="00CA0D72">
            <w:pPr>
              <w:pStyle w:val="Default"/>
              <w:ind w:right="-3"/>
              <w:rPr>
                <w:color w:val="auto"/>
              </w:rPr>
            </w:pPr>
          </w:p>
        </w:tc>
        <w:tc>
          <w:tcPr>
            <w:tcW w:w="452" w:type="dxa"/>
          </w:tcPr>
          <w:p w14:paraId="7A06E17C" w14:textId="77777777" w:rsidR="00A37DF9" w:rsidRDefault="00A37DF9" w:rsidP="00CA0D72">
            <w:pPr>
              <w:pStyle w:val="Default"/>
              <w:ind w:right="-3"/>
              <w:rPr>
                <w:color w:val="auto"/>
              </w:rPr>
            </w:pPr>
          </w:p>
        </w:tc>
        <w:tc>
          <w:tcPr>
            <w:tcW w:w="452" w:type="dxa"/>
          </w:tcPr>
          <w:p w14:paraId="75054236" w14:textId="77777777" w:rsidR="00A37DF9" w:rsidRDefault="00A37DF9" w:rsidP="00CA0D72">
            <w:pPr>
              <w:pStyle w:val="Default"/>
              <w:ind w:right="-3"/>
              <w:rPr>
                <w:color w:val="auto"/>
              </w:rPr>
            </w:pPr>
          </w:p>
        </w:tc>
        <w:tc>
          <w:tcPr>
            <w:tcW w:w="452" w:type="dxa"/>
          </w:tcPr>
          <w:p w14:paraId="65CA0EAC" w14:textId="77777777" w:rsidR="00A37DF9" w:rsidRDefault="00A37DF9" w:rsidP="00CA0D72">
            <w:pPr>
              <w:pStyle w:val="Default"/>
              <w:ind w:right="-3"/>
              <w:rPr>
                <w:color w:val="auto"/>
              </w:rPr>
            </w:pPr>
          </w:p>
        </w:tc>
        <w:tc>
          <w:tcPr>
            <w:tcW w:w="452" w:type="dxa"/>
          </w:tcPr>
          <w:p w14:paraId="13A1BC78" w14:textId="77777777" w:rsidR="00A37DF9" w:rsidRDefault="00A37DF9" w:rsidP="00CA0D72">
            <w:pPr>
              <w:pStyle w:val="Default"/>
              <w:ind w:right="-3"/>
              <w:rPr>
                <w:color w:val="auto"/>
              </w:rPr>
            </w:pPr>
          </w:p>
        </w:tc>
        <w:tc>
          <w:tcPr>
            <w:tcW w:w="452" w:type="dxa"/>
          </w:tcPr>
          <w:p w14:paraId="3EC81538" w14:textId="77777777" w:rsidR="00A37DF9" w:rsidRDefault="00A37DF9" w:rsidP="00CA0D72">
            <w:pPr>
              <w:pStyle w:val="Default"/>
              <w:ind w:right="-3"/>
              <w:rPr>
                <w:color w:val="auto"/>
              </w:rPr>
            </w:pPr>
          </w:p>
        </w:tc>
        <w:tc>
          <w:tcPr>
            <w:tcW w:w="455" w:type="dxa"/>
          </w:tcPr>
          <w:p w14:paraId="1CE2E614" w14:textId="77777777" w:rsidR="00A37DF9" w:rsidRDefault="00A37DF9" w:rsidP="00CA0D72">
            <w:pPr>
              <w:pStyle w:val="Default"/>
              <w:ind w:right="-3"/>
              <w:rPr>
                <w:color w:val="auto"/>
              </w:rPr>
            </w:pPr>
          </w:p>
        </w:tc>
        <w:tc>
          <w:tcPr>
            <w:tcW w:w="455" w:type="dxa"/>
          </w:tcPr>
          <w:p w14:paraId="47A153D9" w14:textId="77777777" w:rsidR="00A37DF9" w:rsidRDefault="00A37DF9" w:rsidP="00CA0D72">
            <w:pPr>
              <w:pStyle w:val="Default"/>
              <w:ind w:right="-3"/>
              <w:rPr>
                <w:color w:val="auto"/>
              </w:rPr>
            </w:pPr>
          </w:p>
        </w:tc>
      </w:tr>
      <w:tr w:rsidR="00A37DF9" w14:paraId="7FB640C9" w14:textId="77777777" w:rsidTr="00CC4B48">
        <w:trPr>
          <w:trHeight w:val="1033"/>
        </w:trPr>
        <w:tc>
          <w:tcPr>
            <w:tcW w:w="1992" w:type="dxa"/>
          </w:tcPr>
          <w:p w14:paraId="7C22222B" w14:textId="77777777" w:rsidR="00A37DF9" w:rsidRPr="00CC4B48" w:rsidRDefault="00A37DF9" w:rsidP="00CA0D72">
            <w:pPr>
              <w:pStyle w:val="Default"/>
              <w:ind w:right="-3"/>
              <w:rPr>
                <w:sz w:val="16"/>
                <w:szCs w:val="16"/>
              </w:rPr>
            </w:pPr>
            <w:r w:rsidRPr="00CC4B48">
              <w:rPr>
                <w:iCs/>
                <w:sz w:val="16"/>
                <w:szCs w:val="16"/>
              </w:rPr>
              <w:t xml:space="preserve">Quality Assessment Study </w:t>
            </w:r>
          </w:p>
        </w:tc>
        <w:tc>
          <w:tcPr>
            <w:tcW w:w="452" w:type="dxa"/>
          </w:tcPr>
          <w:p w14:paraId="4485D304" w14:textId="77777777" w:rsidR="00A37DF9" w:rsidRDefault="00A37DF9" w:rsidP="00CA0D72">
            <w:pPr>
              <w:pStyle w:val="Default"/>
              <w:ind w:right="-3"/>
              <w:rPr>
                <w:color w:val="auto"/>
              </w:rPr>
            </w:pPr>
          </w:p>
        </w:tc>
        <w:tc>
          <w:tcPr>
            <w:tcW w:w="452" w:type="dxa"/>
          </w:tcPr>
          <w:p w14:paraId="5CFD22FB" w14:textId="77777777" w:rsidR="00A37DF9" w:rsidRDefault="00A37DF9" w:rsidP="00CA0D72">
            <w:pPr>
              <w:pStyle w:val="Default"/>
              <w:ind w:right="-3"/>
              <w:rPr>
                <w:color w:val="auto"/>
              </w:rPr>
            </w:pPr>
          </w:p>
        </w:tc>
        <w:tc>
          <w:tcPr>
            <w:tcW w:w="452" w:type="dxa"/>
          </w:tcPr>
          <w:p w14:paraId="7633F1EA" w14:textId="77777777" w:rsidR="00A37DF9" w:rsidRDefault="00A37DF9" w:rsidP="00CA0D72">
            <w:pPr>
              <w:pStyle w:val="Default"/>
              <w:ind w:right="-3"/>
              <w:rPr>
                <w:color w:val="auto"/>
              </w:rPr>
            </w:pPr>
          </w:p>
        </w:tc>
        <w:tc>
          <w:tcPr>
            <w:tcW w:w="452" w:type="dxa"/>
          </w:tcPr>
          <w:p w14:paraId="41D48C14" w14:textId="77777777" w:rsidR="00A37DF9" w:rsidRDefault="00A37DF9" w:rsidP="00CA0D72">
            <w:pPr>
              <w:pStyle w:val="Default"/>
              <w:ind w:right="-3"/>
              <w:rPr>
                <w:color w:val="auto"/>
              </w:rPr>
            </w:pPr>
          </w:p>
        </w:tc>
        <w:tc>
          <w:tcPr>
            <w:tcW w:w="455" w:type="dxa"/>
          </w:tcPr>
          <w:p w14:paraId="120EAEAA" w14:textId="77777777" w:rsidR="00A37DF9" w:rsidRDefault="00A37DF9" w:rsidP="00CA0D72">
            <w:pPr>
              <w:pStyle w:val="Default"/>
              <w:ind w:right="-3"/>
              <w:rPr>
                <w:color w:val="auto"/>
              </w:rPr>
            </w:pPr>
          </w:p>
        </w:tc>
        <w:tc>
          <w:tcPr>
            <w:tcW w:w="462" w:type="dxa"/>
          </w:tcPr>
          <w:p w14:paraId="584F699A" w14:textId="77777777" w:rsidR="00A37DF9" w:rsidRDefault="00A37DF9" w:rsidP="00CA0D72">
            <w:pPr>
              <w:pStyle w:val="Default"/>
              <w:ind w:right="-3"/>
              <w:rPr>
                <w:color w:val="auto"/>
              </w:rPr>
            </w:pPr>
          </w:p>
        </w:tc>
        <w:tc>
          <w:tcPr>
            <w:tcW w:w="452" w:type="dxa"/>
          </w:tcPr>
          <w:p w14:paraId="79931B79" w14:textId="77777777" w:rsidR="00A37DF9" w:rsidRDefault="00A37DF9" w:rsidP="00CA0D72">
            <w:pPr>
              <w:pStyle w:val="Default"/>
              <w:ind w:right="-3"/>
              <w:rPr>
                <w:color w:val="auto"/>
              </w:rPr>
            </w:pPr>
          </w:p>
        </w:tc>
        <w:tc>
          <w:tcPr>
            <w:tcW w:w="452" w:type="dxa"/>
          </w:tcPr>
          <w:p w14:paraId="1B91EBB1" w14:textId="77777777" w:rsidR="00A37DF9" w:rsidRDefault="00A37DF9" w:rsidP="00CA0D72">
            <w:pPr>
              <w:pStyle w:val="Default"/>
              <w:ind w:right="-3"/>
              <w:rPr>
                <w:color w:val="auto"/>
              </w:rPr>
            </w:pPr>
          </w:p>
        </w:tc>
        <w:tc>
          <w:tcPr>
            <w:tcW w:w="452" w:type="dxa"/>
          </w:tcPr>
          <w:p w14:paraId="480BAD02" w14:textId="77777777" w:rsidR="00A37DF9" w:rsidRDefault="00A37DF9" w:rsidP="00CA0D72">
            <w:pPr>
              <w:pStyle w:val="Default"/>
              <w:ind w:right="-3"/>
              <w:rPr>
                <w:color w:val="auto"/>
              </w:rPr>
            </w:pPr>
          </w:p>
        </w:tc>
        <w:tc>
          <w:tcPr>
            <w:tcW w:w="452" w:type="dxa"/>
          </w:tcPr>
          <w:p w14:paraId="02F8F90D" w14:textId="77777777" w:rsidR="00A37DF9" w:rsidRDefault="00A37DF9" w:rsidP="00CA0D72">
            <w:pPr>
              <w:pStyle w:val="Default"/>
              <w:ind w:right="-3"/>
              <w:rPr>
                <w:color w:val="auto"/>
              </w:rPr>
            </w:pPr>
          </w:p>
        </w:tc>
        <w:tc>
          <w:tcPr>
            <w:tcW w:w="455" w:type="dxa"/>
          </w:tcPr>
          <w:p w14:paraId="24771A9A" w14:textId="77777777" w:rsidR="00A37DF9" w:rsidRDefault="00A37DF9" w:rsidP="00CA0D72">
            <w:pPr>
              <w:pStyle w:val="Default"/>
              <w:ind w:right="-3"/>
              <w:rPr>
                <w:color w:val="auto"/>
              </w:rPr>
            </w:pPr>
          </w:p>
        </w:tc>
        <w:tc>
          <w:tcPr>
            <w:tcW w:w="452" w:type="dxa"/>
          </w:tcPr>
          <w:p w14:paraId="0844463D" w14:textId="77777777" w:rsidR="00A37DF9" w:rsidRDefault="00A37DF9" w:rsidP="00CA0D72">
            <w:pPr>
              <w:pStyle w:val="Default"/>
              <w:ind w:right="-3"/>
              <w:rPr>
                <w:color w:val="auto"/>
              </w:rPr>
            </w:pPr>
          </w:p>
        </w:tc>
        <w:tc>
          <w:tcPr>
            <w:tcW w:w="452" w:type="dxa"/>
          </w:tcPr>
          <w:p w14:paraId="3E4756CB" w14:textId="77777777" w:rsidR="00A37DF9" w:rsidRDefault="00A37DF9" w:rsidP="00CA0D72">
            <w:pPr>
              <w:pStyle w:val="Default"/>
              <w:ind w:right="-3"/>
              <w:rPr>
                <w:color w:val="auto"/>
              </w:rPr>
            </w:pPr>
          </w:p>
        </w:tc>
        <w:tc>
          <w:tcPr>
            <w:tcW w:w="452" w:type="dxa"/>
          </w:tcPr>
          <w:p w14:paraId="51D99245" w14:textId="77777777" w:rsidR="00A37DF9" w:rsidRDefault="00A37DF9" w:rsidP="00CA0D72">
            <w:pPr>
              <w:pStyle w:val="Default"/>
              <w:ind w:right="-3"/>
              <w:rPr>
                <w:color w:val="auto"/>
              </w:rPr>
            </w:pPr>
          </w:p>
        </w:tc>
        <w:tc>
          <w:tcPr>
            <w:tcW w:w="452" w:type="dxa"/>
            <w:shd w:val="clear" w:color="auto" w:fill="000000" w:themeFill="text1"/>
          </w:tcPr>
          <w:p w14:paraId="22CD49D1" w14:textId="77777777" w:rsidR="00A37DF9" w:rsidRDefault="00A37DF9" w:rsidP="00CA0D72">
            <w:pPr>
              <w:pStyle w:val="Default"/>
              <w:framePr w:w="1637" w:wrap="auto" w:vAnchor="page" w:hAnchor="page" w:x="3902" w:y="7430"/>
              <w:ind w:right="-3"/>
              <w:rPr>
                <w:color w:val="auto"/>
              </w:rPr>
            </w:pPr>
          </w:p>
        </w:tc>
        <w:tc>
          <w:tcPr>
            <w:tcW w:w="452" w:type="dxa"/>
            <w:shd w:val="clear" w:color="auto" w:fill="000000" w:themeFill="text1"/>
          </w:tcPr>
          <w:p w14:paraId="3895AE38" w14:textId="77777777" w:rsidR="00A37DF9" w:rsidRDefault="00A37DF9" w:rsidP="00CA0D72">
            <w:pPr>
              <w:pStyle w:val="Default"/>
              <w:framePr w:w="1637" w:wrap="auto" w:vAnchor="page" w:hAnchor="page" w:x="3902" w:y="6976"/>
              <w:ind w:right="-3"/>
              <w:rPr>
                <w:color w:val="auto"/>
              </w:rPr>
            </w:pPr>
          </w:p>
        </w:tc>
        <w:tc>
          <w:tcPr>
            <w:tcW w:w="455" w:type="dxa"/>
            <w:shd w:val="clear" w:color="auto" w:fill="000000" w:themeFill="text1"/>
          </w:tcPr>
          <w:p w14:paraId="61496545" w14:textId="77777777" w:rsidR="00A37DF9" w:rsidRDefault="00A37DF9" w:rsidP="00CA0D72">
            <w:pPr>
              <w:pStyle w:val="Default"/>
              <w:framePr w:w="1637" w:wrap="auto" w:vAnchor="page" w:hAnchor="page" w:x="3902" w:y="6522"/>
              <w:ind w:right="-3"/>
              <w:rPr>
                <w:color w:val="auto"/>
              </w:rPr>
            </w:pPr>
          </w:p>
        </w:tc>
        <w:tc>
          <w:tcPr>
            <w:tcW w:w="452" w:type="dxa"/>
            <w:shd w:val="clear" w:color="auto" w:fill="000000" w:themeFill="text1"/>
          </w:tcPr>
          <w:p w14:paraId="57BEFA7B" w14:textId="77777777" w:rsidR="00A37DF9" w:rsidRDefault="00A37DF9" w:rsidP="00CA0D72">
            <w:pPr>
              <w:pStyle w:val="Default"/>
              <w:framePr w:w="1637" w:wrap="auto" w:vAnchor="page" w:hAnchor="page" w:x="3902" w:y="6068"/>
              <w:ind w:right="-3"/>
              <w:rPr>
                <w:color w:val="auto"/>
              </w:rPr>
            </w:pPr>
          </w:p>
        </w:tc>
        <w:tc>
          <w:tcPr>
            <w:tcW w:w="452" w:type="dxa"/>
            <w:shd w:val="clear" w:color="auto" w:fill="000000" w:themeFill="text1"/>
          </w:tcPr>
          <w:p w14:paraId="549C2889" w14:textId="77777777" w:rsidR="00A37DF9" w:rsidRDefault="00A37DF9" w:rsidP="00CA0D72">
            <w:pPr>
              <w:pStyle w:val="Default"/>
              <w:framePr w:w="1637" w:wrap="auto" w:vAnchor="page" w:hAnchor="page" w:x="3902" w:y="5614"/>
              <w:ind w:right="-3"/>
              <w:rPr>
                <w:color w:val="auto"/>
              </w:rPr>
            </w:pPr>
          </w:p>
        </w:tc>
        <w:tc>
          <w:tcPr>
            <w:tcW w:w="452" w:type="dxa"/>
            <w:shd w:val="clear" w:color="auto" w:fill="000000" w:themeFill="text1"/>
          </w:tcPr>
          <w:p w14:paraId="05CBE02C" w14:textId="77777777" w:rsidR="00A37DF9" w:rsidRDefault="00A37DF9" w:rsidP="00CA0D72">
            <w:pPr>
              <w:pStyle w:val="Default"/>
              <w:framePr w:w="1637" w:wrap="auto" w:vAnchor="page" w:hAnchor="page" w:x="3902" w:y="5160"/>
              <w:ind w:right="-3"/>
              <w:rPr>
                <w:color w:val="auto"/>
              </w:rPr>
            </w:pPr>
          </w:p>
        </w:tc>
        <w:tc>
          <w:tcPr>
            <w:tcW w:w="452" w:type="dxa"/>
            <w:shd w:val="clear" w:color="auto" w:fill="000000" w:themeFill="text1"/>
          </w:tcPr>
          <w:p w14:paraId="7963A7A3" w14:textId="77777777" w:rsidR="00A37DF9" w:rsidRDefault="00A37DF9" w:rsidP="00CA0D72">
            <w:pPr>
              <w:pStyle w:val="Default"/>
              <w:framePr w:w="1637" w:wrap="auto" w:vAnchor="page" w:hAnchor="page" w:x="3902" w:y="4706"/>
              <w:ind w:right="-3"/>
              <w:rPr>
                <w:color w:val="auto"/>
              </w:rPr>
            </w:pPr>
          </w:p>
        </w:tc>
        <w:tc>
          <w:tcPr>
            <w:tcW w:w="452" w:type="dxa"/>
            <w:shd w:val="clear" w:color="auto" w:fill="000000" w:themeFill="text1"/>
          </w:tcPr>
          <w:p w14:paraId="7F230622" w14:textId="77777777" w:rsidR="00A37DF9" w:rsidRDefault="00A37DF9" w:rsidP="00CA0D72">
            <w:pPr>
              <w:pStyle w:val="Default"/>
              <w:framePr w:w="1637" w:wrap="auto" w:vAnchor="page" w:hAnchor="page" w:x="3902" w:y="4252"/>
              <w:ind w:right="-3"/>
              <w:rPr>
                <w:color w:val="auto"/>
              </w:rPr>
            </w:pPr>
          </w:p>
        </w:tc>
        <w:tc>
          <w:tcPr>
            <w:tcW w:w="455" w:type="dxa"/>
            <w:shd w:val="clear" w:color="auto" w:fill="000000" w:themeFill="text1"/>
          </w:tcPr>
          <w:p w14:paraId="4524AA82" w14:textId="017B7EE1" w:rsidR="00A37DF9" w:rsidRDefault="00A37DF9" w:rsidP="00CA0D72">
            <w:pPr>
              <w:pStyle w:val="Default"/>
              <w:framePr w:w="1637" w:wrap="auto" w:vAnchor="page" w:hAnchor="page" w:x="3902" w:y="3798"/>
              <w:ind w:right="-3"/>
              <w:rPr>
                <w:color w:val="auto"/>
              </w:rPr>
            </w:pPr>
          </w:p>
        </w:tc>
        <w:tc>
          <w:tcPr>
            <w:tcW w:w="452" w:type="dxa"/>
          </w:tcPr>
          <w:p w14:paraId="2AAE260E" w14:textId="77777777" w:rsidR="00A37DF9" w:rsidRDefault="00A37DF9" w:rsidP="00CA0D72">
            <w:pPr>
              <w:pStyle w:val="Default"/>
              <w:ind w:right="-3"/>
              <w:rPr>
                <w:color w:val="auto"/>
              </w:rPr>
            </w:pPr>
          </w:p>
        </w:tc>
        <w:tc>
          <w:tcPr>
            <w:tcW w:w="452" w:type="dxa"/>
          </w:tcPr>
          <w:p w14:paraId="75F69EFB" w14:textId="77777777" w:rsidR="00A37DF9" w:rsidRDefault="00A37DF9" w:rsidP="00CA0D72">
            <w:pPr>
              <w:pStyle w:val="Default"/>
              <w:ind w:right="-3"/>
              <w:rPr>
                <w:color w:val="auto"/>
              </w:rPr>
            </w:pPr>
          </w:p>
        </w:tc>
        <w:tc>
          <w:tcPr>
            <w:tcW w:w="452" w:type="dxa"/>
          </w:tcPr>
          <w:p w14:paraId="113DF05B" w14:textId="77777777" w:rsidR="00A37DF9" w:rsidRDefault="00A37DF9" w:rsidP="00CA0D72">
            <w:pPr>
              <w:pStyle w:val="Default"/>
              <w:ind w:right="-3"/>
              <w:rPr>
                <w:color w:val="auto"/>
              </w:rPr>
            </w:pPr>
          </w:p>
        </w:tc>
        <w:tc>
          <w:tcPr>
            <w:tcW w:w="452" w:type="dxa"/>
          </w:tcPr>
          <w:p w14:paraId="103A9F90" w14:textId="77777777" w:rsidR="00A37DF9" w:rsidRDefault="00A37DF9" w:rsidP="00CA0D72">
            <w:pPr>
              <w:pStyle w:val="Default"/>
              <w:ind w:right="-3"/>
              <w:rPr>
                <w:color w:val="auto"/>
              </w:rPr>
            </w:pPr>
          </w:p>
        </w:tc>
        <w:tc>
          <w:tcPr>
            <w:tcW w:w="452" w:type="dxa"/>
          </w:tcPr>
          <w:p w14:paraId="34081C3F" w14:textId="77777777" w:rsidR="00A37DF9" w:rsidRDefault="00A37DF9" w:rsidP="00CA0D72">
            <w:pPr>
              <w:pStyle w:val="Default"/>
              <w:ind w:right="-3"/>
              <w:rPr>
                <w:color w:val="auto"/>
              </w:rPr>
            </w:pPr>
          </w:p>
        </w:tc>
        <w:tc>
          <w:tcPr>
            <w:tcW w:w="455" w:type="dxa"/>
          </w:tcPr>
          <w:p w14:paraId="36307AEC" w14:textId="77777777" w:rsidR="00A37DF9" w:rsidRDefault="00A37DF9" w:rsidP="00CA0D72">
            <w:pPr>
              <w:pStyle w:val="Default"/>
              <w:ind w:right="-3"/>
              <w:rPr>
                <w:color w:val="auto"/>
              </w:rPr>
            </w:pPr>
          </w:p>
        </w:tc>
        <w:tc>
          <w:tcPr>
            <w:tcW w:w="455" w:type="dxa"/>
          </w:tcPr>
          <w:p w14:paraId="7CE887FF" w14:textId="77777777" w:rsidR="00A37DF9" w:rsidRDefault="00A37DF9" w:rsidP="00CA0D72">
            <w:pPr>
              <w:pStyle w:val="Default"/>
              <w:ind w:right="-3"/>
              <w:rPr>
                <w:color w:val="auto"/>
              </w:rPr>
            </w:pPr>
          </w:p>
        </w:tc>
      </w:tr>
      <w:tr w:rsidR="00A37DF9" w14:paraId="51EFDC43" w14:textId="77777777" w:rsidTr="00CC4B48">
        <w:trPr>
          <w:trHeight w:val="1033"/>
        </w:trPr>
        <w:tc>
          <w:tcPr>
            <w:tcW w:w="1992" w:type="dxa"/>
          </w:tcPr>
          <w:p w14:paraId="0DE068AB" w14:textId="77777777" w:rsidR="00A37DF9" w:rsidRPr="00CC4B48" w:rsidRDefault="00A37DF9" w:rsidP="00CA0D72">
            <w:pPr>
              <w:pStyle w:val="Default"/>
              <w:ind w:right="-3"/>
              <w:rPr>
                <w:sz w:val="16"/>
                <w:szCs w:val="16"/>
              </w:rPr>
            </w:pPr>
            <w:r w:rsidRPr="00CC4B48">
              <w:rPr>
                <w:iCs/>
                <w:sz w:val="16"/>
                <w:szCs w:val="16"/>
              </w:rPr>
              <w:t xml:space="preserve">Models of Transition Care Study </w:t>
            </w:r>
          </w:p>
        </w:tc>
        <w:tc>
          <w:tcPr>
            <w:tcW w:w="452" w:type="dxa"/>
          </w:tcPr>
          <w:p w14:paraId="751C0F28" w14:textId="77777777" w:rsidR="00A37DF9" w:rsidRDefault="00A37DF9" w:rsidP="00CA0D72">
            <w:pPr>
              <w:pStyle w:val="Default"/>
              <w:ind w:right="-3"/>
              <w:rPr>
                <w:color w:val="auto"/>
              </w:rPr>
            </w:pPr>
          </w:p>
        </w:tc>
        <w:tc>
          <w:tcPr>
            <w:tcW w:w="452" w:type="dxa"/>
          </w:tcPr>
          <w:p w14:paraId="507E63B9" w14:textId="77777777" w:rsidR="00A37DF9" w:rsidRDefault="00A37DF9" w:rsidP="00CA0D72">
            <w:pPr>
              <w:pStyle w:val="Default"/>
              <w:ind w:right="-3"/>
              <w:rPr>
                <w:color w:val="auto"/>
              </w:rPr>
            </w:pPr>
          </w:p>
        </w:tc>
        <w:tc>
          <w:tcPr>
            <w:tcW w:w="452" w:type="dxa"/>
          </w:tcPr>
          <w:p w14:paraId="1BC48328" w14:textId="77777777" w:rsidR="00A37DF9" w:rsidRDefault="00A37DF9" w:rsidP="00CA0D72">
            <w:pPr>
              <w:pStyle w:val="Default"/>
              <w:ind w:right="-3"/>
              <w:rPr>
                <w:color w:val="auto"/>
              </w:rPr>
            </w:pPr>
          </w:p>
        </w:tc>
        <w:tc>
          <w:tcPr>
            <w:tcW w:w="452" w:type="dxa"/>
          </w:tcPr>
          <w:p w14:paraId="5CE84BEE" w14:textId="77777777" w:rsidR="00A37DF9" w:rsidRDefault="00A37DF9" w:rsidP="00CA0D72">
            <w:pPr>
              <w:pStyle w:val="Default"/>
              <w:ind w:right="-3"/>
              <w:rPr>
                <w:color w:val="auto"/>
              </w:rPr>
            </w:pPr>
          </w:p>
        </w:tc>
        <w:tc>
          <w:tcPr>
            <w:tcW w:w="455" w:type="dxa"/>
          </w:tcPr>
          <w:p w14:paraId="56B5BE5B" w14:textId="77777777" w:rsidR="00A37DF9" w:rsidRDefault="00A37DF9" w:rsidP="00CA0D72">
            <w:pPr>
              <w:pStyle w:val="Default"/>
              <w:ind w:right="-3"/>
              <w:rPr>
                <w:color w:val="auto"/>
              </w:rPr>
            </w:pPr>
          </w:p>
        </w:tc>
        <w:tc>
          <w:tcPr>
            <w:tcW w:w="462" w:type="dxa"/>
          </w:tcPr>
          <w:p w14:paraId="15547B2F" w14:textId="77777777" w:rsidR="00A37DF9" w:rsidRDefault="00A37DF9" w:rsidP="00CA0D72">
            <w:pPr>
              <w:pStyle w:val="Default"/>
              <w:ind w:right="-3"/>
              <w:rPr>
                <w:color w:val="auto"/>
              </w:rPr>
            </w:pPr>
          </w:p>
        </w:tc>
        <w:tc>
          <w:tcPr>
            <w:tcW w:w="452" w:type="dxa"/>
          </w:tcPr>
          <w:p w14:paraId="6506708C" w14:textId="77777777" w:rsidR="00A37DF9" w:rsidRDefault="00A37DF9" w:rsidP="00CA0D72">
            <w:pPr>
              <w:pStyle w:val="Default"/>
              <w:ind w:right="-3"/>
              <w:rPr>
                <w:color w:val="auto"/>
              </w:rPr>
            </w:pPr>
          </w:p>
        </w:tc>
        <w:tc>
          <w:tcPr>
            <w:tcW w:w="452" w:type="dxa"/>
          </w:tcPr>
          <w:p w14:paraId="431886B9" w14:textId="77777777" w:rsidR="00A37DF9" w:rsidRDefault="00A37DF9" w:rsidP="00CA0D72">
            <w:pPr>
              <w:pStyle w:val="Default"/>
              <w:ind w:right="-3"/>
              <w:rPr>
                <w:color w:val="auto"/>
              </w:rPr>
            </w:pPr>
          </w:p>
        </w:tc>
        <w:tc>
          <w:tcPr>
            <w:tcW w:w="452" w:type="dxa"/>
          </w:tcPr>
          <w:p w14:paraId="1EF53536" w14:textId="77777777" w:rsidR="00A37DF9" w:rsidRDefault="00A37DF9" w:rsidP="00CA0D72">
            <w:pPr>
              <w:pStyle w:val="Default"/>
              <w:ind w:right="-3"/>
              <w:rPr>
                <w:color w:val="auto"/>
              </w:rPr>
            </w:pPr>
          </w:p>
        </w:tc>
        <w:tc>
          <w:tcPr>
            <w:tcW w:w="452" w:type="dxa"/>
          </w:tcPr>
          <w:p w14:paraId="40070F77" w14:textId="77777777" w:rsidR="00A37DF9" w:rsidRDefault="00A37DF9" w:rsidP="00CA0D72">
            <w:pPr>
              <w:pStyle w:val="Default"/>
              <w:ind w:right="-3"/>
              <w:rPr>
                <w:color w:val="auto"/>
              </w:rPr>
            </w:pPr>
          </w:p>
        </w:tc>
        <w:tc>
          <w:tcPr>
            <w:tcW w:w="455" w:type="dxa"/>
          </w:tcPr>
          <w:p w14:paraId="69E92092" w14:textId="77777777" w:rsidR="00A37DF9" w:rsidRDefault="00A37DF9" w:rsidP="00CA0D72">
            <w:pPr>
              <w:pStyle w:val="Default"/>
              <w:ind w:right="-3"/>
              <w:rPr>
                <w:color w:val="auto"/>
              </w:rPr>
            </w:pPr>
          </w:p>
        </w:tc>
        <w:tc>
          <w:tcPr>
            <w:tcW w:w="452" w:type="dxa"/>
          </w:tcPr>
          <w:p w14:paraId="2F9360CC" w14:textId="77777777" w:rsidR="00A37DF9" w:rsidRDefault="00A37DF9" w:rsidP="00CA0D72">
            <w:pPr>
              <w:pStyle w:val="Default"/>
              <w:ind w:right="-3"/>
              <w:rPr>
                <w:color w:val="auto"/>
              </w:rPr>
            </w:pPr>
          </w:p>
        </w:tc>
        <w:tc>
          <w:tcPr>
            <w:tcW w:w="452" w:type="dxa"/>
          </w:tcPr>
          <w:p w14:paraId="43F55132" w14:textId="77777777" w:rsidR="00A37DF9" w:rsidRDefault="00A37DF9" w:rsidP="00CA0D72">
            <w:pPr>
              <w:pStyle w:val="Default"/>
              <w:ind w:right="-3"/>
              <w:rPr>
                <w:color w:val="auto"/>
              </w:rPr>
            </w:pPr>
          </w:p>
        </w:tc>
        <w:tc>
          <w:tcPr>
            <w:tcW w:w="452" w:type="dxa"/>
          </w:tcPr>
          <w:p w14:paraId="3538B1E6" w14:textId="77777777" w:rsidR="00A37DF9" w:rsidRDefault="00A37DF9" w:rsidP="00CA0D72">
            <w:pPr>
              <w:pStyle w:val="Default"/>
              <w:ind w:right="-3"/>
              <w:rPr>
                <w:color w:val="auto"/>
              </w:rPr>
            </w:pPr>
          </w:p>
        </w:tc>
        <w:tc>
          <w:tcPr>
            <w:tcW w:w="452" w:type="dxa"/>
          </w:tcPr>
          <w:p w14:paraId="5B0D8A03" w14:textId="77777777" w:rsidR="00A37DF9" w:rsidRDefault="00A37DF9" w:rsidP="00CA0D72">
            <w:pPr>
              <w:pStyle w:val="Default"/>
              <w:ind w:right="-3"/>
              <w:rPr>
                <w:color w:val="auto"/>
              </w:rPr>
            </w:pPr>
          </w:p>
        </w:tc>
        <w:tc>
          <w:tcPr>
            <w:tcW w:w="452" w:type="dxa"/>
          </w:tcPr>
          <w:p w14:paraId="31747D8B" w14:textId="77777777" w:rsidR="00A37DF9" w:rsidRDefault="00A37DF9" w:rsidP="00CA0D72">
            <w:pPr>
              <w:pStyle w:val="Default"/>
              <w:ind w:right="-3"/>
              <w:rPr>
                <w:color w:val="auto"/>
              </w:rPr>
            </w:pPr>
          </w:p>
        </w:tc>
        <w:tc>
          <w:tcPr>
            <w:tcW w:w="455" w:type="dxa"/>
            <w:shd w:val="clear" w:color="auto" w:fill="000000" w:themeFill="text1"/>
          </w:tcPr>
          <w:p w14:paraId="095A046D" w14:textId="79BF26B9" w:rsidR="00A37DF9" w:rsidRDefault="00A37DF9" w:rsidP="00CA0D72">
            <w:pPr>
              <w:pStyle w:val="Default"/>
              <w:framePr w:w="1637" w:wrap="auto" w:vAnchor="page" w:hAnchor="page" w:x="4739" w:y="6522"/>
              <w:ind w:right="-3"/>
              <w:rPr>
                <w:color w:val="auto"/>
              </w:rPr>
            </w:pPr>
          </w:p>
        </w:tc>
        <w:tc>
          <w:tcPr>
            <w:tcW w:w="452" w:type="dxa"/>
            <w:shd w:val="clear" w:color="auto" w:fill="000000" w:themeFill="text1"/>
          </w:tcPr>
          <w:p w14:paraId="0A48ADF6" w14:textId="353D6EC3" w:rsidR="00A37DF9" w:rsidRDefault="00A37DF9" w:rsidP="00CA0D72">
            <w:pPr>
              <w:pStyle w:val="Default"/>
              <w:framePr w:w="1637" w:wrap="auto" w:vAnchor="page" w:hAnchor="page" w:x="4739" w:y="6068"/>
              <w:ind w:right="-3"/>
              <w:rPr>
                <w:color w:val="auto"/>
              </w:rPr>
            </w:pPr>
          </w:p>
        </w:tc>
        <w:tc>
          <w:tcPr>
            <w:tcW w:w="452" w:type="dxa"/>
            <w:shd w:val="clear" w:color="auto" w:fill="000000" w:themeFill="text1"/>
          </w:tcPr>
          <w:p w14:paraId="24C79B9C" w14:textId="10CEEEE8" w:rsidR="00A37DF9" w:rsidRDefault="00A37DF9" w:rsidP="00CA0D72">
            <w:pPr>
              <w:pStyle w:val="Default"/>
              <w:framePr w:w="1637" w:wrap="auto" w:vAnchor="page" w:hAnchor="page" w:x="4739" w:y="5614"/>
              <w:ind w:right="-3"/>
              <w:rPr>
                <w:color w:val="auto"/>
              </w:rPr>
            </w:pPr>
          </w:p>
        </w:tc>
        <w:tc>
          <w:tcPr>
            <w:tcW w:w="452" w:type="dxa"/>
            <w:shd w:val="clear" w:color="auto" w:fill="000000" w:themeFill="text1"/>
          </w:tcPr>
          <w:p w14:paraId="375E62AE" w14:textId="6DAFF95E" w:rsidR="00A37DF9" w:rsidRDefault="00A37DF9" w:rsidP="00CA0D72">
            <w:pPr>
              <w:pStyle w:val="Default"/>
              <w:framePr w:w="1637" w:wrap="auto" w:vAnchor="page" w:hAnchor="page" w:x="4739" w:y="5160"/>
              <w:ind w:right="-3"/>
              <w:rPr>
                <w:color w:val="auto"/>
              </w:rPr>
            </w:pPr>
          </w:p>
        </w:tc>
        <w:tc>
          <w:tcPr>
            <w:tcW w:w="452" w:type="dxa"/>
            <w:shd w:val="clear" w:color="auto" w:fill="000000" w:themeFill="text1"/>
          </w:tcPr>
          <w:p w14:paraId="061D80A8" w14:textId="12FE891B" w:rsidR="00A37DF9" w:rsidRDefault="00A37DF9" w:rsidP="00CA0D72">
            <w:pPr>
              <w:pStyle w:val="Default"/>
              <w:framePr w:w="1637" w:wrap="auto" w:vAnchor="page" w:hAnchor="page" w:x="4739" w:y="4706"/>
              <w:ind w:right="-3"/>
              <w:rPr>
                <w:color w:val="auto"/>
              </w:rPr>
            </w:pPr>
          </w:p>
        </w:tc>
        <w:tc>
          <w:tcPr>
            <w:tcW w:w="452" w:type="dxa"/>
            <w:shd w:val="clear" w:color="auto" w:fill="000000" w:themeFill="text1"/>
          </w:tcPr>
          <w:p w14:paraId="2A50BDF9" w14:textId="49DE9152" w:rsidR="00A37DF9" w:rsidRDefault="00A37DF9" w:rsidP="00CA0D72">
            <w:pPr>
              <w:pStyle w:val="Default"/>
              <w:framePr w:w="1637" w:wrap="auto" w:vAnchor="page" w:hAnchor="page" w:x="4739" w:y="4252"/>
              <w:ind w:right="-3"/>
              <w:rPr>
                <w:color w:val="auto"/>
              </w:rPr>
            </w:pPr>
          </w:p>
        </w:tc>
        <w:tc>
          <w:tcPr>
            <w:tcW w:w="455" w:type="dxa"/>
            <w:shd w:val="clear" w:color="auto" w:fill="000000" w:themeFill="text1"/>
          </w:tcPr>
          <w:p w14:paraId="41B25360" w14:textId="7A79DFAF" w:rsidR="00A37DF9" w:rsidRDefault="00A37DF9" w:rsidP="00CA0D72">
            <w:pPr>
              <w:pStyle w:val="Default"/>
              <w:framePr w:w="1637" w:wrap="auto" w:vAnchor="page" w:hAnchor="page" w:x="4739" w:y="3798"/>
              <w:ind w:right="-3"/>
              <w:rPr>
                <w:color w:val="auto"/>
              </w:rPr>
            </w:pPr>
          </w:p>
        </w:tc>
        <w:tc>
          <w:tcPr>
            <w:tcW w:w="452" w:type="dxa"/>
            <w:shd w:val="clear" w:color="auto" w:fill="000000" w:themeFill="text1"/>
          </w:tcPr>
          <w:p w14:paraId="26CF45B5" w14:textId="3087482B" w:rsidR="00A37DF9" w:rsidRDefault="00A37DF9" w:rsidP="00CA0D72">
            <w:pPr>
              <w:pStyle w:val="Default"/>
              <w:framePr w:w="1637" w:wrap="auto" w:vAnchor="page" w:hAnchor="page" w:x="4739" w:y="3344"/>
              <w:ind w:right="-3"/>
              <w:rPr>
                <w:color w:val="auto"/>
              </w:rPr>
            </w:pPr>
          </w:p>
        </w:tc>
        <w:tc>
          <w:tcPr>
            <w:tcW w:w="452" w:type="dxa"/>
          </w:tcPr>
          <w:p w14:paraId="78B2008D" w14:textId="77777777" w:rsidR="00A37DF9" w:rsidRDefault="00A37DF9" w:rsidP="00CA0D72">
            <w:pPr>
              <w:pStyle w:val="Default"/>
              <w:ind w:right="-3"/>
              <w:rPr>
                <w:color w:val="auto"/>
              </w:rPr>
            </w:pPr>
          </w:p>
        </w:tc>
        <w:tc>
          <w:tcPr>
            <w:tcW w:w="452" w:type="dxa"/>
          </w:tcPr>
          <w:p w14:paraId="5FCC0C38" w14:textId="77777777" w:rsidR="00A37DF9" w:rsidRDefault="00A37DF9" w:rsidP="00CA0D72">
            <w:pPr>
              <w:pStyle w:val="Default"/>
              <w:ind w:right="-3"/>
              <w:rPr>
                <w:color w:val="auto"/>
              </w:rPr>
            </w:pPr>
          </w:p>
        </w:tc>
        <w:tc>
          <w:tcPr>
            <w:tcW w:w="452" w:type="dxa"/>
          </w:tcPr>
          <w:p w14:paraId="31FDA8DF" w14:textId="77777777" w:rsidR="00A37DF9" w:rsidRDefault="00A37DF9" w:rsidP="00CA0D72">
            <w:pPr>
              <w:pStyle w:val="Default"/>
              <w:ind w:right="-3"/>
              <w:rPr>
                <w:color w:val="auto"/>
              </w:rPr>
            </w:pPr>
          </w:p>
        </w:tc>
        <w:tc>
          <w:tcPr>
            <w:tcW w:w="452" w:type="dxa"/>
          </w:tcPr>
          <w:p w14:paraId="6B443565" w14:textId="77777777" w:rsidR="00A37DF9" w:rsidRDefault="00A37DF9" w:rsidP="00CA0D72">
            <w:pPr>
              <w:pStyle w:val="Default"/>
              <w:ind w:right="-3"/>
              <w:rPr>
                <w:color w:val="auto"/>
              </w:rPr>
            </w:pPr>
          </w:p>
        </w:tc>
        <w:tc>
          <w:tcPr>
            <w:tcW w:w="455" w:type="dxa"/>
          </w:tcPr>
          <w:p w14:paraId="32C16159" w14:textId="77777777" w:rsidR="00A37DF9" w:rsidRDefault="00A37DF9" w:rsidP="00CA0D72">
            <w:pPr>
              <w:pStyle w:val="Default"/>
              <w:ind w:right="-3"/>
              <w:rPr>
                <w:color w:val="auto"/>
              </w:rPr>
            </w:pPr>
          </w:p>
        </w:tc>
        <w:tc>
          <w:tcPr>
            <w:tcW w:w="455" w:type="dxa"/>
          </w:tcPr>
          <w:p w14:paraId="3FC05E56" w14:textId="77777777" w:rsidR="00A37DF9" w:rsidRDefault="00A37DF9" w:rsidP="00CA0D72">
            <w:pPr>
              <w:pStyle w:val="Default"/>
              <w:ind w:right="-3"/>
              <w:rPr>
                <w:color w:val="auto"/>
              </w:rPr>
            </w:pPr>
          </w:p>
        </w:tc>
      </w:tr>
      <w:tr w:rsidR="00A37DF9" w14:paraId="44B92D86" w14:textId="77777777" w:rsidTr="00CC4B48">
        <w:trPr>
          <w:trHeight w:val="1033"/>
        </w:trPr>
        <w:tc>
          <w:tcPr>
            <w:tcW w:w="1992" w:type="dxa"/>
          </w:tcPr>
          <w:p w14:paraId="79E1DA11" w14:textId="77777777" w:rsidR="00A37DF9" w:rsidRPr="00CC4B48" w:rsidRDefault="00A37DF9" w:rsidP="00CA0D72">
            <w:pPr>
              <w:pStyle w:val="Default"/>
              <w:ind w:right="-3"/>
              <w:rPr>
                <w:sz w:val="16"/>
                <w:szCs w:val="16"/>
              </w:rPr>
            </w:pPr>
            <w:r w:rsidRPr="00CC4B48">
              <w:rPr>
                <w:iCs/>
                <w:sz w:val="16"/>
                <w:szCs w:val="16"/>
              </w:rPr>
              <w:t xml:space="preserve">Recipient Snapshot Study </w:t>
            </w:r>
          </w:p>
        </w:tc>
        <w:tc>
          <w:tcPr>
            <w:tcW w:w="452" w:type="dxa"/>
          </w:tcPr>
          <w:p w14:paraId="6877B54F" w14:textId="77777777" w:rsidR="00A37DF9" w:rsidRDefault="00A37DF9" w:rsidP="00CA0D72">
            <w:pPr>
              <w:pStyle w:val="Default"/>
              <w:ind w:right="-3"/>
              <w:rPr>
                <w:color w:val="auto"/>
              </w:rPr>
            </w:pPr>
          </w:p>
        </w:tc>
        <w:tc>
          <w:tcPr>
            <w:tcW w:w="452" w:type="dxa"/>
          </w:tcPr>
          <w:p w14:paraId="5373908F" w14:textId="77777777" w:rsidR="00A37DF9" w:rsidRDefault="00A37DF9" w:rsidP="00CA0D72">
            <w:pPr>
              <w:pStyle w:val="Default"/>
              <w:ind w:right="-3"/>
              <w:rPr>
                <w:color w:val="auto"/>
              </w:rPr>
            </w:pPr>
          </w:p>
        </w:tc>
        <w:tc>
          <w:tcPr>
            <w:tcW w:w="452" w:type="dxa"/>
          </w:tcPr>
          <w:p w14:paraId="137D9744" w14:textId="77777777" w:rsidR="00A37DF9" w:rsidRDefault="00A37DF9" w:rsidP="00CA0D72">
            <w:pPr>
              <w:pStyle w:val="Default"/>
              <w:ind w:right="-3"/>
              <w:rPr>
                <w:color w:val="auto"/>
              </w:rPr>
            </w:pPr>
          </w:p>
        </w:tc>
        <w:tc>
          <w:tcPr>
            <w:tcW w:w="452" w:type="dxa"/>
          </w:tcPr>
          <w:p w14:paraId="5420D2F6" w14:textId="77777777" w:rsidR="00A37DF9" w:rsidRDefault="00A37DF9" w:rsidP="00CA0D72">
            <w:pPr>
              <w:pStyle w:val="Default"/>
              <w:ind w:right="-3"/>
              <w:rPr>
                <w:color w:val="auto"/>
              </w:rPr>
            </w:pPr>
          </w:p>
        </w:tc>
        <w:tc>
          <w:tcPr>
            <w:tcW w:w="455" w:type="dxa"/>
          </w:tcPr>
          <w:p w14:paraId="0A49F73F" w14:textId="77777777" w:rsidR="00A37DF9" w:rsidRDefault="00A37DF9" w:rsidP="00CA0D72">
            <w:pPr>
              <w:pStyle w:val="Default"/>
              <w:ind w:right="-3"/>
              <w:rPr>
                <w:color w:val="auto"/>
              </w:rPr>
            </w:pPr>
          </w:p>
        </w:tc>
        <w:tc>
          <w:tcPr>
            <w:tcW w:w="462" w:type="dxa"/>
          </w:tcPr>
          <w:p w14:paraId="529ED120" w14:textId="77777777" w:rsidR="00A37DF9" w:rsidRDefault="00A37DF9" w:rsidP="00CA0D72">
            <w:pPr>
              <w:pStyle w:val="Default"/>
              <w:ind w:right="-3"/>
              <w:rPr>
                <w:color w:val="auto"/>
              </w:rPr>
            </w:pPr>
          </w:p>
        </w:tc>
        <w:tc>
          <w:tcPr>
            <w:tcW w:w="452" w:type="dxa"/>
          </w:tcPr>
          <w:p w14:paraId="31C99D08" w14:textId="77777777" w:rsidR="00A37DF9" w:rsidRDefault="00A37DF9" w:rsidP="00CA0D72">
            <w:pPr>
              <w:pStyle w:val="Default"/>
              <w:ind w:right="-3"/>
              <w:rPr>
                <w:color w:val="auto"/>
              </w:rPr>
            </w:pPr>
          </w:p>
        </w:tc>
        <w:tc>
          <w:tcPr>
            <w:tcW w:w="452" w:type="dxa"/>
          </w:tcPr>
          <w:p w14:paraId="1E99FEAB" w14:textId="77777777" w:rsidR="00A37DF9" w:rsidRDefault="00A37DF9" w:rsidP="00CA0D72">
            <w:pPr>
              <w:pStyle w:val="Default"/>
              <w:ind w:right="-3"/>
              <w:rPr>
                <w:color w:val="auto"/>
              </w:rPr>
            </w:pPr>
          </w:p>
        </w:tc>
        <w:tc>
          <w:tcPr>
            <w:tcW w:w="452" w:type="dxa"/>
          </w:tcPr>
          <w:p w14:paraId="14CBB9E5" w14:textId="77777777" w:rsidR="00A37DF9" w:rsidRDefault="00A37DF9" w:rsidP="00CA0D72">
            <w:pPr>
              <w:pStyle w:val="Default"/>
              <w:ind w:right="-3"/>
              <w:rPr>
                <w:color w:val="auto"/>
              </w:rPr>
            </w:pPr>
          </w:p>
        </w:tc>
        <w:tc>
          <w:tcPr>
            <w:tcW w:w="452" w:type="dxa"/>
          </w:tcPr>
          <w:p w14:paraId="66A73C83" w14:textId="77777777" w:rsidR="00A37DF9" w:rsidRDefault="00A37DF9" w:rsidP="00CA0D72">
            <w:pPr>
              <w:pStyle w:val="Default"/>
              <w:ind w:right="-3"/>
              <w:rPr>
                <w:color w:val="auto"/>
              </w:rPr>
            </w:pPr>
          </w:p>
        </w:tc>
        <w:tc>
          <w:tcPr>
            <w:tcW w:w="455" w:type="dxa"/>
          </w:tcPr>
          <w:p w14:paraId="38C961E1" w14:textId="77777777" w:rsidR="00A37DF9" w:rsidRDefault="00A37DF9" w:rsidP="00CA0D72">
            <w:pPr>
              <w:pStyle w:val="Default"/>
              <w:ind w:right="-3"/>
              <w:rPr>
                <w:color w:val="auto"/>
              </w:rPr>
            </w:pPr>
          </w:p>
        </w:tc>
        <w:tc>
          <w:tcPr>
            <w:tcW w:w="452" w:type="dxa"/>
          </w:tcPr>
          <w:p w14:paraId="20BCCAFC" w14:textId="77777777" w:rsidR="00A37DF9" w:rsidRDefault="00A37DF9" w:rsidP="00CA0D72">
            <w:pPr>
              <w:pStyle w:val="Default"/>
              <w:ind w:right="-3"/>
              <w:rPr>
                <w:color w:val="auto"/>
              </w:rPr>
            </w:pPr>
          </w:p>
        </w:tc>
        <w:tc>
          <w:tcPr>
            <w:tcW w:w="452" w:type="dxa"/>
          </w:tcPr>
          <w:p w14:paraId="05C3DBA6" w14:textId="77777777" w:rsidR="00A37DF9" w:rsidRDefault="00A37DF9" w:rsidP="00CA0D72">
            <w:pPr>
              <w:pStyle w:val="Default"/>
              <w:ind w:right="-3"/>
              <w:rPr>
                <w:color w:val="auto"/>
              </w:rPr>
            </w:pPr>
          </w:p>
        </w:tc>
        <w:tc>
          <w:tcPr>
            <w:tcW w:w="452" w:type="dxa"/>
          </w:tcPr>
          <w:p w14:paraId="45CE2853" w14:textId="77777777" w:rsidR="00A37DF9" w:rsidRDefault="00A37DF9" w:rsidP="00CA0D72">
            <w:pPr>
              <w:pStyle w:val="Default"/>
              <w:ind w:right="-3"/>
              <w:rPr>
                <w:color w:val="auto"/>
              </w:rPr>
            </w:pPr>
          </w:p>
        </w:tc>
        <w:tc>
          <w:tcPr>
            <w:tcW w:w="452" w:type="dxa"/>
          </w:tcPr>
          <w:p w14:paraId="10EDDAC3" w14:textId="77777777" w:rsidR="00A37DF9" w:rsidRDefault="00A37DF9" w:rsidP="00CA0D72">
            <w:pPr>
              <w:pStyle w:val="Default"/>
              <w:ind w:right="-3"/>
              <w:rPr>
                <w:color w:val="auto"/>
              </w:rPr>
            </w:pPr>
          </w:p>
        </w:tc>
        <w:tc>
          <w:tcPr>
            <w:tcW w:w="452" w:type="dxa"/>
          </w:tcPr>
          <w:p w14:paraId="0FEE1FD1" w14:textId="77777777" w:rsidR="00A37DF9" w:rsidRDefault="00A37DF9" w:rsidP="00CA0D72">
            <w:pPr>
              <w:pStyle w:val="Default"/>
              <w:ind w:right="-3"/>
              <w:rPr>
                <w:color w:val="auto"/>
              </w:rPr>
            </w:pPr>
          </w:p>
        </w:tc>
        <w:tc>
          <w:tcPr>
            <w:tcW w:w="455" w:type="dxa"/>
          </w:tcPr>
          <w:p w14:paraId="3D475883" w14:textId="77777777" w:rsidR="00A37DF9" w:rsidRDefault="00A37DF9" w:rsidP="00CA0D72">
            <w:pPr>
              <w:pStyle w:val="Default"/>
              <w:ind w:right="-3"/>
              <w:rPr>
                <w:color w:val="auto"/>
              </w:rPr>
            </w:pPr>
          </w:p>
        </w:tc>
        <w:tc>
          <w:tcPr>
            <w:tcW w:w="452" w:type="dxa"/>
          </w:tcPr>
          <w:p w14:paraId="751B6D48" w14:textId="77777777" w:rsidR="00A37DF9" w:rsidRDefault="00A37DF9" w:rsidP="00CA0D72">
            <w:pPr>
              <w:pStyle w:val="Default"/>
              <w:ind w:right="-3"/>
              <w:rPr>
                <w:color w:val="auto"/>
              </w:rPr>
            </w:pPr>
          </w:p>
        </w:tc>
        <w:tc>
          <w:tcPr>
            <w:tcW w:w="452" w:type="dxa"/>
          </w:tcPr>
          <w:p w14:paraId="383C5F3D" w14:textId="77777777" w:rsidR="00A37DF9" w:rsidRDefault="00A37DF9" w:rsidP="00CA0D72">
            <w:pPr>
              <w:pStyle w:val="Default"/>
              <w:ind w:right="-3"/>
              <w:rPr>
                <w:color w:val="auto"/>
              </w:rPr>
            </w:pPr>
          </w:p>
        </w:tc>
        <w:tc>
          <w:tcPr>
            <w:tcW w:w="452" w:type="dxa"/>
          </w:tcPr>
          <w:p w14:paraId="7F1E7934" w14:textId="77777777" w:rsidR="00A37DF9" w:rsidRDefault="00A37DF9" w:rsidP="00CA0D72">
            <w:pPr>
              <w:pStyle w:val="Default"/>
              <w:ind w:right="-3"/>
              <w:rPr>
                <w:color w:val="auto"/>
              </w:rPr>
            </w:pPr>
          </w:p>
        </w:tc>
        <w:tc>
          <w:tcPr>
            <w:tcW w:w="452" w:type="dxa"/>
          </w:tcPr>
          <w:p w14:paraId="4F1CBC1F" w14:textId="77777777" w:rsidR="00A37DF9" w:rsidRDefault="00A37DF9" w:rsidP="00CA0D72">
            <w:pPr>
              <w:pStyle w:val="Default"/>
              <w:ind w:right="-3"/>
              <w:rPr>
                <w:color w:val="auto"/>
              </w:rPr>
            </w:pPr>
          </w:p>
        </w:tc>
        <w:tc>
          <w:tcPr>
            <w:tcW w:w="452" w:type="dxa"/>
          </w:tcPr>
          <w:p w14:paraId="1C69D13F" w14:textId="77777777" w:rsidR="00A37DF9" w:rsidRDefault="00A37DF9" w:rsidP="00CA0D72">
            <w:pPr>
              <w:pStyle w:val="Default"/>
              <w:ind w:right="-3"/>
              <w:rPr>
                <w:color w:val="auto"/>
              </w:rPr>
            </w:pPr>
          </w:p>
        </w:tc>
        <w:tc>
          <w:tcPr>
            <w:tcW w:w="455" w:type="dxa"/>
            <w:shd w:val="clear" w:color="auto" w:fill="000000" w:themeFill="text1"/>
          </w:tcPr>
          <w:p w14:paraId="1CCB2153" w14:textId="50E85C62" w:rsidR="00A37DF9" w:rsidRDefault="00A37DF9" w:rsidP="00CA0D72">
            <w:pPr>
              <w:pStyle w:val="Default"/>
              <w:framePr w:w="1637" w:wrap="auto" w:vAnchor="page" w:hAnchor="page" w:x="5577" w:y="3798"/>
              <w:ind w:right="-3"/>
              <w:rPr>
                <w:color w:val="auto"/>
              </w:rPr>
            </w:pPr>
          </w:p>
        </w:tc>
        <w:tc>
          <w:tcPr>
            <w:tcW w:w="452" w:type="dxa"/>
            <w:shd w:val="clear" w:color="auto" w:fill="000000" w:themeFill="text1"/>
          </w:tcPr>
          <w:p w14:paraId="632F912E" w14:textId="7D2CEF5E" w:rsidR="00A37DF9" w:rsidRDefault="00A37DF9" w:rsidP="00CA0D72">
            <w:pPr>
              <w:pStyle w:val="Default"/>
              <w:framePr w:w="1637" w:wrap="auto" w:vAnchor="page" w:hAnchor="page" w:x="5577" w:y="3344"/>
              <w:ind w:right="-3"/>
              <w:rPr>
                <w:color w:val="auto"/>
              </w:rPr>
            </w:pPr>
          </w:p>
        </w:tc>
        <w:tc>
          <w:tcPr>
            <w:tcW w:w="452" w:type="dxa"/>
            <w:shd w:val="clear" w:color="auto" w:fill="000000" w:themeFill="text1"/>
          </w:tcPr>
          <w:p w14:paraId="10548A74" w14:textId="3FE7EC33" w:rsidR="00A37DF9" w:rsidRDefault="00A37DF9" w:rsidP="00CA0D72">
            <w:pPr>
              <w:pStyle w:val="Default"/>
              <w:framePr w:w="1637" w:wrap="auto" w:vAnchor="page" w:hAnchor="page" w:x="5577" w:y="2890"/>
              <w:ind w:right="-3"/>
              <w:rPr>
                <w:color w:val="auto"/>
              </w:rPr>
            </w:pPr>
          </w:p>
        </w:tc>
        <w:tc>
          <w:tcPr>
            <w:tcW w:w="452" w:type="dxa"/>
            <w:shd w:val="clear" w:color="auto" w:fill="000000" w:themeFill="text1"/>
          </w:tcPr>
          <w:p w14:paraId="1FBD0B33" w14:textId="3F5D2E87" w:rsidR="00A37DF9" w:rsidRDefault="00A37DF9" w:rsidP="00CA0D72">
            <w:pPr>
              <w:pStyle w:val="Default"/>
              <w:framePr w:w="1637" w:wrap="auto" w:vAnchor="page" w:hAnchor="page" w:x="5577" w:y="2436"/>
              <w:ind w:right="-3"/>
              <w:rPr>
                <w:color w:val="auto"/>
              </w:rPr>
            </w:pPr>
          </w:p>
        </w:tc>
        <w:tc>
          <w:tcPr>
            <w:tcW w:w="452" w:type="dxa"/>
            <w:shd w:val="clear" w:color="auto" w:fill="000000" w:themeFill="text1"/>
          </w:tcPr>
          <w:p w14:paraId="2BB3C901" w14:textId="74CECE40" w:rsidR="00A37DF9" w:rsidRDefault="00A37DF9" w:rsidP="00CA0D72">
            <w:pPr>
              <w:pStyle w:val="Default"/>
              <w:framePr w:w="1637" w:wrap="auto" w:vAnchor="page" w:hAnchor="page" w:x="5577" w:y="1982"/>
              <w:ind w:right="-3"/>
              <w:rPr>
                <w:color w:val="auto"/>
              </w:rPr>
            </w:pPr>
          </w:p>
        </w:tc>
        <w:tc>
          <w:tcPr>
            <w:tcW w:w="452" w:type="dxa"/>
          </w:tcPr>
          <w:p w14:paraId="2B330820" w14:textId="77777777" w:rsidR="00A37DF9" w:rsidRDefault="00A37DF9" w:rsidP="00CA0D72">
            <w:pPr>
              <w:pStyle w:val="Default"/>
              <w:ind w:right="-3"/>
              <w:rPr>
                <w:color w:val="auto"/>
              </w:rPr>
            </w:pPr>
          </w:p>
        </w:tc>
        <w:tc>
          <w:tcPr>
            <w:tcW w:w="455" w:type="dxa"/>
          </w:tcPr>
          <w:p w14:paraId="5FCB8884" w14:textId="77777777" w:rsidR="00A37DF9" w:rsidRDefault="00A37DF9" w:rsidP="00CA0D72">
            <w:pPr>
              <w:pStyle w:val="Default"/>
              <w:ind w:right="-3"/>
              <w:rPr>
                <w:color w:val="auto"/>
              </w:rPr>
            </w:pPr>
          </w:p>
        </w:tc>
        <w:tc>
          <w:tcPr>
            <w:tcW w:w="455" w:type="dxa"/>
          </w:tcPr>
          <w:p w14:paraId="1E412871" w14:textId="77777777" w:rsidR="00A37DF9" w:rsidRDefault="00A37DF9" w:rsidP="00CA0D72">
            <w:pPr>
              <w:pStyle w:val="Default"/>
              <w:ind w:right="-3"/>
              <w:rPr>
                <w:color w:val="auto"/>
              </w:rPr>
            </w:pPr>
          </w:p>
        </w:tc>
      </w:tr>
      <w:tr w:rsidR="00A37DF9" w14:paraId="6FCDA281" w14:textId="77777777" w:rsidTr="00CC4B48">
        <w:trPr>
          <w:trHeight w:val="1033"/>
        </w:trPr>
        <w:tc>
          <w:tcPr>
            <w:tcW w:w="1992" w:type="dxa"/>
          </w:tcPr>
          <w:p w14:paraId="0F14498C" w14:textId="77777777" w:rsidR="00A37DF9" w:rsidRPr="00CC4B48" w:rsidRDefault="00A37DF9" w:rsidP="00CA0D72">
            <w:pPr>
              <w:pStyle w:val="Default"/>
              <w:ind w:right="-3"/>
              <w:rPr>
                <w:sz w:val="16"/>
                <w:szCs w:val="16"/>
              </w:rPr>
            </w:pPr>
            <w:r w:rsidRPr="00CC4B48">
              <w:rPr>
                <w:iCs/>
                <w:sz w:val="16"/>
                <w:szCs w:val="16"/>
              </w:rPr>
              <w:t xml:space="preserve">Controlled Comparison Study </w:t>
            </w:r>
          </w:p>
        </w:tc>
        <w:tc>
          <w:tcPr>
            <w:tcW w:w="452" w:type="dxa"/>
          </w:tcPr>
          <w:p w14:paraId="18562780" w14:textId="77777777" w:rsidR="00A37DF9" w:rsidRDefault="00A37DF9" w:rsidP="00CA0D72">
            <w:pPr>
              <w:pStyle w:val="Default"/>
              <w:ind w:right="-3"/>
              <w:rPr>
                <w:color w:val="auto"/>
              </w:rPr>
            </w:pPr>
          </w:p>
        </w:tc>
        <w:tc>
          <w:tcPr>
            <w:tcW w:w="452" w:type="dxa"/>
          </w:tcPr>
          <w:p w14:paraId="3C361059" w14:textId="77777777" w:rsidR="00A37DF9" w:rsidRDefault="00A37DF9" w:rsidP="00CA0D72">
            <w:pPr>
              <w:pStyle w:val="Default"/>
              <w:ind w:right="-3"/>
              <w:rPr>
                <w:color w:val="auto"/>
              </w:rPr>
            </w:pPr>
          </w:p>
        </w:tc>
        <w:tc>
          <w:tcPr>
            <w:tcW w:w="452" w:type="dxa"/>
          </w:tcPr>
          <w:p w14:paraId="011DFEAD" w14:textId="77777777" w:rsidR="00A37DF9" w:rsidRDefault="00A37DF9" w:rsidP="00CA0D72">
            <w:pPr>
              <w:pStyle w:val="Default"/>
              <w:ind w:right="-3"/>
              <w:rPr>
                <w:color w:val="auto"/>
              </w:rPr>
            </w:pPr>
          </w:p>
        </w:tc>
        <w:tc>
          <w:tcPr>
            <w:tcW w:w="452" w:type="dxa"/>
          </w:tcPr>
          <w:p w14:paraId="76BFEC3D" w14:textId="77777777" w:rsidR="00A37DF9" w:rsidRDefault="00A37DF9" w:rsidP="00CA0D72">
            <w:pPr>
              <w:pStyle w:val="Default"/>
              <w:ind w:right="-3"/>
              <w:rPr>
                <w:color w:val="auto"/>
              </w:rPr>
            </w:pPr>
          </w:p>
        </w:tc>
        <w:tc>
          <w:tcPr>
            <w:tcW w:w="455" w:type="dxa"/>
          </w:tcPr>
          <w:p w14:paraId="3BD6E59C" w14:textId="77777777" w:rsidR="00A37DF9" w:rsidRDefault="00A37DF9" w:rsidP="00CA0D72">
            <w:pPr>
              <w:pStyle w:val="Default"/>
              <w:ind w:right="-3"/>
              <w:rPr>
                <w:color w:val="auto"/>
              </w:rPr>
            </w:pPr>
          </w:p>
        </w:tc>
        <w:tc>
          <w:tcPr>
            <w:tcW w:w="462" w:type="dxa"/>
          </w:tcPr>
          <w:p w14:paraId="3E3363DE" w14:textId="77777777" w:rsidR="00A37DF9" w:rsidRDefault="00A37DF9" w:rsidP="00CA0D72">
            <w:pPr>
              <w:pStyle w:val="Default"/>
              <w:ind w:right="-3"/>
              <w:rPr>
                <w:color w:val="auto"/>
              </w:rPr>
            </w:pPr>
          </w:p>
        </w:tc>
        <w:tc>
          <w:tcPr>
            <w:tcW w:w="452" w:type="dxa"/>
          </w:tcPr>
          <w:p w14:paraId="548B1F74" w14:textId="77777777" w:rsidR="00A37DF9" w:rsidRDefault="00A37DF9" w:rsidP="00CA0D72">
            <w:pPr>
              <w:pStyle w:val="Default"/>
              <w:ind w:right="-3"/>
              <w:rPr>
                <w:color w:val="auto"/>
              </w:rPr>
            </w:pPr>
          </w:p>
        </w:tc>
        <w:tc>
          <w:tcPr>
            <w:tcW w:w="452" w:type="dxa"/>
          </w:tcPr>
          <w:p w14:paraId="78427CE1" w14:textId="77777777" w:rsidR="00A37DF9" w:rsidRDefault="00A37DF9" w:rsidP="00CA0D72">
            <w:pPr>
              <w:pStyle w:val="Default"/>
              <w:ind w:right="-3"/>
              <w:rPr>
                <w:color w:val="auto"/>
              </w:rPr>
            </w:pPr>
          </w:p>
        </w:tc>
        <w:tc>
          <w:tcPr>
            <w:tcW w:w="452" w:type="dxa"/>
          </w:tcPr>
          <w:p w14:paraId="29BDB87A" w14:textId="77777777" w:rsidR="00A37DF9" w:rsidRDefault="00A37DF9" w:rsidP="00CA0D72">
            <w:pPr>
              <w:pStyle w:val="Default"/>
              <w:ind w:right="-3"/>
              <w:rPr>
                <w:color w:val="auto"/>
              </w:rPr>
            </w:pPr>
          </w:p>
        </w:tc>
        <w:tc>
          <w:tcPr>
            <w:tcW w:w="452" w:type="dxa"/>
          </w:tcPr>
          <w:p w14:paraId="6E5AFA02" w14:textId="77777777" w:rsidR="00A37DF9" w:rsidRDefault="00A37DF9" w:rsidP="00CA0D72">
            <w:pPr>
              <w:pStyle w:val="Default"/>
              <w:ind w:right="-3"/>
              <w:rPr>
                <w:color w:val="auto"/>
              </w:rPr>
            </w:pPr>
          </w:p>
        </w:tc>
        <w:tc>
          <w:tcPr>
            <w:tcW w:w="455" w:type="dxa"/>
          </w:tcPr>
          <w:p w14:paraId="333608D3" w14:textId="77777777" w:rsidR="00A37DF9" w:rsidRDefault="00A37DF9" w:rsidP="00CA0D72">
            <w:pPr>
              <w:pStyle w:val="Default"/>
              <w:ind w:right="-3"/>
              <w:rPr>
                <w:color w:val="auto"/>
              </w:rPr>
            </w:pPr>
          </w:p>
        </w:tc>
        <w:tc>
          <w:tcPr>
            <w:tcW w:w="452" w:type="dxa"/>
          </w:tcPr>
          <w:p w14:paraId="3AFD6849" w14:textId="77777777" w:rsidR="00A37DF9" w:rsidRDefault="00A37DF9" w:rsidP="00CA0D72">
            <w:pPr>
              <w:pStyle w:val="Default"/>
              <w:ind w:right="-3"/>
              <w:rPr>
                <w:color w:val="auto"/>
              </w:rPr>
            </w:pPr>
          </w:p>
        </w:tc>
        <w:tc>
          <w:tcPr>
            <w:tcW w:w="452" w:type="dxa"/>
          </w:tcPr>
          <w:p w14:paraId="269685FF" w14:textId="77777777" w:rsidR="00A37DF9" w:rsidRDefault="00A37DF9" w:rsidP="00CA0D72">
            <w:pPr>
              <w:pStyle w:val="Default"/>
              <w:ind w:right="-3"/>
              <w:rPr>
                <w:color w:val="auto"/>
              </w:rPr>
            </w:pPr>
          </w:p>
        </w:tc>
        <w:tc>
          <w:tcPr>
            <w:tcW w:w="452" w:type="dxa"/>
          </w:tcPr>
          <w:p w14:paraId="779F5A6E" w14:textId="77777777" w:rsidR="00A37DF9" w:rsidRDefault="00A37DF9" w:rsidP="00CA0D72">
            <w:pPr>
              <w:pStyle w:val="Default"/>
              <w:ind w:right="-3"/>
              <w:rPr>
                <w:color w:val="auto"/>
              </w:rPr>
            </w:pPr>
          </w:p>
        </w:tc>
        <w:tc>
          <w:tcPr>
            <w:tcW w:w="452" w:type="dxa"/>
          </w:tcPr>
          <w:p w14:paraId="375D2326" w14:textId="77777777" w:rsidR="00A37DF9" w:rsidRDefault="00A37DF9" w:rsidP="00CA0D72">
            <w:pPr>
              <w:pStyle w:val="Default"/>
              <w:ind w:right="-3"/>
              <w:rPr>
                <w:color w:val="auto"/>
              </w:rPr>
            </w:pPr>
          </w:p>
        </w:tc>
        <w:tc>
          <w:tcPr>
            <w:tcW w:w="452" w:type="dxa"/>
            <w:shd w:val="clear" w:color="auto" w:fill="000000" w:themeFill="text1"/>
          </w:tcPr>
          <w:p w14:paraId="09F9FFED" w14:textId="3CCB6BF4" w:rsidR="00A37DF9" w:rsidRDefault="00A37DF9" w:rsidP="00CA0D72">
            <w:pPr>
              <w:pStyle w:val="Default"/>
              <w:framePr w:w="1490" w:wrap="auto" w:vAnchor="page" w:hAnchor="page" w:x="6414" w:y="6976"/>
              <w:ind w:right="-3"/>
              <w:rPr>
                <w:color w:val="auto"/>
              </w:rPr>
            </w:pPr>
          </w:p>
        </w:tc>
        <w:tc>
          <w:tcPr>
            <w:tcW w:w="455" w:type="dxa"/>
            <w:shd w:val="clear" w:color="auto" w:fill="000000" w:themeFill="text1"/>
          </w:tcPr>
          <w:p w14:paraId="4CDE39BE" w14:textId="62F94F79" w:rsidR="00A37DF9" w:rsidRDefault="00A37DF9" w:rsidP="00CA0D72">
            <w:pPr>
              <w:pStyle w:val="Default"/>
              <w:framePr w:w="1490" w:wrap="auto" w:vAnchor="page" w:hAnchor="page" w:x="6414" w:y="6522"/>
              <w:ind w:right="-3"/>
              <w:rPr>
                <w:color w:val="auto"/>
              </w:rPr>
            </w:pPr>
          </w:p>
        </w:tc>
        <w:tc>
          <w:tcPr>
            <w:tcW w:w="452" w:type="dxa"/>
            <w:shd w:val="clear" w:color="auto" w:fill="000000" w:themeFill="text1"/>
          </w:tcPr>
          <w:p w14:paraId="105653A5" w14:textId="116ABB03" w:rsidR="00A37DF9" w:rsidRDefault="00A37DF9" w:rsidP="00CA0D72">
            <w:pPr>
              <w:pStyle w:val="Default"/>
              <w:framePr w:w="1490" w:wrap="auto" w:vAnchor="page" w:hAnchor="page" w:x="6414" w:y="6068"/>
              <w:ind w:right="-3"/>
              <w:rPr>
                <w:color w:val="auto"/>
              </w:rPr>
            </w:pPr>
          </w:p>
        </w:tc>
        <w:tc>
          <w:tcPr>
            <w:tcW w:w="452" w:type="dxa"/>
            <w:shd w:val="clear" w:color="auto" w:fill="000000" w:themeFill="text1"/>
          </w:tcPr>
          <w:p w14:paraId="03DA4890" w14:textId="469524B3" w:rsidR="00A37DF9" w:rsidRDefault="00A37DF9" w:rsidP="00CA0D72">
            <w:pPr>
              <w:pStyle w:val="Default"/>
              <w:framePr w:w="1490" w:wrap="auto" w:vAnchor="page" w:hAnchor="page" w:x="6414" w:y="5614"/>
              <w:ind w:right="-3"/>
              <w:rPr>
                <w:color w:val="auto"/>
              </w:rPr>
            </w:pPr>
          </w:p>
        </w:tc>
        <w:tc>
          <w:tcPr>
            <w:tcW w:w="452" w:type="dxa"/>
            <w:shd w:val="clear" w:color="auto" w:fill="000000" w:themeFill="text1"/>
          </w:tcPr>
          <w:p w14:paraId="7120FC28" w14:textId="62ADD339" w:rsidR="00A37DF9" w:rsidRDefault="00A37DF9" w:rsidP="00CA0D72">
            <w:pPr>
              <w:pStyle w:val="Default"/>
              <w:framePr w:w="1490" w:wrap="auto" w:vAnchor="page" w:hAnchor="page" w:x="6414" w:y="5160"/>
              <w:ind w:right="-3"/>
              <w:rPr>
                <w:color w:val="auto"/>
              </w:rPr>
            </w:pPr>
          </w:p>
        </w:tc>
        <w:tc>
          <w:tcPr>
            <w:tcW w:w="452" w:type="dxa"/>
            <w:shd w:val="clear" w:color="auto" w:fill="000000" w:themeFill="text1"/>
          </w:tcPr>
          <w:p w14:paraId="73DD5E3B" w14:textId="418D16A3" w:rsidR="00A37DF9" w:rsidRDefault="00A37DF9" w:rsidP="00CA0D72">
            <w:pPr>
              <w:pStyle w:val="Default"/>
              <w:framePr w:w="1490" w:wrap="auto" w:vAnchor="page" w:hAnchor="page" w:x="6414" w:y="4706"/>
              <w:ind w:right="-3"/>
              <w:rPr>
                <w:color w:val="auto"/>
              </w:rPr>
            </w:pPr>
          </w:p>
        </w:tc>
        <w:tc>
          <w:tcPr>
            <w:tcW w:w="452" w:type="dxa"/>
            <w:shd w:val="clear" w:color="auto" w:fill="000000" w:themeFill="text1"/>
          </w:tcPr>
          <w:p w14:paraId="37479E01" w14:textId="5CAA3864" w:rsidR="00A37DF9" w:rsidRDefault="00A37DF9" w:rsidP="00CA0D72">
            <w:pPr>
              <w:pStyle w:val="Default"/>
              <w:framePr w:w="1490" w:wrap="auto" w:vAnchor="page" w:hAnchor="page" w:x="6414" w:y="4252"/>
              <w:ind w:right="-3"/>
              <w:rPr>
                <w:color w:val="auto"/>
              </w:rPr>
            </w:pPr>
          </w:p>
        </w:tc>
        <w:tc>
          <w:tcPr>
            <w:tcW w:w="455" w:type="dxa"/>
            <w:shd w:val="clear" w:color="auto" w:fill="000000" w:themeFill="text1"/>
          </w:tcPr>
          <w:p w14:paraId="01FCF51D" w14:textId="0942319E" w:rsidR="00A37DF9" w:rsidRDefault="00A37DF9" w:rsidP="00CA0D72">
            <w:pPr>
              <w:pStyle w:val="Default"/>
              <w:framePr w:w="1490" w:wrap="auto" w:vAnchor="page" w:hAnchor="page" w:x="6414" w:y="3798"/>
              <w:ind w:right="-3"/>
              <w:rPr>
                <w:color w:val="auto"/>
              </w:rPr>
            </w:pPr>
          </w:p>
        </w:tc>
        <w:tc>
          <w:tcPr>
            <w:tcW w:w="452" w:type="dxa"/>
            <w:shd w:val="clear" w:color="auto" w:fill="000000" w:themeFill="text1"/>
          </w:tcPr>
          <w:p w14:paraId="1569C7E9" w14:textId="4B763358" w:rsidR="00A37DF9" w:rsidRDefault="00A37DF9" w:rsidP="00CA0D72">
            <w:pPr>
              <w:pStyle w:val="Default"/>
              <w:framePr w:w="1490" w:wrap="auto" w:vAnchor="page" w:hAnchor="page" w:x="6414" w:y="3344"/>
              <w:ind w:right="-3"/>
              <w:rPr>
                <w:color w:val="auto"/>
              </w:rPr>
            </w:pPr>
          </w:p>
        </w:tc>
        <w:tc>
          <w:tcPr>
            <w:tcW w:w="452" w:type="dxa"/>
            <w:shd w:val="clear" w:color="auto" w:fill="000000" w:themeFill="text1"/>
          </w:tcPr>
          <w:p w14:paraId="70483F38" w14:textId="109C929C" w:rsidR="00A37DF9" w:rsidRDefault="00A37DF9" w:rsidP="00CA0D72">
            <w:pPr>
              <w:pStyle w:val="Default"/>
              <w:framePr w:w="1490" w:wrap="auto" w:vAnchor="page" w:hAnchor="page" w:x="6414" w:y="2890"/>
              <w:ind w:right="-3"/>
              <w:rPr>
                <w:color w:val="auto"/>
              </w:rPr>
            </w:pPr>
          </w:p>
        </w:tc>
        <w:tc>
          <w:tcPr>
            <w:tcW w:w="452" w:type="dxa"/>
            <w:shd w:val="clear" w:color="auto" w:fill="000000" w:themeFill="text1"/>
          </w:tcPr>
          <w:p w14:paraId="1FCA8E4C" w14:textId="61B123C4" w:rsidR="00A37DF9" w:rsidRDefault="00A37DF9" w:rsidP="00CA0D72">
            <w:pPr>
              <w:pStyle w:val="Default"/>
              <w:framePr w:w="1490" w:wrap="auto" w:vAnchor="page" w:hAnchor="page" w:x="6414" w:y="2436"/>
              <w:ind w:right="-3"/>
              <w:rPr>
                <w:color w:val="auto"/>
              </w:rPr>
            </w:pPr>
          </w:p>
        </w:tc>
        <w:tc>
          <w:tcPr>
            <w:tcW w:w="452" w:type="dxa"/>
            <w:shd w:val="clear" w:color="auto" w:fill="000000" w:themeFill="text1"/>
          </w:tcPr>
          <w:p w14:paraId="7B9AF9D2" w14:textId="63B5FFC6" w:rsidR="00A37DF9" w:rsidRDefault="00A37DF9" w:rsidP="00CA0D72">
            <w:pPr>
              <w:pStyle w:val="Default"/>
              <w:framePr w:w="1490" w:wrap="auto" w:vAnchor="page" w:hAnchor="page" w:x="6414" w:y="1982"/>
              <w:ind w:right="-3"/>
              <w:rPr>
                <w:color w:val="auto"/>
              </w:rPr>
            </w:pPr>
          </w:p>
        </w:tc>
        <w:tc>
          <w:tcPr>
            <w:tcW w:w="452" w:type="dxa"/>
          </w:tcPr>
          <w:p w14:paraId="036EEEC5" w14:textId="77777777" w:rsidR="00A37DF9" w:rsidRDefault="00A37DF9" w:rsidP="00CA0D72">
            <w:pPr>
              <w:pStyle w:val="Default"/>
              <w:ind w:right="-3"/>
              <w:rPr>
                <w:color w:val="auto"/>
              </w:rPr>
            </w:pPr>
          </w:p>
        </w:tc>
        <w:tc>
          <w:tcPr>
            <w:tcW w:w="455" w:type="dxa"/>
          </w:tcPr>
          <w:p w14:paraId="51CAAA3F" w14:textId="77777777" w:rsidR="00A37DF9" w:rsidRDefault="00A37DF9" w:rsidP="00CA0D72">
            <w:pPr>
              <w:pStyle w:val="Default"/>
              <w:ind w:right="-3"/>
              <w:rPr>
                <w:color w:val="auto"/>
              </w:rPr>
            </w:pPr>
          </w:p>
        </w:tc>
        <w:tc>
          <w:tcPr>
            <w:tcW w:w="455" w:type="dxa"/>
          </w:tcPr>
          <w:p w14:paraId="66F212F1" w14:textId="77777777" w:rsidR="00A37DF9" w:rsidRDefault="00A37DF9" w:rsidP="00CA0D72">
            <w:pPr>
              <w:pStyle w:val="Default"/>
              <w:ind w:right="-3"/>
              <w:rPr>
                <w:color w:val="auto"/>
              </w:rPr>
            </w:pPr>
          </w:p>
        </w:tc>
      </w:tr>
      <w:tr w:rsidR="00A37DF9" w14:paraId="6FA0BAAA" w14:textId="77777777" w:rsidTr="00CC4B48">
        <w:trPr>
          <w:trHeight w:val="1033"/>
        </w:trPr>
        <w:tc>
          <w:tcPr>
            <w:tcW w:w="1992" w:type="dxa"/>
          </w:tcPr>
          <w:p w14:paraId="3EE031D7" w14:textId="77777777" w:rsidR="00A37DF9" w:rsidRPr="00CC4B48" w:rsidRDefault="00A37DF9" w:rsidP="00CA0D72">
            <w:pPr>
              <w:pStyle w:val="Default"/>
              <w:ind w:right="-3"/>
              <w:rPr>
                <w:sz w:val="16"/>
                <w:szCs w:val="16"/>
              </w:rPr>
            </w:pPr>
            <w:r w:rsidRPr="00CC4B48">
              <w:rPr>
                <w:iCs/>
                <w:sz w:val="16"/>
                <w:szCs w:val="16"/>
              </w:rPr>
              <w:t xml:space="preserve">Cost and Effects Study </w:t>
            </w:r>
          </w:p>
        </w:tc>
        <w:tc>
          <w:tcPr>
            <w:tcW w:w="452" w:type="dxa"/>
          </w:tcPr>
          <w:p w14:paraId="39E4CC10" w14:textId="77777777" w:rsidR="00A37DF9" w:rsidRDefault="00A37DF9" w:rsidP="00CA0D72">
            <w:pPr>
              <w:pStyle w:val="Default"/>
              <w:ind w:right="-3"/>
              <w:rPr>
                <w:color w:val="auto"/>
              </w:rPr>
            </w:pPr>
          </w:p>
        </w:tc>
        <w:tc>
          <w:tcPr>
            <w:tcW w:w="452" w:type="dxa"/>
          </w:tcPr>
          <w:p w14:paraId="19755C2E" w14:textId="77777777" w:rsidR="00A37DF9" w:rsidRDefault="00A37DF9" w:rsidP="00CA0D72">
            <w:pPr>
              <w:pStyle w:val="Default"/>
              <w:ind w:right="-3"/>
              <w:rPr>
                <w:color w:val="auto"/>
              </w:rPr>
            </w:pPr>
          </w:p>
        </w:tc>
        <w:tc>
          <w:tcPr>
            <w:tcW w:w="452" w:type="dxa"/>
          </w:tcPr>
          <w:p w14:paraId="465E066F" w14:textId="77777777" w:rsidR="00A37DF9" w:rsidRDefault="00A37DF9" w:rsidP="00CA0D72">
            <w:pPr>
              <w:pStyle w:val="Default"/>
              <w:ind w:right="-3"/>
              <w:rPr>
                <w:color w:val="auto"/>
              </w:rPr>
            </w:pPr>
          </w:p>
        </w:tc>
        <w:tc>
          <w:tcPr>
            <w:tcW w:w="452" w:type="dxa"/>
          </w:tcPr>
          <w:p w14:paraId="2029B33B" w14:textId="77777777" w:rsidR="00A37DF9" w:rsidRDefault="00A37DF9" w:rsidP="00CA0D72">
            <w:pPr>
              <w:pStyle w:val="Default"/>
              <w:ind w:right="-3"/>
              <w:rPr>
                <w:color w:val="auto"/>
              </w:rPr>
            </w:pPr>
          </w:p>
        </w:tc>
        <w:tc>
          <w:tcPr>
            <w:tcW w:w="455" w:type="dxa"/>
          </w:tcPr>
          <w:p w14:paraId="7ACDAF47" w14:textId="77777777" w:rsidR="00A37DF9" w:rsidRDefault="00A37DF9" w:rsidP="00CA0D72">
            <w:pPr>
              <w:pStyle w:val="Default"/>
              <w:ind w:right="-3"/>
              <w:rPr>
                <w:color w:val="auto"/>
              </w:rPr>
            </w:pPr>
          </w:p>
        </w:tc>
        <w:tc>
          <w:tcPr>
            <w:tcW w:w="462" w:type="dxa"/>
          </w:tcPr>
          <w:p w14:paraId="3FCA369F" w14:textId="77777777" w:rsidR="00A37DF9" w:rsidRDefault="00A37DF9" w:rsidP="00CA0D72">
            <w:pPr>
              <w:pStyle w:val="Default"/>
              <w:ind w:right="-3"/>
              <w:rPr>
                <w:color w:val="auto"/>
              </w:rPr>
            </w:pPr>
          </w:p>
        </w:tc>
        <w:tc>
          <w:tcPr>
            <w:tcW w:w="452" w:type="dxa"/>
          </w:tcPr>
          <w:p w14:paraId="4B9E46F4" w14:textId="77777777" w:rsidR="00A37DF9" w:rsidRDefault="00A37DF9" w:rsidP="00CA0D72">
            <w:pPr>
              <w:pStyle w:val="Default"/>
              <w:ind w:right="-3"/>
              <w:rPr>
                <w:color w:val="auto"/>
              </w:rPr>
            </w:pPr>
          </w:p>
        </w:tc>
        <w:tc>
          <w:tcPr>
            <w:tcW w:w="452" w:type="dxa"/>
          </w:tcPr>
          <w:p w14:paraId="1214ECA3" w14:textId="77777777" w:rsidR="00A37DF9" w:rsidRDefault="00A37DF9" w:rsidP="00CA0D72">
            <w:pPr>
              <w:pStyle w:val="Default"/>
              <w:ind w:right="-3"/>
              <w:rPr>
                <w:color w:val="auto"/>
              </w:rPr>
            </w:pPr>
          </w:p>
        </w:tc>
        <w:tc>
          <w:tcPr>
            <w:tcW w:w="452" w:type="dxa"/>
          </w:tcPr>
          <w:p w14:paraId="47C6F591" w14:textId="77777777" w:rsidR="00A37DF9" w:rsidRDefault="00A37DF9" w:rsidP="00CA0D72">
            <w:pPr>
              <w:pStyle w:val="Default"/>
              <w:ind w:right="-3"/>
              <w:rPr>
                <w:color w:val="auto"/>
              </w:rPr>
            </w:pPr>
          </w:p>
        </w:tc>
        <w:tc>
          <w:tcPr>
            <w:tcW w:w="452" w:type="dxa"/>
          </w:tcPr>
          <w:p w14:paraId="36C7990A" w14:textId="77777777" w:rsidR="00A37DF9" w:rsidRDefault="00A37DF9" w:rsidP="00CA0D72">
            <w:pPr>
              <w:pStyle w:val="Default"/>
              <w:ind w:right="-3"/>
              <w:rPr>
                <w:color w:val="auto"/>
              </w:rPr>
            </w:pPr>
          </w:p>
        </w:tc>
        <w:tc>
          <w:tcPr>
            <w:tcW w:w="455" w:type="dxa"/>
          </w:tcPr>
          <w:p w14:paraId="2246D48C" w14:textId="77777777" w:rsidR="00A37DF9" w:rsidRDefault="00A37DF9" w:rsidP="00CA0D72">
            <w:pPr>
              <w:pStyle w:val="Default"/>
              <w:ind w:right="-3"/>
              <w:rPr>
                <w:color w:val="auto"/>
              </w:rPr>
            </w:pPr>
          </w:p>
        </w:tc>
        <w:tc>
          <w:tcPr>
            <w:tcW w:w="452" w:type="dxa"/>
          </w:tcPr>
          <w:p w14:paraId="1254D661" w14:textId="77777777" w:rsidR="00A37DF9" w:rsidRDefault="00A37DF9" w:rsidP="00CA0D72">
            <w:pPr>
              <w:pStyle w:val="Default"/>
              <w:ind w:right="-3"/>
              <w:rPr>
                <w:color w:val="auto"/>
              </w:rPr>
            </w:pPr>
          </w:p>
        </w:tc>
        <w:tc>
          <w:tcPr>
            <w:tcW w:w="452" w:type="dxa"/>
          </w:tcPr>
          <w:p w14:paraId="5BB100B5" w14:textId="77777777" w:rsidR="00A37DF9" w:rsidRDefault="00A37DF9" w:rsidP="00CA0D72">
            <w:pPr>
              <w:pStyle w:val="Default"/>
              <w:ind w:right="-3"/>
              <w:rPr>
                <w:color w:val="auto"/>
              </w:rPr>
            </w:pPr>
          </w:p>
        </w:tc>
        <w:tc>
          <w:tcPr>
            <w:tcW w:w="452" w:type="dxa"/>
          </w:tcPr>
          <w:p w14:paraId="307505CF" w14:textId="77777777" w:rsidR="00A37DF9" w:rsidRDefault="00A37DF9" w:rsidP="00CA0D72">
            <w:pPr>
              <w:pStyle w:val="Default"/>
              <w:ind w:right="-3"/>
              <w:rPr>
                <w:color w:val="auto"/>
              </w:rPr>
            </w:pPr>
          </w:p>
        </w:tc>
        <w:tc>
          <w:tcPr>
            <w:tcW w:w="452" w:type="dxa"/>
          </w:tcPr>
          <w:p w14:paraId="146C98D0" w14:textId="77777777" w:rsidR="00A37DF9" w:rsidRDefault="00A37DF9" w:rsidP="00CA0D72">
            <w:pPr>
              <w:pStyle w:val="Default"/>
              <w:ind w:right="-3"/>
              <w:rPr>
                <w:color w:val="auto"/>
              </w:rPr>
            </w:pPr>
          </w:p>
        </w:tc>
        <w:tc>
          <w:tcPr>
            <w:tcW w:w="452" w:type="dxa"/>
            <w:shd w:val="clear" w:color="auto" w:fill="000000" w:themeFill="text1"/>
          </w:tcPr>
          <w:p w14:paraId="1D53EC9F" w14:textId="58224C82" w:rsidR="00A37DF9" w:rsidRDefault="00A37DF9" w:rsidP="00CA0D72">
            <w:pPr>
              <w:pStyle w:val="Default"/>
              <w:framePr w:w="1490" w:wrap="auto" w:vAnchor="page" w:hAnchor="page" w:x="7104" w:y="6976"/>
              <w:ind w:right="-3"/>
              <w:rPr>
                <w:color w:val="auto"/>
              </w:rPr>
            </w:pPr>
          </w:p>
        </w:tc>
        <w:tc>
          <w:tcPr>
            <w:tcW w:w="455" w:type="dxa"/>
            <w:shd w:val="clear" w:color="auto" w:fill="000000" w:themeFill="text1"/>
          </w:tcPr>
          <w:p w14:paraId="775F4078" w14:textId="36DE018D" w:rsidR="00A37DF9" w:rsidRDefault="00A37DF9" w:rsidP="00CA0D72">
            <w:pPr>
              <w:pStyle w:val="Default"/>
              <w:framePr w:w="1490" w:wrap="auto" w:vAnchor="page" w:hAnchor="page" w:x="7104" w:y="6522"/>
              <w:ind w:right="-3"/>
              <w:rPr>
                <w:color w:val="auto"/>
              </w:rPr>
            </w:pPr>
          </w:p>
        </w:tc>
        <w:tc>
          <w:tcPr>
            <w:tcW w:w="452" w:type="dxa"/>
            <w:shd w:val="clear" w:color="auto" w:fill="000000" w:themeFill="text1"/>
          </w:tcPr>
          <w:p w14:paraId="5B89A957" w14:textId="7DEE4E64" w:rsidR="00A37DF9" w:rsidRDefault="00A37DF9" w:rsidP="00CA0D72">
            <w:pPr>
              <w:pStyle w:val="Default"/>
              <w:framePr w:w="1490" w:wrap="auto" w:vAnchor="page" w:hAnchor="page" w:x="7104" w:y="6068"/>
              <w:ind w:right="-3"/>
              <w:rPr>
                <w:color w:val="auto"/>
              </w:rPr>
            </w:pPr>
          </w:p>
        </w:tc>
        <w:tc>
          <w:tcPr>
            <w:tcW w:w="452" w:type="dxa"/>
            <w:shd w:val="clear" w:color="auto" w:fill="000000" w:themeFill="text1"/>
          </w:tcPr>
          <w:p w14:paraId="63E9A562" w14:textId="3A42602B" w:rsidR="00A37DF9" w:rsidRDefault="00A37DF9" w:rsidP="00CA0D72">
            <w:pPr>
              <w:pStyle w:val="Default"/>
              <w:framePr w:w="1490" w:wrap="auto" w:vAnchor="page" w:hAnchor="page" w:x="7104" w:y="5614"/>
              <w:ind w:right="-3"/>
              <w:rPr>
                <w:color w:val="auto"/>
              </w:rPr>
            </w:pPr>
          </w:p>
        </w:tc>
        <w:tc>
          <w:tcPr>
            <w:tcW w:w="452" w:type="dxa"/>
            <w:shd w:val="clear" w:color="auto" w:fill="000000" w:themeFill="text1"/>
          </w:tcPr>
          <w:p w14:paraId="1C133509" w14:textId="1F70259E" w:rsidR="00A37DF9" w:rsidRDefault="00A37DF9" w:rsidP="00CA0D72">
            <w:pPr>
              <w:pStyle w:val="Default"/>
              <w:framePr w:w="1490" w:wrap="auto" w:vAnchor="page" w:hAnchor="page" w:x="7104" w:y="5160"/>
              <w:ind w:right="-3"/>
              <w:rPr>
                <w:color w:val="auto"/>
              </w:rPr>
            </w:pPr>
          </w:p>
        </w:tc>
        <w:tc>
          <w:tcPr>
            <w:tcW w:w="452" w:type="dxa"/>
            <w:shd w:val="clear" w:color="auto" w:fill="000000" w:themeFill="text1"/>
          </w:tcPr>
          <w:p w14:paraId="4D8E5887" w14:textId="2C5FE9A1" w:rsidR="00A37DF9" w:rsidRDefault="00A37DF9" w:rsidP="00CA0D72">
            <w:pPr>
              <w:pStyle w:val="Default"/>
              <w:framePr w:w="1490" w:wrap="auto" w:vAnchor="page" w:hAnchor="page" w:x="7104" w:y="4706"/>
              <w:ind w:right="-3"/>
              <w:rPr>
                <w:color w:val="auto"/>
              </w:rPr>
            </w:pPr>
          </w:p>
        </w:tc>
        <w:tc>
          <w:tcPr>
            <w:tcW w:w="452" w:type="dxa"/>
            <w:shd w:val="clear" w:color="auto" w:fill="000000" w:themeFill="text1"/>
          </w:tcPr>
          <w:p w14:paraId="0202F5FF" w14:textId="7692870C" w:rsidR="00A37DF9" w:rsidRDefault="00A37DF9" w:rsidP="00CA0D72">
            <w:pPr>
              <w:pStyle w:val="Default"/>
              <w:framePr w:w="1490" w:wrap="auto" w:vAnchor="page" w:hAnchor="page" w:x="7104" w:y="4252"/>
              <w:ind w:right="-3"/>
              <w:rPr>
                <w:color w:val="auto"/>
              </w:rPr>
            </w:pPr>
          </w:p>
        </w:tc>
        <w:tc>
          <w:tcPr>
            <w:tcW w:w="455" w:type="dxa"/>
            <w:shd w:val="clear" w:color="auto" w:fill="000000" w:themeFill="text1"/>
          </w:tcPr>
          <w:p w14:paraId="167A4C00" w14:textId="6E53D516" w:rsidR="00A37DF9" w:rsidRDefault="00A37DF9" w:rsidP="00CA0D72">
            <w:pPr>
              <w:pStyle w:val="Default"/>
              <w:framePr w:w="1490" w:wrap="auto" w:vAnchor="page" w:hAnchor="page" w:x="7104" w:y="3798"/>
              <w:ind w:right="-3"/>
              <w:rPr>
                <w:color w:val="auto"/>
              </w:rPr>
            </w:pPr>
          </w:p>
        </w:tc>
        <w:tc>
          <w:tcPr>
            <w:tcW w:w="452" w:type="dxa"/>
            <w:shd w:val="clear" w:color="auto" w:fill="000000" w:themeFill="text1"/>
          </w:tcPr>
          <w:p w14:paraId="7838ACEB" w14:textId="2122A541" w:rsidR="00A37DF9" w:rsidRDefault="00A37DF9" w:rsidP="00CA0D72">
            <w:pPr>
              <w:pStyle w:val="Default"/>
              <w:framePr w:w="1490" w:wrap="auto" w:vAnchor="page" w:hAnchor="page" w:x="7104" w:y="3344"/>
              <w:ind w:right="-3"/>
              <w:rPr>
                <w:color w:val="auto"/>
              </w:rPr>
            </w:pPr>
          </w:p>
        </w:tc>
        <w:tc>
          <w:tcPr>
            <w:tcW w:w="452" w:type="dxa"/>
            <w:shd w:val="clear" w:color="auto" w:fill="000000" w:themeFill="text1"/>
          </w:tcPr>
          <w:p w14:paraId="2F8BCB58" w14:textId="492A769E" w:rsidR="00A37DF9" w:rsidRDefault="00A37DF9" w:rsidP="00CA0D72">
            <w:pPr>
              <w:pStyle w:val="Default"/>
              <w:framePr w:w="1490" w:wrap="auto" w:vAnchor="page" w:hAnchor="page" w:x="7104" w:y="2890"/>
              <w:ind w:right="-3"/>
              <w:rPr>
                <w:color w:val="auto"/>
              </w:rPr>
            </w:pPr>
          </w:p>
        </w:tc>
        <w:tc>
          <w:tcPr>
            <w:tcW w:w="452" w:type="dxa"/>
            <w:shd w:val="clear" w:color="auto" w:fill="000000" w:themeFill="text1"/>
          </w:tcPr>
          <w:p w14:paraId="4FE05BA3" w14:textId="7D157A97" w:rsidR="00A37DF9" w:rsidRDefault="00A37DF9" w:rsidP="00CA0D72">
            <w:pPr>
              <w:pStyle w:val="Default"/>
              <w:framePr w:w="1490" w:wrap="auto" w:vAnchor="page" w:hAnchor="page" w:x="7104" w:y="2436"/>
              <w:ind w:right="-3"/>
              <w:rPr>
                <w:color w:val="auto"/>
              </w:rPr>
            </w:pPr>
          </w:p>
        </w:tc>
        <w:tc>
          <w:tcPr>
            <w:tcW w:w="452" w:type="dxa"/>
            <w:shd w:val="clear" w:color="auto" w:fill="000000" w:themeFill="text1"/>
          </w:tcPr>
          <w:p w14:paraId="4137B4B6" w14:textId="3C0CE1FA" w:rsidR="00A37DF9" w:rsidRDefault="00A37DF9" w:rsidP="00CA0D72">
            <w:pPr>
              <w:pStyle w:val="Default"/>
              <w:framePr w:w="1490" w:wrap="auto" w:vAnchor="page" w:hAnchor="page" w:x="7104" w:y="1982"/>
              <w:ind w:right="-3"/>
              <w:rPr>
                <w:color w:val="auto"/>
              </w:rPr>
            </w:pPr>
          </w:p>
        </w:tc>
        <w:tc>
          <w:tcPr>
            <w:tcW w:w="452" w:type="dxa"/>
          </w:tcPr>
          <w:p w14:paraId="111C90FF" w14:textId="77777777" w:rsidR="00A37DF9" w:rsidRDefault="00A37DF9" w:rsidP="00CA0D72">
            <w:pPr>
              <w:pStyle w:val="Default"/>
              <w:ind w:right="-3"/>
              <w:rPr>
                <w:color w:val="auto"/>
              </w:rPr>
            </w:pPr>
          </w:p>
        </w:tc>
        <w:tc>
          <w:tcPr>
            <w:tcW w:w="455" w:type="dxa"/>
          </w:tcPr>
          <w:p w14:paraId="0FF3492D" w14:textId="77777777" w:rsidR="00A37DF9" w:rsidRDefault="00A37DF9" w:rsidP="00CA0D72">
            <w:pPr>
              <w:pStyle w:val="Default"/>
              <w:ind w:right="-3"/>
              <w:rPr>
                <w:color w:val="auto"/>
              </w:rPr>
            </w:pPr>
          </w:p>
        </w:tc>
        <w:tc>
          <w:tcPr>
            <w:tcW w:w="455" w:type="dxa"/>
          </w:tcPr>
          <w:p w14:paraId="034B0237" w14:textId="77777777" w:rsidR="00A37DF9" w:rsidRDefault="00A37DF9" w:rsidP="00CA0D72">
            <w:pPr>
              <w:pStyle w:val="Default"/>
              <w:ind w:right="-3"/>
              <w:rPr>
                <w:color w:val="auto"/>
              </w:rPr>
            </w:pPr>
          </w:p>
        </w:tc>
      </w:tr>
    </w:tbl>
    <w:p w14:paraId="0AD5ABEE" w14:textId="11219898" w:rsidR="00A202B7" w:rsidRDefault="00CC4B48" w:rsidP="00CC4B48">
      <w:pPr>
        <w:sectPr w:rsidR="00A202B7" w:rsidSect="00A202B7">
          <w:pgSz w:w="17340" w:h="11904" w:orient="landscape"/>
          <w:pgMar w:top="1276" w:right="1134" w:bottom="1272" w:left="1134" w:header="720" w:footer="720" w:gutter="0"/>
          <w:cols w:space="720"/>
          <w:noEndnote/>
          <w:docGrid w:linePitch="326"/>
        </w:sectPr>
      </w:pPr>
      <w:r>
        <w:t>1: In the Regional Characterization Study, population data were estimated at 30 June 2006; Aged Care places at 31 December 2005 and 30 June 2006; Australasian Rehabilitation Outcomes Centre provided data as at 30 June 2006</w:t>
      </w:r>
    </w:p>
    <w:p w14:paraId="54DA3536" w14:textId="77777777" w:rsidR="005D7ABA" w:rsidRDefault="00846CDA" w:rsidP="00CA0D72">
      <w:pPr>
        <w:pStyle w:val="Heading2"/>
        <w:ind w:right="-3"/>
      </w:pPr>
      <w:bookmarkStart w:id="26" w:name="_Toc402348873"/>
      <w:r>
        <w:lastRenderedPageBreak/>
        <w:t>1.2. Implementation of Transition Care in each jurisdiction</w:t>
      </w:r>
      <w:bookmarkEnd w:id="26"/>
    </w:p>
    <w:p w14:paraId="438C0AB2" w14:textId="0A9A19BE" w:rsidR="005D7ABA" w:rsidRDefault="00846CDA" w:rsidP="00CA0D72">
      <w:pPr>
        <w:ind w:right="-3"/>
      </w:pPr>
      <w:r w:rsidRPr="00DB36A0">
        <w:t xml:space="preserve">TC is a new program in Australia and the rollout of TC in each of the Australian states and territories has varied according to the local climate of health service provision.  TC places are flexible care places under the </w:t>
      </w:r>
      <w:r>
        <w:rPr>
          <w:i/>
          <w:iCs/>
          <w:sz w:val="20"/>
          <w:szCs w:val="20"/>
        </w:rPr>
        <w:t xml:space="preserve">Aged Care Act 1997 </w:t>
      </w:r>
      <w:r w:rsidRPr="00DB36A0">
        <w:t>which can be used flexibly in either the residential or community setting.  TC services include state funded health services and aged care organizations.  There is heterogeneity in the number and mix of TC places allocated (residential and community), time since the service became operational, model of service delivery and extent of brokerage arrangements.  The allocation of TC places (broken down by type of operational place which can be</w:t>
      </w:r>
      <w:r w:rsidR="00162DC9" w:rsidRPr="00162DC9">
        <w:t xml:space="preserve"> </w:t>
      </w:r>
      <w:r w:rsidR="00162DC9" w:rsidRPr="00DB36A0">
        <w:t>changed according to needs) is presented in Table 1.2.</w:t>
      </w:r>
    </w:p>
    <w:p w14:paraId="78A90E57" w14:textId="3CDB48FE" w:rsidR="00162DC9" w:rsidRDefault="00162DC9" w:rsidP="00CA0D72">
      <w:pPr>
        <w:pStyle w:val="CM88"/>
        <w:spacing w:line="346" w:lineRule="atLeast"/>
        <w:ind w:right="-3"/>
        <w:rPr>
          <w:b/>
          <w:bCs/>
          <w:sz w:val="20"/>
          <w:szCs w:val="20"/>
        </w:rPr>
      </w:pPr>
    </w:p>
    <w:p w14:paraId="08982090" w14:textId="77777777" w:rsidR="00846CDA" w:rsidRPr="00162DC9" w:rsidRDefault="00846CDA" w:rsidP="00CA0D72">
      <w:pPr>
        <w:ind w:right="-3"/>
        <w:rPr>
          <w:b/>
        </w:rPr>
      </w:pPr>
      <w:r w:rsidRPr="00162DC9">
        <w:rPr>
          <w:b/>
        </w:rPr>
        <w:t xml:space="preserve">Table 1.2: Allocation and operation of Transition Care places as at 30 June 2007 </w:t>
      </w:r>
    </w:p>
    <w:tbl>
      <w:tblPr>
        <w:tblStyle w:val="TableGrid"/>
        <w:tblW w:w="0" w:type="auto"/>
        <w:tblLook w:val="01E0" w:firstRow="1" w:lastRow="1" w:firstColumn="1" w:lastColumn="1" w:noHBand="0" w:noVBand="0"/>
        <w:tblDescription w:val="Table 1.2: Allocation and operation of Transition Care places as at 30 June 2007 "/>
      </w:tblPr>
      <w:tblGrid>
        <w:gridCol w:w="1440"/>
        <w:gridCol w:w="2440"/>
        <w:gridCol w:w="2830"/>
        <w:gridCol w:w="2862"/>
      </w:tblGrid>
      <w:tr w:rsidR="00E53B6B" w:rsidRPr="00E53B6B" w14:paraId="11E1BFF3" w14:textId="77777777" w:rsidTr="009F2D50">
        <w:trPr>
          <w:tblHeader/>
        </w:trPr>
        <w:tc>
          <w:tcPr>
            <w:tcW w:w="1418" w:type="dxa"/>
          </w:tcPr>
          <w:p w14:paraId="4F25D8A7" w14:textId="77777777" w:rsidR="00E53B6B" w:rsidRPr="00E53B6B" w:rsidRDefault="00E53B6B" w:rsidP="00CA0D72">
            <w:pPr>
              <w:ind w:right="-3"/>
              <w:rPr>
                <w:b/>
              </w:rPr>
            </w:pPr>
            <w:r w:rsidRPr="00E53B6B">
              <w:rPr>
                <w:b/>
              </w:rPr>
              <w:t>Jurisdiction</w:t>
            </w:r>
          </w:p>
        </w:tc>
        <w:tc>
          <w:tcPr>
            <w:tcW w:w="2551" w:type="dxa"/>
          </w:tcPr>
          <w:p w14:paraId="79F55C2D" w14:textId="77777777" w:rsidR="00E53B6B" w:rsidRPr="00E53B6B" w:rsidRDefault="00E53B6B" w:rsidP="00CA0D72">
            <w:pPr>
              <w:ind w:right="-3"/>
              <w:rPr>
                <w:b/>
              </w:rPr>
            </w:pPr>
            <w:r w:rsidRPr="00E53B6B">
              <w:rPr>
                <w:b/>
              </w:rPr>
              <w:t xml:space="preserve"> Residential operational </w:t>
            </w:r>
          </w:p>
        </w:tc>
        <w:tc>
          <w:tcPr>
            <w:tcW w:w="2977" w:type="dxa"/>
          </w:tcPr>
          <w:p w14:paraId="54DE1E8F" w14:textId="77777777" w:rsidR="00E53B6B" w:rsidRPr="00E53B6B" w:rsidRDefault="00E53B6B" w:rsidP="00CA0D72">
            <w:pPr>
              <w:ind w:right="-3"/>
              <w:rPr>
                <w:b/>
              </w:rPr>
            </w:pPr>
            <w:r w:rsidRPr="00E53B6B">
              <w:rPr>
                <w:b/>
              </w:rPr>
              <w:t xml:space="preserve">Community operational </w:t>
            </w:r>
          </w:p>
        </w:tc>
        <w:tc>
          <w:tcPr>
            <w:tcW w:w="3045" w:type="dxa"/>
          </w:tcPr>
          <w:p w14:paraId="684749A9" w14:textId="77777777" w:rsidR="00E53B6B" w:rsidRPr="00E53B6B" w:rsidRDefault="00E53B6B" w:rsidP="00CA0D72">
            <w:pPr>
              <w:ind w:right="-3"/>
              <w:rPr>
                <w:b/>
              </w:rPr>
            </w:pPr>
            <w:r w:rsidRPr="00E53B6B">
              <w:rPr>
                <w:b/>
              </w:rPr>
              <w:t xml:space="preserve">Total allocated </w:t>
            </w:r>
          </w:p>
        </w:tc>
      </w:tr>
      <w:tr w:rsidR="00E53B6B" w:rsidRPr="00E53B6B" w14:paraId="4C16BA4D" w14:textId="77777777" w:rsidTr="009F2D50">
        <w:tc>
          <w:tcPr>
            <w:tcW w:w="1418" w:type="dxa"/>
          </w:tcPr>
          <w:p w14:paraId="1C8D81CE" w14:textId="77777777" w:rsidR="00E53B6B" w:rsidRPr="00E53B6B" w:rsidRDefault="00E53B6B" w:rsidP="00CA0D72">
            <w:pPr>
              <w:spacing w:before="20" w:after="40"/>
              <w:ind w:right="-3"/>
            </w:pPr>
            <w:r w:rsidRPr="00E53B6B">
              <w:t xml:space="preserve">ACT </w:t>
            </w:r>
          </w:p>
        </w:tc>
        <w:tc>
          <w:tcPr>
            <w:tcW w:w="2551" w:type="dxa"/>
          </w:tcPr>
          <w:p w14:paraId="7BB97BF9" w14:textId="77777777" w:rsidR="00E53B6B" w:rsidRPr="00E53B6B" w:rsidRDefault="00E53B6B" w:rsidP="00CA0D72">
            <w:pPr>
              <w:spacing w:before="20" w:after="40"/>
              <w:ind w:right="-3"/>
            </w:pPr>
            <w:r w:rsidRPr="00E53B6B">
              <w:t xml:space="preserve">15 </w:t>
            </w:r>
          </w:p>
        </w:tc>
        <w:tc>
          <w:tcPr>
            <w:tcW w:w="2977" w:type="dxa"/>
          </w:tcPr>
          <w:p w14:paraId="15D5EBE2" w14:textId="77777777" w:rsidR="00E53B6B" w:rsidRPr="00E53B6B" w:rsidRDefault="00E53B6B" w:rsidP="00CA0D72">
            <w:pPr>
              <w:spacing w:before="20" w:after="40"/>
              <w:ind w:right="-3"/>
            </w:pPr>
            <w:r w:rsidRPr="00E53B6B">
              <w:t xml:space="preserve">20 </w:t>
            </w:r>
          </w:p>
        </w:tc>
        <w:tc>
          <w:tcPr>
            <w:tcW w:w="3045" w:type="dxa"/>
          </w:tcPr>
          <w:p w14:paraId="4AC6EA48" w14:textId="77777777" w:rsidR="00E53B6B" w:rsidRPr="00E53B6B" w:rsidRDefault="00E53B6B" w:rsidP="00CA0D72">
            <w:pPr>
              <w:spacing w:before="20" w:after="40"/>
              <w:ind w:right="-3"/>
            </w:pPr>
            <w:r w:rsidRPr="00E53B6B">
              <w:t xml:space="preserve">35 </w:t>
            </w:r>
          </w:p>
        </w:tc>
      </w:tr>
      <w:tr w:rsidR="00E53B6B" w:rsidRPr="00E53B6B" w14:paraId="26CDB9BA" w14:textId="77777777" w:rsidTr="009F2D50">
        <w:tc>
          <w:tcPr>
            <w:tcW w:w="1418" w:type="dxa"/>
          </w:tcPr>
          <w:p w14:paraId="1EF5F643" w14:textId="77777777" w:rsidR="00E53B6B" w:rsidRPr="00E53B6B" w:rsidRDefault="00E53B6B" w:rsidP="00CA0D72">
            <w:pPr>
              <w:spacing w:before="20" w:after="40"/>
              <w:ind w:right="-3"/>
            </w:pPr>
            <w:r w:rsidRPr="00E53B6B">
              <w:t xml:space="preserve">NSW </w:t>
            </w:r>
          </w:p>
        </w:tc>
        <w:tc>
          <w:tcPr>
            <w:tcW w:w="2551" w:type="dxa"/>
          </w:tcPr>
          <w:p w14:paraId="5CF53D75" w14:textId="77777777" w:rsidR="00E53B6B" w:rsidRPr="00E53B6B" w:rsidRDefault="00E53B6B" w:rsidP="00CA0D72">
            <w:pPr>
              <w:spacing w:before="20" w:after="40"/>
              <w:ind w:right="-3"/>
            </w:pPr>
            <w:r w:rsidRPr="00E53B6B">
              <w:t xml:space="preserve">81 </w:t>
            </w:r>
          </w:p>
        </w:tc>
        <w:tc>
          <w:tcPr>
            <w:tcW w:w="2977" w:type="dxa"/>
          </w:tcPr>
          <w:p w14:paraId="47439888" w14:textId="77777777" w:rsidR="00E53B6B" w:rsidRPr="00E53B6B" w:rsidRDefault="00E53B6B" w:rsidP="00CA0D72">
            <w:pPr>
              <w:spacing w:before="20" w:after="40"/>
              <w:ind w:right="-3"/>
            </w:pPr>
            <w:r w:rsidRPr="00E53B6B">
              <w:t xml:space="preserve">490 </w:t>
            </w:r>
          </w:p>
        </w:tc>
        <w:tc>
          <w:tcPr>
            <w:tcW w:w="3045" w:type="dxa"/>
          </w:tcPr>
          <w:p w14:paraId="073F69E2" w14:textId="77777777" w:rsidR="00E53B6B" w:rsidRPr="00E53B6B" w:rsidRDefault="00E53B6B" w:rsidP="00CA0D72">
            <w:pPr>
              <w:spacing w:before="20" w:after="40"/>
              <w:ind w:right="-3"/>
            </w:pPr>
            <w:r w:rsidRPr="00E53B6B">
              <w:t xml:space="preserve">703 </w:t>
            </w:r>
          </w:p>
        </w:tc>
      </w:tr>
      <w:tr w:rsidR="00E53B6B" w:rsidRPr="00E53B6B" w14:paraId="6941A617" w14:textId="77777777" w:rsidTr="009F2D50">
        <w:tc>
          <w:tcPr>
            <w:tcW w:w="1418" w:type="dxa"/>
          </w:tcPr>
          <w:p w14:paraId="3D5AD802" w14:textId="77777777" w:rsidR="00E53B6B" w:rsidRPr="00E53B6B" w:rsidRDefault="00E53B6B" w:rsidP="00CA0D72">
            <w:pPr>
              <w:spacing w:before="20" w:after="40"/>
              <w:ind w:right="-3"/>
            </w:pPr>
            <w:r w:rsidRPr="00E53B6B">
              <w:t xml:space="preserve">NT </w:t>
            </w:r>
          </w:p>
        </w:tc>
        <w:tc>
          <w:tcPr>
            <w:tcW w:w="2551" w:type="dxa"/>
          </w:tcPr>
          <w:p w14:paraId="611D8A7C" w14:textId="77777777" w:rsidR="00E53B6B" w:rsidRPr="00E53B6B" w:rsidRDefault="00E53B6B" w:rsidP="00CA0D72">
            <w:pPr>
              <w:spacing w:before="20" w:after="40"/>
              <w:ind w:right="-3"/>
            </w:pPr>
            <w:r w:rsidRPr="00E53B6B">
              <w:t xml:space="preserve">8 </w:t>
            </w:r>
          </w:p>
        </w:tc>
        <w:tc>
          <w:tcPr>
            <w:tcW w:w="2977" w:type="dxa"/>
          </w:tcPr>
          <w:p w14:paraId="45569502" w14:textId="77777777" w:rsidR="00E53B6B" w:rsidRPr="00E53B6B" w:rsidRDefault="00E53B6B" w:rsidP="00CA0D72">
            <w:pPr>
              <w:spacing w:before="20" w:after="40"/>
              <w:ind w:right="-3"/>
            </w:pPr>
            <w:r w:rsidRPr="00E53B6B">
              <w:t xml:space="preserve">0 </w:t>
            </w:r>
          </w:p>
        </w:tc>
        <w:tc>
          <w:tcPr>
            <w:tcW w:w="3045" w:type="dxa"/>
          </w:tcPr>
          <w:p w14:paraId="259F3F07" w14:textId="77777777" w:rsidR="00E53B6B" w:rsidRPr="00E53B6B" w:rsidRDefault="00E53B6B" w:rsidP="00CA0D72">
            <w:pPr>
              <w:spacing w:before="20" w:after="40"/>
              <w:ind w:right="-3"/>
            </w:pPr>
            <w:r w:rsidRPr="00E53B6B">
              <w:t xml:space="preserve">16 </w:t>
            </w:r>
          </w:p>
        </w:tc>
      </w:tr>
      <w:tr w:rsidR="00E53B6B" w:rsidRPr="00E53B6B" w14:paraId="2D9E43CD" w14:textId="77777777" w:rsidTr="009F2D50">
        <w:tc>
          <w:tcPr>
            <w:tcW w:w="1418" w:type="dxa"/>
          </w:tcPr>
          <w:p w14:paraId="168DA330" w14:textId="77777777" w:rsidR="00E53B6B" w:rsidRPr="00E53B6B" w:rsidRDefault="00E53B6B" w:rsidP="00CA0D72">
            <w:pPr>
              <w:spacing w:before="20" w:after="40"/>
              <w:ind w:right="-3"/>
            </w:pPr>
            <w:r w:rsidRPr="00E53B6B">
              <w:t xml:space="preserve">QLD </w:t>
            </w:r>
          </w:p>
        </w:tc>
        <w:tc>
          <w:tcPr>
            <w:tcW w:w="2551" w:type="dxa"/>
          </w:tcPr>
          <w:p w14:paraId="52BA3251" w14:textId="77777777" w:rsidR="00E53B6B" w:rsidRPr="00E53B6B" w:rsidRDefault="00E53B6B" w:rsidP="00CA0D72">
            <w:pPr>
              <w:spacing w:before="20" w:after="40"/>
              <w:ind w:right="-3"/>
            </w:pPr>
            <w:r w:rsidRPr="00E53B6B">
              <w:t xml:space="preserve">17 </w:t>
            </w:r>
          </w:p>
        </w:tc>
        <w:tc>
          <w:tcPr>
            <w:tcW w:w="2977" w:type="dxa"/>
          </w:tcPr>
          <w:p w14:paraId="4C292B03" w14:textId="77777777" w:rsidR="00E53B6B" w:rsidRPr="00E53B6B" w:rsidRDefault="00E53B6B" w:rsidP="00CA0D72">
            <w:pPr>
              <w:spacing w:before="20" w:after="40"/>
              <w:ind w:right="-3"/>
            </w:pPr>
            <w:r w:rsidRPr="00E53B6B">
              <w:t xml:space="preserve">240 </w:t>
            </w:r>
          </w:p>
        </w:tc>
        <w:tc>
          <w:tcPr>
            <w:tcW w:w="3045" w:type="dxa"/>
          </w:tcPr>
          <w:p w14:paraId="6263E6E8" w14:textId="77777777" w:rsidR="00E53B6B" w:rsidRPr="00E53B6B" w:rsidRDefault="00E53B6B" w:rsidP="00CA0D72">
            <w:pPr>
              <w:spacing w:before="20" w:after="40"/>
              <w:ind w:right="-3"/>
            </w:pPr>
            <w:r w:rsidRPr="00E53B6B">
              <w:t xml:space="preserve">351 </w:t>
            </w:r>
          </w:p>
        </w:tc>
      </w:tr>
      <w:tr w:rsidR="00E53B6B" w:rsidRPr="00E53B6B" w14:paraId="7B7E2823" w14:textId="77777777" w:rsidTr="009F2D50">
        <w:tc>
          <w:tcPr>
            <w:tcW w:w="1418" w:type="dxa"/>
          </w:tcPr>
          <w:p w14:paraId="2B9BCA11" w14:textId="77777777" w:rsidR="00E53B6B" w:rsidRPr="00E53B6B" w:rsidRDefault="00E53B6B" w:rsidP="00CA0D72">
            <w:pPr>
              <w:spacing w:before="20" w:after="40"/>
              <w:ind w:right="-3"/>
            </w:pPr>
            <w:r w:rsidRPr="00E53B6B">
              <w:t xml:space="preserve">SA </w:t>
            </w:r>
          </w:p>
        </w:tc>
        <w:tc>
          <w:tcPr>
            <w:tcW w:w="2551" w:type="dxa"/>
          </w:tcPr>
          <w:p w14:paraId="12A3C9AB" w14:textId="77777777" w:rsidR="00E53B6B" w:rsidRPr="00E53B6B" w:rsidRDefault="00E53B6B" w:rsidP="00CA0D72">
            <w:pPr>
              <w:spacing w:before="20" w:after="40"/>
              <w:ind w:right="-3"/>
            </w:pPr>
            <w:r w:rsidRPr="00E53B6B">
              <w:t xml:space="preserve">94 </w:t>
            </w:r>
          </w:p>
        </w:tc>
        <w:tc>
          <w:tcPr>
            <w:tcW w:w="2977" w:type="dxa"/>
          </w:tcPr>
          <w:p w14:paraId="307C5048" w14:textId="77777777" w:rsidR="00E53B6B" w:rsidRPr="00E53B6B" w:rsidRDefault="00E53B6B" w:rsidP="00CA0D72">
            <w:pPr>
              <w:spacing w:before="20" w:after="40"/>
              <w:ind w:right="-3"/>
            </w:pPr>
            <w:r w:rsidRPr="00E53B6B">
              <w:t xml:space="preserve">53 </w:t>
            </w:r>
          </w:p>
        </w:tc>
        <w:tc>
          <w:tcPr>
            <w:tcW w:w="3045" w:type="dxa"/>
          </w:tcPr>
          <w:p w14:paraId="2C20A59C" w14:textId="77777777" w:rsidR="00E53B6B" w:rsidRPr="00E53B6B" w:rsidRDefault="00E53B6B" w:rsidP="00CA0D72">
            <w:pPr>
              <w:spacing w:before="20" w:after="40"/>
              <w:ind w:right="-3"/>
            </w:pPr>
            <w:r w:rsidRPr="00E53B6B">
              <w:t xml:space="preserve">176 </w:t>
            </w:r>
          </w:p>
        </w:tc>
      </w:tr>
      <w:tr w:rsidR="00E53B6B" w:rsidRPr="00E53B6B" w14:paraId="787AFEB1" w14:textId="77777777" w:rsidTr="009F2D50">
        <w:tc>
          <w:tcPr>
            <w:tcW w:w="1418" w:type="dxa"/>
          </w:tcPr>
          <w:p w14:paraId="31D6B815" w14:textId="77777777" w:rsidR="00E53B6B" w:rsidRPr="00E53B6B" w:rsidRDefault="00E53B6B" w:rsidP="00CA0D72">
            <w:pPr>
              <w:spacing w:before="20" w:after="40"/>
              <w:ind w:right="-3"/>
            </w:pPr>
            <w:r w:rsidRPr="00E53B6B">
              <w:t xml:space="preserve">TAS </w:t>
            </w:r>
          </w:p>
        </w:tc>
        <w:tc>
          <w:tcPr>
            <w:tcW w:w="2551" w:type="dxa"/>
          </w:tcPr>
          <w:p w14:paraId="1560D0BA" w14:textId="77777777" w:rsidR="00E53B6B" w:rsidRPr="00E53B6B" w:rsidRDefault="00E53B6B" w:rsidP="00CA0D72">
            <w:pPr>
              <w:spacing w:before="20" w:after="40"/>
              <w:ind w:right="-3"/>
            </w:pPr>
            <w:r w:rsidRPr="00E53B6B">
              <w:t xml:space="preserve">27 </w:t>
            </w:r>
          </w:p>
        </w:tc>
        <w:tc>
          <w:tcPr>
            <w:tcW w:w="2977" w:type="dxa"/>
          </w:tcPr>
          <w:p w14:paraId="3E3433E8" w14:textId="77777777" w:rsidR="00E53B6B" w:rsidRPr="00E53B6B" w:rsidRDefault="00E53B6B" w:rsidP="00CA0D72">
            <w:pPr>
              <w:spacing w:before="20" w:after="40"/>
              <w:ind w:right="-3"/>
            </w:pPr>
            <w:r w:rsidRPr="00E53B6B">
              <w:t xml:space="preserve">25 </w:t>
            </w:r>
          </w:p>
        </w:tc>
        <w:tc>
          <w:tcPr>
            <w:tcW w:w="3045" w:type="dxa"/>
          </w:tcPr>
          <w:p w14:paraId="73B817EE" w14:textId="77777777" w:rsidR="00E53B6B" w:rsidRPr="00E53B6B" w:rsidRDefault="00E53B6B" w:rsidP="00CA0D72">
            <w:pPr>
              <w:spacing w:before="20" w:after="40"/>
              <w:ind w:right="-3"/>
            </w:pPr>
            <w:r w:rsidRPr="00E53B6B">
              <w:t xml:space="preserve">57 </w:t>
            </w:r>
          </w:p>
        </w:tc>
      </w:tr>
      <w:tr w:rsidR="00E53B6B" w:rsidRPr="00E53B6B" w14:paraId="791B0D4A" w14:textId="77777777" w:rsidTr="009F2D50">
        <w:tc>
          <w:tcPr>
            <w:tcW w:w="1418" w:type="dxa"/>
          </w:tcPr>
          <w:p w14:paraId="2189C876" w14:textId="77777777" w:rsidR="00E53B6B" w:rsidRPr="00E53B6B" w:rsidRDefault="00E53B6B" w:rsidP="00CA0D72">
            <w:pPr>
              <w:spacing w:before="20" w:after="40"/>
              <w:ind w:right="-3"/>
            </w:pPr>
            <w:r w:rsidRPr="00E53B6B">
              <w:t xml:space="preserve">VIC </w:t>
            </w:r>
          </w:p>
        </w:tc>
        <w:tc>
          <w:tcPr>
            <w:tcW w:w="2551" w:type="dxa"/>
          </w:tcPr>
          <w:p w14:paraId="3DDC0998" w14:textId="77777777" w:rsidR="00E53B6B" w:rsidRPr="00E53B6B" w:rsidRDefault="00E53B6B" w:rsidP="00CA0D72">
            <w:pPr>
              <w:spacing w:before="20" w:after="40"/>
              <w:ind w:right="-3"/>
            </w:pPr>
            <w:r w:rsidRPr="00E53B6B">
              <w:t xml:space="preserve">247 </w:t>
            </w:r>
          </w:p>
        </w:tc>
        <w:tc>
          <w:tcPr>
            <w:tcW w:w="2977" w:type="dxa"/>
          </w:tcPr>
          <w:p w14:paraId="3D68E4EF" w14:textId="77777777" w:rsidR="00E53B6B" w:rsidRPr="00E53B6B" w:rsidRDefault="00E53B6B" w:rsidP="00CA0D72">
            <w:pPr>
              <w:spacing w:before="20" w:after="40"/>
              <w:ind w:right="-3"/>
            </w:pPr>
            <w:r w:rsidRPr="00E53B6B">
              <w:t xml:space="preserve">182 </w:t>
            </w:r>
          </w:p>
        </w:tc>
        <w:tc>
          <w:tcPr>
            <w:tcW w:w="3045" w:type="dxa"/>
          </w:tcPr>
          <w:p w14:paraId="7C23810F" w14:textId="77777777" w:rsidR="00E53B6B" w:rsidRPr="00E53B6B" w:rsidRDefault="00E53B6B" w:rsidP="00CA0D72">
            <w:pPr>
              <w:spacing w:before="20" w:after="40"/>
              <w:ind w:right="-3"/>
            </w:pPr>
            <w:r w:rsidRPr="00E53B6B">
              <w:t xml:space="preserve">502 </w:t>
            </w:r>
          </w:p>
        </w:tc>
      </w:tr>
      <w:tr w:rsidR="00E53B6B" w:rsidRPr="00E53B6B" w14:paraId="4E6ADBFE" w14:textId="77777777" w:rsidTr="009F2D50">
        <w:tc>
          <w:tcPr>
            <w:tcW w:w="1418" w:type="dxa"/>
          </w:tcPr>
          <w:p w14:paraId="1DD9BEDB" w14:textId="77777777" w:rsidR="00E53B6B" w:rsidRPr="00E53B6B" w:rsidRDefault="00E53B6B" w:rsidP="00CA0D72">
            <w:pPr>
              <w:spacing w:before="20" w:after="40"/>
              <w:ind w:right="-3"/>
            </w:pPr>
            <w:r w:rsidRPr="00E53B6B">
              <w:t xml:space="preserve">WA </w:t>
            </w:r>
          </w:p>
        </w:tc>
        <w:tc>
          <w:tcPr>
            <w:tcW w:w="2551" w:type="dxa"/>
          </w:tcPr>
          <w:p w14:paraId="457B8B7C" w14:textId="77777777" w:rsidR="00E53B6B" w:rsidRPr="00E53B6B" w:rsidRDefault="00E53B6B" w:rsidP="00CA0D72">
            <w:pPr>
              <w:spacing w:before="20" w:after="40"/>
              <w:ind w:right="-3"/>
            </w:pPr>
            <w:r w:rsidRPr="00E53B6B">
              <w:t xml:space="preserve">50 </w:t>
            </w:r>
          </w:p>
        </w:tc>
        <w:tc>
          <w:tcPr>
            <w:tcW w:w="2977" w:type="dxa"/>
          </w:tcPr>
          <w:p w14:paraId="2FA2E92B" w14:textId="77777777" w:rsidR="00E53B6B" w:rsidRPr="00E53B6B" w:rsidRDefault="00E53B6B" w:rsidP="00CA0D72">
            <w:pPr>
              <w:spacing w:before="20" w:after="40"/>
              <w:ind w:right="-3"/>
            </w:pPr>
            <w:r w:rsidRPr="00E53B6B">
              <w:t xml:space="preserve">50 </w:t>
            </w:r>
          </w:p>
        </w:tc>
        <w:tc>
          <w:tcPr>
            <w:tcW w:w="3045" w:type="dxa"/>
          </w:tcPr>
          <w:p w14:paraId="17D7D749" w14:textId="77777777" w:rsidR="00E53B6B" w:rsidRPr="00E53B6B" w:rsidRDefault="00E53B6B" w:rsidP="00CA0D72">
            <w:pPr>
              <w:spacing w:before="20" w:after="40"/>
              <w:ind w:right="-3"/>
            </w:pPr>
            <w:r w:rsidRPr="00E53B6B">
              <w:t xml:space="preserve">160 </w:t>
            </w:r>
          </w:p>
        </w:tc>
      </w:tr>
      <w:tr w:rsidR="00E53B6B" w:rsidRPr="00E53B6B" w14:paraId="5D5B2FDF" w14:textId="77777777" w:rsidTr="009F2D50">
        <w:tc>
          <w:tcPr>
            <w:tcW w:w="1418" w:type="dxa"/>
          </w:tcPr>
          <w:p w14:paraId="74867C42" w14:textId="77777777" w:rsidR="00E53B6B" w:rsidRPr="00E53B6B" w:rsidRDefault="00E53B6B" w:rsidP="00CA0D72">
            <w:pPr>
              <w:spacing w:before="20" w:after="40"/>
              <w:ind w:right="-3"/>
            </w:pPr>
            <w:r w:rsidRPr="00E53B6B">
              <w:t xml:space="preserve">Total </w:t>
            </w:r>
          </w:p>
        </w:tc>
        <w:tc>
          <w:tcPr>
            <w:tcW w:w="2551" w:type="dxa"/>
          </w:tcPr>
          <w:p w14:paraId="6659D9C6" w14:textId="77777777" w:rsidR="00E53B6B" w:rsidRPr="00E53B6B" w:rsidRDefault="00E53B6B" w:rsidP="00CA0D72">
            <w:pPr>
              <w:spacing w:before="20" w:after="40"/>
              <w:ind w:right="-3"/>
            </w:pPr>
            <w:r w:rsidRPr="00E53B6B">
              <w:t xml:space="preserve">539 </w:t>
            </w:r>
          </w:p>
        </w:tc>
        <w:tc>
          <w:tcPr>
            <w:tcW w:w="2977" w:type="dxa"/>
          </w:tcPr>
          <w:p w14:paraId="20046D0E" w14:textId="77777777" w:rsidR="00E53B6B" w:rsidRPr="00E53B6B" w:rsidRDefault="00E53B6B" w:rsidP="00CA0D72">
            <w:pPr>
              <w:spacing w:before="20" w:after="40"/>
              <w:ind w:right="-3"/>
            </w:pPr>
            <w:r w:rsidRPr="00E53B6B">
              <w:t xml:space="preserve">1,060 </w:t>
            </w:r>
          </w:p>
        </w:tc>
        <w:tc>
          <w:tcPr>
            <w:tcW w:w="3045" w:type="dxa"/>
          </w:tcPr>
          <w:p w14:paraId="64D869AE" w14:textId="77777777" w:rsidR="00E53B6B" w:rsidRPr="00E53B6B" w:rsidRDefault="00E53B6B" w:rsidP="00CA0D72">
            <w:pPr>
              <w:spacing w:before="20" w:after="40"/>
              <w:ind w:right="-3"/>
            </w:pPr>
            <w:r w:rsidRPr="00E53B6B">
              <w:t xml:space="preserve">2,000 </w:t>
            </w:r>
          </w:p>
        </w:tc>
      </w:tr>
    </w:tbl>
    <w:p w14:paraId="0E485AED" w14:textId="77777777" w:rsidR="00162DC9" w:rsidRPr="00162DC9" w:rsidRDefault="00162DC9" w:rsidP="00CA0D72">
      <w:pPr>
        <w:ind w:right="-3"/>
        <w:rPr>
          <w:sz w:val="22"/>
          <w:szCs w:val="22"/>
        </w:rPr>
      </w:pPr>
    </w:p>
    <w:p w14:paraId="50F1A44E" w14:textId="77777777" w:rsidR="005D7ABA" w:rsidRDefault="00846CDA" w:rsidP="00CA0D72">
      <w:pPr>
        <w:ind w:right="-3"/>
      </w:pPr>
      <w:r w:rsidRPr="00D3160F">
        <w:t>As Table 1.3 shows, different proportions of the TC places were delivered in residential-based and community-based settings in each of the jurisdictions.  These cumulative data are drawn from the TCP COGNOS database and cover the period 1 October 2005 to 29 February 2008 (Department of Health and Ageing 2008).</w:t>
      </w:r>
    </w:p>
    <w:p w14:paraId="6C6A6E8D" w14:textId="52383261" w:rsidR="00162DC9" w:rsidRDefault="00162DC9" w:rsidP="00CA0D72">
      <w:pPr>
        <w:ind w:right="-3"/>
      </w:pPr>
    </w:p>
    <w:p w14:paraId="4A201B2C" w14:textId="77777777" w:rsidR="00846CDA" w:rsidRPr="00162DC9" w:rsidRDefault="00846CDA" w:rsidP="00CA0D72">
      <w:pPr>
        <w:ind w:right="-3"/>
        <w:rPr>
          <w:b/>
        </w:rPr>
      </w:pPr>
      <w:r w:rsidRPr="00162DC9">
        <w:rPr>
          <w:b/>
        </w:rPr>
        <w:t xml:space="preserve">Table 1.3: Cumulative number of discharges by type of Transition Care October 2005 - Feb 2008 </w:t>
      </w:r>
    </w:p>
    <w:tbl>
      <w:tblPr>
        <w:tblStyle w:val="TableGrid"/>
        <w:tblW w:w="0" w:type="auto"/>
        <w:tblLook w:val="01E0" w:firstRow="1" w:lastRow="1" w:firstColumn="1" w:lastColumn="1" w:noHBand="0" w:noVBand="0"/>
        <w:tblDescription w:val="Table 1.3: Cumulative number of discharges by type of Transition Care October 2005 - Feb 2008 "/>
      </w:tblPr>
      <w:tblGrid>
        <w:gridCol w:w="1444"/>
        <w:gridCol w:w="1619"/>
        <w:gridCol w:w="1701"/>
        <w:gridCol w:w="1563"/>
        <w:gridCol w:w="1697"/>
      </w:tblGrid>
      <w:tr w:rsidR="00E53B6B" w:rsidRPr="009B5F9A" w14:paraId="5F6C5277" w14:textId="77777777" w:rsidTr="009F2D50">
        <w:trPr>
          <w:tblHeader/>
        </w:trPr>
        <w:tc>
          <w:tcPr>
            <w:tcW w:w="1444" w:type="dxa"/>
          </w:tcPr>
          <w:p w14:paraId="4CBF3BE1" w14:textId="77777777" w:rsidR="00E53B6B" w:rsidRPr="009B5F9A" w:rsidRDefault="00E53B6B" w:rsidP="00CA0D72">
            <w:pPr>
              <w:pStyle w:val="Table"/>
              <w:ind w:right="-3"/>
              <w:rPr>
                <w:b/>
              </w:rPr>
            </w:pPr>
            <w:r w:rsidRPr="009B5F9A">
              <w:rPr>
                <w:b/>
              </w:rPr>
              <w:t>Jurisdiction</w:t>
            </w:r>
          </w:p>
        </w:tc>
        <w:tc>
          <w:tcPr>
            <w:tcW w:w="1619" w:type="dxa"/>
          </w:tcPr>
          <w:p w14:paraId="5F68F8DC" w14:textId="77777777" w:rsidR="00E53B6B" w:rsidRPr="009B5F9A" w:rsidRDefault="00E53B6B" w:rsidP="00CA0D72">
            <w:pPr>
              <w:pStyle w:val="Table"/>
              <w:ind w:right="-3"/>
              <w:jc w:val="center"/>
              <w:rPr>
                <w:b/>
              </w:rPr>
            </w:pPr>
            <w:r w:rsidRPr="009B5F9A">
              <w:rPr>
                <w:b/>
              </w:rPr>
              <w:t>Community</w:t>
            </w:r>
          </w:p>
          <w:p w14:paraId="591FECC2" w14:textId="77777777" w:rsidR="00E53B6B" w:rsidRPr="009B5F9A" w:rsidRDefault="00E53B6B" w:rsidP="00CA0D72">
            <w:pPr>
              <w:pStyle w:val="Table"/>
              <w:ind w:right="-3"/>
              <w:jc w:val="center"/>
              <w:rPr>
                <w:b/>
              </w:rPr>
            </w:pPr>
            <w:proofErr w:type="gramStart"/>
            <w:r w:rsidRPr="009B5F9A">
              <w:rPr>
                <w:b/>
              </w:rPr>
              <w:t>n  (</w:t>
            </w:r>
            <w:proofErr w:type="gramEnd"/>
            <w:r w:rsidRPr="009B5F9A">
              <w:rPr>
                <w:b/>
              </w:rPr>
              <w:t>%)</w:t>
            </w:r>
          </w:p>
        </w:tc>
        <w:tc>
          <w:tcPr>
            <w:tcW w:w="1701" w:type="dxa"/>
          </w:tcPr>
          <w:p w14:paraId="38CAAA57" w14:textId="77777777" w:rsidR="00E53B6B" w:rsidRPr="009B5F9A" w:rsidRDefault="00E53B6B" w:rsidP="00CA0D72">
            <w:pPr>
              <w:pStyle w:val="Table"/>
              <w:ind w:right="-3"/>
              <w:jc w:val="center"/>
              <w:rPr>
                <w:b/>
              </w:rPr>
            </w:pPr>
            <w:r w:rsidRPr="009B5F9A">
              <w:rPr>
                <w:b/>
              </w:rPr>
              <w:t>Residential</w:t>
            </w:r>
          </w:p>
          <w:p w14:paraId="51F5999B" w14:textId="77777777" w:rsidR="00E53B6B" w:rsidRPr="009B5F9A" w:rsidRDefault="00E53B6B" w:rsidP="00CA0D72">
            <w:pPr>
              <w:pStyle w:val="Table"/>
              <w:ind w:right="-3"/>
              <w:jc w:val="center"/>
              <w:rPr>
                <w:b/>
              </w:rPr>
            </w:pPr>
            <w:proofErr w:type="gramStart"/>
            <w:r w:rsidRPr="009B5F9A">
              <w:rPr>
                <w:b/>
              </w:rPr>
              <w:t>n</w:t>
            </w:r>
            <w:proofErr w:type="gramEnd"/>
            <w:r w:rsidRPr="009B5F9A">
              <w:rPr>
                <w:b/>
              </w:rPr>
              <w:t xml:space="preserve"> (%)</w:t>
            </w:r>
          </w:p>
        </w:tc>
        <w:tc>
          <w:tcPr>
            <w:tcW w:w="1563" w:type="dxa"/>
          </w:tcPr>
          <w:p w14:paraId="5612AC85" w14:textId="77777777" w:rsidR="00E53B6B" w:rsidRPr="009B5F9A" w:rsidRDefault="00E53B6B" w:rsidP="00CA0D72">
            <w:pPr>
              <w:pStyle w:val="Table"/>
              <w:ind w:right="-3"/>
              <w:jc w:val="center"/>
              <w:rPr>
                <w:b/>
              </w:rPr>
            </w:pPr>
            <w:r w:rsidRPr="009B5F9A">
              <w:rPr>
                <w:b/>
              </w:rPr>
              <w:t>Combination</w:t>
            </w:r>
          </w:p>
          <w:p w14:paraId="257142A9" w14:textId="77777777" w:rsidR="00E53B6B" w:rsidRPr="009B5F9A" w:rsidRDefault="00E53B6B" w:rsidP="00CA0D72">
            <w:pPr>
              <w:pStyle w:val="Table"/>
              <w:ind w:right="-3"/>
              <w:jc w:val="center"/>
              <w:rPr>
                <w:b/>
              </w:rPr>
            </w:pPr>
            <w:proofErr w:type="gramStart"/>
            <w:r w:rsidRPr="009B5F9A">
              <w:rPr>
                <w:b/>
              </w:rPr>
              <w:t>n</w:t>
            </w:r>
            <w:proofErr w:type="gramEnd"/>
            <w:r w:rsidRPr="009B5F9A">
              <w:rPr>
                <w:b/>
              </w:rPr>
              <w:t xml:space="preserve"> (%)</w:t>
            </w:r>
          </w:p>
        </w:tc>
        <w:tc>
          <w:tcPr>
            <w:tcW w:w="1697" w:type="dxa"/>
          </w:tcPr>
          <w:p w14:paraId="051706CB" w14:textId="77777777" w:rsidR="00E53B6B" w:rsidRPr="009B5F9A" w:rsidRDefault="00E53B6B" w:rsidP="00CA0D72">
            <w:pPr>
              <w:pStyle w:val="Table"/>
              <w:ind w:right="-3"/>
              <w:jc w:val="center"/>
              <w:rPr>
                <w:b/>
              </w:rPr>
            </w:pPr>
            <w:r w:rsidRPr="009B5F9A">
              <w:rPr>
                <w:b/>
              </w:rPr>
              <w:t>Total number of discharges</w:t>
            </w:r>
          </w:p>
        </w:tc>
      </w:tr>
      <w:tr w:rsidR="00E53B6B" w:rsidRPr="00E53B6B" w14:paraId="2E6E6DA0" w14:textId="77777777" w:rsidTr="009F2D50">
        <w:tc>
          <w:tcPr>
            <w:tcW w:w="1444" w:type="dxa"/>
          </w:tcPr>
          <w:p w14:paraId="59A48C53" w14:textId="77777777" w:rsidR="00E53B6B" w:rsidRPr="00E53B6B" w:rsidRDefault="00E53B6B" w:rsidP="00CA0D72">
            <w:pPr>
              <w:pStyle w:val="Table"/>
              <w:ind w:right="-3"/>
            </w:pPr>
            <w:r w:rsidRPr="00E53B6B">
              <w:t xml:space="preserve">ACT </w:t>
            </w:r>
          </w:p>
        </w:tc>
        <w:tc>
          <w:tcPr>
            <w:tcW w:w="1619" w:type="dxa"/>
          </w:tcPr>
          <w:p w14:paraId="18A837FA" w14:textId="77777777" w:rsidR="00E53B6B" w:rsidRPr="00E53B6B" w:rsidRDefault="00E53B6B" w:rsidP="00CA0D72">
            <w:pPr>
              <w:pStyle w:val="Table"/>
              <w:ind w:right="-3"/>
            </w:pPr>
            <w:r w:rsidRPr="00E53B6B">
              <w:t xml:space="preserve">110 (37%) </w:t>
            </w:r>
          </w:p>
        </w:tc>
        <w:tc>
          <w:tcPr>
            <w:tcW w:w="1701" w:type="dxa"/>
          </w:tcPr>
          <w:p w14:paraId="087833E9" w14:textId="77777777" w:rsidR="00E53B6B" w:rsidRPr="00E53B6B" w:rsidRDefault="00E53B6B" w:rsidP="00CA0D72">
            <w:pPr>
              <w:pStyle w:val="Table"/>
              <w:ind w:right="-3"/>
            </w:pPr>
            <w:r w:rsidRPr="00E53B6B">
              <w:t xml:space="preserve">87 (30%) </w:t>
            </w:r>
          </w:p>
        </w:tc>
        <w:tc>
          <w:tcPr>
            <w:tcW w:w="1563" w:type="dxa"/>
          </w:tcPr>
          <w:p w14:paraId="066C2D11" w14:textId="77777777" w:rsidR="00E53B6B" w:rsidRPr="00E53B6B" w:rsidRDefault="00E53B6B" w:rsidP="00CA0D72">
            <w:pPr>
              <w:pStyle w:val="Table"/>
              <w:ind w:right="-3"/>
            </w:pPr>
            <w:r w:rsidRPr="00E53B6B">
              <w:t xml:space="preserve">97 (33%) </w:t>
            </w:r>
          </w:p>
        </w:tc>
        <w:tc>
          <w:tcPr>
            <w:tcW w:w="1697" w:type="dxa"/>
          </w:tcPr>
          <w:p w14:paraId="7F099A39" w14:textId="77777777" w:rsidR="00E53B6B" w:rsidRPr="00E53B6B" w:rsidRDefault="00E53B6B" w:rsidP="00CA0D72">
            <w:pPr>
              <w:pStyle w:val="Table"/>
              <w:ind w:right="-3"/>
            </w:pPr>
            <w:r w:rsidRPr="00E53B6B">
              <w:t xml:space="preserve">294 </w:t>
            </w:r>
          </w:p>
        </w:tc>
      </w:tr>
      <w:tr w:rsidR="00E53B6B" w:rsidRPr="00E53B6B" w14:paraId="3F04AE66" w14:textId="77777777" w:rsidTr="009F2D50">
        <w:tc>
          <w:tcPr>
            <w:tcW w:w="1444" w:type="dxa"/>
          </w:tcPr>
          <w:p w14:paraId="5D7062C6" w14:textId="77777777" w:rsidR="00E53B6B" w:rsidRPr="00E53B6B" w:rsidRDefault="00E53B6B" w:rsidP="00CA0D72">
            <w:pPr>
              <w:pStyle w:val="Table"/>
              <w:ind w:right="-3"/>
            </w:pPr>
            <w:r w:rsidRPr="00E53B6B">
              <w:t xml:space="preserve">NSW </w:t>
            </w:r>
          </w:p>
        </w:tc>
        <w:tc>
          <w:tcPr>
            <w:tcW w:w="1619" w:type="dxa"/>
          </w:tcPr>
          <w:p w14:paraId="3B8A22FE" w14:textId="77777777" w:rsidR="00E53B6B" w:rsidRPr="00E53B6B" w:rsidRDefault="00E53B6B" w:rsidP="00CA0D72">
            <w:pPr>
              <w:pStyle w:val="Table"/>
              <w:ind w:right="-3"/>
            </w:pPr>
            <w:r w:rsidRPr="00E53B6B">
              <w:t xml:space="preserve">3,692 (84%) </w:t>
            </w:r>
          </w:p>
        </w:tc>
        <w:tc>
          <w:tcPr>
            <w:tcW w:w="1701" w:type="dxa"/>
          </w:tcPr>
          <w:p w14:paraId="3D6D34AD" w14:textId="77777777" w:rsidR="00E53B6B" w:rsidRPr="00E53B6B" w:rsidRDefault="00E53B6B" w:rsidP="00CA0D72">
            <w:pPr>
              <w:pStyle w:val="Table"/>
              <w:ind w:right="-3"/>
            </w:pPr>
            <w:r w:rsidRPr="00E53B6B">
              <w:t xml:space="preserve">631 (15%) </w:t>
            </w:r>
          </w:p>
        </w:tc>
        <w:tc>
          <w:tcPr>
            <w:tcW w:w="1563" w:type="dxa"/>
          </w:tcPr>
          <w:p w14:paraId="218AB8DA" w14:textId="77777777" w:rsidR="00E53B6B" w:rsidRPr="00E53B6B" w:rsidRDefault="00E53B6B" w:rsidP="00CA0D72">
            <w:pPr>
              <w:pStyle w:val="Table"/>
              <w:ind w:right="-3"/>
            </w:pPr>
            <w:r w:rsidRPr="00E53B6B">
              <w:t xml:space="preserve">58 (1%) </w:t>
            </w:r>
          </w:p>
        </w:tc>
        <w:tc>
          <w:tcPr>
            <w:tcW w:w="1697" w:type="dxa"/>
          </w:tcPr>
          <w:p w14:paraId="61E23B2A" w14:textId="77777777" w:rsidR="00E53B6B" w:rsidRPr="00E53B6B" w:rsidRDefault="00E53B6B" w:rsidP="00CA0D72">
            <w:pPr>
              <w:pStyle w:val="Table"/>
              <w:ind w:right="-3"/>
            </w:pPr>
            <w:r w:rsidRPr="00E53B6B">
              <w:t xml:space="preserve">4,381 </w:t>
            </w:r>
          </w:p>
        </w:tc>
      </w:tr>
      <w:tr w:rsidR="00E53B6B" w:rsidRPr="00E53B6B" w14:paraId="2A0A44E7" w14:textId="77777777" w:rsidTr="009F2D50">
        <w:tc>
          <w:tcPr>
            <w:tcW w:w="1444" w:type="dxa"/>
          </w:tcPr>
          <w:p w14:paraId="31A3475D" w14:textId="77777777" w:rsidR="00E53B6B" w:rsidRPr="00E53B6B" w:rsidRDefault="00E53B6B" w:rsidP="00CA0D72">
            <w:pPr>
              <w:pStyle w:val="Table"/>
              <w:ind w:right="-3"/>
            </w:pPr>
            <w:r w:rsidRPr="00E53B6B">
              <w:t xml:space="preserve">NT </w:t>
            </w:r>
          </w:p>
        </w:tc>
        <w:tc>
          <w:tcPr>
            <w:tcW w:w="1619" w:type="dxa"/>
          </w:tcPr>
          <w:p w14:paraId="5FF57920" w14:textId="77777777" w:rsidR="00E53B6B" w:rsidRPr="00E53B6B" w:rsidRDefault="00E53B6B" w:rsidP="00CA0D72">
            <w:pPr>
              <w:pStyle w:val="Table"/>
              <w:ind w:right="-3"/>
            </w:pPr>
            <w:r w:rsidRPr="00E53B6B">
              <w:t xml:space="preserve">0 (%) </w:t>
            </w:r>
          </w:p>
        </w:tc>
        <w:tc>
          <w:tcPr>
            <w:tcW w:w="1701" w:type="dxa"/>
          </w:tcPr>
          <w:p w14:paraId="67349F42" w14:textId="77777777" w:rsidR="00E53B6B" w:rsidRPr="00E53B6B" w:rsidRDefault="00E53B6B" w:rsidP="00CA0D72">
            <w:pPr>
              <w:pStyle w:val="Table"/>
              <w:ind w:right="-3"/>
            </w:pPr>
            <w:r w:rsidRPr="00E53B6B">
              <w:t xml:space="preserve">55 (100%) </w:t>
            </w:r>
          </w:p>
        </w:tc>
        <w:tc>
          <w:tcPr>
            <w:tcW w:w="1563" w:type="dxa"/>
          </w:tcPr>
          <w:p w14:paraId="68CE90A0" w14:textId="77777777" w:rsidR="00E53B6B" w:rsidRPr="00E53B6B" w:rsidRDefault="00E53B6B" w:rsidP="00CA0D72">
            <w:pPr>
              <w:pStyle w:val="Table"/>
              <w:ind w:right="-3"/>
            </w:pPr>
            <w:r w:rsidRPr="00E53B6B">
              <w:t xml:space="preserve">0 (0%) </w:t>
            </w:r>
          </w:p>
        </w:tc>
        <w:tc>
          <w:tcPr>
            <w:tcW w:w="1697" w:type="dxa"/>
          </w:tcPr>
          <w:p w14:paraId="578F284F" w14:textId="77777777" w:rsidR="00E53B6B" w:rsidRPr="00E53B6B" w:rsidRDefault="00E53B6B" w:rsidP="00CA0D72">
            <w:pPr>
              <w:pStyle w:val="Table"/>
              <w:ind w:right="-3"/>
            </w:pPr>
            <w:r w:rsidRPr="00E53B6B">
              <w:t xml:space="preserve">55 </w:t>
            </w:r>
          </w:p>
        </w:tc>
      </w:tr>
      <w:tr w:rsidR="00E53B6B" w:rsidRPr="00E53B6B" w14:paraId="40D48735" w14:textId="77777777" w:rsidTr="009F2D50">
        <w:tc>
          <w:tcPr>
            <w:tcW w:w="1444" w:type="dxa"/>
          </w:tcPr>
          <w:p w14:paraId="67022277" w14:textId="77777777" w:rsidR="00E53B6B" w:rsidRPr="00E53B6B" w:rsidRDefault="00E53B6B" w:rsidP="00CA0D72">
            <w:pPr>
              <w:pStyle w:val="Table"/>
              <w:ind w:right="-3"/>
            </w:pPr>
            <w:r w:rsidRPr="00E53B6B">
              <w:t xml:space="preserve">QLD </w:t>
            </w:r>
          </w:p>
        </w:tc>
        <w:tc>
          <w:tcPr>
            <w:tcW w:w="1619" w:type="dxa"/>
          </w:tcPr>
          <w:p w14:paraId="57F1132F" w14:textId="77777777" w:rsidR="00E53B6B" w:rsidRPr="00E53B6B" w:rsidRDefault="00E53B6B" w:rsidP="00CA0D72">
            <w:pPr>
              <w:pStyle w:val="Table"/>
              <w:ind w:right="-3"/>
            </w:pPr>
            <w:r w:rsidRPr="00E53B6B">
              <w:t xml:space="preserve">1,213 (93%) </w:t>
            </w:r>
          </w:p>
        </w:tc>
        <w:tc>
          <w:tcPr>
            <w:tcW w:w="1701" w:type="dxa"/>
          </w:tcPr>
          <w:p w14:paraId="5679D7C0" w14:textId="77777777" w:rsidR="00E53B6B" w:rsidRPr="00E53B6B" w:rsidRDefault="00E53B6B" w:rsidP="00CA0D72">
            <w:pPr>
              <w:pStyle w:val="Table"/>
              <w:ind w:right="-3"/>
            </w:pPr>
            <w:r w:rsidRPr="00E53B6B">
              <w:t xml:space="preserve">39 (3%) </w:t>
            </w:r>
          </w:p>
        </w:tc>
        <w:tc>
          <w:tcPr>
            <w:tcW w:w="1563" w:type="dxa"/>
          </w:tcPr>
          <w:p w14:paraId="1B56CD40" w14:textId="77777777" w:rsidR="00E53B6B" w:rsidRPr="00E53B6B" w:rsidRDefault="00E53B6B" w:rsidP="00CA0D72">
            <w:pPr>
              <w:pStyle w:val="Table"/>
              <w:ind w:right="-3"/>
            </w:pPr>
            <w:r w:rsidRPr="00E53B6B">
              <w:t xml:space="preserve">52 (4%) </w:t>
            </w:r>
          </w:p>
        </w:tc>
        <w:tc>
          <w:tcPr>
            <w:tcW w:w="1697" w:type="dxa"/>
          </w:tcPr>
          <w:p w14:paraId="6C0CC453" w14:textId="77777777" w:rsidR="00E53B6B" w:rsidRPr="00E53B6B" w:rsidRDefault="00E53B6B" w:rsidP="00CA0D72">
            <w:pPr>
              <w:pStyle w:val="Table"/>
              <w:ind w:right="-3"/>
            </w:pPr>
            <w:r w:rsidRPr="00E53B6B">
              <w:t xml:space="preserve">1,304 </w:t>
            </w:r>
          </w:p>
        </w:tc>
      </w:tr>
      <w:tr w:rsidR="00E53B6B" w:rsidRPr="00E53B6B" w14:paraId="26E0090D" w14:textId="77777777" w:rsidTr="009F2D50">
        <w:tc>
          <w:tcPr>
            <w:tcW w:w="1444" w:type="dxa"/>
          </w:tcPr>
          <w:p w14:paraId="3453DB0A" w14:textId="77777777" w:rsidR="00E53B6B" w:rsidRPr="00E53B6B" w:rsidRDefault="00E53B6B" w:rsidP="00CA0D72">
            <w:pPr>
              <w:pStyle w:val="Table"/>
              <w:ind w:right="-3"/>
            </w:pPr>
            <w:r w:rsidRPr="00E53B6B">
              <w:t xml:space="preserve">SA </w:t>
            </w:r>
          </w:p>
        </w:tc>
        <w:tc>
          <w:tcPr>
            <w:tcW w:w="1619" w:type="dxa"/>
          </w:tcPr>
          <w:p w14:paraId="1006DFDC" w14:textId="77777777" w:rsidR="00E53B6B" w:rsidRPr="00E53B6B" w:rsidRDefault="00E53B6B" w:rsidP="00CA0D72">
            <w:pPr>
              <w:pStyle w:val="Table"/>
              <w:ind w:right="-3"/>
            </w:pPr>
            <w:r w:rsidRPr="00E53B6B">
              <w:t xml:space="preserve">637 (38%) </w:t>
            </w:r>
          </w:p>
        </w:tc>
        <w:tc>
          <w:tcPr>
            <w:tcW w:w="1701" w:type="dxa"/>
          </w:tcPr>
          <w:p w14:paraId="72C6AA80" w14:textId="77777777" w:rsidR="00E53B6B" w:rsidRPr="00E53B6B" w:rsidRDefault="00E53B6B" w:rsidP="00CA0D72">
            <w:pPr>
              <w:pStyle w:val="Table"/>
              <w:ind w:right="-3"/>
            </w:pPr>
            <w:r w:rsidRPr="00E53B6B">
              <w:t xml:space="preserve">914 (54%) </w:t>
            </w:r>
          </w:p>
        </w:tc>
        <w:tc>
          <w:tcPr>
            <w:tcW w:w="1563" w:type="dxa"/>
          </w:tcPr>
          <w:p w14:paraId="4A87D773" w14:textId="77777777" w:rsidR="00E53B6B" w:rsidRPr="00E53B6B" w:rsidRDefault="00E53B6B" w:rsidP="00CA0D72">
            <w:pPr>
              <w:pStyle w:val="Table"/>
              <w:ind w:right="-3"/>
            </w:pPr>
            <w:r w:rsidRPr="00E53B6B">
              <w:t xml:space="preserve">131 (8%) </w:t>
            </w:r>
          </w:p>
        </w:tc>
        <w:tc>
          <w:tcPr>
            <w:tcW w:w="1697" w:type="dxa"/>
          </w:tcPr>
          <w:p w14:paraId="586146A5" w14:textId="77777777" w:rsidR="00E53B6B" w:rsidRPr="00E53B6B" w:rsidRDefault="00E53B6B" w:rsidP="00CA0D72">
            <w:pPr>
              <w:pStyle w:val="Table"/>
              <w:ind w:right="-3"/>
            </w:pPr>
            <w:r w:rsidRPr="00E53B6B">
              <w:t xml:space="preserve">1,682 </w:t>
            </w:r>
          </w:p>
        </w:tc>
      </w:tr>
      <w:tr w:rsidR="00E53B6B" w:rsidRPr="00E53B6B" w14:paraId="68EA83C2" w14:textId="77777777" w:rsidTr="009F2D50">
        <w:tc>
          <w:tcPr>
            <w:tcW w:w="1444" w:type="dxa"/>
          </w:tcPr>
          <w:p w14:paraId="7BC7FAC8" w14:textId="77777777" w:rsidR="00E53B6B" w:rsidRPr="00E53B6B" w:rsidRDefault="00E53B6B" w:rsidP="00CA0D72">
            <w:pPr>
              <w:pStyle w:val="Table"/>
              <w:ind w:right="-3"/>
            </w:pPr>
            <w:r w:rsidRPr="00E53B6B">
              <w:t xml:space="preserve">TAS </w:t>
            </w:r>
          </w:p>
        </w:tc>
        <w:tc>
          <w:tcPr>
            <w:tcW w:w="1619" w:type="dxa"/>
          </w:tcPr>
          <w:p w14:paraId="41ECBA4D" w14:textId="77777777" w:rsidR="00E53B6B" w:rsidRPr="00E53B6B" w:rsidRDefault="00E53B6B" w:rsidP="00CA0D72">
            <w:pPr>
              <w:pStyle w:val="Table"/>
              <w:ind w:right="-3"/>
            </w:pPr>
            <w:r w:rsidRPr="00E53B6B">
              <w:t xml:space="preserve">120 (37%) </w:t>
            </w:r>
          </w:p>
        </w:tc>
        <w:tc>
          <w:tcPr>
            <w:tcW w:w="1701" w:type="dxa"/>
          </w:tcPr>
          <w:p w14:paraId="31B3E82D" w14:textId="77777777" w:rsidR="00E53B6B" w:rsidRPr="00E53B6B" w:rsidRDefault="00E53B6B" w:rsidP="00CA0D72">
            <w:pPr>
              <w:pStyle w:val="Table"/>
              <w:ind w:right="-3"/>
            </w:pPr>
            <w:r w:rsidRPr="00E53B6B">
              <w:t xml:space="preserve">188 (52%) </w:t>
            </w:r>
          </w:p>
        </w:tc>
        <w:tc>
          <w:tcPr>
            <w:tcW w:w="1563" w:type="dxa"/>
          </w:tcPr>
          <w:p w14:paraId="5DDED5C5" w14:textId="77777777" w:rsidR="00E53B6B" w:rsidRPr="00E53B6B" w:rsidRDefault="00E53B6B" w:rsidP="00CA0D72">
            <w:pPr>
              <w:pStyle w:val="Table"/>
              <w:ind w:right="-3"/>
            </w:pPr>
            <w:r w:rsidRPr="00E53B6B">
              <w:t xml:space="preserve">15 (5%) </w:t>
            </w:r>
          </w:p>
        </w:tc>
        <w:tc>
          <w:tcPr>
            <w:tcW w:w="1697" w:type="dxa"/>
          </w:tcPr>
          <w:p w14:paraId="48BBD516" w14:textId="77777777" w:rsidR="00E53B6B" w:rsidRPr="00E53B6B" w:rsidRDefault="00E53B6B" w:rsidP="00CA0D72">
            <w:pPr>
              <w:pStyle w:val="Table"/>
              <w:ind w:right="-3"/>
            </w:pPr>
            <w:r w:rsidRPr="00E53B6B">
              <w:t xml:space="preserve">323 </w:t>
            </w:r>
          </w:p>
        </w:tc>
      </w:tr>
      <w:tr w:rsidR="00E53B6B" w:rsidRPr="00E53B6B" w14:paraId="78E3E69A" w14:textId="77777777" w:rsidTr="009F2D50">
        <w:tc>
          <w:tcPr>
            <w:tcW w:w="1444" w:type="dxa"/>
          </w:tcPr>
          <w:p w14:paraId="07CD905B" w14:textId="77777777" w:rsidR="00E53B6B" w:rsidRPr="00E53B6B" w:rsidRDefault="00E53B6B" w:rsidP="00CA0D72">
            <w:pPr>
              <w:pStyle w:val="Table"/>
              <w:ind w:right="-3"/>
            </w:pPr>
            <w:r w:rsidRPr="00E53B6B">
              <w:t xml:space="preserve">VIC </w:t>
            </w:r>
          </w:p>
        </w:tc>
        <w:tc>
          <w:tcPr>
            <w:tcW w:w="1619" w:type="dxa"/>
          </w:tcPr>
          <w:p w14:paraId="7427B598" w14:textId="77777777" w:rsidR="00E53B6B" w:rsidRPr="00E53B6B" w:rsidRDefault="00E53B6B" w:rsidP="00CA0D72">
            <w:pPr>
              <w:pStyle w:val="Table"/>
              <w:ind w:right="-3"/>
            </w:pPr>
            <w:r w:rsidRPr="00E53B6B">
              <w:t xml:space="preserve">780 (21%) </w:t>
            </w:r>
          </w:p>
        </w:tc>
        <w:tc>
          <w:tcPr>
            <w:tcW w:w="1701" w:type="dxa"/>
          </w:tcPr>
          <w:p w14:paraId="326E6D73" w14:textId="77777777" w:rsidR="00E53B6B" w:rsidRPr="00E53B6B" w:rsidRDefault="00E53B6B" w:rsidP="00CA0D72">
            <w:pPr>
              <w:pStyle w:val="Table"/>
              <w:ind w:right="-3"/>
            </w:pPr>
            <w:r w:rsidRPr="00E53B6B">
              <w:t xml:space="preserve">2,569 (70%) </w:t>
            </w:r>
          </w:p>
        </w:tc>
        <w:tc>
          <w:tcPr>
            <w:tcW w:w="1563" w:type="dxa"/>
          </w:tcPr>
          <w:p w14:paraId="5169978A" w14:textId="77777777" w:rsidR="00E53B6B" w:rsidRPr="00E53B6B" w:rsidRDefault="00E53B6B" w:rsidP="00CA0D72">
            <w:pPr>
              <w:pStyle w:val="Table"/>
              <w:ind w:right="-3"/>
            </w:pPr>
            <w:r w:rsidRPr="00E53B6B">
              <w:t xml:space="preserve">338 (9%) </w:t>
            </w:r>
          </w:p>
        </w:tc>
        <w:tc>
          <w:tcPr>
            <w:tcW w:w="1697" w:type="dxa"/>
          </w:tcPr>
          <w:p w14:paraId="5AE75CE7" w14:textId="77777777" w:rsidR="00E53B6B" w:rsidRPr="00E53B6B" w:rsidRDefault="00E53B6B" w:rsidP="00CA0D72">
            <w:pPr>
              <w:pStyle w:val="Table"/>
              <w:ind w:right="-3"/>
            </w:pPr>
            <w:r w:rsidRPr="00E53B6B">
              <w:t xml:space="preserve">3,687 </w:t>
            </w:r>
          </w:p>
        </w:tc>
      </w:tr>
      <w:tr w:rsidR="00E53B6B" w:rsidRPr="00E53B6B" w14:paraId="54006C0F" w14:textId="77777777" w:rsidTr="009F2D50">
        <w:tc>
          <w:tcPr>
            <w:tcW w:w="1444" w:type="dxa"/>
          </w:tcPr>
          <w:p w14:paraId="5A12963C" w14:textId="77777777" w:rsidR="00E53B6B" w:rsidRPr="00E53B6B" w:rsidRDefault="00E53B6B" w:rsidP="00CA0D72">
            <w:pPr>
              <w:pStyle w:val="Table"/>
              <w:ind w:right="-3"/>
            </w:pPr>
            <w:r w:rsidRPr="00E53B6B">
              <w:t xml:space="preserve">WA </w:t>
            </w:r>
          </w:p>
        </w:tc>
        <w:tc>
          <w:tcPr>
            <w:tcW w:w="1619" w:type="dxa"/>
          </w:tcPr>
          <w:p w14:paraId="161A520B" w14:textId="77777777" w:rsidR="00E53B6B" w:rsidRPr="00E53B6B" w:rsidRDefault="00E53B6B" w:rsidP="00CA0D72">
            <w:pPr>
              <w:pStyle w:val="Table"/>
              <w:ind w:right="-3"/>
            </w:pPr>
            <w:r w:rsidRPr="00E53B6B">
              <w:t xml:space="preserve">214 (25%) </w:t>
            </w:r>
          </w:p>
        </w:tc>
        <w:tc>
          <w:tcPr>
            <w:tcW w:w="1701" w:type="dxa"/>
          </w:tcPr>
          <w:p w14:paraId="0ACA2619" w14:textId="77777777" w:rsidR="00E53B6B" w:rsidRPr="00E53B6B" w:rsidRDefault="00E53B6B" w:rsidP="00CA0D72">
            <w:pPr>
              <w:pStyle w:val="Table"/>
              <w:ind w:right="-3"/>
            </w:pPr>
            <w:r w:rsidRPr="00E53B6B">
              <w:t xml:space="preserve">386 (46%) </w:t>
            </w:r>
          </w:p>
        </w:tc>
        <w:tc>
          <w:tcPr>
            <w:tcW w:w="1563" w:type="dxa"/>
          </w:tcPr>
          <w:p w14:paraId="0824461B" w14:textId="77777777" w:rsidR="00E53B6B" w:rsidRPr="00E53B6B" w:rsidRDefault="00E53B6B" w:rsidP="00CA0D72">
            <w:pPr>
              <w:pStyle w:val="Table"/>
              <w:ind w:right="-3"/>
            </w:pPr>
            <w:r w:rsidRPr="00E53B6B">
              <w:t xml:space="preserve">247 (29%) </w:t>
            </w:r>
          </w:p>
        </w:tc>
        <w:tc>
          <w:tcPr>
            <w:tcW w:w="1697" w:type="dxa"/>
          </w:tcPr>
          <w:p w14:paraId="72A2360C" w14:textId="77777777" w:rsidR="00E53B6B" w:rsidRPr="00E53B6B" w:rsidRDefault="00E53B6B" w:rsidP="00CA0D72">
            <w:pPr>
              <w:pStyle w:val="Table"/>
              <w:ind w:right="-3"/>
            </w:pPr>
            <w:r w:rsidRPr="00E53B6B">
              <w:t xml:space="preserve">847 </w:t>
            </w:r>
          </w:p>
        </w:tc>
      </w:tr>
      <w:tr w:rsidR="00E53B6B" w:rsidRPr="00E53B6B" w14:paraId="3947B64E" w14:textId="77777777" w:rsidTr="009F2D50">
        <w:tc>
          <w:tcPr>
            <w:tcW w:w="1444" w:type="dxa"/>
          </w:tcPr>
          <w:p w14:paraId="2F3E6579" w14:textId="77777777" w:rsidR="00E53B6B" w:rsidRPr="00E53B6B" w:rsidRDefault="00E53B6B" w:rsidP="00CA0D72">
            <w:pPr>
              <w:pStyle w:val="Table"/>
              <w:ind w:right="-3"/>
            </w:pPr>
            <w:r w:rsidRPr="00E53B6B">
              <w:t xml:space="preserve">Total </w:t>
            </w:r>
          </w:p>
        </w:tc>
        <w:tc>
          <w:tcPr>
            <w:tcW w:w="1619" w:type="dxa"/>
          </w:tcPr>
          <w:p w14:paraId="07C7ADA0" w14:textId="77777777" w:rsidR="00E53B6B" w:rsidRPr="00E53B6B" w:rsidRDefault="00E53B6B" w:rsidP="00CA0D72">
            <w:pPr>
              <w:pStyle w:val="Table"/>
              <w:ind w:right="-3"/>
            </w:pPr>
            <w:r w:rsidRPr="00E53B6B">
              <w:t xml:space="preserve">6,766 (54%) </w:t>
            </w:r>
          </w:p>
        </w:tc>
        <w:tc>
          <w:tcPr>
            <w:tcW w:w="1701" w:type="dxa"/>
          </w:tcPr>
          <w:p w14:paraId="125C7E5D" w14:textId="77777777" w:rsidR="00E53B6B" w:rsidRPr="00E53B6B" w:rsidRDefault="00E53B6B" w:rsidP="00CA0D72">
            <w:pPr>
              <w:pStyle w:val="Table"/>
              <w:ind w:right="-3"/>
            </w:pPr>
            <w:r w:rsidRPr="00E53B6B">
              <w:t xml:space="preserve">4,869 (39%) </w:t>
            </w:r>
          </w:p>
        </w:tc>
        <w:tc>
          <w:tcPr>
            <w:tcW w:w="1563" w:type="dxa"/>
          </w:tcPr>
          <w:p w14:paraId="016861D9" w14:textId="77777777" w:rsidR="00E53B6B" w:rsidRPr="00E53B6B" w:rsidRDefault="00E53B6B" w:rsidP="00CA0D72">
            <w:pPr>
              <w:pStyle w:val="Table"/>
              <w:ind w:right="-3"/>
            </w:pPr>
            <w:r w:rsidRPr="00E53B6B">
              <w:t xml:space="preserve">938 (7%) </w:t>
            </w:r>
          </w:p>
        </w:tc>
        <w:tc>
          <w:tcPr>
            <w:tcW w:w="1697" w:type="dxa"/>
          </w:tcPr>
          <w:p w14:paraId="1C7E6DD1" w14:textId="77777777" w:rsidR="00E53B6B" w:rsidRPr="00E53B6B" w:rsidRDefault="00E53B6B" w:rsidP="00CA0D72">
            <w:pPr>
              <w:pStyle w:val="Table"/>
              <w:ind w:right="-3"/>
            </w:pPr>
            <w:r w:rsidRPr="00E53B6B">
              <w:t xml:space="preserve">12,573 </w:t>
            </w:r>
          </w:p>
        </w:tc>
      </w:tr>
    </w:tbl>
    <w:p w14:paraId="0F29A957" w14:textId="77777777" w:rsidR="00846CDA" w:rsidRDefault="00846CDA" w:rsidP="00CA0D72">
      <w:pPr>
        <w:pStyle w:val="Default"/>
        <w:ind w:right="-3"/>
        <w:rPr>
          <w:color w:val="auto"/>
        </w:rPr>
      </w:pPr>
    </w:p>
    <w:p w14:paraId="67D44FAE" w14:textId="77777777" w:rsidR="005D7ABA" w:rsidRDefault="00846CDA" w:rsidP="00CA0D72">
      <w:pPr>
        <w:ind w:right="-3"/>
      </w:pPr>
      <w:r w:rsidRPr="007F1E5B">
        <w:lastRenderedPageBreak/>
        <w:t>T</w:t>
      </w:r>
      <w:r>
        <w:t>o understand the evolution and national roll-out of the TCP, a description of the implementation of TC in each jurisdiction is presented in the subsections that follow.</w:t>
      </w:r>
    </w:p>
    <w:p w14:paraId="78905469" w14:textId="77777777" w:rsidR="005D7ABA" w:rsidRDefault="007F1E5B" w:rsidP="00CA0D72">
      <w:pPr>
        <w:pStyle w:val="Heading3"/>
        <w:ind w:right="-3"/>
      </w:pPr>
      <w:bookmarkStart w:id="27" w:name="_Toc402348874"/>
      <w:r>
        <w:t>1.2.1. Australian Capital Territory</w:t>
      </w:r>
      <w:bookmarkEnd w:id="27"/>
    </w:p>
    <w:p w14:paraId="1C8EBF15" w14:textId="77777777" w:rsidR="005D7ABA" w:rsidRDefault="007F1E5B" w:rsidP="00CA0D72">
      <w:pPr>
        <w:ind w:right="-3"/>
      </w:pPr>
      <w:r>
        <w:t>The ACT has a single TC service which has been in operation since December 2005, making it one of the most mature TC services in the TCP.  ACT Health Transition Care Program had all 35 allocated places operational at 30 June 2007.  Of these 15, were operating as residential-based places and 20 were operating as community-based places.</w:t>
      </w:r>
    </w:p>
    <w:p w14:paraId="1D6FA355" w14:textId="77777777" w:rsidR="005D7ABA" w:rsidRDefault="007F1E5B" w:rsidP="00CA0D72">
      <w:pPr>
        <w:pStyle w:val="Heading3"/>
        <w:ind w:right="-3"/>
      </w:pPr>
      <w:bookmarkStart w:id="28" w:name="_Toc402348875"/>
      <w:r>
        <w:t>1.2.2. New South Wales</w:t>
      </w:r>
      <w:bookmarkEnd w:id="28"/>
    </w:p>
    <w:p w14:paraId="60ADEBF1" w14:textId="77777777" w:rsidR="005D7ABA" w:rsidRDefault="007F1E5B" w:rsidP="00CA0D72">
      <w:pPr>
        <w:ind w:right="-3"/>
      </w:pPr>
      <w:r>
        <w:t>NSW has 28 TC services located in metropolitan, regional, and rural areas throughout the state.  At June 2007 571 of the 703 allocated places were operational, with seven TC services yet to commence operations.  The majority of NSW places operate in a community-based setting (86% at 30 June 2007).  The first TC services in NSW began providing services in January 2006 (Richmond Valley Transitional Aged Care service, Transitional Aged Care Program - Prince of Wales Community Health Service, Tweed Transitional Aged Care Service) and TC has continued to be rolled out in the state since then.  Newer TC services have begun operation in 2008 in Dubbo and Lower Hunter.</w:t>
      </w:r>
    </w:p>
    <w:p w14:paraId="67C98766" w14:textId="77777777" w:rsidR="005D7ABA" w:rsidRDefault="007F1E5B" w:rsidP="00CA0D72">
      <w:pPr>
        <w:pStyle w:val="Heading3"/>
        <w:ind w:right="-3"/>
      </w:pPr>
      <w:bookmarkStart w:id="29" w:name="_Toc402348876"/>
      <w:r>
        <w:t>1.2.3. Northern Territory</w:t>
      </w:r>
      <w:bookmarkEnd w:id="29"/>
    </w:p>
    <w:p w14:paraId="23BAB4F0" w14:textId="77777777" w:rsidR="005D7ABA" w:rsidRDefault="007F1E5B" w:rsidP="00CA0D72">
      <w:pPr>
        <w:ind w:right="-3"/>
      </w:pPr>
      <w:r>
        <w:t>TC places have been allocated to three TC services in the Northern Territory with only one TC service (Katherine Transition Care Program) operational at 30 June 2007.  Both of the Alice Springs and Darwin services commenced operation in 2008.  Of the 16 allocated places, eight were operational at 30 June 2007 and all of these were residential-based places.  Katherine Transition Care Program has been operational since February 2007.</w:t>
      </w:r>
    </w:p>
    <w:p w14:paraId="694E561A" w14:textId="77777777" w:rsidR="005D7ABA" w:rsidRDefault="007F1E5B" w:rsidP="00CA0D72">
      <w:pPr>
        <w:pStyle w:val="Heading3"/>
        <w:ind w:right="-3"/>
      </w:pPr>
      <w:bookmarkStart w:id="30" w:name="_Toc402348877"/>
      <w:r>
        <w:t>1.2.4. Queensland</w:t>
      </w:r>
      <w:bookmarkEnd w:id="30"/>
    </w:p>
    <w:p w14:paraId="204948D9" w14:textId="77777777" w:rsidR="005D7ABA" w:rsidRDefault="007F1E5B" w:rsidP="00CA0D72">
      <w:pPr>
        <w:ind w:right="-3"/>
      </w:pPr>
      <w:r>
        <w:t xml:space="preserve">Queensland has 12 operational services located in metropolitan, regional, and rural areas.  Gold Coast Transition Care Program, </w:t>
      </w:r>
      <w:proofErr w:type="spellStart"/>
      <w:r>
        <w:t>Bayside</w:t>
      </w:r>
      <w:proofErr w:type="spellEnd"/>
      <w:r>
        <w:t xml:space="preserve"> Transition Care, Brisbane South Transition Care, and West Moreton Transition Care were the earliest services to begin offering TC services in June - August 2006. At 30 June 2007 all but three TC services had commenced operations and these were located in rural areas of Queensland (Mackay, Tablelands, and Innisfail).  A total of 257 of the 351 allocated places were operational at 30 June 2007, and 240 (93%) of these were used as community-based places.</w:t>
      </w:r>
    </w:p>
    <w:p w14:paraId="619ACDEA" w14:textId="77777777" w:rsidR="005D7ABA" w:rsidRDefault="007F1E5B" w:rsidP="00CA0D72">
      <w:pPr>
        <w:pStyle w:val="Heading3"/>
        <w:ind w:right="-3"/>
      </w:pPr>
      <w:bookmarkStart w:id="31" w:name="_Toc402348878"/>
      <w:r>
        <w:t>1.2.5. South Australia</w:t>
      </w:r>
      <w:bookmarkEnd w:id="31"/>
    </w:p>
    <w:p w14:paraId="79B370CA" w14:textId="77777777" w:rsidR="005D7ABA" w:rsidRDefault="007F1E5B" w:rsidP="00CA0D72">
      <w:pPr>
        <w:ind w:right="-3"/>
      </w:pPr>
      <w:r>
        <w:t>There are four TC services in South Australia.  Country Health SA Transition Care Program delivers 26 places across rural and remote South Australia and the remaining places operate in the metropolitan area.  SA has two services that have been in operation for the longest period, commencing in October 2005.  In contrast to other jurisdictions, the flexibility of the TCP has led to 40 of the SA TC places being designated as residential-based and the remainder as 'mixed' so that they can be used as either community-based or residential-based places dependent on need.  At 30 June 2007, 147 of the 176 allocated places were operational.</w:t>
      </w:r>
    </w:p>
    <w:p w14:paraId="7E7B43ED" w14:textId="77777777" w:rsidR="005D7ABA" w:rsidRDefault="007F1E5B" w:rsidP="00CA0D72">
      <w:pPr>
        <w:pStyle w:val="Heading3"/>
        <w:ind w:right="-3"/>
      </w:pPr>
      <w:bookmarkStart w:id="32" w:name="_Toc402348879"/>
      <w:r>
        <w:t>1.2.6. Tasmania</w:t>
      </w:r>
      <w:bookmarkEnd w:id="32"/>
    </w:p>
    <w:p w14:paraId="78530FF6" w14:textId="77777777" w:rsidR="005D7ABA" w:rsidRDefault="007F1E5B" w:rsidP="00CA0D72">
      <w:pPr>
        <w:ind w:right="-3"/>
      </w:pPr>
      <w:r>
        <w:t>Tasmania has two TC services that began operations in July and December 2006, respectively.  At June 2007 52 of the 57 allocated places were operational with 27 residential-based and 25 community-based places at this time.</w:t>
      </w:r>
    </w:p>
    <w:p w14:paraId="5FF5DB99" w14:textId="77777777" w:rsidR="005D7ABA" w:rsidRDefault="007F1E5B" w:rsidP="00CA0D72">
      <w:pPr>
        <w:pStyle w:val="Heading3"/>
        <w:ind w:right="-3"/>
      </w:pPr>
      <w:bookmarkStart w:id="33" w:name="_Toc402348880"/>
      <w:r>
        <w:t>1.2.7. Victoria</w:t>
      </w:r>
      <w:bookmarkEnd w:id="33"/>
    </w:p>
    <w:p w14:paraId="06D4199C" w14:textId="77777777" w:rsidR="005D7ABA" w:rsidRDefault="007F1E5B" w:rsidP="00CA0D72">
      <w:pPr>
        <w:ind w:right="-3"/>
      </w:pPr>
      <w:r>
        <w:t xml:space="preserve">Victoria has 12 operational services and the second largest allocation of TC places.  Unlike other jurisdictions, more than half of the 424 operational places were used as residential-based TC </w:t>
      </w:r>
      <w:r>
        <w:lastRenderedPageBreak/>
        <w:t>places (n=247; 58%) at 30 June 2007.  This reflects that older people living in Victoria have access to a broad range of health services under the sub-acute system, and the Victorian TCP appears to service a more disabled group of people than programs in other jurisdictions.</w:t>
      </w:r>
    </w:p>
    <w:p w14:paraId="69C103E4" w14:textId="77777777" w:rsidR="005D7ABA" w:rsidRDefault="007F1E5B" w:rsidP="00CA0D72">
      <w:pPr>
        <w:pStyle w:val="Heading3"/>
        <w:ind w:right="-3"/>
      </w:pPr>
      <w:bookmarkStart w:id="34" w:name="_Toc402348881"/>
      <w:r>
        <w:t>1.2.8. Western Australia</w:t>
      </w:r>
      <w:bookmarkEnd w:id="34"/>
    </w:p>
    <w:p w14:paraId="3EF64E5B" w14:textId="77777777" w:rsidR="005D7ABA" w:rsidRDefault="007F1E5B" w:rsidP="00CA0D72">
      <w:pPr>
        <w:ind w:right="-3"/>
      </w:pPr>
      <w:r>
        <w:t>Two TC services began delivery of services in Perth in 2006, with 100 places operational at 30 June 2007, half of which delivered TC in a residential-based setting.  An additional 60 places were allocated to the Western Australian Country Health Service with distinct operations in the Midwest and South West of this state.</w:t>
      </w:r>
    </w:p>
    <w:p w14:paraId="5BB98D04" w14:textId="77777777" w:rsidR="005D7ABA" w:rsidRDefault="007F1E5B" w:rsidP="00CA0D72">
      <w:pPr>
        <w:pStyle w:val="Heading2"/>
        <w:ind w:right="-3"/>
      </w:pPr>
      <w:bookmarkStart w:id="35" w:name="_Toc402348882"/>
      <w:r>
        <w:t>1.3. Structure of the Final Evaluation Report</w:t>
      </w:r>
      <w:bookmarkEnd w:id="35"/>
    </w:p>
    <w:p w14:paraId="279E13D4" w14:textId="77777777" w:rsidR="005D7ABA" w:rsidRDefault="007F1E5B" w:rsidP="00CA0D72">
      <w:pPr>
        <w:ind w:right="-3"/>
      </w:pPr>
      <w:r>
        <w:t>The current national and international literature is first reviewed, to place the operation of the Australian TCP in context. Each of the six key evaluation questions is then addressed in separate chapters of this report.</w:t>
      </w:r>
    </w:p>
    <w:p w14:paraId="6E9167C1" w14:textId="7863CC35" w:rsidR="007F1E5B" w:rsidRDefault="007F1E5B" w:rsidP="00CA0D72">
      <w:pPr>
        <w:ind w:right="-3"/>
      </w:pPr>
      <w:r>
        <w:t>A discussion of the limitations in the evaluation methodology is then presented in Chapter 9.  The report concludes in Chapter 10 with a summary chapter and recommendations.</w:t>
      </w:r>
    </w:p>
    <w:p w14:paraId="1188A772" w14:textId="77777777" w:rsidR="005D7ABA" w:rsidRDefault="00846CDA" w:rsidP="00CA0D72">
      <w:pPr>
        <w:pStyle w:val="Heading2"/>
        <w:ind w:right="-3"/>
      </w:pPr>
      <w:bookmarkStart w:id="36" w:name="_Toc402348883"/>
      <w:r>
        <w:t>1.3. Structure of the Final Evaluation Report</w:t>
      </w:r>
      <w:bookmarkEnd w:id="36"/>
    </w:p>
    <w:p w14:paraId="244EE096" w14:textId="77777777" w:rsidR="005D7ABA" w:rsidRDefault="00846CDA" w:rsidP="00CA0D72">
      <w:pPr>
        <w:ind w:right="-3"/>
      </w:pPr>
      <w:r w:rsidRPr="00D3160F">
        <w:t>The current national and international literature is first reviewed, to place the operation of the Australian TCP in context. Each of the six key evaluation questions is then addressed in separate chapters of this report.</w:t>
      </w:r>
    </w:p>
    <w:p w14:paraId="0CDE35CE" w14:textId="77777777" w:rsidR="005D7ABA" w:rsidRDefault="003A2250" w:rsidP="00CA0D72">
      <w:pPr>
        <w:pStyle w:val="Heading1"/>
        <w:ind w:right="-3"/>
      </w:pPr>
      <w:r>
        <w:br w:type="page"/>
      </w:r>
      <w:bookmarkStart w:id="37" w:name="_Toc402348884"/>
      <w:r>
        <w:lastRenderedPageBreak/>
        <w:t>2. Background and relevant literature</w:t>
      </w:r>
      <w:bookmarkEnd w:id="37"/>
    </w:p>
    <w:p w14:paraId="23514B53" w14:textId="77777777" w:rsidR="005D7ABA" w:rsidRDefault="003A2250" w:rsidP="00CA0D72">
      <w:pPr>
        <w:pStyle w:val="Heading2"/>
        <w:ind w:right="-3"/>
      </w:pPr>
      <w:bookmarkStart w:id="38" w:name="_Toc402348885"/>
      <w:r>
        <w:t>2.1. Australian context</w:t>
      </w:r>
      <w:bookmarkEnd w:id="38"/>
    </w:p>
    <w:p w14:paraId="66FB5A7F" w14:textId="77777777" w:rsidR="005D7ABA" w:rsidRDefault="003A2250" w:rsidP="00CA0D72">
      <w:pPr>
        <w:ind w:right="-3"/>
      </w:pPr>
      <w:r>
        <w:t>Older people, those aged 70 years or older, accounted for about 31% of non-same day hospital episodes in 2004/05.  Demand for hospital services increases with age, with 353.5 non-same day hospital separations in 2004/05 for every 1,000 people aged 70 to 74 compared to 753.7 non-same day hospital separations in 2004/05 for every 1,000 people aged 85 or over (Australian Institute of Health and Welfare 2007).</w:t>
      </w:r>
    </w:p>
    <w:p w14:paraId="48374A12" w14:textId="77777777" w:rsidR="005D7ABA" w:rsidRDefault="003A2250" w:rsidP="00CA0D72">
      <w:pPr>
        <w:ind w:right="-3"/>
      </w:pPr>
      <w:r>
        <w:t>Older people are also consumers of aged care services and again consumption increases with age.  About 4% of men aged 80 and 6% of women aged 80 are receiving permanent residential aged care at any one time, while at the peak of usage (age 96) 22% of men and 41% per cent of women are receiving permanent residential aged care at any one time.  Moreover, such cross-sectional data tends to understate the likelihood that an individual will require permanent residential aged care at some time in their life.  Life table analysis shows that, at age 65, an individual woman who has never received permanent residential aged care has a lifetime risk of entry to permanent residential aged care of 50% (32% for a man) (Liu, Braun et al. 2001).</w:t>
      </w:r>
    </w:p>
    <w:p w14:paraId="7A942566" w14:textId="77777777" w:rsidR="005D7ABA" w:rsidRDefault="003A2250" w:rsidP="00CA0D72">
      <w:pPr>
        <w:ind w:right="-3"/>
      </w:pPr>
      <w:r>
        <w:t>Australian governments already contribute considerable resources to the provision of hospital and aged care services.  In 2004/05, for example, they provided $20 billion for public hospitals and $7.3 billion for aged care services (Steering Committee for the Review of Government Service Provisions 2007).  As the demand for hospital and aged care services increase with age, the ageing of Australia's population will see this expenditure increase significantly in real terms over the coming decades.  Commonwealth aged care expenditure alone is projected to increase from 0.8% of GDP in 2006/07 to 2.0% of GDP by 2046/47, while Commonwealth expenditure on public hospitals and private health insurance is projected to increase from 1.2% of GDP to 2.3% of GDP over the same period (Australian Government Department of Health and Ageing 2007).</w:t>
      </w:r>
    </w:p>
    <w:p w14:paraId="5C8B0D8A" w14:textId="77777777" w:rsidR="005D7ABA" w:rsidRDefault="003A2250" w:rsidP="00CA0D72">
      <w:pPr>
        <w:ind w:right="-3"/>
      </w:pPr>
      <w:r>
        <w:t xml:space="preserve">Improving the </w:t>
      </w:r>
      <w:proofErr w:type="spellStart"/>
      <w:r>
        <w:t>allocative</w:t>
      </w:r>
      <w:proofErr w:type="spellEnd"/>
      <w:r>
        <w:t xml:space="preserve"> efficiency of both the hospital and aged care sectors, so that older people do not wait unnecessarily in hospital for a residential aged care place, and conversely so that older people are not prematurely discharged to residential aged care before they receive appropriate rehabilitation services to address reversible disability, will therefore become of increasing importance both for the health/aged care system as a whole as well as for the welfare of the individuals concerned.  The need to address these issues has been recognized by governments at all levels (Dwyer and Jackson 2001).  In 2004 the National Action Plan for improving the care of older people across the acute-aged care continuum 2004-2008 was endorsed by state and federal health ministers (Australian Health Ministers' Advisory Council 2004).  The TCP is an action which has emerged from Principle 4 of the plan and is provided as a form of flexible care under legislation from the Aged Care Act 1997.</w:t>
      </w:r>
    </w:p>
    <w:p w14:paraId="77D9A37A" w14:textId="77777777" w:rsidR="005D7ABA" w:rsidRDefault="003A2250" w:rsidP="00CA0D72">
      <w:pPr>
        <w:pStyle w:val="Heading3"/>
        <w:ind w:right="-3"/>
      </w:pPr>
      <w:bookmarkStart w:id="39" w:name="_Toc402348886"/>
      <w:r>
        <w:t>2.1.1. Innovative Care Rehabilitation Service - Australia</w:t>
      </w:r>
      <w:bookmarkEnd w:id="39"/>
    </w:p>
    <w:p w14:paraId="7BB14884" w14:textId="77777777" w:rsidR="005D7ABA" w:rsidRDefault="003A2250" w:rsidP="00CA0D72">
      <w:pPr>
        <w:ind w:right="-3"/>
      </w:pPr>
      <w:r>
        <w:t>The design of the TCP was informed by a series of pilots - The Innovative Care Rehabilitation Service (ICRS) pilot program (Department of Health and Ageing 2005).  Twelve pilots were established in 2001 to explore new approaches to the care of older people who had experienced a period of acute hospitalization.  In an evaluation of 11 of these pilots 1,640 completed episodes were examined and it was estimated that the interventions returned a high proportion of older people to the community with cost savings (Department of Health and Ageing 2005).</w:t>
      </w:r>
    </w:p>
    <w:p w14:paraId="279B9287" w14:textId="73616D76" w:rsidR="003A2250" w:rsidRDefault="003A2250" w:rsidP="00CA0D72">
      <w:pPr>
        <w:ind w:right="-3"/>
      </w:pPr>
    </w:p>
    <w:p w14:paraId="0B52C84D" w14:textId="77777777" w:rsidR="005D7ABA" w:rsidRDefault="003A2250" w:rsidP="00CA0D72">
      <w:pPr>
        <w:ind w:right="-3"/>
      </w:pPr>
      <w:r>
        <w:t xml:space="preserve">The pilots were directed at older people, who had completed their acute treatment phase, had been assessed for admission to long term residential aged care, and who were thought likely to benefit from a phase of rehabilitation.  The average entry MBI was 67.3 (77 in the community-based and 61 in the residential-based setting), the average age was 81.5 years, and 58% were </w:t>
      </w:r>
      <w:r>
        <w:lastRenderedPageBreak/>
        <w:t>living alone.  Their outcomes were generally positive with a hospital readmission rate of 18.1%.  Three months post discharge 87.7% of those who could be contacted were still residing in the community.  Six months post discharge 84% of those who could be contacted were still residing in the community.  An important finding was that 69 people (4.2%) entered residential aged care as low care after having an ACAT assessment and being assessed as requiring high level care.  The report addressed the issue of whether the program should be offered to the dementia population but noted that many pilots had excluded dementia and the overall numbers were so small (3.1% of the ICRS client group) that they could not draw conclusions.</w:t>
      </w:r>
    </w:p>
    <w:p w14:paraId="44A729B3" w14:textId="77777777" w:rsidR="005D7ABA" w:rsidRDefault="003A2250" w:rsidP="00CA0D72">
      <w:pPr>
        <w:ind w:right="-3"/>
      </w:pPr>
      <w:r>
        <w:t>The estimated daily cost of the residential-based episode was $236 per day ($10,500 per ICRS episode) and in the community-based setting costs were estimated as $86 per day ($5,300 per ICRS episode).  Based on a total expenditure of $16 million, the cost/benefit analysis suggested that $4.7 million dollars of savings were achieved under the strong assumption that those who received ICRS services would have otherwise had residential aged care for the same duration.  However, no controls were available to permit accurate assessments of what might have happened in the absence of TC.</w:t>
      </w:r>
    </w:p>
    <w:p w14:paraId="458F6435" w14:textId="77777777" w:rsidR="005D7ABA" w:rsidRDefault="003A2250" w:rsidP="00CA0D72">
      <w:pPr>
        <w:ind w:right="-3"/>
      </w:pPr>
      <w:r>
        <w:t>While there were differences between the 11 pilot sites in terms of medical (both geriatrician and GP), allied health, and nursing input overall they demonstrated an increase in physical function and a significant return home rate. However, there were no control groups in this evaluation so the design did not allow robust assessment of the additive benefits that TC recipients had made to the individual over and above natural recovery. An important limitation the evaluators faced was the difficulty tracking individuals to establish outcomes so the results were biased towards detecting positive outcomes.</w:t>
      </w:r>
    </w:p>
    <w:p w14:paraId="49326768" w14:textId="5BF79EAE" w:rsidR="005D7ABA" w:rsidRDefault="003A2250" w:rsidP="00CA0D72">
      <w:pPr>
        <w:ind w:right="-3"/>
      </w:pPr>
      <w:r>
        <w:t>In summary, the ICRS evaluation suggested significant cost savings were associated with the new model of care. However, without a control group and with incomplete follow-up data estimates were difficult.</w:t>
      </w:r>
    </w:p>
    <w:p w14:paraId="205D140C" w14:textId="77777777" w:rsidR="005D7ABA" w:rsidRDefault="003A2250" w:rsidP="00CA0D72">
      <w:pPr>
        <w:pStyle w:val="Heading3"/>
        <w:ind w:right="-3"/>
      </w:pPr>
      <w:bookmarkStart w:id="40" w:name="_Toc402348887"/>
      <w:r>
        <w:t xml:space="preserve">2.1.2. </w:t>
      </w:r>
      <w:r>
        <w:tab/>
        <w:t>South Australian randomized controlled trial of a residential transitional care unit</w:t>
      </w:r>
      <w:bookmarkEnd w:id="40"/>
    </w:p>
    <w:p w14:paraId="22C1FED0" w14:textId="77777777" w:rsidR="005D7ABA" w:rsidRDefault="003A2250" w:rsidP="00CA0D72">
      <w:pPr>
        <w:ind w:right="-3"/>
      </w:pPr>
      <w:r>
        <w:t xml:space="preserve">In 2003/04 as part of the Commonwealth's National Demonstration Hospitals Program Phase IV, 320 older people admitted to a public hospital in Adelaide participated in a randomized controlled trial after a decision was made that they should go to residential aged care (i.e. after receiving an ACAT assessment).  Participants were randomized to either stay in hospital to await transfer to a residential aged care facility or move to an offsite facility run by an aged care organization and were provided with therapists and doctors from the local hospital (Crotty, Whitehead et al. 2005). Everyone in the hospital who had received an ACAT assessment and was waiting on residential aged care was eligible for transfer and was approached to take part in the trial.  At four months there were no differences in outcomes (deaths, function, or readmissions) and hospital beds had been </w:t>
      </w:r>
      <w:proofErr w:type="gramStart"/>
      <w:r>
        <w:t>emptied.</w:t>
      </w:r>
      <w:proofErr w:type="gramEnd"/>
      <w:r>
        <w:t xml:space="preserve">  The approach was less efficient overall as those who moved to the offsite facility took three weeks longer (total hospital and transitional care days) to reach their final residential aged care bed than those who remained in hospital.  However the hospital gained a median of 11 bed days by moving the older adults out of an acute bed which allowed them to admit someone else.</w:t>
      </w:r>
    </w:p>
    <w:p w14:paraId="059D97E4" w14:textId="77777777" w:rsidR="005D7ABA" w:rsidRDefault="003A2250" w:rsidP="00CA0D72">
      <w:pPr>
        <w:ind w:right="-3"/>
      </w:pPr>
      <w:r>
        <w:t>While 7% of those in the group who went into the transitional care unit went home after the ACAT assessment, a similar number went home without any intervention underlining the fact that some people will recover with no intervention at all.  The design of this study eliminated the selection bias which confounds evaluations of these programs and once the selection bias was removed, the assessment of outcomes (return home, improvement in function) was less positive than seen in the ICRS pilots.</w:t>
      </w:r>
    </w:p>
    <w:p w14:paraId="58DF874D" w14:textId="77777777" w:rsidR="005D7ABA" w:rsidRDefault="003A2250" w:rsidP="00CA0D72">
      <w:pPr>
        <w:ind w:right="-3"/>
      </w:pPr>
      <w:r>
        <w:t xml:space="preserve">Probably the most important finding in this study was that there was no increase in adverse outcomes such as deaths and the transitional care unit did not appear unsafe which had been a major concern of clinicians.  While this program allowed "unblocking" of beds and cost shifting to the Commonwealth from the acute sector, an assessment of the total time to care highlighted </w:t>
      </w:r>
      <w:r>
        <w:lastRenderedPageBreak/>
        <w:t>the potential inefficiencies of this approach to overall flows. No cost study was included but it is unlikely that overall cost savings were achieved as the older people who moved to the offsite facility faced additional costs given that they paid a contribution fee.</w:t>
      </w:r>
    </w:p>
    <w:p w14:paraId="1BE85094" w14:textId="77777777" w:rsidR="005D7ABA" w:rsidRDefault="003A2250" w:rsidP="00CA0D72">
      <w:pPr>
        <w:ind w:right="-3"/>
      </w:pPr>
      <w:r>
        <w:t xml:space="preserve">A qualitative adjunct study was also undertaken with 31 carers, which found that although the transitional care unit did not reduce the stress experienced by carers when they searched for a permanent residential aged care facility it was an acceptable alternative to waiting in hospital (Daff, </w:t>
      </w:r>
      <w:proofErr w:type="spellStart"/>
      <w:r>
        <w:t>Stepien</w:t>
      </w:r>
      <w:proofErr w:type="spellEnd"/>
      <w:r>
        <w:t xml:space="preserve"> et al. 2006).</w:t>
      </w:r>
    </w:p>
    <w:p w14:paraId="41C3DC01" w14:textId="77777777" w:rsidR="005D7ABA" w:rsidRDefault="003A2250" w:rsidP="00CA0D72">
      <w:pPr>
        <w:ind w:right="-3"/>
      </w:pPr>
      <w:r>
        <w:t>Very little work has been published since the NETCP began.  In July 2006 an audit was conducted at three sites of the first 30 participants in three new TC services based in Adelaide and Sydney.  The audit confirmed that the residential-based services were taking more complex medical cases than the community-based services and there was heterogeneity amongst clients (Cameron and Davies 2007).</w:t>
      </w:r>
    </w:p>
    <w:p w14:paraId="3D2F567E" w14:textId="77777777" w:rsidR="005D7ABA" w:rsidRDefault="003A2250" w:rsidP="00CA0D72">
      <w:pPr>
        <w:pStyle w:val="Heading2"/>
        <w:ind w:right="-3"/>
      </w:pPr>
      <w:bookmarkStart w:id="41" w:name="_Toc402348888"/>
      <w:r>
        <w:t>2.2. Intermediate Care in the UK</w:t>
      </w:r>
      <w:bookmarkEnd w:id="41"/>
    </w:p>
    <w:p w14:paraId="53A27BDC" w14:textId="77777777" w:rsidR="005D7ABA" w:rsidRDefault="003A2250" w:rsidP="00CA0D72">
      <w:pPr>
        <w:ind w:right="-3"/>
      </w:pPr>
      <w:r>
        <w:t xml:space="preserve">Intermediate Care has influenced the TC model.  It was evaluated in the UK using a comparative case study design to look at the program from different stakeholder perspectives at different levels (system, service, individual levels) (Godfrey, Keen et al. 2005).  The evaluation was undertaken by researchers at the University of Leeds and the economic analyses by researchers </w:t>
      </w:r>
      <w:proofErr w:type="spellStart"/>
      <w:r>
        <w:t>form</w:t>
      </w:r>
      <w:proofErr w:type="spellEnd"/>
      <w:r>
        <w:t xml:space="preserve"> the University of York.  Quantitative patient data for 7,452 service users admitted to Intermediate Care over one year were analysed together with data for a cohort admitted in a month (n=153) who were tracked for six months.  Sixty-four users were interviewed and 247 interviews were conducted with staff.</w:t>
      </w:r>
    </w:p>
    <w:p w14:paraId="2D27FFA6" w14:textId="77777777" w:rsidR="005D7ABA" w:rsidRDefault="003A2250" w:rsidP="00CA0D72">
      <w:pPr>
        <w:ind w:right="-3"/>
      </w:pPr>
      <w:r>
        <w:t>The evaluation found Intermediate Care included diverse programs such as conventional rehabilitation programs as well as programs in the Emergency Department aimed at preventing admission.  There was no core data set used by services which made evaluation difficult as there were no common outcomes across services.</w:t>
      </w:r>
    </w:p>
    <w:p w14:paraId="4DD96871" w14:textId="77777777" w:rsidR="005D7ABA" w:rsidRDefault="003A2250" w:rsidP="00CA0D72">
      <w:pPr>
        <w:ind w:right="-3"/>
      </w:pPr>
      <w:r>
        <w:t>Observational data suggested that there had been changes in the structure of service delivery, largely a shift in providers' culture to a focus on client centred goals.  There was movement toward cross agency, multidisciplinary working but the extent of this was variable.  The patient level evaluation suggested that the experience of "recovery" was much longer than the Intermediate Care episode.  Finally, the evaluation concluded that the programs needed more medical involvement at strategic and operational levels to improve the quality and effectiveness of the service which implied the program had struggled to get engagement in the early phase.  The researchers identified three elements of "good user centred Intermediate Care" which defined its quality:</w:t>
      </w:r>
    </w:p>
    <w:p w14:paraId="19B851AD" w14:textId="77777777" w:rsidR="005D7ABA" w:rsidRDefault="003A2250" w:rsidP="009F2D50">
      <w:pPr>
        <w:pStyle w:val="Normal-Dot"/>
        <w:numPr>
          <w:ilvl w:val="0"/>
          <w:numId w:val="17"/>
        </w:numPr>
        <w:ind w:right="-3"/>
      </w:pPr>
      <w:r>
        <w:t>Enabling ethos which boosted individual's confidence</w:t>
      </w:r>
    </w:p>
    <w:p w14:paraId="6A09A7F1" w14:textId="77777777" w:rsidR="005D7ABA" w:rsidRDefault="003A2250" w:rsidP="009F2D50">
      <w:pPr>
        <w:pStyle w:val="Normal-Dot"/>
        <w:numPr>
          <w:ilvl w:val="0"/>
          <w:numId w:val="17"/>
        </w:numPr>
        <w:ind w:right="-3"/>
      </w:pPr>
      <w:r>
        <w:t>Partnership with informal support networks to maintain and sustain recovery</w:t>
      </w:r>
    </w:p>
    <w:p w14:paraId="3D2F13D3" w14:textId="77777777" w:rsidR="005D7ABA" w:rsidRDefault="003A2250" w:rsidP="009F2D50">
      <w:pPr>
        <w:pStyle w:val="Normal-Dot"/>
        <w:numPr>
          <w:ilvl w:val="0"/>
          <w:numId w:val="17"/>
        </w:numPr>
        <w:ind w:right="-3"/>
      </w:pPr>
      <w:r>
        <w:t>Links into ongoing practical, clinical and social support services</w:t>
      </w:r>
    </w:p>
    <w:p w14:paraId="0D676730" w14:textId="77777777" w:rsidR="005D7ABA" w:rsidRDefault="003A2250" w:rsidP="00CA0D72">
      <w:pPr>
        <w:ind w:right="-3"/>
      </w:pPr>
      <w:r>
        <w:t>Given the research approach, the researchers were cautious about committing to whether Intermediate Care "worked".  The major conclusion of the report was to describe the nature of the program in conceptual terms.  Essentially it was described as "cloud-like", as a program which cannot be reduced to individual service components but should be "conceived of as a system of care in the space between locations, sectors, and states". Importantly it was noted that there was wide variation in the allocation of resources and the expenditure of the various programs.</w:t>
      </w:r>
    </w:p>
    <w:p w14:paraId="1D4880FD" w14:textId="77777777" w:rsidR="005D7ABA" w:rsidRDefault="003A2250" w:rsidP="00CA0D72">
      <w:pPr>
        <w:ind w:right="-3"/>
      </w:pPr>
      <w:r>
        <w:t>Intermediate Care has fostered an outcomes focused approach in community settings with a strong emphasis on change outcomes (</w:t>
      </w:r>
      <w:proofErr w:type="spellStart"/>
      <w:r>
        <w:t>Glendinning</w:t>
      </w:r>
      <w:proofErr w:type="spellEnd"/>
      <w:r>
        <w:t xml:space="preserve">, Clarke et al. 2008).  </w:t>
      </w:r>
      <w:proofErr w:type="spellStart"/>
      <w:r>
        <w:t>Qureshi</w:t>
      </w:r>
      <w:proofErr w:type="spellEnd"/>
      <w:r>
        <w:t xml:space="preserve"> et al. identified three types of outcomes desirable in older people (</w:t>
      </w:r>
      <w:proofErr w:type="spellStart"/>
      <w:r>
        <w:t>Qureshi</w:t>
      </w:r>
      <w:proofErr w:type="spellEnd"/>
      <w:r>
        <w:t xml:space="preserve">, Patmore et al. 1998). Change outcomes describing improvements in physical, mental, and emotional functioning.  </w:t>
      </w:r>
      <w:r>
        <w:lastRenderedPageBreak/>
        <w:t xml:space="preserve">Maintenance outcomes prevent or delay deterioration in health </w:t>
      </w:r>
      <w:proofErr w:type="spellStart"/>
      <w:r>
        <w:t>well being</w:t>
      </w:r>
      <w:proofErr w:type="spellEnd"/>
      <w:r>
        <w:t xml:space="preserve"> or quality of life.  These include: living in a clean environment, having access to social contact, control over everyday life and there are consistencies between these outcomes and older people's definitions of quality of life (Walker and Hennessy 2004).  Finally, process outcomes refer to the experience of seeking, obtaining, and using services.  These include feeling valued and respected, being treated as an individual having control over how and when services are provided.  Intermediate Care is focused on change outcomes and this has led to some debate (</w:t>
      </w:r>
      <w:proofErr w:type="spellStart"/>
      <w:r>
        <w:t>Glendinning</w:t>
      </w:r>
      <w:proofErr w:type="spellEnd"/>
      <w:r>
        <w:t>, Clarke et al. 2008).</w:t>
      </w:r>
    </w:p>
    <w:p w14:paraId="08D3BB9E" w14:textId="77777777" w:rsidR="005D7ABA" w:rsidRDefault="003A2250" w:rsidP="00CA0D72">
      <w:pPr>
        <w:pStyle w:val="Heading2"/>
        <w:ind w:right="-3"/>
      </w:pPr>
      <w:bookmarkStart w:id="42" w:name="_Toc402348889"/>
      <w:r>
        <w:t xml:space="preserve">2.3. </w:t>
      </w:r>
      <w:proofErr w:type="spellStart"/>
      <w:r>
        <w:t>Post Acute</w:t>
      </w:r>
      <w:proofErr w:type="spellEnd"/>
      <w:r>
        <w:t xml:space="preserve"> Care in the US</w:t>
      </w:r>
      <w:bookmarkEnd w:id="42"/>
    </w:p>
    <w:p w14:paraId="21A1A52C" w14:textId="77777777" w:rsidR="005D7ABA" w:rsidRDefault="003A2250" w:rsidP="00CA0D72">
      <w:pPr>
        <w:ind w:right="-3"/>
      </w:pPr>
      <w:r>
        <w:t xml:space="preserve">In the US </w:t>
      </w:r>
      <w:proofErr w:type="spellStart"/>
      <w:r>
        <w:t>post acute</w:t>
      </w:r>
      <w:proofErr w:type="spellEnd"/>
      <w:r>
        <w:t xml:space="preserve"> care (PAC) is seen as an extension of hospital care but there is a high dependence on nursing home facilities for its provision. Medicaid is the primary public payer for long-term care and Medicare the primary payer for acute care and in 2005 Medicare spent $42 billion on PAC services which represents 13% of all Medicare benefit spending.  Acute hospital stays in US hospitals are short and PAC has a number of venues, which include formal inpatient rehabilitation facilities, skilled nursing facilities, long term care hospitals, and home health care.  Overall, one third of Medicare patients leaving acute care hospitals in 2002 received some form of PAC (</w:t>
      </w:r>
      <w:proofErr w:type="spellStart"/>
      <w:r>
        <w:t>Buntin</w:t>
      </w:r>
      <w:proofErr w:type="spellEnd"/>
      <w:r>
        <w:t xml:space="preserve"> 2007) but non-clinical factors play a large part in the deciding which patient groups access which </w:t>
      </w:r>
      <w:proofErr w:type="spellStart"/>
      <w:r>
        <w:t>post acute</w:t>
      </w:r>
      <w:proofErr w:type="spellEnd"/>
      <w:r>
        <w:t xml:space="preserve"> service.  Among the non-clinical factors affecting use of PAC is geographic location with those in rural areas less likely to access any PAC (Kane, Lin et al. 2002). The US is currently reviewing PAC approaches recognising that the payment policies have focused on the phase of illness rather than care needs and services, and although patient characteristics may be similar the payments across PAC setting are different.  In January 2008 a demonstration program was established which will run for a three year period and report to Congress with recommendations on changes.  The aims are to standardize patient assessment information, use the data to inform payment policy and develop a reimbursement policy that is patient-focused rather than facility-focused.  However, there is also an emphasis on improving the management of transitions between care settings and increasing consumer choice and control (</w:t>
      </w:r>
      <w:proofErr w:type="spellStart"/>
      <w:r>
        <w:t>Centers</w:t>
      </w:r>
      <w:proofErr w:type="spellEnd"/>
      <w:r>
        <w:t xml:space="preserve"> for Medicare and Medicaid Services 2006).</w:t>
      </w:r>
    </w:p>
    <w:p w14:paraId="2A2BF374" w14:textId="77777777" w:rsidR="005D7ABA" w:rsidRDefault="003A2250" w:rsidP="00CA0D72">
      <w:pPr>
        <w:ind w:right="-3"/>
      </w:pPr>
      <w:r>
        <w:t>Many US evaluations use outcomes research approaches taking advantage of large administrative data bases (</w:t>
      </w:r>
      <w:proofErr w:type="spellStart"/>
      <w:r>
        <w:t>Neu</w:t>
      </w:r>
      <w:proofErr w:type="spellEnd"/>
      <w:r>
        <w:t xml:space="preserve">, Harrison et al. 1989; Kane, Finch et al. 1996; Kane, Chen et al. 1998; Chen, Kane et al. 2000). In a comparison of joint replacement management across settings in the US it was found that 30% of people who had joint replacements went to Subacute Nursing Facilities (SNFs), 35% to inpatient rehabilitation facilities and 35% directly home with home care, outpatient therapy, or no care (Kaplan 2007).  The outcomes from these sites differed but it is unclear to what extent this is a result of case selection or interventions offered.  In rehabilitation facilities, of those discharged 14 or more days after admission, 1% walk independently at admission while 76% walk independently at discharge.  For SNF patients 9% walk independently at admission but only 31% walk independently at discharge.  The differences are not in the case mix but those patients in SNFs are older with more </w:t>
      </w:r>
      <w:proofErr w:type="gramStart"/>
      <w:r>
        <w:t>co-morbidities</w:t>
      </w:r>
      <w:proofErr w:type="gramEnd"/>
      <w:r>
        <w:t>, and the reimbursement in SNFs is lower so again it remains unclear the degree to which the type of care provided is contributing to outcomes.</w:t>
      </w:r>
    </w:p>
    <w:p w14:paraId="37963B78" w14:textId="514A4AFF" w:rsidR="005D7ABA" w:rsidRDefault="003A2250" w:rsidP="00CA0D72">
      <w:pPr>
        <w:ind w:right="-3"/>
      </w:pPr>
      <w:r>
        <w:t xml:space="preserve">Lack of clinical consensus about where various conditions should be treated e.g. whether hip fractures should be treated in rehabilitation units or nursing home units in the US has made the choice of PAC sites highly vulnerable to the influence of financial factors (Kramer, Steiner et al. 1997; Parker, </w:t>
      </w:r>
      <w:proofErr w:type="spellStart"/>
      <w:r>
        <w:t>Bhakta</w:t>
      </w:r>
      <w:proofErr w:type="spellEnd"/>
      <w:r>
        <w:t xml:space="preserve"> et al. 2000; </w:t>
      </w:r>
      <w:proofErr w:type="spellStart"/>
      <w:r>
        <w:t>Buntin</w:t>
      </w:r>
      <w:proofErr w:type="spellEnd"/>
      <w:r>
        <w:t xml:space="preserve"> 2007).  Outcomes are emphasised and innovations which include bundled payments and pay for performance (e.g. adherence to protocols, avoidance of adverse outcomes) have focused on improving outcomes such as reduction of hospital readmission and reduction of falls.</w:t>
      </w:r>
    </w:p>
    <w:p w14:paraId="48F3613E" w14:textId="77777777" w:rsidR="005D7ABA" w:rsidRDefault="003A2250" w:rsidP="00CA0D72">
      <w:pPr>
        <w:ind w:right="-3"/>
      </w:pPr>
      <w:r>
        <w:t xml:space="preserve">New consumer directed approaches (e.g. Cash and Counselling) which increase the level of consumer choice and control over Medicaid funds for obtaining personal care services and home and community based services have been assessed for provision of long term care services.  </w:t>
      </w:r>
      <w:r>
        <w:lastRenderedPageBreak/>
        <w:t>Evaluations have been undertaken to see whether an approach where the allowance is directly made to the consumer will improve outcomes of beneficiaries and carers without increasing Medicaid costs per recipient (Dale and Brown 2007).  Recipients can use funds allocated to them to pay family members to provide home-care or pay agencies or purchase equipment and home modifications.  The initial evaluations of these programs found high levels of satisfaction and improvements in caregiver well-being but a Medicaid cost increase which has resulted in further iterations of the program to reduce the costs of consumer direction and increase levels of monitoring (Dale and Brown 2007).</w:t>
      </w:r>
    </w:p>
    <w:p w14:paraId="0F2F4A1A" w14:textId="77777777" w:rsidR="005D7ABA" w:rsidRDefault="003A2250" w:rsidP="00CA0D72">
      <w:pPr>
        <w:ind w:right="-3"/>
      </w:pPr>
      <w:r>
        <w:t>The US SNFs appear similar to residential-based TC units set up in some Australian states although the US facilities have medical directors and more medical involvement.  They are also designed to accommodate a mix of long term care and acute patients so have appropriate equipment such as gyms.  Little work has been undertaken on the effects of multidisciplinary care models within the SNF environment (</w:t>
      </w:r>
      <w:proofErr w:type="spellStart"/>
      <w:r>
        <w:t>Kauh</w:t>
      </w:r>
      <w:proofErr w:type="spellEnd"/>
      <w:r>
        <w:t xml:space="preserve">, </w:t>
      </w:r>
      <w:proofErr w:type="spellStart"/>
      <w:r>
        <w:t>Polak</w:t>
      </w:r>
      <w:proofErr w:type="spellEnd"/>
      <w:r>
        <w:t xml:space="preserve"> et al. 2005).</w:t>
      </w:r>
    </w:p>
    <w:p w14:paraId="7090982A" w14:textId="77777777" w:rsidR="005D7ABA" w:rsidRDefault="003A2250" w:rsidP="00CA0D72">
      <w:pPr>
        <w:ind w:right="-3"/>
      </w:pPr>
      <w:r>
        <w:t xml:space="preserve">In summary, very short lengths of stay and a high demand for PAC have led to blurred lines between rehabilitation and PAC.  This has been compounded by the lack of evidence on the cost effectiveness of various settings.  Economic incentives resulting from different payment systems have led to </w:t>
      </w:r>
      <w:proofErr w:type="spellStart"/>
      <w:r>
        <w:t>non patient</w:t>
      </w:r>
      <w:proofErr w:type="spellEnd"/>
      <w:r>
        <w:t xml:space="preserve">-centred decisions about types of PAC offered and to payments based on site of care rather than type of care, so a large demonstration project is underway to inform a reform process.  The major lessons from the US outcomes literature are the need for: cost effectiveness studies for different models of </w:t>
      </w:r>
      <w:proofErr w:type="spellStart"/>
      <w:r>
        <w:t>post acute</w:t>
      </w:r>
      <w:proofErr w:type="spellEnd"/>
      <w:r>
        <w:t xml:space="preserve"> care for different conditions, the importance of common assessment tools, and the utility of outcome data sets to monitor selection practices, outcomes and costs.</w:t>
      </w:r>
    </w:p>
    <w:p w14:paraId="5766DE99" w14:textId="77777777" w:rsidR="005D7ABA" w:rsidRDefault="003A2250" w:rsidP="00CA0D72">
      <w:pPr>
        <w:pStyle w:val="Heading2"/>
        <w:ind w:right="-3"/>
      </w:pPr>
      <w:bookmarkStart w:id="43" w:name="_Toc402348890"/>
      <w:r>
        <w:t xml:space="preserve">2.4. </w:t>
      </w:r>
      <w:r>
        <w:tab/>
        <w:t xml:space="preserve">Methodological difficulties evaluating </w:t>
      </w:r>
      <w:proofErr w:type="spellStart"/>
      <w:r>
        <w:t>post acute</w:t>
      </w:r>
      <w:proofErr w:type="spellEnd"/>
      <w:r>
        <w:t xml:space="preserve"> care and rehabilitation interventions</w:t>
      </w:r>
      <w:bookmarkEnd w:id="43"/>
    </w:p>
    <w:p w14:paraId="7A285BB7" w14:textId="77777777" w:rsidR="005D7ABA" w:rsidRDefault="003A2250" w:rsidP="00CA0D72">
      <w:pPr>
        <w:ind w:right="-3"/>
      </w:pPr>
      <w:r>
        <w:t>Assessing the effects of rehabilitation type interventions involves assessing the change the intervention made to a clinical trajectory over time while recognising the significant role in recovery of environment, informal care, and socio-economic status (Kane 2007).  Issues that are problematic are the timing of measurement, identifying which outcomes to measure, how to measure the intervention, whose perspective the evaluation undertakes, and controlling for case-mix.  Finally, there is an ascertainment bias where the evaluators will focus on outcomes which they have knowledge of and will investigate these issues more thoroughly.</w:t>
      </w:r>
    </w:p>
    <w:p w14:paraId="0FD15BF3" w14:textId="77777777" w:rsidR="005D7ABA" w:rsidRDefault="003A2250" w:rsidP="00CA0D72">
      <w:pPr>
        <w:ind w:right="-3"/>
      </w:pPr>
      <w:r>
        <w:t xml:space="preserve">Of particular importance in evaluations of </w:t>
      </w:r>
      <w:proofErr w:type="spellStart"/>
      <w:r>
        <w:t>post acute</w:t>
      </w:r>
      <w:proofErr w:type="spellEnd"/>
      <w:r>
        <w:t xml:space="preserve"> care interventions is the confusion between settings and </w:t>
      </w:r>
      <w:proofErr w:type="gramStart"/>
      <w:r>
        <w:t>services  and</w:t>
      </w:r>
      <w:proofErr w:type="gramEnd"/>
      <w:r>
        <w:t xml:space="preserve"> the subsequent confusion about the quality of the outcomes from these sites (Stone 2000).  If a clinical intervention which is delivered in a specialist setting (e.g. rehabilitation unit) has better outcomes than the same intervention being offered in a </w:t>
      </w:r>
      <w:proofErr w:type="spellStart"/>
      <w:r>
        <w:t>non specialist</w:t>
      </w:r>
      <w:proofErr w:type="spellEnd"/>
      <w:r>
        <w:t xml:space="preserve"> setting (e.g. residential aged care) then it may be the staff mix and not the location that is the important difference (Parker, </w:t>
      </w:r>
      <w:proofErr w:type="spellStart"/>
      <w:r>
        <w:t>Bhakta</w:t>
      </w:r>
      <w:proofErr w:type="spellEnd"/>
      <w:r>
        <w:t xml:space="preserve"> et al. 2000).  The inefficiencies associated with differing sites of care are often related less to the sites than to the staffing patterns.  Even within hospitals, short hospital lengths of stay are associated with increased readmission rates of older people.  However, higher staff intensity ratios can compensate for this (</w:t>
      </w:r>
      <w:proofErr w:type="spellStart"/>
      <w:r>
        <w:t>Heggestad</w:t>
      </w:r>
      <w:proofErr w:type="spellEnd"/>
      <w:r>
        <w:t xml:space="preserve"> 2002).  More acute care (such as IV antibiotics, wound care, ventilation) is now provided in non-hospital settings particularly in the US but the funding source rather than the goals of the care or the characteristics of the recipient have primarily determined whether the care is considered acute.</w:t>
      </w:r>
    </w:p>
    <w:p w14:paraId="27743310" w14:textId="77777777" w:rsidR="005D7ABA" w:rsidRDefault="003A2250" w:rsidP="00CA0D72">
      <w:pPr>
        <w:pStyle w:val="Heading2"/>
        <w:ind w:right="-3"/>
      </w:pPr>
      <w:bookmarkStart w:id="44" w:name="_Toc402348891"/>
      <w:r>
        <w:t>2.5. The heterogeneity of the population targeted by Transition Care</w:t>
      </w:r>
      <w:bookmarkEnd w:id="44"/>
    </w:p>
    <w:p w14:paraId="007D2DEB" w14:textId="77777777" w:rsidR="005D7ABA" w:rsidRDefault="003A2250" w:rsidP="00CA0D72">
      <w:pPr>
        <w:ind w:right="-3"/>
      </w:pPr>
      <w:r>
        <w:t xml:space="preserve">The frail population of older adults who make high use of hospitals are described as generally 75 years or older, disabled in Activities of Daily Living (ADL) and instrumental ADL, with acute and chronic medical problems, having impaired social networks, making frequent transitions (community, residential aged care, hospital), and needing complex combinations of medical and social services.  The concept of frailty is used widely in the care of older people and although </w:t>
      </w:r>
      <w:r>
        <w:lastRenderedPageBreak/>
        <w:t xml:space="preserve">controversy still surrounds the definition it is conceptualized as a state of increased vulnerability to stressors which results from decreased physiologic reserves and </w:t>
      </w:r>
      <w:proofErr w:type="spellStart"/>
      <w:r>
        <w:t>dysregulation</w:t>
      </w:r>
      <w:proofErr w:type="spellEnd"/>
      <w:r>
        <w:t xml:space="preserve"> of multiple </w:t>
      </w:r>
      <w:proofErr w:type="gramStart"/>
      <w:r>
        <w:t>systems</w:t>
      </w:r>
      <w:proofErr w:type="gramEnd"/>
      <w:r>
        <w:t xml:space="preserve"> (Fried, </w:t>
      </w:r>
      <w:proofErr w:type="spellStart"/>
      <w:r>
        <w:t>Ferrucci</w:t>
      </w:r>
      <w:proofErr w:type="spellEnd"/>
      <w:r>
        <w:t xml:space="preserve"> et al. 2004).</w:t>
      </w:r>
    </w:p>
    <w:p w14:paraId="7703B6D0" w14:textId="77777777" w:rsidR="005D7ABA" w:rsidRDefault="003A2250" w:rsidP="00CA0D72">
      <w:pPr>
        <w:ind w:right="-3"/>
      </w:pPr>
      <w:r>
        <w:t>One difficulty in providing post hospitalization services is the overlap between chronic care, transitional care, and end of life care and although it is not always apparent to TC services which group of patients they are treating, the service needs, and priorities of care differ.  A NSW study found that in 2002 10.3% of all hospital days and 8.9% of all hospital inpatients costs were used by people aged 65 and older in their last year of life (</w:t>
      </w:r>
      <w:proofErr w:type="spellStart"/>
      <w:r>
        <w:t>Kardamanidis</w:t>
      </w:r>
      <w:proofErr w:type="spellEnd"/>
      <w:r>
        <w:t>, Lim et al. 2007).  The palliative care literature describes three trajectories for individuals with chronic and eventually fatal illness (</w:t>
      </w:r>
      <w:proofErr w:type="spellStart"/>
      <w:r>
        <w:t>Lunney</w:t>
      </w:r>
      <w:proofErr w:type="spellEnd"/>
      <w:r>
        <w:t xml:space="preserve">, Lynn et al. 2002; Murray, Kendall et al. 2005) and while interventions with older people are often targeted at those most likely to face readmission and movement into supported care (Naylor, </w:t>
      </w:r>
      <w:proofErr w:type="spellStart"/>
      <w:r>
        <w:t>Brooten</w:t>
      </w:r>
      <w:proofErr w:type="spellEnd"/>
      <w:r>
        <w:t xml:space="preserve"> et al. 1999) services are being provided to people on different trajectories and the interventions need to be individualized.  While geriatric rehabilitation and palliative care services are rarely provided by the same group of providers, the client group may overlap.</w:t>
      </w:r>
    </w:p>
    <w:p w14:paraId="3781EA2D" w14:textId="5D573E73" w:rsidR="003970B7" w:rsidRDefault="003A2250" w:rsidP="00CA0D72">
      <w:pPr>
        <w:ind w:right="-3"/>
        <w:rPr>
          <w:sz w:val="20"/>
          <w:szCs w:val="20"/>
        </w:rPr>
      </w:pPr>
      <w:r w:rsidRPr="003970B7">
        <w:rPr>
          <w:b/>
        </w:rPr>
        <w:t>Figure 2.1: Prototypical trajectories of the disablement process (Freedman, Hodgson et al. 2006)</w:t>
      </w:r>
      <w:r w:rsidR="003970B7">
        <w:rPr>
          <w:b/>
        </w:rPr>
        <w:br/>
      </w:r>
      <w:r w:rsidR="003970B7">
        <w:rPr>
          <w:b/>
        </w:rPr>
        <w:br/>
      </w:r>
      <w:r w:rsidRPr="00A46A8A">
        <w:t xml:space="preserve"> </w:t>
      </w:r>
      <w:r w:rsidR="00CA0D72">
        <w:rPr>
          <w:noProof/>
          <w:sz w:val="20"/>
          <w:szCs w:val="20"/>
        </w:rPr>
        <w:drawing>
          <wp:inline distT="0" distB="0" distL="0" distR="0" wp14:anchorId="34FDE5EB" wp14:editId="0B6A2883">
            <wp:extent cx="4655185" cy="2244725"/>
            <wp:effectExtent l="0" t="0" r="0" b="0"/>
            <wp:docPr id="41" name="Picture 41" descr="In this model of end of life three possible groups of older people are apparent.  The first trajectory represents someone typically associated with end of life care e.g. a solid tumour with a short period of rapid, relatively predictable decline (Lunney, Lynn et al. 2002).  The other trajectories may well be picked up in programs for older people such as TC.  The second trajectory represents chronic organ system failure with a gradual decline marked by exacerbations and hospitalization. Chronic heart failure, emphysema, and renal failure are typical and 25% of deaths in the US fit into this category (Lunney, Lynn et al. 2002).  The third trajectory is poor long term functioning with slow decline.  Very old patients with frailty, dementia, and multiple comorbidities fit into this 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 this model of end of life three possible groups of older people are apparent.  The first trajectory represents someone typically associated with end of life care e.g. a solid tumour with a short period of rapid, relatively predictable decline (Lunney, Lynn et al. 2002).  The other trajectories may well be picked up in programs for older people such as TC.  The second trajectory represents chronic organ system failure with a gradual decline marked by exacerbations and hospitalization. Chronic heart failure, emphysema, and renal failure are typical and 25% of deaths in the US fit into this category (Lunney, Lynn et al. 2002).  The third trajectory is poor long term functioning with slow decline.  Very old patients with frailty, dementia, and multiple comorbidities fit into this categor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5185" cy="2244725"/>
                    </a:xfrm>
                    <a:prstGeom prst="rect">
                      <a:avLst/>
                    </a:prstGeom>
                    <a:noFill/>
                    <a:ln>
                      <a:noFill/>
                    </a:ln>
                  </pic:spPr>
                </pic:pic>
              </a:graphicData>
            </a:graphic>
          </wp:inline>
        </w:drawing>
      </w:r>
    </w:p>
    <w:p w14:paraId="01FF5475" w14:textId="77777777" w:rsidR="005D7ABA" w:rsidRDefault="003A2250" w:rsidP="00CA0D72">
      <w:pPr>
        <w:ind w:right="-3"/>
      </w:pPr>
      <w:r>
        <w:t>In this model of end of life three possible groups of older people are apparent.  The first trajectory represents someone typically associated with end of life care e.g. a solid tumour with a short period of rapid, relatively predictable decline (</w:t>
      </w:r>
      <w:proofErr w:type="spellStart"/>
      <w:r>
        <w:t>Lunney</w:t>
      </w:r>
      <w:proofErr w:type="spellEnd"/>
      <w:r>
        <w:t>, Lynn et al. 2002).  The other trajectories may well be picked up in programs for older people such as TC.  The second trajectory represents chronic organ system failure with a gradual decline marked by exacerbations and hospitalization. Chronic heart failure, emphysema, and renal failure are typical and 25% of deaths in the US fit into this category (</w:t>
      </w:r>
      <w:proofErr w:type="spellStart"/>
      <w:r>
        <w:t>Lunney</w:t>
      </w:r>
      <w:proofErr w:type="spellEnd"/>
      <w:r>
        <w:t>, Lynn et al. 2002).  The third trajectory is poor long term functioning with slow decline.  Very old patients with frailty, dementia, and multiple comorbidities fit into this category.  Around 40% of individuals in the US belong to this group (</w:t>
      </w:r>
      <w:proofErr w:type="spellStart"/>
      <w:r>
        <w:t>Lunney</w:t>
      </w:r>
      <w:proofErr w:type="spellEnd"/>
      <w:r>
        <w:t>, Lynn et al. 2002). There can be a shift between hospitals and aged care services during these trajectories.  For example in NSW, hospital end of life costs decrease with increasing age at death with those over 85 less likely to die in hospital.  The decline in hospital costs is offset by an increase in the costs carried by residential aged care.  To date there has been no complete assessment of the "cost of dying" in Australia or on the amount of the costs shared by these sectors (</w:t>
      </w:r>
      <w:proofErr w:type="spellStart"/>
      <w:r>
        <w:t>Kardamanidis</w:t>
      </w:r>
      <w:proofErr w:type="spellEnd"/>
      <w:r>
        <w:t>, Lim et al. 2007).</w:t>
      </w:r>
    </w:p>
    <w:p w14:paraId="2F503EAA" w14:textId="77777777" w:rsidR="005D7ABA" w:rsidRDefault="003A2250" w:rsidP="00CA0D72">
      <w:pPr>
        <w:pStyle w:val="Heading2"/>
        <w:ind w:right="-3"/>
      </w:pPr>
      <w:bookmarkStart w:id="45" w:name="_Toc402348892"/>
      <w:r>
        <w:t xml:space="preserve">2.6. </w:t>
      </w:r>
      <w:r>
        <w:tab/>
        <w:t>What evidence lies behind the models of Transition Care used in Australia?</w:t>
      </w:r>
      <w:bookmarkEnd w:id="45"/>
    </w:p>
    <w:p w14:paraId="49B087BA" w14:textId="77777777" w:rsidR="005D7ABA" w:rsidRDefault="003A2250" w:rsidP="00CA0D72">
      <w:pPr>
        <w:ind w:right="-3"/>
      </w:pPr>
      <w:r>
        <w:t xml:space="preserve">TC has used two major models of service delivery: community-based places which support frail older adults or residential-based places located either in residential aged care facilities or in </w:t>
      </w:r>
      <w:r>
        <w:lastRenderedPageBreak/>
        <w:t>hospitals.  The evidence behind these service models in use in the Australian program will be summarized:</w:t>
      </w:r>
    </w:p>
    <w:p w14:paraId="6B2752E3" w14:textId="77777777" w:rsidR="005D7ABA" w:rsidRDefault="003A2250" w:rsidP="009F2D50">
      <w:pPr>
        <w:numPr>
          <w:ilvl w:val="0"/>
          <w:numId w:val="18"/>
        </w:numPr>
        <w:ind w:right="-3"/>
      </w:pPr>
      <w:r>
        <w:t>Packages of care to support remaining independent in the community</w:t>
      </w:r>
    </w:p>
    <w:p w14:paraId="4873BEF6" w14:textId="77777777" w:rsidR="005D7ABA" w:rsidRDefault="003A2250" w:rsidP="009F2D50">
      <w:pPr>
        <w:numPr>
          <w:ilvl w:val="0"/>
          <w:numId w:val="18"/>
        </w:numPr>
        <w:ind w:right="-3"/>
      </w:pPr>
      <w:r>
        <w:t>Low cost beds in residential aged care which provide an alternative to a hospital bed Many demonstration projects assessing home packages and discharge supports have been evaluated and comprehensive meta-analyses of these community based programs are starting to emerge which summarise the effects (</w:t>
      </w:r>
      <w:proofErr w:type="spellStart"/>
      <w:r>
        <w:t>Beswick</w:t>
      </w:r>
      <w:proofErr w:type="spellEnd"/>
      <w:r>
        <w:t xml:space="preserve">, Rees et al. 2008).  The literature behind the provision of alternate settings for beds is limited and generally poorer in quality (Carpenter, </w:t>
      </w:r>
      <w:proofErr w:type="spellStart"/>
      <w:r>
        <w:t>Gladman</w:t>
      </w:r>
      <w:proofErr w:type="spellEnd"/>
      <w:r>
        <w:t xml:space="preserve"> et al. 2002).</w:t>
      </w:r>
    </w:p>
    <w:p w14:paraId="750FD073" w14:textId="77777777" w:rsidR="005D7ABA" w:rsidRDefault="003A2250" w:rsidP="009F2D50">
      <w:pPr>
        <w:numPr>
          <w:ilvl w:val="0"/>
          <w:numId w:val="18"/>
        </w:numPr>
        <w:ind w:right="-3"/>
      </w:pPr>
      <w:r>
        <w:t>Integrated care models attempt to move away from silo project assessments towards evaluations of system level change.  There is less literature in this area which merges with evaluations of government health service innovations and is often difficult to access.</w:t>
      </w:r>
    </w:p>
    <w:p w14:paraId="36775E8A" w14:textId="77777777" w:rsidR="005D7ABA" w:rsidRDefault="003A2250" w:rsidP="00CA0D72">
      <w:pPr>
        <w:pStyle w:val="Heading3"/>
        <w:ind w:right="-3"/>
      </w:pPr>
      <w:bookmarkStart w:id="46" w:name="_Toc402348893"/>
      <w:r>
        <w:t>2.6.1. Evidence base for Transition Care in the community setting</w:t>
      </w:r>
      <w:bookmarkEnd w:id="46"/>
    </w:p>
    <w:p w14:paraId="75A8C537" w14:textId="77777777" w:rsidR="005D7ABA" w:rsidRDefault="003A2250" w:rsidP="00CA0D72">
      <w:pPr>
        <w:ind w:right="-3"/>
      </w:pPr>
      <w:r>
        <w:t xml:space="preserve">A large base of primary trials inform this approach ranging from discharge planning interventions such as home visits, to geriatric assessment approaches.  Several important systematic reviews have been undertaken over the last decade to summarise the evidence on home-based care (Hughes, </w:t>
      </w:r>
      <w:proofErr w:type="spellStart"/>
      <w:r>
        <w:t>Ulasevich</w:t>
      </w:r>
      <w:proofErr w:type="spellEnd"/>
      <w:r>
        <w:t xml:space="preserve"> et al. 1997), early discharge programs (</w:t>
      </w:r>
      <w:proofErr w:type="spellStart"/>
      <w:r>
        <w:t>Shepperd</w:t>
      </w:r>
      <w:proofErr w:type="spellEnd"/>
      <w:r>
        <w:t xml:space="preserve"> and </w:t>
      </w:r>
      <w:proofErr w:type="spellStart"/>
      <w:r>
        <w:t>Iliffe</w:t>
      </w:r>
      <w:proofErr w:type="spellEnd"/>
      <w:r>
        <w:t xml:space="preserve"> 1998) and best place of care (Parker, </w:t>
      </w:r>
      <w:proofErr w:type="spellStart"/>
      <w:r>
        <w:t>Bhakta</w:t>
      </w:r>
      <w:proofErr w:type="spellEnd"/>
      <w:r>
        <w:t xml:space="preserve"> et al. 2000).</w:t>
      </w:r>
    </w:p>
    <w:p w14:paraId="0B4FB9BA" w14:textId="77777777" w:rsidR="005D7ABA" w:rsidRDefault="003A2250" w:rsidP="00CA0D72">
      <w:pPr>
        <w:ind w:right="-3"/>
      </w:pPr>
      <w:r>
        <w:t xml:space="preserve">The most comprehensive systematic review examining interventions to improve function and maintain independent living in older people included 89 trials covering 97,984 people and found multi-factorial interventions could improve </w:t>
      </w:r>
      <w:proofErr w:type="gramStart"/>
      <w:r>
        <w:t>function,</w:t>
      </w:r>
      <w:proofErr w:type="gramEnd"/>
      <w:r>
        <w:t xml:space="preserve"> reduce hospital admission, falls, and residential aged care admission but not death (</w:t>
      </w:r>
      <w:proofErr w:type="spellStart"/>
      <w:r>
        <w:t>Beswick</w:t>
      </w:r>
      <w:proofErr w:type="spellEnd"/>
      <w:r>
        <w:t>, Rees et al. 2008).  The effects however, were small with a reduction in hospital readmissions from 40.5% to 38.2%, a reduction in transfer to residential aged care of 10.6% to 9.2% over six months and a very small shift in function (</w:t>
      </w:r>
      <w:proofErr w:type="spellStart"/>
      <w:r>
        <w:t>Beswick</w:t>
      </w:r>
      <w:proofErr w:type="spellEnd"/>
      <w:r>
        <w:t xml:space="preserve">, Rees et al. 2008).  There are few economic assessments of these interventions but the authors concluded that given the high costs of hospital and residential aged care compared to community care, small reductions are likely to offset the costs of interventions (Chappell, </w:t>
      </w:r>
      <w:proofErr w:type="spellStart"/>
      <w:r>
        <w:t>Dlitt</w:t>
      </w:r>
      <w:proofErr w:type="spellEnd"/>
      <w:r>
        <w:t xml:space="preserve"> et al. 2004).</w:t>
      </w:r>
    </w:p>
    <w:p w14:paraId="42A5E7B6" w14:textId="77777777" w:rsidR="005D7ABA" w:rsidRDefault="003A2250" w:rsidP="00CA0D72">
      <w:pPr>
        <w:ind w:right="-3"/>
      </w:pPr>
      <w:r>
        <w:t>In the face of the very high hospital readmission rates noted internationally in this frail older group there has been a shift away from models which do not include medical assessment as part of multi-factorial care (Black 2007) and towards programs which include an accurate medical diagnosis as part of the intervention to identify potentially reversible causes of falls and disability and increase the chances of effect (Stott, Langhorne et al. 2008).</w:t>
      </w:r>
    </w:p>
    <w:p w14:paraId="18627134" w14:textId="77777777" w:rsidR="005D7ABA" w:rsidRDefault="003A2250" w:rsidP="00CA0D72">
      <w:pPr>
        <w:ind w:right="-3"/>
      </w:pPr>
      <w:r>
        <w:t>While many programs are set up using a traditional rehabilitation approach which emphasises physical reconditioning, the population who benefit is not limited to those with physical disability.  Given the comparatively modest functional gains noted in systematic reviews and the lack of evidence emerging for a "dose" effect i.e. the intensity of the programs are not related to the level of improvement, there has also been a call for inclusion of patients with dementia in these types of programs.  While rehabilitation programs have historically been wary of patients with dementia and excluded them from inclusion there are now studies confirming benefits (</w:t>
      </w:r>
      <w:proofErr w:type="spellStart"/>
      <w:r>
        <w:t>Tappen</w:t>
      </w:r>
      <w:proofErr w:type="spellEnd"/>
      <w:r>
        <w:t xml:space="preserve">, Roach et al. 2000; Rolland, </w:t>
      </w:r>
      <w:proofErr w:type="spellStart"/>
      <w:r>
        <w:t>Pillard</w:t>
      </w:r>
      <w:proofErr w:type="spellEnd"/>
      <w:r>
        <w:t xml:space="preserve"> et al. 2007) and it is probable that those most likely to gain from intervention are those at highest risk of admission to hospital or residential aged care which includes those with dementia (Stott, Langhorne et al. 2008).</w:t>
      </w:r>
    </w:p>
    <w:p w14:paraId="1CFB7234" w14:textId="77777777" w:rsidR="005D7ABA" w:rsidRDefault="003A2250" w:rsidP="00CA0D72">
      <w:pPr>
        <w:ind w:right="-3"/>
      </w:pPr>
      <w:r>
        <w:t xml:space="preserve">Improved discharge planning and reorganized PAC with more active medical oversight and active involvement of physicians during transitions is associated with lower readmissions into acute care (Naylor, </w:t>
      </w:r>
      <w:proofErr w:type="spellStart"/>
      <w:r>
        <w:t>Brooten</w:t>
      </w:r>
      <w:proofErr w:type="spellEnd"/>
      <w:r>
        <w:t xml:space="preserve"> et al. 1999).  A systematic review examining discharge planning found that coordinated discharge of elderly people across hospital-community interfaces reduces hospital readmissions by 17% (Parker, Lee et al. 2004). Case management is a popular strategy but is been only weakly associated with preventing hospital readmission (Hutt, Rosen et al. </w:t>
      </w:r>
      <w:r>
        <w:lastRenderedPageBreak/>
        <w:t>2004).  In 2002, the UK pilots were funded in 10 primary care units known as the UK Evercare program to evaluate combined nurse led assessment and intensive case management in the community.  They focused on older people at risk of readmission and an initial assessment in 2005 found that the benefits were mostly in terms of quality of care (United Health Europe 2005).  A later evaluation found no effects on emergency admissions, emergency bed days, or mortality (</w:t>
      </w:r>
      <w:proofErr w:type="spellStart"/>
      <w:r>
        <w:t>Gravelle</w:t>
      </w:r>
      <w:proofErr w:type="spellEnd"/>
      <w:r>
        <w:t xml:space="preserve">, </w:t>
      </w:r>
      <w:proofErr w:type="spellStart"/>
      <w:r>
        <w:t>Dusheiko</w:t>
      </w:r>
      <w:proofErr w:type="spellEnd"/>
      <w:r>
        <w:t xml:space="preserve"> et al. 2007).  Despite this evaluation "community matrons" who are trained in care coordination, patient communication, and advocacy have been introduced in the UK with the goal of achieving a 5% reduction in hospital admission.  It is hoped that they will bridge social and clinical needs of patients. While it is anticipated that they will be popular with older people and increase access to care, it is thought unlikely that they will affect hospital readmissions without further system redesign e.g. strengthening of primary care (</w:t>
      </w:r>
      <w:proofErr w:type="spellStart"/>
      <w:r>
        <w:t>Gravelle</w:t>
      </w:r>
      <w:proofErr w:type="spellEnd"/>
      <w:r>
        <w:t xml:space="preserve">, </w:t>
      </w:r>
      <w:proofErr w:type="spellStart"/>
      <w:r>
        <w:t>Dusheiko</w:t>
      </w:r>
      <w:proofErr w:type="spellEnd"/>
      <w:r>
        <w:t xml:space="preserve"> et al. 2007).</w:t>
      </w:r>
    </w:p>
    <w:p w14:paraId="7160D297" w14:textId="77777777" w:rsidR="005D7ABA" w:rsidRDefault="003A2250" w:rsidP="00CA0D72">
      <w:pPr>
        <w:ind w:right="-3"/>
      </w:pPr>
      <w:r>
        <w:t>Importantly there are risks associated with assessment approaches in older people.  In a 1996 Australian trial assessing the impact of preventive health assessments for older veterans and war widows (</w:t>
      </w:r>
      <w:proofErr w:type="spellStart"/>
      <w:r>
        <w:t>Byles</w:t>
      </w:r>
      <w:proofErr w:type="spellEnd"/>
      <w:r>
        <w:t xml:space="preserve">, </w:t>
      </w:r>
      <w:proofErr w:type="spellStart"/>
      <w:r>
        <w:t>Tavener</w:t>
      </w:r>
      <w:proofErr w:type="spellEnd"/>
      <w:r>
        <w:t xml:space="preserve"> et al. 2004), small positive improvements were demonstrated in quality of life amongst those who remained resident in the community.  However, there was no effect on mortality or hospital admission and disturbingly there was an increase in the movement into residential aged care presumably because the comprehensive assessments uncovered problems.</w:t>
      </w:r>
    </w:p>
    <w:p w14:paraId="6D4C0355" w14:textId="77777777" w:rsidR="005D7ABA" w:rsidRDefault="003A2250" w:rsidP="00CA0D72">
      <w:pPr>
        <w:ind w:right="-3"/>
      </w:pPr>
      <w:r>
        <w:t xml:space="preserve">Trials attempting to improve the coordination of care without system redesign have also been associated with ambiguous results.  In 1997 the Australian Government funded nine national trials of Coordinated Care to test new models of service delivery for chronic conditions and many of these trials included older people (Council of Australian Government 1995).  The hypothesis was that the better coordination of people with chronic or complex needs would reduce hospitalization and the savings would cover the cost of coordination. The results found no improvements in health and no savings were demonstrated.  Three trials showed reductions in hospital readmission rates and most trials went into deficit.  Numerous reasons were put forward to explain the weak effects (often by the </w:t>
      </w:r>
      <w:proofErr w:type="spellStart"/>
      <w:r>
        <w:t>trialists</w:t>
      </w:r>
      <w:proofErr w:type="spellEnd"/>
      <w:r>
        <w:t>) including: "the constraints of a controlled trial and a rigid hypothesis driven national evaluation", patient heterogeneity, short term follow-up (</w:t>
      </w:r>
      <w:proofErr w:type="spellStart"/>
      <w:r>
        <w:t>Battersby</w:t>
      </w:r>
      <w:proofErr w:type="spellEnd"/>
      <w:r>
        <w:t>, Harvey et al. 2007), and poor outcome selection (</w:t>
      </w:r>
      <w:proofErr w:type="spellStart"/>
      <w:r>
        <w:t>Esterman</w:t>
      </w:r>
      <w:proofErr w:type="spellEnd"/>
      <w:r>
        <w:t xml:space="preserve"> and Ben-</w:t>
      </w:r>
      <w:proofErr w:type="spellStart"/>
      <w:r>
        <w:t>Tovim</w:t>
      </w:r>
      <w:proofErr w:type="spellEnd"/>
      <w:r>
        <w:t xml:space="preserve"> 2002).  Victoria's </w:t>
      </w:r>
      <w:proofErr w:type="spellStart"/>
      <w:r>
        <w:t>post acute</w:t>
      </w:r>
      <w:proofErr w:type="spellEnd"/>
      <w:r>
        <w:t xml:space="preserve"> program included an implementation trial which examined the effects of case management, </w:t>
      </w:r>
      <w:proofErr w:type="spellStart"/>
      <w:r>
        <w:t>post acute</w:t>
      </w:r>
      <w:proofErr w:type="spellEnd"/>
      <w:r>
        <w:t xml:space="preserve"> nursing, and community services on 654 older people following hospital discharge (Lim, Lambert et al. 2003) and was unable to show reductions in hospital readmissions but over six months found reductions in days in hospital.</w:t>
      </w:r>
    </w:p>
    <w:p w14:paraId="71C196C6" w14:textId="77777777" w:rsidR="005D7ABA" w:rsidRDefault="003A2250" w:rsidP="00CA0D72">
      <w:pPr>
        <w:ind w:right="-3"/>
      </w:pPr>
      <w:r>
        <w:t>A key message that these ambitious Australian trials highlight is the risk of overemphasising assessment. Uncovering unmet needs in complex older people without the capacity to then provide services or interventions to address those needs has been in an issue in several care coordination studies (Weaver, Hickey et al. 2008).  The hope is that more utilization of services in the short term will be offset by longer stays in the community, but long term evaluations have not been undertaken to test this assumption.  In addition, the trials demonstrate the difficulty in re-engineering the Australian health system from an acute to a chronic focus is apparent and the likelihood of achieving, at best, very small effects if follow-up periods are short.</w:t>
      </w:r>
    </w:p>
    <w:p w14:paraId="7167BF1B" w14:textId="77777777" w:rsidR="005D7ABA" w:rsidRDefault="003A2250" w:rsidP="00CA0D72">
      <w:pPr>
        <w:pStyle w:val="Heading3"/>
        <w:ind w:right="-3"/>
      </w:pPr>
      <w:bookmarkStart w:id="47" w:name="_Toc402348894"/>
      <w:r>
        <w:t>2.6.2. Evidence base for Transition Care in the residential setting</w:t>
      </w:r>
      <w:bookmarkEnd w:id="47"/>
    </w:p>
    <w:p w14:paraId="1828DE2D" w14:textId="77777777" w:rsidR="005D7ABA" w:rsidRDefault="003A2250" w:rsidP="00CA0D72">
      <w:pPr>
        <w:ind w:right="-3"/>
      </w:pPr>
      <w:r>
        <w:t>Pressures on hospitals have reduced the lengths of stays in many countries.  Between 1982 and 1993 length of stay for geriatric patients in England dropped by 60% and in Australia between 1992 and 2002 specialist geriatric beds decreased by 24.8% (</w:t>
      </w:r>
      <w:proofErr w:type="spellStart"/>
      <w:r>
        <w:t>Gray</w:t>
      </w:r>
      <w:proofErr w:type="spellEnd"/>
      <w:r>
        <w:t xml:space="preserve">, </w:t>
      </w:r>
      <w:proofErr w:type="spellStart"/>
      <w:r>
        <w:t>Dorevitch</w:t>
      </w:r>
      <w:proofErr w:type="spellEnd"/>
      <w:r>
        <w:t xml:space="preserve"> et al. 2002).  The evidence for alternative sites of care (e.g. nurse led wards, nursing home sites) to treat older people who often need more time to recover has been reviewed (Parker, </w:t>
      </w:r>
      <w:proofErr w:type="spellStart"/>
      <w:r>
        <w:t>Peet</w:t>
      </w:r>
      <w:proofErr w:type="spellEnd"/>
      <w:r>
        <w:t xml:space="preserve"> et al. 2002).  The review concludes that the quality of trials on nurse led beds is poor and there is considerable uncertainty about both costs and outcomes of these alternate approaches.  A more positive message is that there is no evidence that alternate settings adversely affect mortality.</w:t>
      </w:r>
    </w:p>
    <w:p w14:paraId="3382A397" w14:textId="341B58C2" w:rsidR="005D7ABA" w:rsidRDefault="003A2250" w:rsidP="00CA0D72">
      <w:pPr>
        <w:ind w:right="-3"/>
      </w:pPr>
      <w:r>
        <w:lastRenderedPageBreak/>
        <w:t xml:space="preserve">As a result of the poor evidence on nurse led trials, debate has occurred in both the UK and more recently Australia around the "opportunity cost" of funding bed substitution programs (Black 2007; </w:t>
      </w:r>
      <w:proofErr w:type="spellStart"/>
      <w:r>
        <w:t>Gray</w:t>
      </w:r>
      <w:proofErr w:type="spellEnd"/>
      <w:r>
        <w:t xml:space="preserve">, Travers et al. 2008).  The weak results from trials evaluating these interventions has been contrasted with the lack of investment in inpatient rehabilitation which remains the only intervention firmly associated with reduced mortality and institutionalization rates as well as improved functional rates (Stuck, </w:t>
      </w:r>
      <w:proofErr w:type="spellStart"/>
      <w:r>
        <w:t>Siu</w:t>
      </w:r>
      <w:proofErr w:type="spellEnd"/>
      <w:r>
        <w:t xml:space="preserve"> et al. 1993; Evans, </w:t>
      </w:r>
      <w:proofErr w:type="spellStart"/>
      <w:r>
        <w:t>Connis</w:t>
      </w:r>
      <w:proofErr w:type="spellEnd"/>
      <w:r>
        <w:t xml:space="preserve"> et al. 1995).  However, this debate is often fuelled by an emphasis on substitution approaches as a form of cost cutting, which distracts from the important discussion about where is the correct place of care for older people to receive treatment.</w:t>
      </w:r>
    </w:p>
    <w:p w14:paraId="1960B271" w14:textId="77777777" w:rsidR="005D7ABA" w:rsidRDefault="003A2250" w:rsidP="00CA0D72">
      <w:pPr>
        <w:pStyle w:val="Heading3"/>
        <w:ind w:right="-3"/>
      </w:pPr>
      <w:bookmarkStart w:id="48" w:name="_Toc402348895"/>
      <w:r>
        <w:t>2.6.3. Evidence base for Integrated Systems of Care</w:t>
      </w:r>
      <w:bookmarkEnd w:id="48"/>
    </w:p>
    <w:p w14:paraId="78B12F70" w14:textId="77777777" w:rsidR="005D7ABA" w:rsidRDefault="003A2250" w:rsidP="00CA0D72">
      <w:pPr>
        <w:ind w:right="-3"/>
      </w:pPr>
      <w:r>
        <w:t>Demonstration approaches are often defined by where the projects are delivered (e.g. at home, in residential aged care facilities).  However, when implemented as health programs where the emphasis is on flows across a system, the focus tends to shift away from individual outcomes towards measures of integration across services areas and towards measures which indicate improving coordination.  Once programs enter the health system governance issues, payment incentives, and sector alignments become more significant.  Although there are very limited rigorous analyses of effects and in particular on the cost effectiveness in these programs a group of programs known as integrative service delivery (ISD) programs have been developed to improve continuity and increase efficiency.</w:t>
      </w:r>
    </w:p>
    <w:p w14:paraId="020EE7C6" w14:textId="77777777" w:rsidR="005D7ABA" w:rsidRDefault="003A2250" w:rsidP="00CA0D72">
      <w:pPr>
        <w:ind w:right="-3"/>
      </w:pPr>
      <w:r>
        <w:t>ISD programs aim to improve continuity and efficiency of services and have been defined as "a discrete set of techniques and organizational models designed to create connectivity, alignment, and collaboration within and between the cure and care sectors at the funding administrative and/or provider levels" (</w:t>
      </w:r>
      <w:proofErr w:type="spellStart"/>
      <w:r>
        <w:t>Kodner</w:t>
      </w:r>
      <w:proofErr w:type="spellEnd"/>
      <w:r>
        <w:t xml:space="preserve"> and </w:t>
      </w:r>
      <w:proofErr w:type="spellStart"/>
      <w:r>
        <w:t>Kyriacou</w:t>
      </w:r>
      <w:proofErr w:type="spellEnd"/>
      <w:r>
        <w:t xml:space="preserve"> 2003).  These models have shown variable levels of success in reducing movement into permanent aged care and they have struggled to engage primary care physicians.  Three levels of integration are recognized: linkage, coordination, and full integration (</w:t>
      </w:r>
      <w:proofErr w:type="spellStart"/>
      <w:r>
        <w:t>Leutz</w:t>
      </w:r>
      <w:proofErr w:type="spellEnd"/>
      <w:r>
        <w:t xml:space="preserve"> 1999).  Full integration models include PACE (Program of All inclusive Care for the Elderly) projects (Branch, </w:t>
      </w:r>
      <w:proofErr w:type="spellStart"/>
      <w:r>
        <w:t>Coulam</w:t>
      </w:r>
      <w:proofErr w:type="spellEnd"/>
      <w:r>
        <w:t xml:space="preserve"> et al. 1995; Gross, </w:t>
      </w:r>
      <w:proofErr w:type="spellStart"/>
      <w:r>
        <w:t>Temkin</w:t>
      </w:r>
      <w:proofErr w:type="spellEnd"/>
      <w:r>
        <w:t>-Greener et al. 2006), Social Health Maintenance Organization (S/HMO) in the US (Harrington, Cassel et al. 1991), and SIPA (</w:t>
      </w:r>
      <w:proofErr w:type="spellStart"/>
      <w:r>
        <w:t>systeme</w:t>
      </w:r>
      <w:proofErr w:type="spellEnd"/>
      <w:r>
        <w:t xml:space="preserve"> de services integers pour </w:t>
      </w:r>
      <w:proofErr w:type="spellStart"/>
      <w:r>
        <w:t>personnes</w:t>
      </w:r>
      <w:proofErr w:type="spellEnd"/>
      <w:r>
        <w:t xml:space="preserve"> </w:t>
      </w:r>
      <w:proofErr w:type="spellStart"/>
      <w:r>
        <w:t>agees</w:t>
      </w:r>
      <w:proofErr w:type="spellEnd"/>
      <w:r>
        <w:t xml:space="preserve"> en </w:t>
      </w:r>
      <w:proofErr w:type="spellStart"/>
      <w:r>
        <w:t>perte</w:t>
      </w:r>
      <w:proofErr w:type="spellEnd"/>
      <w:r>
        <w:t xml:space="preserve"> </w:t>
      </w:r>
      <w:proofErr w:type="spellStart"/>
      <w:r>
        <w:t>d'autonomie</w:t>
      </w:r>
      <w:proofErr w:type="spellEnd"/>
      <w:r>
        <w:t>) in Montreal (</w:t>
      </w:r>
      <w:proofErr w:type="spellStart"/>
      <w:r>
        <w:t>Beland</w:t>
      </w:r>
      <w:proofErr w:type="spellEnd"/>
      <w:r>
        <w:t>, Bergman et al. 2006).  Capitation budgeting is usually a key component of these programs which attempt to integrate acute and longer term care delivery and financing to provide alternatives to nursing home placement. Co-ordination models such as PRISMA (Program of Research to Integrate the Services for the Maintenance of Autonomy</w:t>
      </w:r>
      <w:proofErr w:type="gramStart"/>
      <w:r>
        <w:t>)  are</w:t>
      </w:r>
      <w:proofErr w:type="gramEnd"/>
      <w:r>
        <w:t xml:space="preserve"> established at the strategic level (governance) of health care, social services, and community agencies where the decision makers agree on the policies and orientation then at the management levels, with a service co-ordination committee and at the operational level (Hebert, Durand et al. 2003). PACE is provided for frail elders eligible for Medicaid and nursing home certifiable. It uses an ISD model with adult day care as the focal point and vigorously attempts to keep individuals out of nursing homes (Branch, </w:t>
      </w:r>
      <w:proofErr w:type="spellStart"/>
      <w:r>
        <w:t>Coulam</w:t>
      </w:r>
      <w:proofErr w:type="spellEnd"/>
      <w:r>
        <w:t xml:space="preserve"> et al. 1995).  The US Department of Veteran Affairs most recently has evaluated three models of providing All-Inclusive Care for frail elderly veterans who meet the criteria for nursing home placement and found days in SNFs increased but rates of permanent institutionalization decreased (Weaver, Hickey et al. 2008).</w:t>
      </w:r>
    </w:p>
    <w:p w14:paraId="387AC4BE" w14:textId="77777777" w:rsidR="005D7ABA" w:rsidRDefault="003A2250" w:rsidP="00CA0D72">
      <w:pPr>
        <w:ind w:right="-3"/>
      </w:pPr>
      <w:r>
        <w:t xml:space="preserve">Lack of integrated systems of care for older people with both medical issues (such as co-morbidities, physical, and psychological health) and social factors (including support and housing) may adversely influence their ability to live independently in the community (Stuck, </w:t>
      </w:r>
      <w:proofErr w:type="spellStart"/>
      <w:r>
        <w:t>Walthert</w:t>
      </w:r>
      <w:proofErr w:type="spellEnd"/>
      <w:r>
        <w:t xml:space="preserve"> et al. 1999; </w:t>
      </w:r>
      <w:proofErr w:type="spellStart"/>
      <w:r>
        <w:t>Ayis</w:t>
      </w:r>
      <w:proofErr w:type="spellEnd"/>
      <w:r>
        <w:t xml:space="preserve">, </w:t>
      </w:r>
      <w:proofErr w:type="spellStart"/>
      <w:r>
        <w:t>Gooberman</w:t>
      </w:r>
      <w:proofErr w:type="spellEnd"/>
      <w:r>
        <w:t xml:space="preserve">-Hill et al. 2006).  Reform programs which enhance clinical integration include innovations such as: the pooling of health and social service resources, establishment of new cross-border roles to assist patients and families e.g. transition managers (Coleman, </w:t>
      </w:r>
      <w:proofErr w:type="spellStart"/>
      <w:r>
        <w:t>Boult</w:t>
      </w:r>
      <w:proofErr w:type="spellEnd"/>
      <w:r>
        <w:t xml:space="preserve"> et al. 2003) and case managers (</w:t>
      </w:r>
      <w:proofErr w:type="spellStart"/>
      <w:r>
        <w:t>Gravelle</w:t>
      </w:r>
      <w:proofErr w:type="spellEnd"/>
      <w:r>
        <w:t xml:space="preserve">, </w:t>
      </w:r>
      <w:proofErr w:type="spellStart"/>
      <w:r>
        <w:t>Dusheiko</w:t>
      </w:r>
      <w:proofErr w:type="spellEnd"/>
      <w:r>
        <w:t xml:space="preserve"> et al. 2007).  This area of research is evolving and overlaps with the work on coordination.  A 2007 report from the Organization for Economic and Co-operation and Development (</w:t>
      </w:r>
      <w:proofErr w:type="spellStart"/>
      <w:r>
        <w:t>Hofmarcher</w:t>
      </w:r>
      <w:proofErr w:type="spellEnd"/>
      <w:r>
        <w:t xml:space="preserve">, Oxley et al. 2007) </w:t>
      </w:r>
      <w:r>
        <w:lastRenderedPageBreak/>
        <w:t>summaries four key areas for policy reform faced by all countries attempting to enhance the capacity of health care systems to better coordinate care:</w:t>
      </w:r>
    </w:p>
    <w:p w14:paraId="53EA4D25" w14:textId="77777777" w:rsidR="005D7ABA" w:rsidRDefault="003A2250" w:rsidP="009F2D50">
      <w:pPr>
        <w:pStyle w:val="Normal-Dot"/>
        <w:numPr>
          <w:ilvl w:val="0"/>
          <w:numId w:val="19"/>
        </w:numPr>
        <w:ind w:right="-3"/>
      </w:pPr>
      <w:r>
        <w:t>Better patient information systems to allow transfer between providers and across institutional boundaries.</w:t>
      </w:r>
    </w:p>
    <w:p w14:paraId="7CB64046" w14:textId="77777777" w:rsidR="005D7ABA" w:rsidRDefault="003A2250" w:rsidP="009F2D50">
      <w:pPr>
        <w:pStyle w:val="Normal-Dot"/>
        <w:numPr>
          <w:ilvl w:val="0"/>
          <w:numId w:val="19"/>
        </w:numPr>
        <w:ind w:right="-3"/>
      </w:pPr>
      <w:r>
        <w:t>Review of the share of overall resources allocated to ambulatory care settings.</w:t>
      </w:r>
    </w:p>
    <w:p w14:paraId="25D91584" w14:textId="77777777" w:rsidR="005D7ABA" w:rsidRDefault="003A2250" w:rsidP="009F2D50">
      <w:pPr>
        <w:pStyle w:val="Normal-Dot"/>
        <w:numPr>
          <w:ilvl w:val="0"/>
          <w:numId w:val="19"/>
        </w:numPr>
        <w:ind w:right="-3"/>
      </w:pPr>
      <w:r>
        <w:t>Issues around how payment arrangements can be aligned to incentivise integration.</w:t>
      </w:r>
    </w:p>
    <w:p w14:paraId="733A8A4C" w14:textId="77777777" w:rsidR="005D7ABA" w:rsidRDefault="003A2250" w:rsidP="009F2D50">
      <w:pPr>
        <w:pStyle w:val="Normal-Dot"/>
        <w:numPr>
          <w:ilvl w:val="0"/>
          <w:numId w:val="19"/>
        </w:numPr>
        <w:ind w:right="-3"/>
      </w:pPr>
      <w:r>
        <w:t>Concerns about how best to break down barriers between care "silos".  The issue was noted to be particularly important for transitions into long term care where problems are most fragmented.</w:t>
      </w:r>
    </w:p>
    <w:p w14:paraId="36AF6409" w14:textId="77777777" w:rsidR="005D7ABA" w:rsidRDefault="003A2250" w:rsidP="00CA0D72">
      <w:pPr>
        <w:pStyle w:val="Heading2"/>
        <w:ind w:right="-3"/>
      </w:pPr>
      <w:bookmarkStart w:id="49" w:name="_Toc402348896"/>
      <w:r>
        <w:t>2.7. Summary</w:t>
      </w:r>
      <w:bookmarkEnd w:id="49"/>
    </w:p>
    <w:p w14:paraId="1494207E" w14:textId="77777777" w:rsidR="005D7ABA" w:rsidRDefault="003A2250" w:rsidP="00CA0D72">
      <w:pPr>
        <w:ind w:right="-3"/>
      </w:pPr>
      <w:r>
        <w:t xml:space="preserve">The TCP was developed by policy makers to address political issues while the literature emerges from predominantly clinical practice interventions focused on maintaining frail older people in the community.  The research literature tends to focus on evidence for efficacy, effectiveness, safety and cost benefit but there is very little information on effective ways to achieve system change for older people.  The evidence for multifaceted interventions delivered by multidisciplinary teams in the community suggests functional gains are obtainable and small reductions in levels of re-hospitalization and transfer to aged care are possible.  The literature on using alternative sites to hospitals as beds is poor and there is little to suggest that it is efficient. US models of PAC have identified case selection and payment incentives as important but there are very few assessments of the cost effectiveness of various </w:t>
      </w:r>
      <w:proofErr w:type="spellStart"/>
      <w:r>
        <w:t>post acute</w:t>
      </w:r>
      <w:proofErr w:type="spellEnd"/>
      <w:r>
        <w:t xml:space="preserve"> programs for different conditions. Comprehensive data capture across care sectors is required to drive quality improvement and improve payment efficiency. Finally, the literature confirms that many western countries are engaged in an iterative redesign process as they attempt to reorient away from acute care towards chronic care and improve the integration of health and social services.</w:t>
      </w:r>
    </w:p>
    <w:p w14:paraId="09F99129" w14:textId="77777777" w:rsidR="005D7ABA" w:rsidRDefault="006A53DE" w:rsidP="00CA0D72">
      <w:pPr>
        <w:pStyle w:val="Heading1"/>
        <w:ind w:right="-3"/>
      </w:pPr>
      <w:r>
        <w:br w:type="page"/>
      </w:r>
      <w:bookmarkStart w:id="50" w:name="_Toc402348897"/>
      <w:r w:rsidR="00AB06CD">
        <w:lastRenderedPageBreak/>
        <w:t>3. Transition Care recipients: Characteristics and outcomes</w:t>
      </w:r>
      <w:bookmarkEnd w:id="50"/>
    </w:p>
    <w:p w14:paraId="00021AC3" w14:textId="77777777" w:rsidR="005D7ABA" w:rsidRDefault="00AB06CD" w:rsidP="00CA0D72">
      <w:pPr>
        <w:pStyle w:val="Heading2"/>
        <w:ind w:right="-3"/>
      </w:pPr>
      <w:bookmarkStart w:id="51" w:name="_Toc402348898"/>
      <w:r>
        <w:t>Key points</w:t>
      </w:r>
      <w:bookmarkEnd w:id="51"/>
    </w:p>
    <w:p w14:paraId="27CC743F" w14:textId="77777777" w:rsidR="005D7ABA" w:rsidRDefault="00AB06CD" w:rsidP="009F2D50">
      <w:pPr>
        <w:pStyle w:val="Normal-Dot"/>
        <w:numPr>
          <w:ilvl w:val="0"/>
          <w:numId w:val="20"/>
        </w:numPr>
        <w:ind w:right="-3"/>
      </w:pPr>
      <w:r w:rsidRPr="009F2D50">
        <w:t>The sample of 2,443 linked records for TC recipients represents 76.2% of the 3,206 approvals for TC between 1 October 2006 and 31 March 2007.</w:t>
      </w:r>
    </w:p>
    <w:p w14:paraId="7C6EBE00" w14:textId="77777777" w:rsidR="005D7ABA" w:rsidRDefault="00AB06CD" w:rsidP="009F2D50">
      <w:pPr>
        <w:pStyle w:val="Normal-Dot"/>
        <w:numPr>
          <w:ilvl w:val="0"/>
          <w:numId w:val="20"/>
        </w:numPr>
        <w:ind w:right="-3"/>
      </w:pPr>
      <w:r w:rsidRPr="009F2D50">
        <w:t xml:space="preserve">Sixty-four </w:t>
      </w:r>
      <w:proofErr w:type="spellStart"/>
      <w:r w:rsidRPr="009F2D50">
        <w:t>percent</w:t>
      </w:r>
      <w:proofErr w:type="spellEnd"/>
      <w:r w:rsidRPr="009F2D50">
        <w:t xml:space="preserve"> of the TC recipients were female, TC recipients had an average age of 82.2 years and 41% had a co-resident carer.</w:t>
      </w:r>
    </w:p>
    <w:p w14:paraId="136B91A0" w14:textId="77777777" w:rsidR="005D7ABA" w:rsidRDefault="00AB06CD" w:rsidP="009F2D50">
      <w:pPr>
        <w:pStyle w:val="Normal-Dot"/>
        <w:numPr>
          <w:ilvl w:val="0"/>
          <w:numId w:val="20"/>
        </w:numPr>
        <w:ind w:right="-3"/>
      </w:pPr>
      <w:r w:rsidRPr="009F2D50">
        <w:t xml:space="preserve">Overall, the mean MBI at admission to TC was 64.5 units and at discharge </w:t>
      </w:r>
      <w:proofErr w:type="gramStart"/>
      <w:r w:rsidRPr="009F2D50">
        <w:t>was</w:t>
      </w:r>
      <w:proofErr w:type="gramEnd"/>
      <w:r w:rsidRPr="009F2D50">
        <w:t xml:space="preserve"> 75.7 units.  Those who received community-based TC had admission and discharge mean MBIs of 75.2 and 86.0 units, while those who received residential-based TC had lower physical functioning with mean 51.6 and 62.3 units at admission and discharge, respectively.</w:t>
      </w:r>
    </w:p>
    <w:p w14:paraId="417B798F" w14:textId="77777777" w:rsidR="005D7ABA" w:rsidRDefault="00AB06CD" w:rsidP="009F2D50">
      <w:pPr>
        <w:pStyle w:val="Normal-Dot"/>
        <w:numPr>
          <w:ilvl w:val="0"/>
          <w:numId w:val="20"/>
        </w:numPr>
        <w:ind w:right="-3"/>
      </w:pPr>
      <w:r w:rsidRPr="009F2D50">
        <w:t>The median length of stay in TC was 71.3 days, overall, shorter for recipients of TC only in a residential setting (38.0 days) in comparison with recipients of TC only in a community setting (58.0 days).</w:t>
      </w:r>
    </w:p>
    <w:p w14:paraId="64229D91" w14:textId="77777777" w:rsidR="005D7ABA" w:rsidRDefault="00AB06CD" w:rsidP="009F2D50">
      <w:pPr>
        <w:pStyle w:val="Normal-Dot"/>
        <w:numPr>
          <w:ilvl w:val="0"/>
          <w:numId w:val="20"/>
        </w:numPr>
        <w:ind w:right="-3"/>
      </w:pPr>
      <w:r w:rsidRPr="009F2D50">
        <w:t>Both recipients and carers reported high levels of satisfaction with TC.  However, one third did not know the purpose for taking their medications.</w:t>
      </w:r>
    </w:p>
    <w:p w14:paraId="1AE579D8" w14:textId="38F32D6E" w:rsidR="005D7ABA" w:rsidRDefault="00AB06CD" w:rsidP="009F2D50">
      <w:pPr>
        <w:pStyle w:val="Normal-Dot"/>
        <w:numPr>
          <w:ilvl w:val="0"/>
          <w:numId w:val="20"/>
        </w:numPr>
        <w:ind w:right="-3"/>
      </w:pPr>
      <w:r w:rsidRPr="009F2D50">
        <w:t xml:space="preserve">During the three months following ACAT approval, 37% of recipients were readmitted to hospital, higher amongst those who received community-based TC (39%) than residential-based TC (35%).  Twenty-two </w:t>
      </w:r>
      <w:proofErr w:type="spellStart"/>
      <w:r w:rsidRPr="009F2D50">
        <w:t>percent</w:t>
      </w:r>
      <w:proofErr w:type="spellEnd"/>
      <w:r w:rsidRPr="009F2D50">
        <w:t xml:space="preserve"> had a permanent admission to residential aged care and 8% died.</w:t>
      </w:r>
    </w:p>
    <w:p w14:paraId="68CD01FA" w14:textId="77777777" w:rsidR="005D7ABA" w:rsidRDefault="00AB06CD" w:rsidP="009F2D50">
      <w:pPr>
        <w:pStyle w:val="Normal-Dot"/>
        <w:numPr>
          <w:ilvl w:val="0"/>
          <w:numId w:val="20"/>
        </w:numPr>
        <w:ind w:right="-3"/>
      </w:pPr>
      <w:r w:rsidRPr="009F2D50">
        <w:t xml:space="preserve">By six months post ACAT approval, the hospital readmission rate had increased to 47% for all recipients, again higher for community-based versus residential based TC (51% versus 43%).  Twenty eight </w:t>
      </w:r>
      <w:proofErr w:type="spellStart"/>
      <w:r w:rsidRPr="009F2D50">
        <w:t>percent</w:t>
      </w:r>
      <w:proofErr w:type="spellEnd"/>
      <w:r w:rsidRPr="009F2D50">
        <w:t xml:space="preserve"> had a permanent admission to residential aged care and 14% died.</w:t>
      </w:r>
    </w:p>
    <w:p w14:paraId="5C0F3992" w14:textId="1F039DE4" w:rsidR="00AB06CD" w:rsidRDefault="00AB06CD" w:rsidP="00CA0D72">
      <w:pPr>
        <w:ind w:right="-3"/>
      </w:pPr>
    </w:p>
    <w:p w14:paraId="58980031" w14:textId="77777777" w:rsidR="005D7ABA" w:rsidRDefault="00AB06CD" w:rsidP="00CA0D72">
      <w:pPr>
        <w:ind w:right="-3"/>
      </w:pPr>
      <w:r>
        <w:t>Outcomes at three month post-ACAT assessment for a cohort of 5,510 older people (2,443 TC recipients, 879 Control 1 and 2,188 Control 2) were reported previously in the Controlled Comparison Study and Costs and Effects Study (National Evaluation of the Transition Care Program 2008).  Aggregated data for individual level outcomes were also reported in the Models of Transition Care Report (National Evaluation of the Transition Care Program 2007a) and Recipient Snapshot Study (National Evaluation of the Transition Care Program 2007b).  In this section, these findings are synthesised and some additional findings in terms of hospital readmissions, residential aged care admissions, and deaths at six months post ACAT approval are also presented.  Data are also drawn from the Australian Government Department of Health and Ageing COGNOS database concerning TC to supplement existing data.</w:t>
      </w:r>
    </w:p>
    <w:p w14:paraId="391906BE" w14:textId="77777777" w:rsidR="005D7ABA" w:rsidRDefault="00AB06CD" w:rsidP="00CA0D72">
      <w:pPr>
        <w:ind w:right="-3"/>
      </w:pPr>
      <w:r>
        <w:t>Three groups were compared in Controlled Comparison and Costs and Effects Study.  The groups were defined as follows:</w:t>
      </w:r>
    </w:p>
    <w:p w14:paraId="7F430DC8" w14:textId="5A4C384F" w:rsidR="005D7ABA" w:rsidRDefault="00AB06CD" w:rsidP="009F2D50">
      <w:pPr>
        <w:numPr>
          <w:ilvl w:val="0"/>
          <w:numId w:val="21"/>
        </w:numPr>
        <w:ind w:right="-3"/>
      </w:pPr>
      <w:r>
        <w:t>TC recipients - People who were ACAT assessed in an acute or other hospital setting between 1 October 2006 and 31 March 2007, were approved to receive TC, and subsequently completed a TC episode by 30 September 2007.</w:t>
      </w:r>
    </w:p>
    <w:p w14:paraId="602635D9" w14:textId="77777777" w:rsidR="005D7ABA" w:rsidRDefault="00AB06CD" w:rsidP="009F2D50">
      <w:pPr>
        <w:numPr>
          <w:ilvl w:val="0"/>
          <w:numId w:val="21"/>
        </w:numPr>
        <w:ind w:right="-3"/>
      </w:pPr>
      <w:r>
        <w:t>Control 1 - People who were ACAT assessed in an acute or other hospital setting between 1 October 2006 and 31 March 2007, were approved to receive TC, but with no TC episode by 30 September 2007. This group did not progress to the program despite approval.</w:t>
      </w:r>
    </w:p>
    <w:p w14:paraId="3C8E45A5" w14:textId="10246AE9" w:rsidR="005D7ABA" w:rsidRDefault="00AB06CD" w:rsidP="009F2D50">
      <w:pPr>
        <w:numPr>
          <w:ilvl w:val="0"/>
          <w:numId w:val="21"/>
        </w:numPr>
        <w:ind w:right="-3"/>
      </w:pPr>
      <w:r>
        <w:t xml:space="preserve">Control 2 - </w:t>
      </w:r>
      <w:proofErr w:type="gramStart"/>
      <w:r>
        <w:t>People</w:t>
      </w:r>
      <w:proofErr w:type="gramEnd"/>
      <w:r>
        <w:t xml:space="preserve"> who were ACAT assessed in an acute or other hospital setting between 1 October 2006 and 31 March 2007, were approved for CACP but not TC.</w:t>
      </w:r>
    </w:p>
    <w:p w14:paraId="775F9C81" w14:textId="77777777" w:rsidR="005D7ABA" w:rsidRDefault="00AB06CD" w:rsidP="00CA0D72">
      <w:pPr>
        <w:ind w:right="-3"/>
      </w:pPr>
      <w:r>
        <w:lastRenderedPageBreak/>
        <w:t>As shown in Table 3.1, there were 3,206 ACAT approvals for TC where assessment took place in the acute or other inpatient setting between 1 October 2006 and 31 March 2007.  Table 3.1 presents a comparator of the number of TC recipients from each state included in the data linkage sample versus the number of approvals for TC in the same period.  A further comparison can be drawn from the number of people admitted to TC in the same period.  TCP COGNOS admissions data show that 3,418 people were admitted to TC between 1 October 2006 and 31 March 2007.  The data linkage sample appears to have captured the majority of TC recipients in all jurisdictions with the exception of NSW.</w:t>
      </w:r>
    </w:p>
    <w:p w14:paraId="0FCFDA3A" w14:textId="34ECB16E" w:rsidR="00AB06CD" w:rsidRDefault="00AB06CD" w:rsidP="005D7ABA">
      <w:pPr>
        <w:pStyle w:val="Heading3"/>
      </w:pPr>
      <w:bookmarkStart w:id="52" w:name="_Toc402348899"/>
      <w:r w:rsidRPr="00AB06CD">
        <w:t>Table 3.1: Sample of Transition Care recipients and number of ACAT assessments 1 October 2006 - 31 March 2007</w:t>
      </w:r>
      <w:bookmarkEnd w:id="52"/>
    </w:p>
    <w:p w14:paraId="33F3A768" w14:textId="77777777" w:rsidR="00311ACE" w:rsidRPr="00311ACE" w:rsidRDefault="00311ACE" w:rsidP="00CA0D72">
      <w:pPr>
        <w:pStyle w:val="Table"/>
        <w:ind w:right="-3"/>
      </w:pPr>
      <w:r w:rsidRPr="00311ACE">
        <w:t xml:space="preserve">Data linkage </w:t>
      </w:r>
    </w:p>
    <w:tbl>
      <w:tblPr>
        <w:tblStyle w:val="TableGrid"/>
        <w:tblW w:w="10241" w:type="dxa"/>
        <w:tblLook w:val="01E0" w:firstRow="1" w:lastRow="1" w:firstColumn="1" w:lastColumn="1" w:noHBand="0" w:noVBand="0"/>
        <w:tblDescription w:val="Table 3.1: Sample of Transition Care recipients and number of ACAT assessments 1 October 2006 - 31 March 2007"/>
      </w:tblPr>
      <w:tblGrid>
        <w:gridCol w:w="1418"/>
        <w:gridCol w:w="2801"/>
        <w:gridCol w:w="2977"/>
        <w:gridCol w:w="3045"/>
      </w:tblGrid>
      <w:tr w:rsidR="00E53B6B" w:rsidRPr="00E53B6B" w14:paraId="5978D26F" w14:textId="77777777" w:rsidTr="009F2D50">
        <w:trPr>
          <w:tblHeader/>
        </w:trPr>
        <w:tc>
          <w:tcPr>
            <w:tcW w:w="1418" w:type="dxa"/>
          </w:tcPr>
          <w:p w14:paraId="256A0D6F" w14:textId="77777777" w:rsidR="00E53B6B" w:rsidRPr="009F2D50" w:rsidRDefault="00E53B6B" w:rsidP="00CA0D72">
            <w:pPr>
              <w:pStyle w:val="Table"/>
              <w:ind w:right="-3"/>
              <w:rPr>
                <w:b/>
              </w:rPr>
            </w:pPr>
            <w:r w:rsidRPr="009F2D50">
              <w:rPr>
                <w:b/>
              </w:rPr>
              <w:t>State</w:t>
            </w:r>
          </w:p>
        </w:tc>
        <w:tc>
          <w:tcPr>
            <w:tcW w:w="2801" w:type="dxa"/>
          </w:tcPr>
          <w:p w14:paraId="70922E31" w14:textId="77777777" w:rsidR="00E53B6B" w:rsidRPr="009F2D50" w:rsidRDefault="00E53B6B" w:rsidP="00CA0D72">
            <w:pPr>
              <w:pStyle w:val="Table"/>
              <w:ind w:right="-3"/>
              <w:rPr>
                <w:b/>
              </w:rPr>
            </w:pPr>
            <w:r w:rsidRPr="009F2D50">
              <w:rPr>
                <w:b/>
              </w:rPr>
              <w:t>Data Linkage TC recipients</w:t>
            </w:r>
          </w:p>
        </w:tc>
        <w:tc>
          <w:tcPr>
            <w:tcW w:w="2977" w:type="dxa"/>
          </w:tcPr>
          <w:p w14:paraId="330309F5" w14:textId="77777777" w:rsidR="00E53B6B" w:rsidRPr="009F2D50" w:rsidRDefault="00E53B6B" w:rsidP="00CA0D72">
            <w:pPr>
              <w:pStyle w:val="Table"/>
              <w:ind w:right="-3"/>
              <w:rPr>
                <w:b/>
              </w:rPr>
            </w:pPr>
            <w:r w:rsidRPr="009F2D50">
              <w:rPr>
                <w:b/>
              </w:rPr>
              <w:t xml:space="preserve">ACAT assessment </w:t>
            </w:r>
          </w:p>
        </w:tc>
        <w:tc>
          <w:tcPr>
            <w:tcW w:w="3045" w:type="dxa"/>
          </w:tcPr>
          <w:p w14:paraId="16A1D519" w14:textId="77777777" w:rsidR="00E53B6B" w:rsidRPr="009F2D50" w:rsidRDefault="00E53B6B" w:rsidP="00CA0D72">
            <w:pPr>
              <w:pStyle w:val="Table"/>
              <w:ind w:right="-3"/>
              <w:rPr>
                <w:b/>
              </w:rPr>
            </w:pPr>
            <w:r w:rsidRPr="009F2D50">
              <w:rPr>
                <w:b/>
              </w:rPr>
              <w:t xml:space="preserve">TCP admissions data </w:t>
            </w:r>
          </w:p>
        </w:tc>
      </w:tr>
      <w:tr w:rsidR="00E53B6B" w:rsidRPr="00E53B6B" w14:paraId="49CBC8AA" w14:textId="77777777" w:rsidTr="009F2D50">
        <w:tc>
          <w:tcPr>
            <w:tcW w:w="1418" w:type="dxa"/>
          </w:tcPr>
          <w:p w14:paraId="0B2DC891" w14:textId="77777777" w:rsidR="00E53B6B" w:rsidRPr="00E53B6B" w:rsidRDefault="00E53B6B" w:rsidP="00CA0D72">
            <w:pPr>
              <w:pStyle w:val="Table"/>
              <w:ind w:right="-3"/>
            </w:pPr>
            <w:r w:rsidRPr="00E53B6B">
              <w:t xml:space="preserve">ACT </w:t>
            </w:r>
          </w:p>
        </w:tc>
        <w:tc>
          <w:tcPr>
            <w:tcW w:w="2801" w:type="dxa"/>
          </w:tcPr>
          <w:p w14:paraId="767406CA" w14:textId="77777777" w:rsidR="00E53B6B" w:rsidRPr="00E53B6B" w:rsidRDefault="00E53B6B" w:rsidP="00CA0D72">
            <w:pPr>
              <w:pStyle w:val="Table"/>
              <w:ind w:right="-3"/>
            </w:pPr>
            <w:r w:rsidRPr="00E53B6B">
              <w:t xml:space="preserve">69 </w:t>
            </w:r>
          </w:p>
        </w:tc>
        <w:tc>
          <w:tcPr>
            <w:tcW w:w="2977" w:type="dxa"/>
          </w:tcPr>
          <w:p w14:paraId="5C35625A" w14:textId="77777777" w:rsidR="00E53B6B" w:rsidRPr="00E53B6B" w:rsidRDefault="00E53B6B" w:rsidP="00CA0D72">
            <w:pPr>
              <w:pStyle w:val="Table"/>
              <w:ind w:right="-3"/>
            </w:pPr>
            <w:r w:rsidRPr="00E53B6B">
              <w:t xml:space="preserve">114 </w:t>
            </w:r>
          </w:p>
        </w:tc>
        <w:tc>
          <w:tcPr>
            <w:tcW w:w="3045" w:type="dxa"/>
          </w:tcPr>
          <w:p w14:paraId="070AF0FD" w14:textId="77777777" w:rsidR="00E53B6B" w:rsidRPr="00E53B6B" w:rsidRDefault="00E53B6B" w:rsidP="00CA0D72">
            <w:pPr>
              <w:pStyle w:val="Table"/>
              <w:ind w:right="-3"/>
            </w:pPr>
            <w:r w:rsidRPr="00E53B6B">
              <w:t xml:space="preserve">91 </w:t>
            </w:r>
          </w:p>
        </w:tc>
      </w:tr>
      <w:tr w:rsidR="00E53B6B" w:rsidRPr="00E53B6B" w14:paraId="44FD568D" w14:textId="77777777" w:rsidTr="009F2D50">
        <w:tc>
          <w:tcPr>
            <w:tcW w:w="1418" w:type="dxa"/>
          </w:tcPr>
          <w:p w14:paraId="29DE08C9" w14:textId="77777777" w:rsidR="00E53B6B" w:rsidRPr="00E53B6B" w:rsidRDefault="00E53B6B" w:rsidP="00CA0D72">
            <w:pPr>
              <w:pStyle w:val="Table"/>
              <w:ind w:right="-3"/>
            </w:pPr>
            <w:r w:rsidRPr="00E53B6B">
              <w:t xml:space="preserve">NSW </w:t>
            </w:r>
          </w:p>
        </w:tc>
        <w:tc>
          <w:tcPr>
            <w:tcW w:w="2801" w:type="dxa"/>
          </w:tcPr>
          <w:p w14:paraId="4603D77E" w14:textId="77777777" w:rsidR="00E53B6B" w:rsidRPr="00E53B6B" w:rsidRDefault="00E53B6B" w:rsidP="00CA0D72">
            <w:pPr>
              <w:pStyle w:val="Table"/>
              <w:ind w:right="-3"/>
            </w:pPr>
            <w:r w:rsidRPr="00E53B6B">
              <w:t xml:space="preserve">630 </w:t>
            </w:r>
          </w:p>
        </w:tc>
        <w:tc>
          <w:tcPr>
            <w:tcW w:w="2977" w:type="dxa"/>
          </w:tcPr>
          <w:p w14:paraId="1C6ED9C3" w14:textId="77777777" w:rsidR="00E53B6B" w:rsidRPr="00E53B6B" w:rsidRDefault="00E53B6B" w:rsidP="00CA0D72">
            <w:pPr>
              <w:pStyle w:val="Table"/>
              <w:ind w:right="-3"/>
            </w:pPr>
            <w:r w:rsidRPr="00E53B6B">
              <w:t xml:space="preserve">1,194 </w:t>
            </w:r>
          </w:p>
        </w:tc>
        <w:tc>
          <w:tcPr>
            <w:tcW w:w="3045" w:type="dxa"/>
          </w:tcPr>
          <w:p w14:paraId="63A4D146" w14:textId="77777777" w:rsidR="00E53B6B" w:rsidRPr="00E53B6B" w:rsidRDefault="00E53B6B" w:rsidP="00CA0D72">
            <w:pPr>
              <w:pStyle w:val="Table"/>
              <w:ind w:right="-3"/>
            </w:pPr>
            <w:r w:rsidRPr="00E53B6B">
              <w:t xml:space="preserve">1,219 </w:t>
            </w:r>
          </w:p>
        </w:tc>
      </w:tr>
      <w:tr w:rsidR="00E53B6B" w:rsidRPr="00E53B6B" w14:paraId="27549A0F" w14:textId="77777777" w:rsidTr="009F2D50">
        <w:tc>
          <w:tcPr>
            <w:tcW w:w="1418" w:type="dxa"/>
          </w:tcPr>
          <w:p w14:paraId="45EE3D2F" w14:textId="77777777" w:rsidR="00E53B6B" w:rsidRPr="00E53B6B" w:rsidRDefault="00E53B6B" w:rsidP="00CA0D72">
            <w:pPr>
              <w:pStyle w:val="Table"/>
              <w:ind w:right="-3"/>
            </w:pPr>
            <w:r w:rsidRPr="00E53B6B">
              <w:t xml:space="preserve">NT </w:t>
            </w:r>
          </w:p>
        </w:tc>
        <w:tc>
          <w:tcPr>
            <w:tcW w:w="2801" w:type="dxa"/>
          </w:tcPr>
          <w:p w14:paraId="5FAE055F" w14:textId="77777777" w:rsidR="00E53B6B" w:rsidRPr="00E53B6B" w:rsidRDefault="00E53B6B" w:rsidP="00CA0D72">
            <w:pPr>
              <w:pStyle w:val="Table"/>
              <w:ind w:right="-3"/>
            </w:pPr>
            <w:r w:rsidRPr="00E53B6B">
              <w:t xml:space="preserve">12 </w:t>
            </w:r>
          </w:p>
        </w:tc>
        <w:tc>
          <w:tcPr>
            <w:tcW w:w="2977" w:type="dxa"/>
          </w:tcPr>
          <w:p w14:paraId="3210EA6D" w14:textId="77777777" w:rsidR="00E53B6B" w:rsidRPr="00E53B6B" w:rsidRDefault="00E53B6B" w:rsidP="00CA0D72">
            <w:pPr>
              <w:pStyle w:val="Table"/>
              <w:ind w:right="-3"/>
            </w:pPr>
            <w:r w:rsidRPr="00E53B6B">
              <w:t xml:space="preserve">20 </w:t>
            </w:r>
          </w:p>
        </w:tc>
        <w:tc>
          <w:tcPr>
            <w:tcW w:w="3045" w:type="dxa"/>
          </w:tcPr>
          <w:p w14:paraId="4DFE1410" w14:textId="77777777" w:rsidR="00E53B6B" w:rsidRPr="00E53B6B" w:rsidRDefault="00E53B6B" w:rsidP="00CA0D72">
            <w:pPr>
              <w:pStyle w:val="Table"/>
              <w:ind w:right="-3"/>
            </w:pPr>
            <w:r w:rsidRPr="00E53B6B">
              <w:t xml:space="preserve">12 </w:t>
            </w:r>
          </w:p>
        </w:tc>
      </w:tr>
      <w:tr w:rsidR="00E53B6B" w:rsidRPr="00E53B6B" w14:paraId="493A9FA3" w14:textId="77777777" w:rsidTr="009F2D50">
        <w:tc>
          <w:tcPr>
            <w:tcW w:w="1418" w:type="dxa"/>
          </w:tcPr>
          <w:p w14:paraId="73A6E8AB" w14:textId="77777777" w:rsidR="00E53B6B" w:rsidRPr="00E53B6B" w:rsidRDefault="00E53B6B" w:rsidP="00CA0D72">
            <w:pPr>
              <w:pStyle w:val="Table"/>
              <w:ind w:right="-3"/>
            </w:pPr>
            <w:r w:rsidRPr="00E53B6B">
              <w:t xml:space="preserve">QLD </w:t>
            </w:r>
          </w:p>
        </w:tc>
        <w:tc>
          <w:tcPr>
            <w:tcW w:w="2801" w:type="dxa"/>
          </w:tcPr>
          <w:p w14:paraId="6538E34D" w14:textId="77777777" w:rsidR="00E53B6B" w:rsidRPr="00E53B6B" w:rsidRDefault="00E53B6B" w:rsidP="00CA0D72">
            <w:pPr>
              <w:pStyle w:val="Table"/>
              <w:ind w:right="-3"/>
            </w:pPr>
            <w:r w:rsidRPr="00E53B6B">
              <w:t xml:space="preserve">273 </w:t>
            </w:r>
          </w:p>
        </w:tc>
        <w:tc>
          <w:tcPr>
            <w:tcW w:w="2977" w:type="dxa"/>
          </w:tcPr>
          <w:p w14:paraId="5274F27D" w14:textId="77777777" w:rsidR="00E53B6B" w:rsidRPr="00E53B6B" w:rsidRDefault="00E53B6B" w:rsidP="00CA0D72">
            <w:pPr>
              <w:pStyle w:val="Table"/>
              <w:ind w:right="-3"/>
            </w:pPr>
            <w:r w:rsidRPr="00E53B6B">
              <w:t xml:space="preserve">300 </w:t>
            </w:r>
          </w:p>
        </w:tc>
        <w:tc>
          <w:tcPr>
            <w:tcW w:w="3045" w:type="dxa"/>
          </w:tcPr>
          <w:p w14:paraId="6B87865D" w14:textId="77777777" w:rsidR="00E53B6B" w:rsidRPr="00E53B6B" w:rsidRDefault="00E53B6B" w:rsidP="00CA0D72">
            <w:pPr>
              <w:pStyle w:val="Table"/>
              <w:ind w:right="-3"/>
            </w:pPr>
            <w:r w:rsidRPr="00E53B6B">
              <w:t xml:space="preserve">309 </w:t>
            </w:r>
          </w:p>
        </w:tc>
      </w:tr>
      <w:tr w:rsidR="00E53B6B" w:rsidRPr="00E53B6B" w14:paraId="13069B8B" w14:textId="77777777" w:rsidTr="009F2D50">
        <w:tc>
          <w:tcPr>
            <w:tcW w:w="1418" w:type="dxa"/>
          </w:tcPr>
          <w:p w14:paraId="690B01CF" w14:textId="77777777" w:rsidR="00E53B6B" w:rsidRPr="00E53B6B" w:rsidRDefault="00E53B6B" w:rsidP="00CA0D72">
            <w:pPr>
              <w:pStyle w:val="Table"/>
              <w:ind w:right="-3"/>
            </w:pPr>
            <w:r w:rsidRPr="00E53B6B">
              <w:t xml:space="preserve">SA </w:t>
            </w:r>
          </w:p>
        </w:tc>
        <w:tc>
          <w:tcPr>
            <w:tcW w:w="2801" w:type="dxa"/>
          </w:tcPr>
          <w:p w14:paraId="66515AFB" w14:textId="77777777" w:rsidR="00E53B6B" w:rsidRPr="00E53B6B" w:rsidRDefault="00E53B6B" w:rsidP="00CA0D72">
            <w:pPr>
              <w:pStyle w:val="Table"/>
              <w:ind w:right="-3"/>
            </w:pPr>
            <w:r w:rsidRPr="00E53B6B">
              <w:t xml:space="preserve">289 </w:t>
            </w:r>
          </w:p>
        </w:tc>
        <w:tc>
          <w:tcPr>
            <w:tcW w:w="2977" w:type="dxa"/>
          </w:tcPr>
          <w:p w14:paraId="5A1C47E4" w14:textId="77777777" w:rsidR="00E53B6B" w:rsidRPr="00E53B6B" w:rsidRDefault="00E53B6B" w:rsidP="00CA0D72">
            <w:pPr>
              <w:pStyle w:val="Table"/>
              <w:ind w:right="-3"/>
            </w:pPr>
            <w:r w:rsidRPr="00E53B6B">
              <w:t xml:space="preserve">403 </w:t>
            </w:r>
          </w:p>
        </w:tc>
        <w:tc>
          <w:tcPr>
            <w:tcW w:w="3045" w:type="dxa"/>
          </w:tcPr>
          <w:p w14:paraId="09FEE793" w14:textId="77777777" w:rsidR="00E53B6B" w:rsidRPr="00E53B6B" w:rsidRDefault="00E53B6B" w:rsidP="00CA0D72">
            <w:pPr>
              <w:pStyle w:val="Table"/>
              <w:ind w:right="-3"/>
            </w:pPr>
            <w:r w:rsidRPr="00E53B6B">
              <w:t xml:space="preserve">354 </w:t>
            </w:r>
          </w:p>
        </w:tc>
      </w:tr>
      <w:tr w:rsidR="00E53B6B" w:rsidRPr="00E53B6B" w14:paraId="23691B1C" w14:textId="77777777" w:rsidTr="009F2D50">
        <w:tc>
          <w:tcPr>
            <w:tcW w:w="1418" w:type="dxa"/>
          </w:tcPr>
          <w:p w14:paraId="7F89CC41" w14:textId="77777777" w:rsidR="00E53B6B" w:rsidRPr="00E53B6B" w:rsidRDefault="00E53B6B" w:rsidP="00CA0D72">
            <w:pPr>
              <w:pStyle w:val="Table"/>
              <w:ind w:right="-3"/>
            </w:pPr>
            <w:r w:rsidRPr="00E53B6B">
              <w:t xml:space="preserve">TAS </w:t>
            </w:r>
          </w:p>
        </w:tc>
        <w:tc>
          <w:tcPr>
            <w:tcW w:w="2801" w:type="dxa"/>
          </w:tcPr>
          <w:p w14:paraId="646DD29F" w14:textId="77777777" w:rsidR="00E53B6B" w:rsidRPr="00E53B6B" w:rsidRDefault="00E53B6B" w:rsidP="00CA0D72">
            <w:pPr>
              <w:pStyle w:val="Table"/>
              <w:ind w:right="-3"/>
            </w:pPr>
            <w:r w:rsidRPr="00E53B6B">
              <w:t xml:space="preserve">98 </w:t>
            </w:r>
          </w:p>
        </w:tc>
        <w:tc>
          <w:tcPr>
            <w:tcW w:w="2977" w:type="dxa"/>
          </w:tcPr>
          <w:p w14:paraId="64360516" w14:textId="77777777" w:rsidR="00E53B6B" w:rsidRPr="00E53B6B" w:rsidRDefault="00E53B6B" w:rsidP="00CA0D72">
            <w:pPr>
              <w:pStyle w:val="Table"/>
              <w:ind w:right="-3"/>
            </w:pPr>
            <w:r w:rsidRPr="00E53B6B">
              <w:t xml:space="preserve">111 </w:t>
            </w:r>
          </w:p>
        </w:tc>
        <w:tc>
          <w:tcPr>
            <w:tcW w:w="3045" w:type="dxa"/>
          </w:tcPr>
          <w:p w14:paraId="076E0958" w14:textId="77777777" w:rsidR="00E53B6B" w:rsidRPr="00E53B6B" w:rsidRDefault="00E53B6B" w:rsidP="00CA0D72">
            <w:pPr>
              <w:pStyle w:val="Table"/>
              <w:ind w:right="-3"/>
            </w:pPr>
            <w:r w:rsidRPr="00E53B6B">
              <w:t xml:space="preserve">104 </w:t>
            </w:r>
          </w:p>
        </w:tc>
      </w:tr>
      <w:tr w:rsidR="00E53B6B" w:rsidRPr="00E53B6B" w14:paraId="77CBA790" w14:textId="77777777" w:rsidTr="009F2D50">
        <w:tc>
          <w:tcPr>
            <w:tcW w:w="1418" w:type="dxa"/>
          </w:tcPr>
          <w:p w14:paraId="1241C61C" w14:textId="77777777" w:rsidR="00E53B6B" w:rsidRPr="00E53B6B" w:rsidRDefault="00E53B6B" w:rsidP="00CA0D72">
            <w:pPr>
              <w:pStyle w:val="Table"/>
              <w:ind w:right="-3"/>
            </w:pPr>
            <w:r w:rsidRPr="00E53B6B">
              <w:t xml:space="preserve">VIC </w:t>
            </w:r>
          </w:p>
        </w:tc>
        <w:tc>
          <w:tcPr>
            <w:tcW w:w="2801" w:type="dxa"/>
          </w:tcPr>
          <w:p w14:paraId="0059D7D9" w14:textId="77777777" w:rsidR="00E53B6B" w:rsidRPr="00E53B6B" w:rsidRDefault="00E53B6B" w:rsidP="00CA0D72">
            <w:pPr>
              <w:pStyle w:val="Table"/>
              <w:ind w:right="-3"/>
            </w:pPr>
            <w:r w:rsidRPr="00E53B6B">
              <w:t xml:space="preserve">934 </w:t>
            </w:r>
          </w:p>
        </w:tc>
        <w:tc>
          <w:tcPr>
            <w:tcW w:w="2977" w:type="dxa"/>
          </w:tcPr>
          <w:p w14:paraId="11BA51BD" w14:textId="77777777" w:rsidR="00E53B6B" w:rsidRPr="00E53B6B" w:rsidRDefault="00E53B6B" w:rsidP="00CA0D72">
            <w:pPr>
              <w:pStyle w:val="Table"/>
              <w:ind w:right="-3"/>
            </w:pPr>
            <w:r w:rsidRPr="00E53B6B">
              <w:t xml:space="preserve">1,435 </w:t>
            </w:r>
          </w:p>
        </w:tc>
        <w:tc>
          <w:tcPr>
            <w:tcW w:w="3045" w:type="dxa"/>
          </w:tcPr>
          <w:p w14:paraId="33DE7217" w14:textId="77777777" w:rsidR="00E53B6B" w:rsidRPr="00E53B6B" w:rsidRDefault="00E53B6B" w:rsidP="00CA0D72">
            <w:pPr>
              <w:pStyle w:val="Table"/>
              <w:ind w:right="-3"/>
            </w:pPr>
            <w:r w:rsidRPr="00E53B6B">
              <w:t xml:space="preserve">1,098 </w:t>
            </w:r>
          </w:p>
        </w:tc>
      </w:tr>
      <w:tr w:rsidR="00E53B6B" w:rsidRPr="00E53B6B" w14:paraId="306607A8" w14:textId="77777777" w:rsidTr="009F2D50">
        <w:tc>
          <w:tcPr>
            <w:tcW w:w="1418" w:type="dxa"/>
          </w:tcPr>
          <w:p w14:paraId="5AE82F1B" w14:textId="77777777" w:rsidR="00E53B6B" w:rsidRPr="00E53B6B" w:rsidRDefault="00E53B6B" w:rsidP="00CA0D72">
            <w:pPr>
              <w:pStyle w:val="Table"/>
              <w:ind w:right="-3"/>
            </w:pPr>
            <w:r w:rsidRPr="00E53B6B">
              <w:t xml:space="preserve">WA </w:t>
            </w:r>
          </w:p>
        </w:tc>
        <w:tc>
          <w:tcPr>
            <w:tcW w:w="2801" w:type="dxa"/>
          </w:tcPr>
          <w:p w14:paraId="1863F8F3" w14:textId="77777777" w:rsidR="00E53B6B" w:rsidRPr="00E53B6B" w:rsidRDefault="00E53B6B" w:rsidP="00CA0D72">
            <w:pPr>
              <w:pStyle w:val="Table"/>
              <w:ind w:right="-3"/>
            </w:pPr>
            <w:r w:rsidRPr="00E53B6B">
              <w:t xml:space="preserve">138 </w:t>
            </w:r>
          </w:p>
        </w:tc>
        <w:tc>
          <w:tcPr>
            <w:tcW w:w="2977" w:type="dxa"/>
          </w:tcPr>
          <w:p w14:paraId="4E524975" w14:textId="77777777" w:rsidR="00E53B6B" w:rsidRPr="00E53B6B" w:rsidRDefault="00E53B6B" w:rsidP="00CA0D72">
            <w:pPr>
              <w:pStyle w:val="Table"/>
              <w:ind w:right="-3"/>
            </w:pPr>
            <w:r w:rsidRPr="00E53B6B">
              <w:t xml:space="preserve">290 </w:t>
            </w:r>
          </w:p>
        </w:tc>
        <w:tc>
          <w:tcPr>
            <w:tcW w:w="3045" w:type="dxa"/>
          </w:tcPr>
          <w:p w14:paraId="45D8FCC6" w14:textId="77777777" w:rsidR="00E53B6B" w:rsidRPr="00E53B6B" w:rsidRDefault="00E53B6B" w:rsidP="00CA0D72">
            <w:pPr>
              <w:pStyle w:val="Table"/>
              <w:ind w:right="-3"/>
            </w:pPr>
            <w:r w:rsidRPr="00E53B6B">
              <w:t xml:space="preserve">231 </w:t>
            </w:r>
          </w:p>
        </w:tc>
      </w:tr>
      <w:tr w:rsidR="00E53B6B" w:rsidRPr="00E53B6B" w14:paraId="0BDFCC04" w14:textId="77777777" w:rsidTr="009F2D50">
        <w:tc>
          <w:tcPr>
            <w:tcW w:w="1418" w:type="dxa"/>
          </w:tcPr>
          <w:p w14:paraId="554075B2" w14:textId="77777777" w:rsidR="00E53B6B" w:rsidRPr="00E53B6B" w:rsidRDefault="00E53B6B" w:rsidP="00CA0D72">
            <w:pPr>
              <w:pStyle w:val="Table"/>
              <w:ind w:right="-3"/>
            </w:pPr>
            <w:r w:rsidRPr="00E53B6B">
              <w:t xml:space="preserve">Overall </w:t>
            </w:r>
          </w:p>
        </w:tc>
        <w:tc>
          <w:tcPr>
            <w:tcW w:w="2801" w:type="dxa"/>
          </w:tcPr>
          <w:p w14:paraId="24F01A50" w14:textId="77777777" w:rsidR="00E53B6B" w:rsidRPr="00E53B6B" w:rsidRDefault="00E53B6B" w:rsidP="00CA0D72">
            <w:pPr>
              <w:pStyle w:val="Table"/>
              <w:ind w:right="-3"/>
            </w:pPr>
            <w:r w:rsidRPr="00E53B6B">
              <w:t xml:space="preserve">2,443 </w:t>
            </w:r>
          </w:p>
        </w:tc>
        <w:tc>
          <w:tcPr>
            <w:tcW w:w="2977" w:type="dxa"/>
          </w:tcPr>
          <w:p w14:paraId="2A2E3113" w14:textId="77777777" w:rsidR="00E53B6B" w:rsidRPr="00E53B6B" w:rsidRDefault="00E53B6B" w:rsidP="00CA0D72">
            <w:pPr>
              <w:pStyle w:val="Table"/>
              <w:ind w:right="-3"/>
            </w:pPr>
            <w:r w:rsidRPr="00E53B6B">
              <w:t xml:space="preserve">3,206 </w:t>
            </w:r>
          </w:p>
        </w:tc>
        <w:tc>
          <w:tcPr>
            <w:tcW w:w="3045" w:type="dxa"/>
          </w:tcPr>
          <w:p w14:paraId="491D80B7" w14:textId="77777777" w:rsidR="00E53B6B" w:rsidRPr="00E53B6B" w:rsidRDefault="00E53B6B" w:rsidP="00CA0D72">
            <w:pPr>
              <w:pStyle w:val="Table"/>
              <w:ind w:right="-3"/>
            </w:pPr>
            <w:r w:rsidRPr="00E53B6B">
              <w:t xml:space="preserve">3,418 </w:t>
            </w:r>
          </w:p>
        </w:tc>
      </w:tr>
    </w:tbl>
    <w:p w14:paraId="23A27FA2" w14:textId="77777777" w:rsidR="00311ACE" w:rsidRDefault="00311ACE" w:rsidP="00CA0D72">
      <w:pPr>
        <w:pStyle w:val="Table"/>
        <w:ind w:right="-3"/>
      </w:pPr>
    </w:p>
    <w:p w14:paraId="73F4FA03" w14:textId="77777777" w:rsidR="005D7ABA" w:rsidRDefault="00E770C4" w:rsidP="00CA0D72">
      <w:pPr>
        <w:pStyle w:val="Heading2"/>
        <w:ind w:right="-3"/>
      </w:pPr>
      <w:bookmarkStart w:id="53" w:name="_Toc402348900"/>
      <w:r>
        <w:t>3.1. Baseline characteristics of Transition Care recipients</w:t>
      </w:r>
      <w:bookmarkEnd w:id="53"/>
    </w:p>
    <w:p w14:paraId="5B420810" w14:textId="77777777" w:rsidR="005D7ABA" w:rsidRDefault="00E770C4" w:rsidP="00CA0D72">
      <w:pPr>
        <w:ind w:right="-3"/>
      </w:pPr>
      <w:r>
        <w:t xml:space="preserve">Baseline characteristics of TC recipients from the cohort in the linked data set (i.e. n=2,443 TC recipients) are presented in Table 3.2.  As this table shows, the average age of recipients was more than 80 years and slightly more than one third of recipients were male.  The average improvement in MBI was slightly more than 10 points on average.  Not unexpectedly, the MBI at admission was higher among the community-based TC recipients than the residential-based TC recipients.  The data concerning indigenous status from the Aged Care Client record (ACCR) suggested that 0.2% of recipients identified as Aboriginal or Torres Strait Islander or both.  More than three quarters of TC recipients were in private residences prior to TC admission, and almost half of TC recipients lived alone prior to their ACAT assessment.  A total of 41% had a </w:t>
      </w:r>
      <w:proofErr w:type="spellStart"/>
      <w:r>
        <w:t>coresident</w:t>
      </w:r>
      <w:proofErr w:type="spellEnd"/>
      <w:r>
        <w:t xml:space="preserve"> carer at the time of ACAT assessment.</w:t>
      </w:r>
    </w:p>
    <w:p w14:paraId="1622714B" w14:textId="77777777" w:rsidR="005D7ABA" w:rsidRDefault="00E770C4" w:rsidP="00CA0D72">
      <w:pPr>
        <w:ind w:right="-3"/>
      </w:pPr>
      <w:r>
        <w:t xml:space="preserve">Twenty three </w:t>
      </w:r>
      <w:proofErr w:type="spellStart"/>
      <w:r>
        <w:t>percent</w:t>
      </w:r>
      <w:proofErr w:type="spellEnd"/>
      <w:r>
        <w:t xml:space="preserve"> of TC recipients elected to be treated as private hospital patients.  Election status at the index hospitalization was unavailable for recipients in Victoria and Tasmania.  The data concerning election status was derived from different variables for each of the hospital morbidity data collections.  In Western Australia it was derived from insurance status while in South Australia, Queensland, and New South Wales it was based on payment at separation.</w:t>
      </w:r>
    </w:p>
    <w:p w14:paraId="4D42A3CF" w14:textId="0F3C44A7" w:rsidR="009F2D50" w:rsidRDefault="00E770C4" w:rsidP="00CA0D72">
      <w:pPr>
        <w:ind w:right="-3"/>
      </w:pPr>
      <w:r>
        <w:t>Of the 2,443 TC recipients, 1,204 (49%) received TC only in a community setting, 1,026 (42%) received TC only in a residential setting, and 213 (9%) received TC in both a community-based and a residential-based setting.</w:t>
      </w:r>
      <w:r w:rsidR="009F2D50">
        <w:br w:type="page"/>
      </w:r>
    </w:p>
    <w:p w14:paraId="75261649" w14:textId="77777777" w:rsidR="00E770C4" w:rsidRPr="00572313" w:rsidRDefault="00E770C4" w:rsidP="005D7ABA">
      <w:pPr>
        <w:pStyle w:val="Heading3"/>
      </w:pPr>
      <w:bookmarkStart w:id="54" w:name="_Toc402348901"/>
      <w:r w:rsidRPr="00572313">
        <w:lastRenderedPageBreak/>
        <w:t>Table 3.2</w:t>
      </w:r>
      <w:r w:rsidR="00572313" w:rsidRPr="00572313">
        <w:t>4:  Baseline characteristics of recipients of Transition Care</w:t>
      </w:r>
      <w:bookmarkEnd w:id="54"/>
    </w:p>
    <w:tbl>
      <w:tblPr>
        <w:tblStyle w:val="TableGrid"/>
        <w:tblW w:w="0" w:type="auto"/>
        <w:tblLook w:val="01E0" w:firstRow="1" w:lastRow="1" w:firstColumn="1" w:lastColumn="1" w:noHBand="0" w:noVBand="0"/>
        <w:tblDescription w:val="Table 3.24:  Baseline characteristics of recipients of Transition Care"/>
      </w:tblPr>
      <w:tblGrid>
        <w:gridCol w:w="3213"/>
        <w:gridCol w:w="1615"/>
        <w:gridCol w:w="1239"/>
        <w:gridCol w:w="1172"/>
        <w:gridCol w:w="761"/>
        <w:gridCol w:w="1572"/>
      </w:tblGrid>
      <w:tr w:rsidR="00E53B6B" w:rsidRPr="00D83B72" w14:paraId="37DCD6F9" w14:textId="77777777" w:rsidTr="00D83B72">
        <w:trPr>
          <w:tblHeader/>
        </w:trPr>
        <w:tc>
          <w:tcPr>
            <w:tcW w:w="3402" w:type="dxa"/>
          </w:tcPr>
          <w:p w14:paraId="5131E6A1" w14:textId="3820F572" w:rsidR="00E53B6B" w:rsidRPr="00D83B72" w:rsidRDefault="00D83B72" w:rsidP="00CA0D72">
            <w:pPr>
              <w:spacing w:before="20" w:after="20"/>
              <w:ind w:right="-3"/>
              <w:rPr>
                <w:b/>
                <w:color w:val="000000"/>
                <w:sz w:val="20"/>
                <w:szCs w:val="20"/>
              </w:rPr>
            </w:pPr>
            <w:r w:rsidRPr="00D83B72">
              <w:rPr>
                <w:b/>
                <w:color w:val="000000"/>
                <w:sz w:val="20"/>
                <w:szCs w:val="20"/>
              </w:rPr>
              <w:t>Recipients</w:t>
            </w:r>
          </w:p>
        </w:tc>
        <w:tc>
          <w:tcPr>
            <w:tcW w:w="1701" w:type="dxa"/>
          </w:tcPr>
          <w:p w14:paraId="02698EED" w14:textId="77777777" w:rsidR="00E53B6B" w:rsidRPr="00D83B72" w:rsidRDefault="00E53B6B" w:rsidP="00CA0D72">
            <w:pPr>
              <w:spacing w:before="20" w:after="20"/>
              <w:ind w:right="-3"/>
              <w:rPr>
                <w:b/>
                <w:color w:val="000000"/>
                <w:sz w:val="20"/>
                <w:szCs w:val="20"/>
              </w:rPr>
            </w:pPr>
            <w:r w:rsidRPr="00D83B72">
              <w:rPr>
                <w:b/>
                <w:color w:val="000000"/>
                <w:sz w:val="20"/>
                <w:szCs w:val="20"/>
              </w:rPr>
              <w:t>All</w:t>
            </w:r>
          </w:p>
        </w:tc>
        <w:tc>
          <w:tcPr>
            <w:tcW w:w="1239" w:type="dxa"/>
          </w:tcPr>
          <w:p w14:paraId="269CC4CF" w14:textId="77777777" w:rsidR="00E53B6B" w:rsidRPr="00D83B72" w:rsidRDefault="00E53B6B" w:rsidP="00CA0D72">
            <w:pPr>
              <w:spacing w:before="20" w:after="20"/>
              <w:ind w:right="-3"/>
              <w:rPr>
                <w:b/>
                <w:color w:val="000000"/>
                <w:sz w:val="20"/>
                <w:szCs w:val="20"/>
              </w:rPr>
            </w:pPr>
            <w:r w:rsidRPr="00D83B72">
              <w:rPr>
                <w:b/>
                <w:color w:val="000000"/>
                <w:sz w:val="20"/>
                <w:szCs w:val="20"/>
              </w:rPr>
              <w:t xml:space="preserve">Community </w:t>
            </w:r>
          </w:p>
        </w:tc>
        <w:tc>
          <w:tcPr>
            <w:tcW w:w="1172" w:type="dxa"/>
          </w:tcPr>
          <w:p w14:paraId="67370135" w14:textId="77777777" w:rsidR="00E53B6B" w:rsidRPr="00D83B72" w:rsidRDefault="00E53B6B" w:rsidP="00CA0D72">
            <w:pPr>
              <w:spacing w:before="20" w:after="20"/>
              <w:ind w:right="-3"/>
              <w:rPr>
                <w:b/>
                <w:color w:val="000000"/>
                <w:sz w:val="20"/>
                <w:szCs w:val="20"/>
              </w:rPr>
            </w:pPr>
            <w:r w:rsidRPr="00D83B72">
              <w:rPr>
                <w:b/>
                <w:color w:val="000000"/>
                <w:sz w:val="20"/>
                <w:szCs w:val="20"/>
              </w:rPr>
              <w:t xml:space="preserve">Residential </w:t>
            </w:r>
          </w:p>
        </w:tc>
        <w:tc>
          <w:tcPr>
            <w:tcW w:w="761" w:type="dxa"/>
          </w:tcPr>
          <w:p w14:paraId="44362E16" w14:textId="77777777" w:rsidR="00E53B6B" w:rsidRPr="00D83B72" w:rsidRDefault="00E53B6B" w:rsidP="00CA0D72">
            <w:pPr>
              <w:spacing w:before="20" w:after="20"/>
              <w:ind w:right="-3"/>
              <w:rPr>
                <w:b/>
                <w:color w:val="000000"/>
                <w:sz w:val="20"/>
                <w:szCs w:val="20"/>
              </w:rPr>
            </w:pPr>
            <w:r w:rsidRPr="00D83B72">
              <w:rPr>
                <w:b/>
                <w:color w:val="000000"/>
                <w:sz w:val="20"/>
                <w:szCs w:val="20"/>
              </w:rPr>
              <w:t xml:space="preserve">n </w:t>
            </w:r>
          </w:p>
        </w:tc>
        <w:tc>
          <w:tcPr>
            <w:tcW w:w="1572" w:type="dxa"/>
          </w:tcPr>
          <w:p w14:paraId="6D92E80B" w14:textId="77777777" w:rsidR="00E53B6B" w:rsidRPr="00D83B72" w:rsidRDefault="00E53B6B" w:rsidP="00CA0D72">
            <w:pPr>
              <w:spacing w:before="20" w:after="20"/>
              <w:ind w:right="-3"/>
              <w:rPr>
                <w:b/>
                <w:color w:val="000000"/>
                <w:sz w:val="20"/>
                <w:szCs w:val="20"/>
              </w:rPr>
            </w:pPr>
            <w:r w:rsidRPr="00D83B72">
              <w:rPr>
                <w:b/>
                <w:color w:val="000000"/>
                <w:sz w:val="20"/>
                <w:szCs w:val="20"/>
              </w:rPr>
              <w:t xml:space="preserve">Data source </w:t>
            </w:r>
          </w:p>
        </w:tc>
      </w:tr>
      <w:tr w:rsidR="00E53B6B" w:rsidRPr="00D83B72" w14:paraId="7A771EC8" w14:textId="77777777" w:rsidTr="009F2D50">
        <w:tc>
          <w:tcPr>
            <w:tcW w:w="3402" w:type="dxa"/>
          </w:tcPr>
          <w:p w14:paraId="2E2FD45E" w14:textId="77777777" w:rsidR="00E53B6B" w:rsidRPr="00D83B72" w:rsidRDefault="00E53B6B" w:rsidP="00CA0D72">
            <w:pPr>
              <w:spacing w:before="20" w:after="20"/>
              <w:ind w:right="-3"/>
              <w:rPr>
                <w:color w:val="000000"/>
                <w:sz w:val="20"/>
                <w:szCs w:val="20"/>
              </w:rPr>
            </w:pPr>
            <w:r w:rsidRPr="00D83B72">
              <w:rPr>
                <w:color w:val="000000"/>
                <w:sz w:val="20"/>
                <w:szCs w:val="20"/>
              </w:rPr>
              <w:t>Age</w:t>
            </w:r>
            <w:r w:rsidRPr="00D83B72">
              <w:rPr>
                <w:iCs/>
                <w:color w:val="000000"/>
                <w:sz w:val="20"/>
                <w:szCs w:val="20"/>
              </w:rPr>
              <w:t xml:space="preserve"> mean (SD) </w:t>
            </w:r>
          </w:p>
        </w:tc>
        <w:tc>
          <w:tcPr>
            <w:tcW w:w="1701" w:type="dxa"/>
          </w:tcPr>
          <w:p w14:paraId="7BF2DFAE"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82.2 (8.0) </w:t>
            </w:r>
          </w:p>
        </w:tc>
        <w:tc>
          <w:tcPr>
            <w:tcW w:w="1239" w:type="dxa"/>
          </w:tcPr>
          <w:p w14:paraId="2F7C05A1"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81.0 (7.7) </w:t>
            </w:r>
          </w:p>
        </w:tc>
        <w:tc>
          <w:tcPr>
            <w:tcW w:w="1172" w:type="dxa"/>
          </w:tcPr>
          <w:p w14:paraId="43F0CF39"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83.2 (8.3) </w:t>
            </w:r>
          </w:p>
        </w:tc>
        <w:tc>
          <w:tcPr>
            <w:tcW w:w="761" w:type="dxa"/>
          </w:tcPr>
          <w:p w14:paraId="084AA077"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31FAB825"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ACCR/Medicare </w:t>
            </w:r>
          </w:p>
        </w:tc>
      </w:tr>
      <w:tr w:rsidR="00E53B6B" w:rsidRPr="00D83B72" w14:paraId="501BC384" w14:textId="77777777" w:rsidTr="009F2D50">
        <w:tc>
          <w:tcPr>
            <w:tcW w:w="3402" w:type="dxa"/>
          </w:tcPr>
          <w:p w14:paraId="46E4D977"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Gender </w:t>
            </w:r>
            <w:r w:rsidRPr="00D83B72">
              <w:rPr>
                <w:iCs/>
                <w:color w:val="000000"/>
                <w:sz w:val="20"/>
                <w:szCs w:val="20"/>
              </w:rPr>
              <w:t>% male</w:t>
            </w:r>
          </w:p>
        </w:tc>
        <w:tc>
          <w:tcPr>
            <w:tcW w:w="1701" w:type="dxa"/>
          </w:tcPr>
          <w:p w14:paraId="547778FB" w14:textId="77777777" w:rsidR="00E53B6B" w:rsidRPr="00D83B72" w:rsidRDefault="00E53B6B" w:rsidP="00CA0D72">
            <w:pPr>
              <w:spacing w:before="20" w:after="20"/>
              <w:ind w:right="-3"/>
              <w:rPr>
                <w:color w:val="000000"/>
                <w:sz w:val="20"/>
                <w:szCs w:val="20"/>
              </w:rPr>
            </w:pPr>
            <w:r w:rsidRPr="00D83B72">
              <w:rPr>
                <w:color w:val="000000"/>
                <w:sz w:val="20"/>
                <w:szCs w:val="20"/>
              </w:rPr>
              <w:t>36%</w:t>
            </w:r>
          </w:p>
        </w:tc>
        <w:tc>
          <w:tcPr>
            <w:tcW w:w="1239" w:type="dxa"/>
          </w:tcPr>
          <w:p w14:paraId="06690B5B" w14:textId="77777777" w:rsidR="00E53B6B" w:rsidRPr="00D83B72" w:rsidRDefault="00E53B6B" w:rsidP="00CA0D72">
            <w:pPr>
              <w:spacing w:before="20" w:after="20"/>
              <w:ind w:right="-3"/>
              <w:rPr>
                <w:color w:val="000000"/>
                <w:sz w:val="20"/>
                <w:szCs w:val="20"/>
              </w:rPr>
            </w:pPr>
            <w:r w:rsidRPr="00D83B72">
              <w:rPr>
                <w:color w:val="000000"/>
                <w:sz w:val="20"/>
                <w:szCs w:val="20"/>
              </w:rPr>
              <w:t>35%</w:t>
            </w:r>
          </w:p>
        </w:tc>
        <w:tc>
          <w:tcPr>
            <w:tcW w:w="1172" w:type="dxa"/>
          </w:tcPr>
          <w:p w14:paraId="06E55131" w14:textId="77777777" w:rsidR="00E53B6B" w:rsidRPr="00D83B72" w:rsidRDefault="00E53B6B" w:rsidP="00CA0D72">
            <w:pPr>
              <w:spacing w:before="20" w:after="20"/>
              <w:ind w:right="-3"/>
              <w:rPr>
                <w:color w:val="000000"/>
                <w:sz w:val="20"/>
                <w:szCs w:val="20"/>
              </w:rPr>
            </w:pPr>
            <w:r w:rsidRPr="00D83B72">
              <w:rPr>
                <w:color w:val="000000"/>
                <w:sz w:val="20"/>
                <w:szCs w:val="20"/>
              </w:rPr>
              <w:t>37%</w:t>
            </w:r>
          </w:p>
        </w:tc>
        <w:tc>
          <w:tcPr>
            <w:tcW w:w="761" w:type="dxa"/>
          </w:tcPr>
          <w:p w14:paraId="266881F2"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124DDCC9"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ACCR/Medicare </w:t>
            </w:r>
          </w:p>
        </w:tc>
      </w:tr>
      <w:tr w:rsidR="00E53B6B" w:rsidRPr="00D83B72" w14:paraId="379A40AC" w14:textId="77777777" w:rsidTr="009F2D50">
        <w:tc>
          <w:tcPr>
            <w:tcW w:w="3402" w:type="dxa"/>
          </w:tcPr>
          <w:p w14:paraId="54287725"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Number of ACAT assessments  </w:t>
            </w:r>
            <w:r w:rsidRPr="00D83B72">
              <w:rPr>
                <w:iCs/>
                <w:color w:val="000000"/>
                <w:sz w:val="20"/>
                <w:szCs w:val="20"/>
              </w:rPr>
              <w:t>mean (SD)</w:t>
            </w:r>
          </w:p>
        </w:tc>
        <w:tc>
          <w:tcPr>
            <w:tcW w:w="1701" w:type="dxa"/>
          </w:tcPr>
          <w:p w14:paraId="2F6F9844"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1.07 (0.26) </w:t>
            </w:r>
          </w:p>
        </w:tc>
        <w:tc>
          <w:tcPr>
            <w:tcW w:w="1239" w:type="dxa"/>
          </w:tcPr>
          <w:p w14:paraId="673129AA"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1.08 (0.28) </w:t>
            </w:r>
          </w:p>
        </w:tc>
        <w:tc>
          <w:tcPr>
            <w:tcW w:w="1172" w:type="dxa"/>
          </w:tcPr>
          <w:p w14:paraId="64184B1A"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1.06 (0.24) </w:t>
            </w:r>
          </w:p>
        </w:tc>
        <w:tc>
          <w:tcPr>
            <w:tcW w:w="761" w:type="dxa"/>
          </w:tcPr>
          <w:p w14:paraId="13061750"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6BB91CFF"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ACCR/Medicare </w:t>
            </w:r>
          </w:p>
        </w:tc>
      </w:tr>
      <w:tr w:rsidR="00E53B6B" w:rsidRPr="00D83B72" w14:paraId="330FAD77" w14:textId="77777777" w:rsidTr="009F2D50">
        <w:tc>
          <w:tcPr>
            <w:tcW w:w="3402" w:type="dxa"/>
          </w:tcPr>
          <w:p w14:paraId="33AFDED3"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MBI on admission </w:t>
            </w:r>
            <w:r w:rsidRPr="00D83B72">
              <w:rPr>
                <w:iCs/>
                <w:color w:val="000000"/>
                <w:sz w:val="20"/>
                <w:szCs w:val="20"/>
              </w:rPr>
              <w:t xml:space="preserve">mean (SD) </w:t>
            </w:r>
          </w:p>
        </w:tc>
        <w:tc>
          <w:tcPr>
            <w:tcW w:w="1701" w:type="dxa"/>
          </w:tcPr>
          <w:p w14:paraId="7D042468"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64.5 (24.2) </w:t>
            </w:r>
          </w:p>
        </w:tc>
        <w:tc>
          <w:tcPr>
            <w:tcW w:w="1239" w:type="dxa"/>
          </w:tcPr>
          <w:p w14:paraId="22F5AF3B"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75.2 (18.0) </w:t>
            </w:r>
          </w:p>
        </w:tc>
        <w:tc>
          <w:tcPr>
            <w:tcW w:w="1172" w:type="dxa"/>
          </w:tcPr>
          <w:p w14:paraId="4650313E"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51.6 (25.1) </w:t>
            </w:r>
          </w:p>
        </w:tc>
        <w:tc>
          <w:tcPr>
            <w:tcW w:w="761" w:type="dxa"/>
          </w:tcPr>
          <w:p w14:paraId="0D7DE3F4"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319EC59C"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TC program </w:t>
            </w:r>
          </w:p>
        </w:tc>
      </w:tr>
      <w:tr w:rsidR="00E53B6B" w:rsidRPr="00D83B72" w14:paraId="12FB6DFE" w14:textId="77777777" w:rsidTr="009F2D50">
        <w:tc>
          <w:tcPr>
            <w:tcW w:w="3402" w:type="dxa"/>
          </w:tcPr>
          <w:p w14:paraId="7B7E861E"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MBI on discharge </w:t>
            </w:r>
            <w:r w:rsidRPr="00D83B72">
              <w:rPr>
                <w:iCs/>
                <w:color w:val="000000"/>
                <w:sz w:val="20"/>
                <w:szCs w:val="20"/>
              </w:rPr>
              <w:t xml:space="preserve"> mean (SD) </w:t>
            </w:r>
          </w:p>
        </w:tc>
        <w:tc>
          <w:tcPr>
            <w:tcW w:w="1701" w:type="dxa"/>
          </w:tcPr>
          <w:p w14:paraId="3FEC2F93"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75.7 (25.3) </w:t>
            </w:r>
          </w:p>
        </w:tc>
        <w:tc>
          <w:tcPr>
            <w:tcW w:w="1239" w:type="dxa"/>
          </w:tcPr>
          <w:p w14:paraId="62E9EBD9"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86.0 (17.5) </w:t>
            </w:r>
          </w:p>
        </w:tc>
        <w:tc>
          <w:tcPr>
            <w:tcW w:w="1172" w:type="dxa"/>
          </w:tcPr>
          <w:p w14:paraId="4309CEAE"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62.3 (27.7) </w:t>
            </w:r>
          </w:p>
        </w:tc>
        <w:tc>
          <w:tcPr>
            <w:tcW w:w="761" w:type="dxa"/>
          </w:tcPr>
          <w:p w14:paraId="6A4AC3CC"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51465A1A"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TC program </w:t>
            </w:r>
          </w:p>
        </w:tc>
      </w:tr>
      <w:tr w:rsidR="00E53B6B" w:rsidRPr="00D83B72" w14:paraId="6F5446C6" w14:textId="77777777" w:rsidTr="009F2D50">
        <w:tc>
          <w:tcPr>
            <w:tcW w:w="3402" w:type="dxa"/>
          </w:tcPr>
          <w:p w14:paraId="52B754E2"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Length of stay in TC (median, IQR) </w:t>
            </w:r>
          </w:p>
        </w:tc>
        <w:tc>
          <w:tcPr>
            <w:tcW w:w="1701" w:type="dxa"/>
          </w:tcPr>
          <w:p w14:paraId="5E403100"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52 (28-75) </w:t>
            </w:r>
          </w:p>
        </w:tc>
        <w:tc>
          <w:tcPr>
            <w:tcW w:w="1239" w:type="dxa"/>
          </w:tcPr>
          <w:p w14:paraId="5FA4B11A"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58 (37-78) </w:t>
            </w:r>
          </w:p>
        </w:tc>
        <w:tc>
          <w:tcPr>
            <w:tcW w:w="1172" w:type="dxa"/>
          </w:tcPr>
          <w:p w14:paraId="4C2B260F"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38 (19-62) </w:t>
            </w:r>
          </w:p>
        </w:tc>
        <w:tc>
          <w:tcPr>
            <w:tcW w:w="761" w:type="dxa"/>
          </w:tcPr>
          <w:p w14:paraId="2E5FF1B4"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31C86194"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TC program </w:t>
            </w:r>
          </w:p>
        </w:tc>
      </w:tr>
      <w:tr w:rsidR="00E53B6B" w:rsidRPr="00D83B72" w14:paraId="66B293CB" w14:textId="77777777" w:rsidTr="009F2D50">
        <w:tc>
          <w:tcPr>
            <w:tcW w:w="3402" w:type="dxa"/>
          </w:tcPr>
          <w:p w14:paraId="0F2C1C3C"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Length of stay in TC ex. Deaths, d/c to hospital (median, IQR) </w:t>
            </w:r>
          </w:p>
        </w:tc>
        <w:tc>
          <w:tcPr>
            <w:tcW w:w="1701" w:type="dxa"/>
          </w:tcPr>
          <w:p w14:paraId="2A43D87B"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57 (35-78) </w:t>
            </w:r>
          </w:p>
        </w:tc>
        <w:tc>
          <w:tcPr>
            <w:tcW w:w="1239" w:type="dxa"/>
          </w:tcPr>
          <w:p w14:paraId="07D4A062"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65 (46-81) </w:t>
            </w:r>
          </w:p>
        </w:tc>
        <w:tc>
          <w:tcPr>
            <w:tcW w:w="1172" w:type="dxa"/>
          </w:tcPr>
          <w:p w14:paraId="03197DD6"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41 (22-66) </w:t>
            </w:r>
          </w:p>
        </w:tc>
        <w:tc>
          <w:tcPr>
            <w:tcW w:w="761" w:type="dxa"/>
          </w:tcPr>
          <w:p w14:paraId="03FD30FF" w14:textId="77777777" w:rsidR="00E53B6B" w:rsidRPr="00D83B72" w:rsidRDefault="00E53B6B" w:rsidP="00CA0D72">
            <w:pPr>
              <w:spacing w:before="20" w:after="20"/>
              <w:ind w:right="-3"/>
              <w:rPr>
                <w:color w:val="000000"/>
                <w:sz w:val="20"/>
                <w:szCs w:val="20"/>
              </w:rPr>
            </w:pPr>
            <w:r w:rsidRPr="00D83B72">
              <w:rPr>
                <w:color w:val="000000"/>
                <w:sz w:val="20"/>
                <w:szCs w:val="20"/>
              </w:rPr>
              <w:t>2,443</w:t>
            </w:r>
          </w:p>
        </w:tc>
        <w:tc>
          <w:tcPr>
            <w:tcW w:w="1572" w:type="dxa"/>
          </w:tcPr>
          <w:p w14:paraId="234D473C"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TC program </w:t>
            </w:r>
          </w:p>
        </w:tc>
      </w:tr>
      <w:tr w:rsidR="00E53B6B" w:rsidRPr="00D83B72" w14:paraId="18040B8A" w14:textId="77777777" w:rsidTr="009F2D50">
        <w:tc>
          <w:tcPr>
            <w:tcW w:w="3402" w:type="dxa"/>
          </w:tcPr>
          <w:p w14:paraId="6BDCC47C" w14:textId="77777777" w:rsidR="00E53B6B" w:rsidRPr="00D83B72" w:rsidRDefault="00E53B6B" w:rsidP="00CA0D72">
            <w:pPr>
              <w:spacing w:before="20" w:after="20"/>
              <w:ind w:right="-3"/>
              <w:rPr>
                <w:color w:val="000000"/>
                <w:sz w:val="20"/>
                <w:szCs w:val="20"/>
              </w:rPr>
            </w:pPr>
            <w:r w:rsidRPr="00D83B72">
              <w:rPr>
                <w:color w:val="000000"/>
                <w:sz w:val="20"/>
                <w:szCs w:val="20"/>
              </w:rPr>
              <w:t>Indigenous status</w:t>
            </w:r>
            <w:r w:rsidRPr="00D83B72">
              <w:rPr>
                <w:iCs/>
                <w:color w:val="000000"/>
                <w:sz w:val="20"/>
                <w:szCs w:val="20"/>
              </w:rPr>
              <w:t xml:space="preserve"> %</w:t>
            </w:r>
          </w:p>
        </w:tc>
        <w:tc>
          <w:tcPr>
            <w:tcW w:w="1701" w:type="dxa"/>
          </w:tcPr>
          <w:p w14:paraId="0F6ABEEA" w14:textId="77777777" w:rsidR="00E53B6B" w:rsidRPr="00D83B72" w:rsidRDefault="00E53B6B" w:rsidP="00CA0D72">
            <w:pPr>
              <w:spacing w:before="20" w:after="20"/>
              <w:ind w:right="-3"/>
              <w:rPr>
                <w:color w:val="000000"/>
                <w:sz w:val="20"/>
                <w:szCs w:val="20"/>
              </w:rPr>
            </w:pPr>
            <w:r w:rsidRPr="00D83B72">
              <w:rPr>
                <w:color w:val="000000"/>
                <w:sz w:val="20"/>
                <w:szCs w:val="20"/>
              </w:rPr>
              <w:t>0.20%</w:t>
            </w:r>
          </w:p>
        </w:tc>
        <w:tc>
          <w:tcPr>
            <w:tcW w:w="1239" w:type="dxa"/>
          </w:tcPr>
          <w:p w14:paraId="0D2ABFD9" w14:textId="77777777" w:rsidR="00E53B6B" w:rsidRPr="00D83B72" w:rsidRDefault="00E53B6B" w:rsidP="00CA0D72">
            <w:pPr>
              <w:spacing w:before="20" w:after="20"/>
              <w:ind w:right="-3"/>
              <w:rPr>
                <w:color w:val="000000"/>
                <w:sz w:val="20"/>
                <w:szCs w:val="20"/>
              </w:rPr>
            </w:pPr>
            <w:r w:rsidRPr="00D83B72">
              <w:rPr>
                <w:color w:val="000000"/>
                <w:sz w:val="20"/>
                <w:szCs w:val="20"/>
              </w:rPr>
              <w:t>0.30%</w:t>
            </w:r>
          </w:p>
        </w:tc>
        <w:tc>
          <w:tcPr>
            <w:tcW w:w="1172" w:type="dxa"/>
          </w:tcPr>
          <w:p w14:paraId="3C0E9B15" w14:textId="77777777" w:rsidR="00E53B6B" w:rsidRPr="00D83B72" w:rsidRDefault="00E53B6B" w:rsidP="00CA0D72">
            <w:pPr>
              <w:spacing w:before="20" w:after="20"/>
              <w:ind w:right="-3"/>
              <w:rPr>
                <w:color w:val="000000"/>
                <w:sz w:val="20"/>
                <w:szCs w:val="20"/>
              </w:rPr>
            </w:pPr>
            <w:r w:rsidRPr="00D83B72">
              <w:rPr>
                <w:color w:val="000000"/>
                <w:sz w:val="20"/>
                <w:szCs w:val="20"/>
              </w:rPr>
              <w:t>0</w:t>
            </w:r>
          </w:p>
        </w:tc>
        <w:tc>
          <w:tcPr>
            <w:tcW w:w="761" w:type="dxa"/>
          </w:tcPr>
          <w:p w14:paraId="176057C3" w14:textId="77777777" w:rsidR="00E53B6B" w:rsidRPr="00D83B72" w:rsidRDefault="00E53B6B" w:rsidP="00CA0D72">
            <w:pPr>
              <w:spacing w:before="20" w:after="20"/>
              <w:ind w:right="-3"/>
              <w:rPr>
                <w:color w:val="000000"/>
                <w:sz w:val="20"/>
                <w:szCs w:val="20"/>
              </w:rPr>
            </w:pPr>
            <w:r w:rsidRPr="00D83B72">
              <w:rPr>
                <w:color w:val="000000"/>
                <w:sz w:val="20"/>
                <w:szCs w:val="20"/>
              </w:rPr>
              <w:t>2,158</w:t>
            </w:r>
          </w:p>
        </w:tc>
        <w:tc>
          <w:tcPr>
            <w:tcW w:w="1572" w:type="dxa"/>
          </w:tcPr>
          <w:p w14:paraId="6613933A"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 </w:t>
            </w:r>
          </w:p>
        </w:tc>
      </w:tr>
      <w:tr w:rsidR="00E53B6B" w:rsidRPr="00D83B72" w14:paraId="204817CB" w14:textId="77777777" w:rsidTr="009F2D50">
        <w:tc>
          <w:tcPr>
            <w:tcW w:w="3402" w:type="dxa"/>
          </w:tcPr>
          <w:p w14:paraId="6E3B5D16"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Usual client accommodation setting </w:t>
            </w:r>
            <w:r w:rsidRPr="00D83B72">
              <w:rPr>
                <w:iCs/>
                <w:color w:val="000000"/>
                <w:sz w:val="20"/>
                <w:szCs w:val="20"/>
              </w:rPr>
              <w:t xml:space="preserve">% </w:t>
            </w:r>
          </w:p>
        </w:tc>
        <w:tc>
          <w:tcPr>
            <w:tcW w:w="1701" w:type="dxa"/>
          </w:tcPr>
          <w:p w14:paraId="766EF86B" w14:textId="77777777" w:rsidR="00E53B6B" w:rsidRPr="00D83B72" w:rsidRDefault="00E53B6B" w:rsidP="00CA0D72">
            <w:pPr>
              <w:spacing w:before="20" w:after="20"/>
              <w:ind w:right="-3"/>
              <w:rPr>
                <w:sz w:val="20"/>
                <w:szCs w:val="20"/>
              </w:rPr>
            </w:pPr>
          </w:p>
        </w:tc>
        <w:tc>
          <w:tcPr>
            <w:tcW w:w="1239" w:type="dxa"/>
          </w:tcPr>
          <w:p w14:paraId="1A3D2293" w14:textId="77777777" w:rsidR="00E53B6B" w:rsidRPr="00D83B72" w:rsidRDefault="00E53B6B" w:rsidP="00CA0D72">
            <w:pPr>
              <w:spacing w:before="20" w:after="20"/>
              <w:ind w:right="-3"/>
              <w:rPr>
                <w:sz w:val="20"/>
                <w:szCs w:val="20"/>
              </w:rPr>
            </w:pPr>
          </w:p>
        </w:tc>
        <w:tc>
          <w:tcPr>
            <w:tcW w:w="1172" w:type="dxa"/>
          </w:tcPr>
          <w:p w14:paraId="36642510" w14:textId="77777777" w:rsidR="00E53B6B" w:rsidRPr="00D83B72" w:rsidRDefault="00E53B6B" w:rsidP="00CA0D72">
            <w:pPr>
              <w:spacing w:before="20" w:after="20"/>
              <w:ind w:right="-3"/>
              <w:rPr>
                <w:sz w:val="20"/>
                <w:szCs w:val="20"/>
              </w:rPr>
            </w:pPr>
          </w:p>
        </w:tc>
        <w:tc>
          <w:tcPr>
            <w:tcW w:w="761" w:type="dxa"/>
          </w:tcPr>
          <w:p w14:paraId="3AEEB17A" w14:textId="77777777" w:rsidR="00E53B6B" w:rsidRPr="00D83B72" w:rsidRDefault="00E53B6B" w:rsidP="00CA0D72">
            <w:pPr>
              <w:spacing w:before="20" w:after="20"/>
              <w:ind w:right="-3"/>
              <w:rPr>
                <w:color w:val="000000"/>
                <w:sz w:val="20"/>
                <w:szCs w:val="20"/>
              </w:rPr>
            </w:pPr>
            <w:r w:rsidRPr="00D83B72">
              <w:rPr>
                <w:color w:val="000000"/>
                <w:sz w:val="20"/>
                <w:szCs w:val="20"/>
              </w:rPr>
              <w:t>2,158</w:t>
            </w:r>
          </w:p>
        </w:tc>
        <w:tc>
          <w:tcPr>
            <w:tcW w:w="1572" w:type="dxa"/>
          </w:tcPr>
          <w:p w14:paraId="721B66EA"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 </w:t>
            </w:r>
          </w:p>
        </w:tc>
      </w:tr>
      <w:tr w:rsidR="00E53B6B" w:rsidRPr="00D83B72" w14:paraId="7B6C92F2" w14:textId="77777777" w:rsidTr="009F2D50">
        <w:tc>
          <w:tcPr>
            <w:tcW w:w="3402" w:type="dxa"/>
          </w:tcPr>
          <w:p w14:paraId="08C59919"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Private residence owned or rental </w:t>
            </w:r>
          </w:p>
        </w:tc>
        <w:tc>
          <w:tcPr>
            <w:tcW w:w="1701" w:type="dxa"/>
          </w:tcPr>
          <w:p w14:paraId="1F8EF919" w14:textId="77777777" w:rsidR="00E53B6B" w:rsidRPr="00D83B72" w:rsidRDefault="00E53B6B" w:rsidP="00CA0D72">
            <w:pPr>
              <w:spacing w:before="20" w:after="20"/>
              <w:ind w:right="-3"/>
              <w:rPr>
                <w:color w:val="000000"/>
                <w:sz w:val="20"/>
                <w:szCs w:val="20"/>
              </w:rPr>
            </w:pPr>
            <w:r w:rsidRPr="00D83B72">
              <w:rPr>
                <w:color w:val="000000"/>
                <w:sz w:val="20"/>
                <w:szCs w:val="20"/>
              </w:rPr>
              <w:t>79%</w:t>
            </w:r>
          </w:p>
        </w:tc>
        <w:tc>
          <w:tcPr>
            <w:tcW w:w="1239" w:type="dxa"/>
          </w:tcPr>
          <w:p w14:paraId="4AF70395" w14:textId="77777777" w:rsidR="00E53B6B" w:rsidRPr="00D83B72" w:rsidRDefault="00E53B6B" w:rsidP="00CA0D72">
            <w:pPr>
              <w:spacing w:before="20" w:after="20"/>
              <w:ind w:right="-3"/>
              <w:rPr>
                <w:color w:val="000000"/>
                <w:sz w:val="20"/>
                <w:szCs w:val="20"/>
              </w:rPr>
            </w:pPr>
            <w:r w:rsidRPr="00D83B72">
              <w:rPr>
                <w:color w:val="000000"/>
                <w:sz w:val="20"/>
                <w:szCs w:val="20"/>
              </w:rPr>
              <w:t>86%</w:t>
            </w:r>
          </w:p>
        </w:tc>
        <w:tc>
          <w:tcPr>
            <w:tcW w:w="1172" w:type="dxa"/>
          </w:tcPr>
          <w:p w14:paraId="01513A42" w14:textId="77777777" w:rsidR="00E53B6B" w:rsidRPr="00D83B72" w:rsidRDefault="00E53B6B" w:rsidP="00CA0D72">
            <w:pPr>
              <w:spacing w:before="20" w:after="20"/>
              <w:ind w:right="-3"/>
              <w:rPr>
                <w:color w:val="000000"/>
                <w:sz w:val="20"/>
                <w:szCs w:val="20"/>
              </w:rPr>
            </w:pPr>
            <w:r w:rsidRPr="00D83B72">
              <w:rPr>
                <w:color w:val="000000"/>
                <w:sz w:val="20"/>
                <w:szCs w:val="20"/>
              </w:rPr>
              <w:t>73%</w:t>
            </w:r>
          </w:p>
        </w:tc>
        <w:tc>
          <w:tcPr>
            <w:tcW w:w="761" w:type="dxa"/>
          </w:tcPr>
          <w:p w14:paraId="2434A243" w14:textId="77777777" w:rsidR="00E53B6B" w:rsidRPr="00D83B72" w:rsidRDefault="00E53B6B" w:rsidP="00CA0D72">
            <w:pPr>
              <w:spacing w:before="20" w:after="20"/>
              <w:ind w:right="-3"/>
              <w:rPr>
                <w:sz w:val="20"/>
                <w:szCs w:val="20"/>
              </w:rPr>
            </w:pPr>
          </w:p>
        </w:tc>
        <w:tc>
          <w:tcPr>
            <w:tcW w:w="1572" w:type="dxa"/>
          </w:tcPr>
          <w:p w14:paraId="1241A53B" w14:textId="77777777" w:rsidR="00E53B6B" w:rsidRPr="00D83B72" w:rsidRDefault="00E53B6B" w:rsidP="00CA0D72">
            <w:pPr>
              <w:spacing w:before="20" w:after="20"/>
              <w:ind w:right="-3"/>
              <w:rPr>
                <w:sz w:val="20"/>
                <w:szCs w:val="20"/>
              </w:rPr>
            </w:pPr>
          </w:p>
        </w:tc>
      </w:tr>
      <w:tr w:rsidR="00E53B6B" w:rsidRPr="00D83B72" w14:paraId="471AA14A" w14:textId="77777777" w:rsidTr="009F2D50">
        <w:tc>
          <w:tcPr>
            <w:tcW w:w="3402" w:type="dxa"/>
          </w:tcPr>
          <w:p w14:paraId="0F4E538D"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Independent living in retirement village </w:t>
            </w:r>
          </w:p>
        </w:tc>
        <w:tc>
          <w:tcPr>
            <w:tcW w:w="1701" w:type="dxa"/>
          </w:tcPr>
          <w:p w14:paraId="4AE80D3B" w14:textId="77777777" w:rsidR="00E53B6B" w:rsidRPr="00D83B72" w:rsidRDefault="00E53B6B" w:rsidP="00CA0D72">
            <w:pPr>
              <w:spacing w:before="20" w:after="20"/>
              <w:ind w:right="-3"/>
              <w:rPr>
                <w:color w:val="000000"/>
                <w:sz w:val="20"/>
                <w:szCs w:val="20"/>
              </w:rPr>
            </w:pPr>
            <w:r w:rsidRPr="00D83B72">
              <w:rPr>
                <w:color w:val="000000"/>
                <w:sz w:val="20"/>
                <w:szCs w:val="20"/>
              </w:rPr>
              <w:t>6%</w:t>
            </w:r>
          </w:p>
        </w:tc>
        <w:tc>
          <w:tcPr>
            <w:tcW w:w="1239" w:type="dxa"/>
          </w:tcPr>
          <w:p w14:paraId="43507570" w14:textId="77777777" w:rsidR="00E53B6B" w:rsidRPr="00D83B72" w:rsidRDefault="00E53B6B" w:rsidP="00CA0D72">
            <w:pPr>
              <w:spacing w:before="20" w:after="20"/>
              <w:ind w:right="-3"/>
              <w:rPr>
                <w:color w:val="000000"/>
                <w:sz w:val="20"/>
                <w:szCs w:val="20"/>
              </w:rPr>
            </w:pPr>
            <w:r w:rsidRPr="00D83B72">
              <w:rPr>
                <w:color w:val="000000"/>
                <w:sz w:val="20"/>
                <w:szCs w:val="20"/>
              </w:rPr>
              <w:t>6%</w:t>
            </w:r>
          </w:p>
        </w:tc>
        <w:tc>
          <w:tcPr>
            <w:tcW w:w="1172" w:type="dxa"/>
          </w:tcPr>
          <w:p w14:paraId="00B61DD6" w14:textId="77777777" w:rsidR="00E53B6B" w:rsidRPr="00D83B72" w:rsidRDefault="00E53B6B" w:rsidP="00CA0D72">
            <w:pPr>
              <w:spacing w:before="20" w:after="20"/>
              <w:ind w:right="-3"/>
              <w:rPr>
                <w:color w:val="000000"/>
                <w:sz w:val="20"/>
                <w:szCs w:val="20"/>
              </w:rPr>
            </w:pPr>
            <w:r w:rsidRPr="00D83B72">
              <w:rPr>
                <w:color w:val="000000"/>
                <w:sz w:val="20"/>
                <w:szCs w:val="20"/>
              </w:rPr>
              <w:t>5%</w:t>
            </w:r>
          </w:p>
        </w:tc>
        <w:tc>
          <w:tcPr>
            <w:tcW w:w="761" w:type="dxa"/>
          </w:tcPr>
          <w:p w14:paraId="65A34D8B" w14:textId="77777777" w:rsidR="00E53B6B" w:rsidRPr="00D83B72" w:rsidRDefault="00E53B6B" w:rsidP="00CA0D72">
            <w:pPr>
              <w:spacing w:before="20" w:after="20"/>
              <w:ind w:right="-3"/>
              <w:rPr>
                <w:sz w:val="20"/>
                <w:szCs w:val="20"/>
              </w:rPr>
            </w:pPr>
          </w:p>
        </w:tc>
        <w:tc>
          <w:tcPr>
            <w:tcW w:w="1572" w:type="dxa"/>
          </w:tcPr>
          <w:p w14:paraId="44E2AD2E" w14:textId="77777777" w:rsidR="00E53B6B" w:rsidRPr="00D83B72" w:rsidRDefault="00E53B6B" w:rsidP="00CA0D72">
            <w:pPr>
              <w:spacing w:before="20" w:after="20"/>
              <w:ind w:right="-3"/>
              <w:rPr>
                <w:sz w:val="20"/>
                <w:szCs w:val="20"/>
              </w:rPr>
            </w:pPr>
          </w:p>
        </w:tc>
      </w:tr>
      <w:tr w:rsidR="00E53B6B" w:rsidRPr="00D83B72" w14:paraId="5D58EEF9" w14:textId="77777777" w:rsidTr="009F2D50">
        <w:tc>
          <w:tcPr>
            <w:tcW w:w="3402" w:type="dxa"/>
          </w:tcPr>
          <w:p w14:paraId="63AA7D15"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Supported community </w:t>
            </w:r>
          </w:p>
        </w:tc>
        <w:tc>
          <w:tcPr>
            <w:tcW w:w="1701" w:type="dxa"/>
          </w:tcPr>
          <w:p w14:paraId="1E8D695F" w14:textId="77777777" w:rsidR="00E53B6B" w:rsidRPr="00D83B72" w:rsidRDefault="00E53B6B" w:rsidP="00CA0D72">
            <w:pPr>
              <w:spacing w:before="20" w:after="20"/>
              <w:ind w:right="-3"/>
              <w:rPr>
                <w:color w:val="000000"/>
                <w:sz w:val="20"/>
                <w:szCs w:val="20"/>
              </w:rPr>
            </w:pPr>
            <w:r w:rsidRPr="00D83B72">
              <w:rPr>
                <w:color w:val="000000"/>
                <w:sz w:val="20"/>
                <w:szCs w:val="20"/>
              </w:rPr>
              <w:t>2%</w:t>
            </w:r>
          </w:p>
        </w:tc>
        <w:tc>
          <w:tcPr>
            <w:tcW w:w="1239" w:type="dxa"/>
          </w:tcPr>
          <w:p w14:paraId="321013B7" w14:textId="77777777" w:rsidR="00E53B6B" w:rsidRPr="00D83B72" w:rsidRDefault="00E53B6B" w:rsidP="00CA0D72">
            <w:pPr>
              <w:spacing w:before="20" w:after="20"/>
              <w:ind w:right="-3"/>
              <w:rPr>
                <w:color w:val="000000"/>
                <w:sz w:val="20"/>
                <w:szCs w:val="20"/>
              </w:rPr>
            </w:pPr>
            <w:r w:rsidRPr="00D83B72">
              <w:rPr>
                <w:color w:val="000000"/>
                <w:sz w:val="20"/>
                <w:szCs w:val="20"/>
              </w:rPr>
              <w:t>0.20%</w:t>
            </w:r>
          </w:p>
        </w:tc>
        <w:tc>
          <w:tcPr>
            <w:tcW w:w="1172" w:type="dxa"/>
          </w:tcPr>
          <w:p w14:paraId="2DD121C8" w14:textId="77777777" w:rsidR="00E53B6B" w:rsidRPr="00D83B72" w:rsidRDefault="00E53B6B" w:rsidP="00CA0D72">
            <w:pPr>
              <w:spacing w:before="20" w:after="20"/>
              <w:ind w:right="-3"/>
              <w:rPr>
                <w:color w:val="000000"/>
                <w:sz w:val="20"/>
                <w:szCs w:val="20"/>
              </w:rPr>
            </w:pPr>
            <w:r w:rsidRPr="00D83B72">
              <w:rPr>
                <w:color w:val="000000"/>
                <w:sz w:val="20"/>
                <w:szCs w:val="20"/>
              </w:rPr>
              <w:t>5%</w:t>
            </w:r>
          </w:p>
        </w:tc>
        <w:tc>
          <w:tcPr>
            <w:tcW w:w="761" w:type="dxa"/>
          </w:tcPr>
          <w:p w14:paraId="4B09C860" w14:textId="77777777" w:rsidR="00E53B6B" w:rsidRPr="00D83B72" w:rsidRDefault="00E53B6B" w:rsidP="00CA0D72">
            <w:pPr>
              <w:spacing w:before="20" w:after="20"/>
              <w:ind w:right="-3"/>
              <w:rPr>
                <w:sz w:val="20"/>
                <w:szCs w:val="20"/>
              </w:rPr>
            </w:pPr>
          </w:p>
        </w:tc>
        <w:tc>
          <w:tcPr>
            <w:tcW w:w="1572" w:type="dxa"/>
          </w:tcPr>
          <w:p w14:paraId="5158F918" w14:textId="77777777" w:rsidR="00E53B6B" w:rsidRPr="00D83B72" w:rsidRDefault="00E53B6B" w:rsidP="00CA0D72">
            <w:pPr>
              <w:spacing w:before="20" w:after="20"/>
              <w:ind w:right="-3"/>
              <w:rPr>
                <w:sz w:val="20"/>
                <w:szCs w:val="20"/>
              </w:rPr>
            </w:pPr>
          </w:p>
        </w:tc>
      </w:tr>
      <w:tr w:rsidR="00E53B6B" w:rsidRPr="00D83B72" w14:paraId="18D2E69F" w14:textId="77777777" w:rsidTr="009F2D50">
        <w:tc>
          <w:tcPr>
            <w:tcW w:w="3402" w:type="dxa"/>
          </w:tcPr>
          <w:p w14:paraId="37D4BDD2"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Residential aged care – Low Level Care </w:t>
            </w:r>
          </w:p>
        </w:tc>
        <w:tc>
          <w:tcPr>
            <w:tcW w:w="1701" w:type="dxa"/>
          </w:tcPr>
          <w:p w14:paraId="7782E253" w14:textId="77777777" w:rsidR="00E53B6B" w:rsidRPr="00D83B72" w:rsidRDefault="00E53B6B" w:rsidP="00CA0D72">
            <w:pPr>
              <w:spacing w:before="20" w:after="20"/>
              <w:ind w:right="-3"/>
              <w:rPr>
                <w:color w:val="000000"/>
                <w:sz w:val="20"/>
                <w:szCs w:val="20"/>
              </w:rPr>
            </w:pPr>
            <w:r w:rsidRPr="00D83B72">
              <w:rPr>
                <w:color w:val="000000"/>
                <w:sz w:val="20"/>
                <w:szCs w:val="20"/>
              </w:rPr>
              <w:t>4%</w:t>
            </w:r>
          </w:p>
        </w:tc>
        <w:tc>
          <w:tcPr>
            <w:tcW w:w="1239" w:type="dxa"/>
          </w:tcPr>
          <w:p w14:paraId="73317D77" w14:textId="77777777" w:rsidR="00E53B6B" w:rsidRPr="00D83B72" w:rsidRDefault="00E53B6B" w:rsidP="00CA0D72">
            <w:pPr>
              <w:spacing w:before="20" w:after="20"/>
              <w:ind w:right="-3"/>
              <w:rPr>
                <w:color w:val="000000"/>
                <w:sz w:val="20"/>
                <w:szCs w:val="20"/>
              </w:rPr>
            </w:pPr>
            <w:r w:rsidRPr="00D83B72">
              <w:rPr>
                <w:color w:val="000000"/>
                <w:sz w:val="20"/>
                <w:szCs w:val="20"/>
              </w:rPr>
              <w:t>0.30%</w:t>
            </w:r>
          </w:p>
        </w:tc>
        <w:tc>
          <w:tcPr>
            <w:tcW w:w="1172" w:type="dxa"/>
          </w:tcPr>
          <w:p w14:paraId="4CA72D0D" w14:textId="77777777" w:rsidR="00E53B6B" w:rsidRPr="00D83B72" w:rsidRDefault="00E53B6B" w:rsidP="00CA0D72">
            <w:pPr>
              <w:spacing w:before="20" w:after="20"/>
              <w:ind w:right="-3"/>
              <w:rPr>
                <w:color w:val="000000"/>
                <w:sz w:val="20"/>
                <w:szCs w:val="20"/>
              </w:rPr>
            </w:pPr>
            <w:r w:rsidRPr="00D83B72">
              <w:rPr>
                <w:color w:val="000000"/>
                <w:sz w:val="20"/>
                <w:szCs w:val="20"/>
              </w:rPr>
              <w:t>8.40%</w:t>
            </w:r>
          </w:p>
        </w:tc>
        <w:tc>
          <w:tcPr>
            <w:tcW w:w="761" w:type="dxa"/>
          </w:tcPr>
          <w:p w14:paraId="44781813" w14:textId="77777777" w:rsidR="00E53B6B" w:rsidRPr="00D83B72" w:rsidRDefault="00E53B6B" w:rsidP="00CA0D72">
            <w:pPr>
              <w:spacing w:before="20" w:after="20"/>
              <w:ind w:right="-3"/>
              <w:rPr>
                <w:sz w:val="20"/>
                <w:szCs w:val="20"/>
              </w:rPr>
            </w:pPr>
          </w:p>
        </w:tc>
        <w:tc>
          <w:tcPr>
            <w:tcW w:w="1572" w:type="dxa"/>
          </w:tcPr>
          <w:p w14:paraId="4E406E43" w14:textId="77777777" w:rsidR="00E53B6B" w:rsidRPr="00D83B72" w:rsidRDefault="00E53B6B" w:rsidP="00CA0D72">
            <w:pPr>
              <w:spacing w:before="20" w:after="20"/>
              <w:ind w:right="-3"/>
              <w:rPr>
                <w:sz w:val="20"/>
                <w:szCs w:val="20"/>
              </w:rPr>
            </w:pPr>
          </w:p>
        </w:tc>
      </w:tr>
      <w:tr w:rsidR="00E53B6B" w:rsidRPr="00D83B72" w14:paraId="1C5B3DC9" w14:textId="77777777" w:rsidTr="009F2D50">
        <w:tc>
          <w:tcPr>
            <w:tcW w:w="3402" w:type="dxa"/>
          </w:tcPr>
          <w:p w14:paraId="6DE612EA" w14:textId="77777777" w:rsidR="00E53B6B" w:rsidRPr="00D83B72" w:rsidRDefault="00E53B6B" w:rsidP="00CA0D72">
            <w:pPr>
              <w:spacing w:before="20" w:after="20"/>
              <w:ind w:right="-3"/>
              <w:rPr>
                <w:color w:val="000000"/>
                <w:sz w:val="20"/>
                <w:szCs w:val="20"/>
              </w:rPr>
            </w:pPr>
            <w:r w:rsidRPr="00D83B72">
              <w:rPr>
                <w:iCs/>
                <w:color w:val="000000"/>
                <w:sz w:val="20"/>
                <w:szCs w:val="20"/>
              </w:rPr>
              <w:t xml:space="preserve">  Residential aged care – High Level Care </w:t>
            </w:r>
            <w:r w:rsidRPr="00D83B72">
              <w:rPr>
                <w:color w:val="000000"/>
                <w:sz w:val="20"/>
                <w:szCs w:val="20"/>
              </w:rPr>
              <w:t>0</w:t>
            </w:r>
          </w:p>
        </w:tc>
        <w:tc>
          <w:tcPr>
            <w:tcW w:w="1701" w:type="dxa"/>
          </w:tcPr>
          <w:p w14:paraId="2E707AD8" w14:textId="77777777" w:rsidR="00E53B6B" w:rsidRPr="00D83B72" w:rsidRDefault="00E53B6B" w:rsidP="00CA0D72">
            <w:pPr>
              <w:spacing w:before="20" w:after="20"/>
              <w:ind w:right="-3"/>
              <w:rPr>
                <w:color w:val="000000"/>
                <w:sz w:val="20"/>
                <w:szCs w:val="20"/>
              </w:rPr>
            </w:pPr>
            <w:r w:rsidRPr="00D83B72">
              <w:rPr>
                <w:color w:val="000000"/>
                <w:sz w:val="20"/>
                <w:szCs w:val="20"/>
              </w:rPr>
              <w:t>0</w:t>
            </w:r>
          </w:p>
        </w:tc>
        <w:tc>
          <w:tcPr>
            <w:tcW w:w="1239" w:type="dxa"/>
          </w:tcPr>
          <w:p w14:paraId="2C25703C" w14:textId="77777777" w:rsidR="00E53B6B" w:rsidRPr="00D83B72" w:rsidRDefault="00E53B6B" w:rsidP="00CA0D72">
            <w:pPr>
              <w:spacing w:before="20" w:after="20"/>
              <w:ind w:right="-3"/>
              <w:rPr>
                <w:color w:val="000000"/>
                <w:sz w:val="20"/>
                <w:szCs w:val="20"/>
              </w:rPr>
            </w:pPr>
            <w:r w:rsidRPr="00D83B72">
              <w:rPr>
                <w:color w:val="000000"/>
                <w:sz w:val="20"/>
                <w:szCs w:val="20"/>
              </w:rPr>
              <w:t>0</w:t>
            </w:r>
          </w:p>
        </w:tc>
        <w:tc>
          <w:tcPr>
            <w:tcW w:w="1172" w:type="dxa"/>
          </w:tcPr>
          <w:p w14:paraId="334F7761" w14:textId="77777777" w:rsidR="00E53B6B" w:rsidRPr="00D83B72" w:rsidRDefault="00E53B6B" w:rsidP="00CA0D72">
            <w:pPr>
              <w:spacing w:before="20" w:after="20"/>
              <w:ind w:right="-3"/>
              <w:rPr>
                <w:sz w:val="20"/>
                <w:szCs w:val="20"/>
              </w:rPr>
            </w:pPr>
          </w:p>
        </w:tc>
        <w:tc>
          <w:tcPr>
            <w:tcW w:w="761" w:type="dxa"/>
          </w:tcPr>
          <w:p w14:paraId="0AA385F4" w14:textId="77777777" w:rsidR="00E53B6B" w:rsidRPr="00D83B72" w:rsidRDefault="00E53B6B" w:rsidP="00CA0D72">
            <w:pPr>
              <w:spacing w:before="20" w:after="20"/>
              <w:ind w:right="-3"/>
              <w:rPr>
                <w:sz w:val="20"/>
                <w:szCs w:val="20"/>
              </w:rPr>
            </w:pPr>
          </w:p>
        </w:tc>
        <w:tc>
          <w:tcPr>
            <w:tcW w:w="1572" w:type="dxa"/>
          </w:tcPr>
          <w:p w14:paraId="3E56A095" w14:textId="77777777" w:rsidR="00E53B6B" w:rsidRPr="00D83B72" w:rsidRDefault="00E53B6B" w:rsidP="00CA0D72">
            <w:pPr>
              <w:spacing w:before="20" w:after="20"/>
              <w:ind w:right="-3"/>
              <w:rPr>
                <w:sz w:val="20"/>
                <w:szCs w:val="20"/>
              </w:rPr>
            </w:pPr>
          </w:p>
        </w:tc>
      </w:tr>
      <w:tr w:rsidR="00E53B6B" w:rsidRPr="00D83B72" w14:paraId="43305B02" w14:textId="77777777" w:rsidTr="009F2D50">
        <w:tc>
          <w:tcPr>
            <w:tcW w:w="3402" w:type="dxa"/>
          </w:tcPr>
          <w:p w14:paraId="735E10B2"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Other </w:t>
            </w:r>
          </w:p>
        </w:tc>
        <w:tc>
          <w:tcPr>
            <w:tcW w:w="1701" w:type="dxa"/>
          </w:tcPr>
          <w:p w14:paraId="7AB38435" w14:textId="77777777" w:rsidR="00E53B6B" w:rsidRPr="00D83B72" w:rsidRDefault="00E53B6B" w:rsidP="00CA0D72">
            <w:pPr>
              <w:spacing w:before="20" w:after="20"/>
              <w:ind w:right="-3"/>
              <w:rPr>
                <w:color w:val="000000"/>
                <w:sz w:val="20"/>
                <w:szCs w:val="20"/>
              </w:rPr>
            </w:pPr>
            <w:r w:rsidRPr="00D83B72">
              <w:rPr>
                <w:color w:val="000000"/>
                <w:sz w:val="20"/>
                <w:szCs w:val="20"/>
              </w:rPr>
              <w:t>8%</w:t>
            </w:r>
          </w:p>
        </w:tc>
        <w:tc>
          <w:tcPr>
            <w:tcW w:w="1239" w:type="dxa"/>
          </w:tcPr>
          <w:p w14:paraId="53E3D5B8" w14:textId="77777777" w:rsidR="00E53B6B" w:rsidRPr="00D83B72" w:rsidRDefault="00E53B6B" w:rsidP="00CA0D72">
            <w:pPr>
              <w:spacing w:before="20" w:after="20"/>
              <w:ind w:right="-3"/>
              <w:rPr>
                <w:color w:val="000000"/>
                <w:sz w:val="20"/>
                <w:szCs w:val="20"/>
              </w:rPr>
            </w:pPr>
            <w:r w:rsidRPr="00D83B72">
              <w:rPr>
                <w:color w:val="000000"/>
                <w:sz w:val="20"/>
                <w:szCs w:val="20"/>
              </w:rPr>
              <w:t>7%</w:t>
            </w:r>
          </w:p>
        </w:tc>
        <w:tc>
          <w:tcPr>
            <w:tcW w:w="1172" w:type="dxa"/>
          </w:tcPr>
          <w:p w14:paraId="668AE668" w14:textId="77777777" w:rsidR="00E53B6B" w:rsidRPr="00D83B72" w:rsidRDefault="00E53B6B" w:rsidP="00CA0D72">
            <w:pPr>
              <w:spacing w:before="20" w:after="20"/>
              <w:ind w:right="-3"/>
              <w:rPr>
                <w:color w:val="000000"/>
                <w:sz w:val="20"/>
                <w:szCs w:val="20"/>
              </w:rPr>
            </w:pPr>
            <w:r w:rsidRPr="00D83B72">
              <w:rPr>
                <w:color w:val="000000"/>
                <w:sz w:val="20"/>
                <w:szCs w:val="20"/>
              </w:rPr>
              <w:t>7%</w:t>
            </w:r>
          </w:p>
        </w:tc>
        <w:tc>
          <w:tcPr>
            <w:tcW w:w="761" w:type="dxa"/>
          </w:tcPr>
          <w:p w14:paraId="79B61991" w14:textId="77777777" w:rsidR="00E53B6B" w:rsidRPr="00D83B72" w:rsidRDefault="00E53B6B" w:rsidP="00CA0D72">
            <w:pPr>
              <w:spacing w:before="20" w:after="20"/>
              <w:ind w:right="-3"/>
              <w:rPr>
                <w:sz w:val="20"/>
                <w:szCs w:val="20"/>
              </w:rPr>
            </w:pPr>
          </w:p>
        </w:tc>
        <w:tc>
          <w:tcPr>
            <w:tcW w:w="1572" w:type="dxa"/>
          </w:tcPr>
          <w:p w14:paraId="59FFBE32" w14:textId="77777777" w:rsidR="00E53B6B" w:rsidRPr="00D83B72" w:rsidRDefault="00E53B6B" w:rsidP="00CA0D72">
            <w:pPr>
              <w:spacing w:before="20" w:after="20"/>
              <w:ind w:right="-3"/>
              <w:rPr>
                <w:sz w:val="20"/>
                <w:szCs w:val="20"/>
              </w:rPr>
            </w:pPr>
          </w:p>
        </w:tc>
      </w:tr>
      <w:tr w:rsidR="00E53B6B" w:rsidRPr="00D83B72" w14:paraId="273D9775" w14:textId="77777777" w:rsidTr="009F2D50">
        <w:tc>
          <w:tcPr>
            <w:tcW w:w="3402" w:type="dxa"/>
          </w:tcPr>
          <w:p w14:paraId="31202336"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Usual client living arrangements </w:t>
            </w:r>
            <w:r w:rsidRPr="00D83B72">
              <w:rPr>
                <w:iCs/>
                <w:color w:val="000000"/>
                <w:sz w:val="20"/>
                <w:szCs w:val="20"/>
              </w:rPr>
              <w:t xml:space="preserve">% </w:t>
            </w:r>
          </w:p>
        </w:tc>
        <w:tc>
          <w:tcPr>
            <w:tcW w:w="1701" w:type="dxa"/>
          </w:tcPr>
          <w:p w14:paraId="38F38D09" w14:textId="77777777" w:rsidR="00E53B6B" w:rsidRPr="00D83B72" w:rsidRDefault="00E53B6B" w:rsidP="00CA0D72">
            <w:pPr>
              <w:spacing w:before="20" w:after="20"/>
              <w:ind w:right="-3"/>
              <w:rPr>
                <w:sz w:val="20"/>
                <w:szCs w:val="20"/>
              </w:rPr>
            </w:pPr>
          </w:p>
        </w:tc>
        <w:tc>
          <w:tcPr>
            <w:tcW w:w="1239" w:type="dxa"/>
          </w:tcPr>
          <w:p w14:paraId="72765182" w14:textId="77777777" w:rsidR="00E53B6B" w:rsidRPr="00D83B72" w:rsidRDefault="00E53B6B" w:rsidP="00CA0D72">
            <w:pPr>
              <w:spacing w:before="20" w:after="20"/>
              <w:ind w:right="-3"/>
              <w:rPr>
                <w:sz w:val="20"/>
                <w:szCs w:val="20"/>
              </w:rPr>
            </w:pPr>
          </w:p>
        </w:tc>
        <w:tc>
          <w:tcPr>
            <w:tcW w:w="1172" w:type="dxa"/>
          </w:tcPr>
          <w:p w14:paraId="4021CDC1" w14:textId="77777777" w:rsidR="00E53B6B" w:rsidRPr="00D83B72" w:rsidRDefault="00E53B6B" w:rsidP="00CA0D72">
            <w:pPr>
              <w:spacing w:before="20" w:after="20"/>
              <w:ind w:right="-3"/>
              <w:rPr>
                <w:sz w:val="20"/>
                <w:szCs w:val="20"/>
              </w:rPr>
            </w:pPr>
          </w:p>
        </w:tc>
        <w:tc>
          <w:tcPr>
            <w:tcW w:w="761" w:type="dxa"/>
          </w:tcPr>
          <w:p w14:paraId="6BDF43BF" w14:textId="77777777" w:rsidR="00E53B6B" w:rsidRPr="00D83B72" w:rsidRDefault="00E53B6B" w:rsidP="00CA0D72">
            <w:pPr>
              <w:spacing w:before="20" w:after="20"/>
              <w:ind w:right="-3"/>
              <w:rPr>
                <w:color w:val="000000"/>
                <w:sz w:val="20"/>
                <w:szCs w:val="20"/>
              </w:rPr>
            </w:pPr>
            <w:r w:rsidRPr="00D83B72">
              <w:rPr>
                <w:color w:val="000000"/>
                <w:sz w:val="20"/>
                <w:szCs w:val="20"/>
              </w:rPr>
              <w:t>2,158</w:t>
            </w:r>
          </w:p>
        </w:tc>
        <w:tc>
          <w:tcPr>
            <w:tcW w:w="1572" w:type="dxa"/>
          </w:tcPr>
          <w:p w14:paraId="6F36E008"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 </w:t>
            </w:r>
          </w:p>
        </w:tc>
      </w:tr>
      <w:tr w:rsidR="00E53B6B" w:rsidRPr="00D83B72" w14:paraId="7FE7294F" w14:textId="77777777" w:rsidTr="009F2D50">
        <w:tc>
          <w:tcPr>
            <w:tcW w:w="3402" w:type="dxa"/>
          </w:tcPr>
          <w:p w14:paraId="00E8236C"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Lives alone </w:t>
            </w:r>
          </w:p>
        </w:tc>
        <w:tc>
          <w:tcPr>
            <w:tcW w:w="1701" w:type="dxa"/>
          </w:tcPr>
          <w:p w14:paraId="64A39763" w14:textId="77777777" w:rsidR="00E53B6B" w:rsidRPr="00D83B72" w:rsidRDefault="00E53B6B" w:rsidP="00CA0D72">
            <w:pPr>
              <w:spacing w:before="20" w:after="20"/>
              <w:ind w:right="-3"/>
              <w:rPr>
                <w:color w:val="000000"/>
                <w:sz w:val="20"/>
                <w:szCs w:val="20"/>
              </w:rPr>
            </w:pPr>
            <w:r w:rsidRPr="00D83B72">
              <w:rPr>
                <w:color w:val="000000"/>
                <w:sz w:val="20"/>
                <w:szCs w:val="20"/>
              </w:rPr>
              <w:t>49%</w:t>
            </w:r>
          </w:p>
        </w:tc>
        <w:tc>
          <w:tcPr>
            <w:tcW w:w="1239" w:type="dxa"/>
          </w:tcPr>
          <w:p w14:paraId="72F390CC" w14:textId="77777777" w:rsidR="00E53B6B" w:rsidRPr="00D83B72" w:rsidRDefault="00E53B6B" w:rsidP="00CA0D72">
            <w:pPr>
              <w:spacing w:before="20" w:after="20"/>
              <w:ind w:right="-3"/>
              <w:rPr>
                <w:color w:val="000000"/>
                <w:sz w:val="20"/>
                <w:szCs w:val="20"/>
              </w:rPr>
            </w:pPr>
            <w:r w:rsidRPr="00D83B72">
              <w:rPr>
                <w:color w:val="000000"/>
                <w:sz w:val="20"/>
                <w:szCs w:val="20"/>
              </w:rPr>
              <w:t>46%</w:t>
            </w:r>
          </w:p>
        </w:tc>
        <w:tc>
          <w:tcPr>
            <w:tcW w:w="1172" w:type="dxa"/>
          </w:tcPr>
          <w:p w14:paraId="0506D3A1" w14:textId="77777777" w:rsidR="00E53B6B" w:rsidRPr="00D83B72" w:rsidRDefault="00E53B6B" w:rsidP="00CA0D72">
            <w:pPr>
              <w:spacing w:before="20" w:after="20"/>
              <w:ind w:right="-3"/>
              <w:rPr>
                <w:color w:val="000000"/>
                <w:sz w:val="20"/>
                <w:szCs w:val="20"/>
              </w:rPr>
            </w:pPr>
            <w:r w:rsidRPr="00D83B72">
              <w:rPr>
                <w:color w:val="000000"/>
                <w:sz w:val="20"/>
                <w:szCs w:val="20"/>
              </w:rPr>
              <w:t>50%</w:t>
            </w:r>
          </w:p>
        </w:tc>
        <w:tc>
          <w:tcPr>
            <w:tcW w:w="761" w:type="dxa"/>
          </w:tcPr>
          <w:p w14:paraId="71F18228" w14:textId="77777777" w:rsidR="00E53B6B" w:rsidRPr="00D83B72" w:rsidRDefault="00E53B6B" w:rsidP="00CA0D72">
            <w:pPr>
              <w:spacing w:before="20" w:after="20"/>
              <w:ind w:right="-3"/>
              <w:rPr>
                <w:sz w:val="20"/>
                <w:szCs w:val="20"/>
              </w:rPr>
            </w:pPr>
          </w:p>
        </w:tc>
        <w:tc>
          <w:tcPr>
            <w:tcW w:w="1572" w:type="dxa"/>
          </w:tcPr>
          <w:p w14:paraId="591B1AFC" w14:textId="77777777" w:rsidR="00E53B6B" w:rsidRPr="00D83B72" w:rsidRDefault="00E53B6B" w:rsidP="00CA0D72">
            <w:pPr>
              <w:spacing w:before="20" w:after="20"/>
              <w:ind w:right="-3"/>
              <w:rPr>
                <w:sz w:val="20"/>
                <w:szCs w:val="20"/>
              </w:rPr>
            </w:pPr>
          </w:p>
        </w:tc>
      </w:tr>
      <w:tr w:rsidR="00E53B6B" w:rsidRPr="00D83B72" w14:paraId="2553B4EC" w14:textId="77777777" w:rsidTr="009F2D50">
        <w:tc>
          <w:tcPr>
            <w:tcW w:w="3402" w:type="dxa"/>
          </w:tcPr>
          <w:p w14:paraId="6228ADE3"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Lives with family </w:t>
            </w:r>
          </w:p>
        </w:tc>
        <w:tc>
          <w:tcPr>
            <w:tcW w:w="1701" w:type="dxa"/>
          </w:tcPr>
          <w:p w14:paraId="4DA3D6C6" w14:textId="77777777" w:rsidR="00E53B6B" w:rsidRPr="00D83B72" w:rsidRDefault="00E53B6B" w:rsidP="00CA0D72">
            <w:pPr>
              <w:spacing w:before="20" w:after="20"/>
              <w:ind w:right="-3"/>
              <w:rPr>
                <w:color w:val="000000"/>
                <w:sz w:val="20"/>
                <w:szCs w:val="20"/>
              </w:rPr>
            </w:pPr>
            <w:r w:rsidRPr="00D83B72">
              <w:rPr>
                <w:color w:val="000000"/>
                <w:sz w:val="20"/>
                <w:szCs w:val="20"/>
              </w:rPr>
              <w:t>43%</w:t>
            </w:r>
          </w:p>
        </w:tc>
        <w:tc>
          <w:tcPr>
            <w:tcW w:w="1239" w:type="dxa"/>
          </w:tcPr>
          <w:p w14:paraId="217346B1" w14:textId="77777777" w:rsidR="00E53B6B" w:rsidRPr="00D83B72" w:rsidRDefault="00E53B6B" w:rsidP="00CA0D72">
            <w:pPr>
              <w:spacing w:before="20" w:after="20"/>
              <w:ind w:right="-3"/>
              <w:rPr>
                <w:color w:val="000000"/>
                <w:sz w:val="20"/>
                <w:szCs w:val="20"/>
              </w:rPr>
            </w:pPr>
            <w:r w:rsidRPr="00D83B72">
              <w:rPr>
                <w:color w:val="000000"/>
                <w:sz w:val="20"/>
                <w:szCs w:val="20"/>
              </w:rPr>
              <w:t>51%</w:t>
            </w:r>
          </w:p>
        </w:tc>
        <w:tc>
          <w:tcPr>
            <w:tcW w:w="1172" w:type="dxa"/>
          </w:tcPr>
          <w:p w14:paraId="5E6BC931" w14:textId="77777777" w:rsidR="00E53B6B" w:rsidRPr="00D83B72" w:rsidRDefault="00E53B6B" w:rsidP="00CA0D72">
            <w:pPr>
              <w:spacing w:before="20" w:after="20"/>
              <w:ind w:right="-3"/>
              <w:rPr>
                <w:color w:val="000000"/>
                <w:sz w:val="20"/>
                <w:szCs w:val="20"/>
              </w:rPr>
            </w:pPr>
            <w:r w:rsidRPr="00D83B72">
              <w:rPr>
                <w:color w:val="000000"/>
                <w:sz w:val="20"/>
                <w:szCs w:val="20"/>
              </w:rPr>
              <w:t>38%</w:t>
            </w:r>
          </w:p>
        </w:tc>
        <w:tc>
          <w:tcPr>
            <w:tcW w:w="761" w:type="dxa"/>
          </w:tcPr>
          <w:p w14:paraId="68125549" w14:textId="77777777" w:rsidR="00E53B6B" w:rsidRPr="00D83B72" w:rsidRDefault="00E53B6B" w:rsidP="00CA0D72">
            <w:pPr>
              <w:spacing w:before="20" w:after="20"/>
              <w:ind w:right="-3"/>
              <w:rPr>
                <w:sz w:val="20"/>
                <w:szCs w:val="20"/>
              </w:rPr>
            </w:pPr>
          </w:p>
        </w:tc>
        <w:tc>
          <w:tcPr>
            <w:tcW w:w="1572" w:type="dxa"/>
          </w:tcPr>
          <w:p w14:paraId="225EAE5C" w14:textId="77777777" w:rsidR="00E53B6B" w:rsidRPr="00D83B72" w:rsidRDefault="00E53B6B" w:rsidP="00CA0D72">
            <w:pPr>
              <w:spacing w:before="20" w:after="20"/>
              <w:ind w:right="-3"/>
              <w:rPr>
                <w:sz w:val="20"/>
                <w:szCs w:val="20"/>
              </w:rPr>
            </w:pPr>
          </w:p>
        </w:tc>
      </w:tr>
      <w:tr w:rsidR="00E53B6B" w:rsidRPr="00D83B72" w14:paraId="71AA1132" w14:textId="77777777" w:rsidTr="009F2D50">
        <w:tc>
          <w:tcPr>
            <w:tcW w:w="3402" w:type="dxa"/>
          </w:tcPr>
          <w:p w14:paraId="17508FBD"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Lives with others </w:t>
            </w:r>
          </w:p>
        </w:tc>
        <w:tc>
          <w:tcPr>
            <w:tcW w:w="1701" w:type="dxa"/>
          </w:tcPr>
          <w:p w14:paraId="08A6FC83" w14:textId="77777777" w:rsidR="00E53B6B" w:rsidRPr="00D83B72" w:rsidRDefault="00E53B6B" w:rsidP="00CA0D72">
            <w:pPr>
              <w:spacing w:before="20" w:after="20"/>
              <w:ind w:right="-3"/>
              <w:rPr>
                <w:color w:val="000000"/>
                <w:sz w:val="20"/>
                <w:szCs w:val="20"/>
              </w:rPr>
            </w:pPr>
            <w:r w:rsidRPr="00D83B72">
              <w:rPr>
                <w:color w:val="000000"/>
                <w:sz w:val="20"/>
                <w:szCs w:val="20"/>
              </w:rPr>
              <w:t>2%</w:t>
            </w:r>
          </w:p>
        </w:tc>
        <w:tc>
          <w:tcPr>
            <w:tcW w:w="1239" w:type="dxa"/>
          </w:tcPr>
          <w:p w14:paraId="0931DF92" w14:textId="77777777" w:rsidR="00E53B6B" w:rsidRPr="00D83B72" w:rsidRDefault="00E53B6B" w:rsidP="00CA0D72">
            <w:pPr>
              <w:spacing w:before="20" w:after="20"/>
              <w:ind w:right="-3"/>
              <w:rPr>
                <w:color w:val="000000"/>
                <w:sz w:val="20"/>
                <w:szCs w:val="20"/>
              </w:rPr>
            </w:pPr>
            <w:r w:rsidRPr="00D83B72">
              <w:rPr>
                <w:color w:val="000000"/>
                <w:sz w:val="20"/>
                <w:szCs w:val="20"/>
              </w:rPr>
              <w:t>2%</w:t>
            </w:r>
          </w:p>
        </w:tc>
        <w:tc>
          <w:tcPr>
            <w:tcW w:w="1172" w:type="dxa"/>
          </w:tcPr>
          <w:p w14:paraId="595A9D6F" w14:textId="77777777" w:rsidR="00E53B6B" w:rsidRPr="00D83B72" w:rsidRDefault="00E53B6B" w:rsidP="00CA0D72">
            <w:pPr>
              <w:spacing w:before="20" w:after="20"/>
              <w:ind w:right="-3"/>
              <w:rPr>
                <w:color w:val="000000"/>
                <w:sz w:val="20"/>
                <w:szCs w:val="20"/>
              </w:rPr>
            </w:pPr>
            <w:r w:rsidRPr="00D83B72">
              <w:rPr>
                <w:color w:val="000000"/>
                <w:sz w:val="20"/>
                <w:szCs w:val="20"/>
              </w:rPr>
              <w:t>3%</w:t>
            </w:r>
          </w:p>
        </w:tc>
        <w:tc>
          <w:tcPr>
            <w:tcW w:w="761" w:type="dxa"/>
          </w:tcPr>
          <w:p w14:paraId="04568A6A" w14:textId="77777777" w:rsidR="00E53B6B" w:rsidRPr="00D83B72" w:rsidRDefault="00E53B6B" w:rsidP="00CA0D72">
            <w:pPr>
              <w:spacing w:before="20" w:after="20"/>
              <w:ind w:right="-3"/>
              <w:rPr>
                <w:sz w:val="20"/>
                <w:szCs w:val="20"/>
              </w:rPr>
            </w:pPr>
          </w:p>
        </w:tc>
        <w:tc>
          <w:tcPr>
            <w:tcW w:w="1572" w:type="dxa"/>
          </w:tcPr>
          <w:p w14:paraId="0708A4E1" w14:textId="77777777" w:rsidR="00E53B6B" w:rsidRPr="00D83B72" w:rsidRDefault="00E53B6B" w:rsidP="00CA0D72">
            <w:pPr>
              <w:spacing w:before="20" w:after="20"/>
              <w:ind w:right="-3"/>
              <w:rPr>
                <w:sz w:val="20"/>
                <w:szCs w:val="20"/>
              </w:rPr>
            </w:pPr>
          </w:p>
        </w:tc>
      </w:tr>
      <w:tr w:rsidR="00E53B6B" w:rsidRPr="00D83B72" w14:paraId="6BD63376" w14:textId="77777777" w:rsidTr="009F2D50">
        <w:tc>
          <w:tcPr>
            <w:tcW w:w="3402" w:type="dxa"/>
          </w:tcPr>
          <w:p w14:paraId="2462939E"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Not applicable/not stated </w:t>
            </w:r>
          </w:p>
        </w:tc>
        <w:tc>
          <w:tcPr>
            <w:tcW w:w="1701" w:type="dxa"/>
          </w:tcPr>
          <w:p w14:paraId="74C5CFD0" w14:textId="77777777" w:rsidR="00E53B6B" w:rsidRPr="00D83B72" w:rsidRDefault="00E53B6B" w:rsidP="00CA0D72">
            <w:pPr>
              <w:spacing w:before="20" w:after="20"/>
              <w:ind w:right="-3"/>
              <w:rPr>
                <w:color w:val="000000"/>
                <w:sz w:val="20"/>
                <w:szCs w:val="20"/>
              </w:rPr>
            </w:pPr>
            <w:r w:rsidRPr="00D83B72">
              <w:rPr>
                <w:color w:val="000000"/>
                <w:sz w:val="20"/>
                <w:szCs w:val="20"/>
              </w:rPr>
              <w:t>5%</w:t>
            </w:r>
          </w:p>
        </w:tc>
        <w:tc>
          <w:tcPr>
            <w:tcW w:w="1239" w:type="dxa"/>
          </w:tcPr>
          <w:p w14:paraId="63C26056" w14:textId="77777777" w:rsidR="00E53B6B" w:rsidRPr="00D83B72" w:rsidRDefault="00E53B6B" w:rsidP="00CA0D72">
            <w:pPr>
              <w:spacing w:before="20" w:after="20"/>
              <w:ind w:right="-3"/>
              <w:rPr>
                <w:color w:val="000000"/>
                <w:sz w:val="20"/>
                <w:szCs w:val="20"/>
              </w:rPr>
            </w:pPr>
            <w:r w:rsidRPr="00D83B72">
              <w:rPr>
                <w:color w:val="000000"/>
                <w:sz w:val="20"/>
                <w:szCs w:val="20"/>
              </w:rPr>
              <w:t>1%</w:t>
            </w:r>
          </w:p>
        </w:tc>
        <w:tc>
          <w:tcPr>
            <w:tcW w:w="1172" w:type="dxa"/>
          </w:tcPr>
          <w:p w14:paraId="32F6B429" w14:textId="77777777" w:rsidR="00E53B6B" w:rsidRPr="00D83B72" w:rsidRDefault="00E53B6B" w:rsidP="00CA0D72">
            <w:pPr>
              <w:spacing w:before="20" w:after="20"/>
              <w:ind w:right="-3"/>
              <w:rPr>
                <w:color w:val="000000"/>
                <w:sz w:val="20"/>
                <w:szCs w:val="20"/>
              </w:rPr>
            </w:pPr>
            <w:r w:rsidRPr="00D83B72">
              <w:rPr>
                <w:color w:val="000000"/>
                <w:sz w:val="20"/>
                <w:szCs w:val="20"/>
              </w:rPr>
              <w:t>10%</w:t>
            </w:r>
          </w:p>
        </w:tc>
        <w:tc>
          <w:tcPr>
            <w:tcW w:w="761" w:type="dxa"/>
          </w:tcPr>
          <w:p w14:paraId="3D6A5878" w14:textId="77777777" w:rsidR="00E53B6B" w:rsidRPr="00D83B72" w:rsidRDefault="00E53B6B" w:rsidP="00CA0D72">
            <w:pPr>
              <w:spacing w:before="20" w:after="20"/>
              <w:ind w:right="-3"/>
              <w:rPr>
                <w:sz w:val="20"/>
                <w:szCs w:val="20"/>
              </w:rPr>
            </w:pPr>
          </w:p>
        </w:tc>
        <w:tc>
          <w:tcPr>
            <w:tcW w:w="1572" w:type="dxa"/>
          </w:tcPr>
          <w:p w14:paraId="33D0C9B0" w14:textId="77777777" w:rsidR="00E53B6B" w:rsidRPr="00D83B72" w:rsidRDefault="00E53B6B" w:rsidP="00CA0D72">
            <w:pPr>
              <w:spacing w:before="20" w:after="20"/>
              <w:ind w:right="-3"/>
              <w:rPr>
                <w:sz w:val="20"/>
                <w:szCs w:val="20"/>
              </w:rPr>
            </w:pPr>
          </w:p>
        </w:tc>
      </w:tr>
      <w:tr w:rsidR="00E53B6B" w:rsidRPr="00D83B72" w14:paraId="02D06A25" w14:textId="77777777" w:rsidTr="009F2D50">
        <w:tc>
          <w:tcPr>
            <w:tcW w:w="3402" w:type="dxa"/>
          </w:tcPr>
          <w:p w14:paraId="13811D7F" w14:textId="77777777" w:rsidR="00E53B6B" w:rsidRPr="00D83B72" w:rsidRDefault="00E53B6B" w:rsidP="00CA0D72">
            <w:pPr>
              <w:spacing w:before="20" w:after="20"/>
              <w:ind w:right="-3"/>
              <w:rPr>
                <w:color w:val="000000"/>
                <w:sz w:val="20"/>
                <w:szCs w:val="20"/>
              </w:rPr>
            </w:pPr>
            <w:proofErr w:type="spellStart"/>
            <w:r w:rsidRPr="00D83B72">
              <w:rPr>
                <w:color w:val="000000"/>
                <w:sz w:val="20"/>
                <w:szCs w:val="20"/>
              </w:rPr>
              <w:t>Coresident</w:t>
            </w:r>
            <w:proofErr w:type="spellEnd"/>
            <w:r w:rsidRPr="00D83B72">
              <w:rPr>
                <w:color w:val="000000"/>
                <w:sz w:val="20"/>
                <w:szCs w:val="20"/>
              </w:rPr>
              <w:t xml:space="preserve"> carer </w:t>
            </w:r>
            <w:r w:rsidRPr="00D83B72">
              <w:rPr>
                <w:iCs/>
                <w:color w:val="000000"/>
                <w:sz w:val="20"/>
                <w:szCs w:val="20"/>
              </w:rPr>
              <w:t>%</w:t>
            </w:r>
          </w:p>
        </w:tc>
        <w:tc>
          <w:tcPr>
            <w:tcW w:w="1701" w:type="dxa"/>
          </w:tcPr>
          <w:p w14:paraId="5B554CB4" w14:textId="77777777" w:rsidR="00E53B6B" w:rsidRPr="00D83B72" w:rsidRDefault="00E53B6B" w:rsidP="00CA0D72">
            <w:pPr>
              <w:spacing w:before="20" w:after="20"/>
              <w:ind w:right="-3"/>
              <w:rPr>
                <w:color w:val="000000"/>
                <w:sz w:val="20"/>
                <w:szCs w:val="20"/>
              </w:rPr>
            </w:pPr>
            <w:r w:rsidRPr="00D83B72">
              <w:rPr>
                <w:color w:val="000000"/>
                <w:sz w:val="20"/>
                <w:szCs w:val="20"/>
              </w:rPr>
              <w:t>41%</w:t>
            </w:r>
          </w:p>
        </w:tc>
        <w:tc>
          <w:tcPr>
            <w:tcW w:w="1239" w:type="dxa"/>
          </w:tcPr>
          <w:p w14:paraId="726C7EBD" w14:textId="77777777" w:rsidR="00E53B6B" w:rsidRPr="00D83B72" w:rsidRDefault="00E53B6B" w:rsidP="00CA0D72">
            <w:pPr>
              <w:spacing w:before="20" w:after="20"/>
              <w:ind w:right="-3"/>
              <w:rPr>
                <w:color w:val="000000"/>
                <w:sz w:val="20"/>
                <w:szCs w:val="20"/>
              </w:rPr>
            </w:pPr>
            <w:r w:rsidRPr="00D83B72">
              <w:rPr>
                <w:color w:val="000000"/>
                <w:sz w:val="20"/>
                <w:szCs w:val="20"/>
              </w:rPr>
              <w:t>45%</w:t>
            </w:r>
          </w:p>
        </w:tc>
        <w:tc>
          <w:tcPr>
            <w:tcW w:w="1172" w:type="dxa"/>
          </w:tcPr>
          <w:p w14:paraId="47470156" w14:textId="77777777" w:rsidR="00E53B6B" w:rsidRPr="00D83B72" w:rsidRDefault="00E53B6B" w:rsidP="00CA0D72">
            <w:pPr>
              <w:spacing w:before="20" w:after="20"/>
              <w:ind w:right="-3"/>
              <w:rPr>
                <w:color w:val="000000"/>
                <w:sz w:val="20"/>
                <w:szCs w:val="20"/>
              </w:rPr>
            </w:pPr>
            <w:r w:rsidRPr="00D83B72">
              <w:rPr>
                <w:color w:val="000000"/>
                <w:sz w:val="20"/>
                <w:szCs w:val="20"/>
              </w:rPr>
              <w:t>39%</w:t>
            </w:r>
          </w:p>
        </w:tc>
        <w:tc>
          <w:tcPr>
            <w:tcW w:w="761" w:type="dxa"/>
          </w:tcPr>
          <w:p w14:paraId="0A0B10A5" w14:textId="77777777" w:rsidR="00E53B6B" w:rsidRPr="00D83B72" w:rsidRDefault="00E53B6B" w:rsidP="00CA0D72">
            <w:pPr>
              <w:spacing w:before="20" w:after="20"/>
              <w:ind w:right="-3"/>
              <w:rPr>
                <w:color w:val="000000"/>
                <w:sz w:val="20"/>
                <w:szCs w:val="20"/>
              </w:rPr>
            </w:pPr>
            <w:r w:rsidRPr="00D83B72">
              <w:rPr>
                <w:color w:val="000000"/>
                <w:sz w:val="20"/>
                <w:szCs w:val="20"/>
              </w:rPr>
              <w:t>1,984</w:t>
            </w:r>
          </w:p>
        </w:tc>
        <w:tc>
          <w:tcPr>
            <w:tcW w:w="1572" w:type="dxa"/>
          </w:tcPr>
          <w:p w14:paraId="658A3998"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 </w:t>
            </w:r>
          </w:p>
        </w:tc>
      </w:tr>
      <w:tr w:rsidR="00E53B6B" w:rsidRPr="00D83B72" w14:paraId="55612B4F" w14:textId="77777777" w:rsidTr="009F2D50">
        <w:tc>
          <w:tcPr>
            <w:tcW w:w="3402" w:type="dxa"/>
          </w:tcPr>
          <w:p w14:paraId="1084AC77" w14:textId="77777777" w:rsidR="00E53B6B" w:rsidRPr="00D83B72" w:rsidRDefault="00E53B6B" w:rsidP="00CA0D72">
            <w:pPr>
              <w:spacing w:before="20" w:after="20"/>
              <w:ind w:right="-3"/>
              <w:rPr>
                <w:iCs/>
                <w:color w:val="000000"/>
                <w:sz w:val="20"/>
                <w:szCs w:val="20"/>
              </w:rPr>
            </w:pPr>
            <w:r w:rsidRPr="00D83B72">
              <w:rPr>
                <w:color w:val="000000"/>
                <w:sz w:val="20"/>
                <w:szCs w:val="20"/>
              </w:rPr>
              <w:t xml:space="preserve">Measure of cognition  </w:t>
            </w:r>
            <w:r w:rsidRPr="00D83B72">
              <w:rPr>
                <w:iCs/>
                <w:color w:val="000000"/>
                <w:sz w:val="20"/>
                <w:szCs w:val="20"/>
              </w:rPr>
              <w:t>% cognitively impaired</w:t>
            </w:r>
          </w:p>
        </w:tc>
        <w:tc>
          <w:tcPr>
            <w:tcW w:w="1701" w:type="dxa"/>
          </w:tcPr>
          <w:p w14:paraId="4CD90C5A" w14:textId="77777777" w:rsidR="00E53B6B" w:rsidRPr="00D83B72" w:rsidRDefault="00E53B6B" w:rsidP="00CA0D72">
            <w:pPr>
              <w:spacing w:before="20" w:after="20"/>
              <w:ind w:right="-3"/>
              <w:rPr>
                <w:color w:val="000000"/>
                <w:sz w:val="20"/>
                <w:szCs w:val="20"/>
              </w:rPr>
            </w:pPr>
            <w:r w:rsidRPr="00D83B72">
              <w:rPr>
                <w:color w:val="000000"/>
                <w:sz w:val="20"/>
                <w:szCs w:val="20"/>
              </w:rPr>
              <w:t>24%</w:t>
            </w:r>
          </w:p>
        </w:tc>
        <w:tc>
          <w:tcPr>
            <w:tcW w:w="1239" w:type="dxa"/>
          </w:tcPr>
          <w:p w14:paraId="3DBBAF3D" w14:textId="77777777" w:rsidR="00E53B6B" w:rsidRPr="00D83B72" w:rsidRDefault="00E53B6B" w:rsidP="00CA0D72">
            <w:pPr>
              <w:spacing w:before="20" w:after="20"/>
              <w:ind w:right="-3"/>
              <w:rPr>
                <w:color w:val="000000"/>
                <w:sz w:val="20"/>
                <w:szCs w:val="20"/>
              </w:rPr>
            </w:pPr>
            <w:r w:rsidRPr="00D83B72">
              <w:rPr>
                <w:color w:val="000000"/>
                <w:sz w:val="20"/>
                <w:szCs w:val="20"/>
              </w:rPr>
              <w:t>14%</w:t>
            </w:r>
          </w:p>
        </w:tc>
        <w:tc>
          <w:tcPr>
            <w:tcW w:w="1172" w:type="dxa"/>
          </w:tcPr>
          <w:p w14:paraId="643E8921" w14:textId="77777777" w:rsidR="00E53B6B" w:rsidRPr="00D83B72" w:rsidRDefault="00E53B6B" w:rsidP="00CA0D72">
            <w:pPr>
              <w:spacing w:before="20" w:after="20"/>
              <w:ind w:right="-3"/>
              <w:rPr>
                <w:color w:val="000000"/>
                <w:sz w:val="20"/>
                <w:szCs w:val="20"/>
              </w:rPr>
            </w:pPr>
            <w:r w:rsidRPr="00D83B72">
              <w:rPr>
                <w:color w:val="000000"/>
                <w:sz w:val="20"/>
                <w:szCs w:val="20"/>
              </w:rPr>
              <w:t>34%</w:t>
            </w:r>
          </w:p>
        </w:tc>
        <w:tc>
          <w:tcPr>
            <w:tcW w:w="761" w:type="dxa"/>
          </w:tcPr>
          <w:p w14:paraId="4E1FAC40" w14:textId="77777777" w:rsidR="00E53B6B" w:rsidRPr="00D83B72" w:rsidRDefault="00E53B6B" w:rsidP="00CA0D72">
            <w:pPr>
              <w:spacing w:before="20" w:after="20"/>
              <w:ind w:right="-3"/>
              <w:rPr>
                <w:color w:val="000000"/>
                <w:sz w:val="20"/>
                <w:szCs w:val="20"/>
              </w:rPr>
            </w:pPr>
            <w:r w:rsidRPr="00D83B72">
              <w:rPr>
                <w:color w:val="000000"/>
                <w:sz w:val="20"/>
                <w:szCs w:val="20"/>
              </w:rPr>
              <w:t>2,157</w:t>
            </w:r>
          </w:p>
        </w:tc>
        <w:tc>
          <w:tcPr>
            <w:tcW w:w="1572" w:type="dxa"/>
          </w:tcPr>
          <w:p w14:paraId="301FF75B"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 </w:t>
            </w:r>
          </w:p>
        </w:tc>
      </w:tr>
      <w:tr w:rsidR="00E53B6B" w:rsidRPr="00D83B72" w14:paraId="61E04231" w14:textId="77777777" w:rsidTr="009F2D50">
        <w:tc>
          <w:tcPr>
            <w:tcW w:w="3402" w:type="dxa"/>
          </w:tcPr>
          <w:p w14:paraId="0BC759F5" w14:textId="77777777" w:rsidR="00E53B6B" w:rsidRPr="00D83B72" w:rsidRDefault="00E53B6B" w:rsidP="00CA0D72">
            <w:pPr>
              <w:spacing w:before="20" w:after="20"/>
              <w:ind w:right="-3"/>
              <w:rPr>
                <w:sz w:val="20"/>
                <w:szCs w:val="20"/>
              </w:rPr>
            </w:pPr>
            <w:r w:rsidRPr="00D83B72">
              <w:rPr>
                <w:color w:val="000000"/>
                <w:sz w:val="20"/>
                <w:szCs w:val="20"/>
              </w:rPr>
              <w:t>Primary health condition at admission to TCP</w:t>
            </w:r>
          </w:p>
        </w:tc>
        <w:tc>
          <w:tcPr>
            <w:tcW w:w="1701" w:type="dxa"/>
          </w:tcPr>
          <w:p w14:paraId="79D2C0D3" w14:textId="77777777" w:rsidR="00E53B6B" w:rsidRPr="00D83B72" w:rsidRDefault="00E53B6B" w:rsidP="00CA0D72">
            <w:pPr>
              <w:spacing w:before="20" w:after="20"/>
              <w:ind w:right="-3"/>
              <w:rPr>
                <w:sz w:val="20"/>
                <w:szCs w:val="20"/>
              </w:rPr>
            </w:pPr>
          </w:p>
        </w:tc>
        <w:tc>
          <w:tcPr>
            <w:tcW w:w="1239" w:type="dxa"/>
          </w:tcPr>
          <w:p w14:paraId="253C6108" w14:textId="77777777" w:rsidR="00E53B6B" w:rsidRPr="00D83B72" w:rsidRDefault="00E53B6B" w:rsidP="00CA0D72">
            <w:pPr>
              <w:spacing w:before="20" w:after="20"/>
              <w:ind w:right="-3"/>
              <w:rPr>
                <w:sz w:val="20"/>
                <w:szCs w:val="20"/>
              </w:rPr>
            </w:pPr>
          </w:p>
        </w:tc>
        <w:tc>
          <w:tcPr>
            <w:tcW w:w="1172" w:type="dxa"/>
          </w:tcPr>
          <w:p w14:paraId="1863257C" w14:textId="77777777" w:rsidR="00E53B6B" w:rsidRPr="00D83B72" w:rsidRDefault="00E53B6B" w:rsidP="00CA0D72">
            <w:pPr>
              <w:spacing w:before="20" w:after="20"/>
              <w:ind w:right="-3"/>
              <w:rPr>
                <w:color w:val="000000"/>
                <w:sz w:val="20"/>
                <w:szCs w:val="20"/>
              </w:rPr>
            </w:pPr>
            <w:r w:rsidRPr="00D83B72">
              <w:rPr>
                <w:color w:val="000000"/>
                <w:sz w:val="20"/>
                <w:szCs w:val="20"/>
              </w:rPr>
              <w:t>2,158</w:t>
            </w:r>
          </w:p>
        </w:tc>
        <w:tc>
          <w:tcPr>
            <w:tcW w:w="761" w:type="dxa"/>
          </w:tcPr>
          <w:p w14:paraId="2EA1B4A7"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ACCR </w:t>
            </w:r>
          </w:p>
        </w:tc>
        <w:tc>
          <w:tcPr>
            <w:tcW w:w="1572" w:type="dxa"/>
          </w:tcPr>
          <w:p w14:paraId="0C9C43C3" w14:textId="77777777" w:rsidR="00E53B6B" w:rsidRPr="00D83B72" w:rsidRDefault="00E53B6B" w:rsidP="00CA0D72">
            <w:pPr>
              <w:spacing w:before="20" w:after="20"/>
              <w:ind w:right="-3"/>
              <w:rPr>
                <w:color w:val="000000"/>
                <w:sz w:val="20"/>
                <w:szCs w:val="20"/>
              </w:rPr>
            </w:pPr>
          </w:p>
        </w:tc>
      </w:tr>
      <w:tr w:rsidR="00E53B6B" w:rsidRPr="00D83B72" w14:paraId="51B09034" w14:textId="77777777" w:rsidTr="009F2D50">
        <w:tc>
          <w:tcPr>
            <w:tcW w:w="3402" w:type="dxa"/>
          </w:tcPr>
          <w:p w14:paraId="73582E09"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Infectious and parasitic disease </w:t>
            </w:r>
          </w:p>
        </w:tc>
        <w:tc>
          <w:tcPr>
            <w:tcW w:w="1701" w:type="dxa"/>
          </w:tcPr>
          <w:p w14:paraId="18EB001D" w14:textId="77777777" w:rsidR="00E53B6B" w:rsidRPr="00D83B72" w:rsidRDefault="00E53B6B" w:rsidP="00CA0D72">
            <w:pPr>
              <w:spacing w:before="20" w:after="20"/>
              <w:ind w:right="-3"/>
              <w:rPr>
                <w:color w:val="000000"/>
                <w:sz w:val="20"/>
                <w:szCs w:val="20"/>
              </w:rPr>
            </w:pPr>
            <w:r w:rsidRPr="00D83B72">
              <w:rPr>
                <w:color w:val="000000"/>
                <w:sz w:val="20"/>
                <w:szCs w:val="20"/>
              </w:rPr>
              <w:t>0.50%</w:t>
            </w:r>
          </w:p>
        </w:tc>
        <w:tc>
          <w:tcPr>
            <w:tcW w:w="1239" w:type="dxa"/>
          </w:tcPr>
          <w:p w14:paraId="0A702125" w14:textId="77777777" w:rsidR="00E53B6B" w:rsidRPr="00D83B72" w:rsidRDefault="00E53B6B" w:rsidP="00CA0D72">
            <w:pPr>
              <w:spacing w:before="20" w:after="20"/>
              <w:ind w:right="-3"/>
              <w:rPr>
                <w:color w:val="000000"/>
                <w:sz w:val="20"/>
                <w:szCs w:val="20"/>
              </w:rPr>
            </w:pPr>
            <w:r w:rsidRPr="00D83B72">
              <w:rPr>
                <w:color w:val="000000"/>
                <w:sz w:val="20"/>
                <w:szCs w:val="20"/>
              </w:rPr>
              <w:t>0.50%</w:t>
            </w:r>
          </w:p>
        </w:tc>
        <w:tc>
          <w:tcPr>
            <w:tcW w:w="1172" w:type="dxa"/>
          </w:tcPr>
          <w:p w14:paraId="0AB43C4C" w14:textId="77777777" w:rsidR="00E53B6B" w:rsidRPr="00D83B72" w:rsidRDefault="00E53B6B" w:rsidP="00CA0D72">
            <w:pPr>
              <w:spacing w:before="20" w:after="20"/>
              <w:ind w:right="-3"/>
              <w:rPr>
                <w:color w:val="000000"/>
                <w:sz w:val="20"/>
                <w:szCs w:val="20"/>
              </w:rPr>
            </w:pPr>
            <w:r w:rsidRPr="00D83B72">
              <w:rPr>
                <w:color w:val="000000"/>
                <w:sz w:val="20"/>
                <w:szCs w:val="20"/>
              </w:rPr>
              <w:t>0.50%</w:t>
            </w:r>
          </w:p>
        </w:tc>
        <w:tc>
          <w:tcPr>
            <w:tcW w:w="761" w:type="dxa"/>
          </w:tcPr>
          <w:p w14:paraId="3F79D766" w14:textId="77777777" w:rsidR="00E53B6B" w:rsidRPr="00D83B72" w:rsidRDefault="00E53B6B" w:rsidP="00CA0D72">
            <w:pPr>
              <w:spacing w:before="20" w:after="20"/>
              <w:ind w:right="-3"/>
              <w:rPr>
                <w:sz w:val="20"/>
                <w:szCs w:val="20"/>
              </w:rPr>
            </w:pPr>
          </w:p>
        </w:tc>
        <w:tc>
          <w:tcPr>
            <w:tcW w:w="1572" w:type="dxa"/>
          </w:tcPr>
          <w:p w14:paraId="404928D7" w14:textId="77777777" w:rsidR="00E53B6B" w:rsidRPr="00D83B72" w:rsidRDefault="00E53B6B" w:rsidP="00CA0D72">
            <w:pPr>
              <w:spacing w:before="20" w:after="20"/>
              <w:ind w:right="-3"/>
              <w:rPr>
                <w:sz w:val="20"/>
                <w:szCs w:val="20"/>
              </w:rPr>
            </w:pPr>
          </w:p>
        </w:tc>
      </w:tr>
      <w:tr w:rsidR="00E53B6B" w:rsidRPr="00D83B72" w14:paraId="222C3DB8" w14:textId="77777777" w:rsidTr="009F2D50">
        <w:tc>
          <w:tcPr>
            <w:tcW w:w="3402" w:type="dxa"/>
          </w:tcPr>
          <w:p w14:paraId="7D98FB65"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Neoplasms </w:t>
            </w:r>
          </w:p>
        </w:tc>
        <w:tc>
          <w:tcPr>
            <w:tcW w:w="1701" w:type="dxa"/>
          </w:tcPr>
          <w:p w14:paraId="70F15018" w14:textId="77777777" w:rsidR="00E53B6B" w:rsidRPr="00D83B72" w:rsidRDefault="00E53B6B" w:rsidP="00CA0D72">
            <w:pPr>
              <w:spacing w:before="20" w:after="20"/>
              <w:ind w:right="-3"/>
              <w:rPr>
                <w:color w:val="000000"/>
                <w:sz w:val="20"/>
                <w:szCs w:val="20"/>
              </w:rPr>
            </w:pPr>
            <w:r w:rsidRPr="00D83B72">
              <w:rPr>
                <w:color w:val="000000"/>
                <w:sz w:val="20"/>
                <w:szCs w:val="20"/>
              </w:rPr>
              <w:t>3.60%</w:t>
            </w:r>
          </w:p>
        </w:tc>
        <w:tc>
          <w:tcPr>
            <w:tcW w:w="1239" w:type="dxa"/>
          </w:tcPr>
          <w:p w14:paraId="749A930A" w14:textId="77777777" w:rsidR="00E53B6B" w:rsidRPr="00D83B72" w:rsidRDefault="00E53B6B" w:rsidP="00CA0D72">
            <w:pPr>
              <w:spacing w:before="20" w:after="20"/>
              <w:ind w:right="-3"/>
              <w:rPr>
                <w:color w:val="000000"/>
                <w:sz w:val="20"/>
                <w:szCs w:val="20"/>
              </w:rPr>
            </w:pPr>
            <w:r w:rsidRPr="00D83B72">
              <w:rPr>
                <w:color w:val="000000"/>
                <w:sz w:val="20"/>
                <w:szCs w:val="20"/>
              </w:rPr>
              <w:t>2.80%</w:t>
            </w:r>
          </w:p>
        </w:tc>
        <w:tc>
          <w:tcPr>
            <w:tcW w:w="1172" w:type="dxa"/>
          </w:tcPr>
          <w:p w14:paraId="6907DD3E" w14:textId="77777777" w:rsidR="00E53B6B" w:rsidRPr="00D83B72" w:rsidRDefault="00E53B6B" w:rsidP="00CA0D72">
            <w:pPr>
              <w:spacing w:before="20" w:after="20"/>
              <w:ind w:right="-3"/>
              <w:rPr>
                <w:color w:val="000000"/>
                <w:sz w:val="20"/>
                <w:szCs w:val="20"/>
              </w:rPr>
            </w:pPr>
            <w:r w:rsidRPr="00D83B72">
              <w:rPr>
                <w:color w:val="000000"/>
                <w:sz w:val="20"/>
                <w:szCs w:val="20"/>
              </w:rPr>
              <w:t>4.50%</w:t>
            </w:r>
          </w:p>
        </w:tc>
        <w:tc>
          <w:tcPr>
            <w:tcW w:w="761" w:type="dxa"/>
          </w:tcPr>
          <w:p w14:paraId="6DBF820A" w14:textId="77777777" w:rsidR="00E53B6B" w:rsidRPr="00D83B72" w:rsidRDefault="00E53B6B" w:rsidP="00CA0D72">
            <w:pPr>
              <w:spacing w:before="20" w:after="20"/>
              <w:ind w:right="-3"/>
              <w:rPr>
                <w:sz w:val="20"/>
                <w:szCs w:val="20"/>
              </w:rPr>
            </w:pPr>
          </w:p>
        </w:tc>
        <w:tc>
          <w:tcPr>
            <w:tcW w:w="1572" w:type="dxa"/>
          </w:tcPr>
          <w:p w14:paraId="66ECB6C3" w14:textId="77777777" w:rsidR="00E53B6B" w:rsidRPr="00D83B72" w:rsidRDefault="00E53B6B" w:rsidP="00CA0D72">
            <w:pPr>
              <w:spacing w:before="20" w:after="20"/>
              <w:ind w:right="-3"/>
              <w:rPr>
                <w:sz w:val="20"/>
                <w:szCs w:val="20"/>
              </w:rPr>
            </w:pPr>
          </w:p>
        </w:tc>
      </w:tr>
      <w:tr w:rsidR="00E53B6B" w:rsidRPr="00D83B72" w14:paraId="043D6661" w14:textId="77777777" w:rsidTr="009F2D50">
        <w:tc>
          <w:tcPr>
            <w:tcW w:w="3402" w:type="dxa"/>
          </w:tcPr>
          <w:p w14:paraId="16487E62"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Blood, blood forming organs &amp; immunological disorders </w:t>
            </w:r>
          </w:p>
        </w:tc>
        <w:tc>
          <w:tcPr>
            <w:tcW w:w="1701" w:type="dxa"/>
          </w:tcPr>
          <w:p w14:paraId="76253477" w14:textId="77777777" w:rsidR="00E53B6B" w:rsidRPr="00D83B72" w:rsidRDefault="00E53B6B" w:rsidP="00CA0D72">
            <w:pPr>
              <w:spacing w:before="20" w:after="20"/>
              <w:ind w:right="-3"/>
              <w:rPr>
                <w:color w:val="000000"/>
                <w:sz w:val="20"/>
                <w:szCs w:val="20"/>
              </w:rPr>
            </w:pPr>
            <w:r w:rsidRPr="00D83B72">
              <w:rPr>
                <w:color w:val="000000"/>
                <w:sz w:val="20"/>
                <w:szCs w:val="20"/>
              </w:rPr>
              <w:t>0.30%</w:t>
            </w:r>
          </w:p>
        </w:tc>
        <w:tc>
          <w:tcPr>
            <w:tcW w:w="1239" w:type="dxa"/>
          </w:tcPr>
          <w:p w14:paraId="0C5AA249" w14:textId="77777777" w:rsidR="00E53B6B" w:rsidRPr="00D83B72" w:rsidRDefault="00E53B6B" w:rsidP="00CA0D72">
            <w:pPr>
              <w:spacing w:before="20" w:after="20"/>
              <w:ind w:right="-3"/>
              <w:rPr>
                <w:color w:val="000000"/>
                <w:sz w:val="20"/>
                <w:szCs w:val="20"/>
              </w:rPr>
            </w:pPr>
            <w:r w:rsidRPr="00D83B72">
              <w:rPr>
                <w:color w:val="000000"/>
                <w:sz w:val="20"/>
                <w:szCs w:val="20"/>
              </w:rPr>
              <w:t>0.30%</w:t>
            </w:r>
          </w:p>
        </w:tc>
        <w:tc>
          <w:tcPr>
            <w:tcW w:w="1172" w:type="dxa"/>
          </w:tcPr>
          <w:p w14:paraId="0C1070F6" w14:textId="77777777" w:rsidR="00E53B6B" w:rsidRPr="00D83B72" w:rsidRDefault="00E53B6B" w:rsidP="00CA0D72">
            <w:pPr>
              <w:spacing w:before="20" w:after="20"/>
              <w:ind w:right="-3"/>
              <w:rPr>
                <w:color w:val="000000"/>
                <w:sz w:val="20"/>
                <w:szCs w:val="20"/>
              </w:rPr>
            </w:pPr>
            <w:r w:rsidRPr="00D83B72">
              <w:rPr>
                <w:color w:val="000000"/>
                <w:sz w:val="20"/>
                <w:szCs w:val="20"/>
              </w:rPr>
              <w:t>0.30%</w:t>
            </w:r>
          </w:p>
        </w:tc>
        <w:tc>
          <w:tcPr>
            <w:tcW w:w="761" w:type="dxa"/>
          </w:tcPr>
          <w:p w14:paraId="6DCA47CF" w14:textId="77777777" w:rsidR="00E53B6B" w:rsidRPr="00D83B72" w:rsidRDefault="00E53B6B" w:rsidP="00CA0D72">
            <w:pPr>
              <w:spacing w:before="20" w:after="20"/>
              <w:ind w:right="-3"/>
              <w:rPr>
                <w:iCs/>
                <w:color w:val="000000"/>
                <w:sz w:val="20"/>
                <w:szCs w:val="20"/>
              </w:rPr>
            </w:pPr>
          </w:p>
        </w:tc>
        <w:tc>
          <w:tcPr>
            <w:tcW w:w="1572" w:type="dxa"/>
          </w:tcPr>
          <w:p w14:paraId="0431C41E" w14:textId="77777777" w:rsidR="00E53B6B" w:rsidRPr="00D83B72" w:rsidRDefault="00E53B6B" w:rsidP="00CA0D72">
            <w:pPr>
              <w:spacing w:before="20" w:after="20"/>
              <w:ind w:right="-3"/>
              <w:rPr>
                <w:iCs/>
                <w:color w:val="000000"/>
                <w:sz w:val="20"/>
                <w:szCs w:val="20"/>
              </w:rPr>
            </w:pPr>
          </w:p>
        </w:tc>
      </w:tr>
      <w:tr w:rsidR="00E53B6B" w:rsidRPr="00D83B72" w14:paraId="35913348" w14:textId="77777777" w:rsidTr="009F2D50">
        <w:tc>
          <w:tcPr>
            <w:tcW w:w="3402" w:type="dxa"/>
          </w:tcPr>
          <w:p w14:paraId="428D428C"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Endocrine, nutritional and metabolic diseases </w:t>
            </w:r>
          </w:p>
        </w:tc>
        <w:tc>
          <w:tcPr>
            <w:tcW w:w="1701" w:type="dxa"/>
          </w:tcPr>
          <w:p w14:paraId="403ECE40" w14:textId="77777777" w:rsidR="00E53B6B" w:rsidRPr="00D83B72" w:rsidRDefault="00E53B6B" w:rsidP="00CA0D72">
            <w:pPr>
              <w:spacing w:before="20" w:after="20"/>
              <w:ind w:right="-3"/>
              <w:rPr>
                <w:color w:val="000000"/>
                <w:sz w:val="20"/>
                <w:szCs w:val="20"/>
              </w:rPr>
            </w:pPr>
            <w:r w:rsidRPr="00D83B72">
              <w:rPr>
                <w:color w:val="000000"/>
                <w:sz w:val="20"/>
                <w:szCs w:val="20"/>
              </w:rPr>
              <w:t>2.30%</w:t>
            </w:r>
          </w:p>
        </w:tc>
        <w:tc>
          <w:tcPr>
            <w:tcW w:w="1239" w:type="dxa"/>
          </w:tcPr>
          <w:p w14:paraId="447B3B7A" w14:textId="77777777" w:rsidR="00E53B6B" w:rsidRPr="00D83B72" w:rsidRDefault="00E53B6B" w:rsidP="00CA0D72">
            <w:pPr>
              <w:spacing w:before="20" w:after="20"/>
              <w:ind w:right="-3"/>
              <w:rPr>
                <w:color w:val="000000"/>
                <w:sz w:val="20"/>
                <w:szCs w:val="20"/>
              </w:rPr>
            </w:pPr>
            <w:r w:rsidRPr="00D83B72">
              <w:rPr>
                <w:color w:val="000000"/>
                <w:sz w:val="20"/>
                <w:szCs w:val="20"/>
              </w:rPr>
              <w:t>2.10%</w:t>
            </w:r>
          </w:p>
        </w:tc>
        <w:tc>
          <w:tcPr>
            <w:tcW w:w="1172" w:type="dxa"/>
          </w:tcPr>
          <w:p w14:paraId="46A58313" w14:textId="77777777" w:rsidR="00E53B6B" w:rsidRPr="00D83B72" w:rsidRDefault="00E53B6B" w:rsidP="00CA0D72">
            <w:pPr>
              <w:spacing w:before="20" w:after="20"/>
              <w:ind w:right="-3"/>
              <w:rPr>
                <w:color w:val="000000"/>
                <w:sz w:val="20"/>
                <w:szCs w:val="20"/>
              </w:rPr>
            </w:pPr>
            <w:r w:rsidRPr="00D83B72">
              <w:rPr>
                <w:color w:val="000000"/>
                <w:sz w:val="20"/>
                <w:szCs w:val="20"/>
              </w:rPr>
              <w:t>2.60%</w:t>
            </w:r>
          </w:p>
        </w:tc>
        <w:tc>
          <w:tcPr>
            <w:tcW w:w="761" w:type="dxa"/>
          </w:tcPr>
          <w:p w14:paraId="56A23BE1" w14:textId="77777777" w:rsidR="00E53B6B" w:rsidRPr="00D83B72" w:rsidRDefault="00E53B6B" w:rsidP="00CA0D72">
            <w:pPr>
              <w:spacing w:before="20" w:after="20"/>
              <w:ind w:right="-3"/>
              <w:rPr>
                <w:iCs/>
                <w:color w:val="000000"/>
                <w:sz w:val="20"/>
                <w:szCs w:val="20"/>
              </w:rPr>
            </w:pPr>
          </w:p>
        </w:tc>
        <w:tc>
          <w:tcPr>
            <w:tcW w:w="1572" w:type="dxa"/>
          </w:tcPr>
          <w:p w14:paraId="28E0079F" w14:textId="77777777" w:rsidR="00E53B6B" w:rsidRPr="00D83B72" w:rsidRDefault="00E53B6B" w:rsidP="00CA0D72">
            <w:pPr>
              <w:spacing w:before="20" w:after="20"/>
              <w:ind w:right="-3"/>
              <w:rPr>
                <w:iCs/>
                <w:color w:val="000000"/>
                <w:sz w:val="20"/>
                <w:szCs w:val="20"/>
              </w:rPr>
            </w:pPr>
          </w:p>
        </w:tc>
      </w:tr>
      <w:tr w:rsidR="00E53B6B" w:rsidRPr="00D83B72" w14:paraId="34F86280" w14:textId="77777777" w:rsidTr="009F2D50">
        <w:tc>
          <w:tcPr>
            <w:tcW w:w="3402" w:type="dxa"/>
          </w:tcPr>
          <w:p w14:paraId="1E6926CD"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Mental and behavioural disorders </w:t>
            </w:r>
          </w:p>
        </w:tc>
        <w:tc>
          <w:tcPr>
            <w:tcW w:w="1701" w:type="dxa"/>
          </w:tcPr>
          <w:p w14:paraId="4302518D" w14:textId="77777777" w:rsidR="00E53B6B" w:rsidRPr="00D83B72" w:rsidRDefault="00E53B6B" w:rsidP="00CA0D72">
            <w:pPr>
              <w:spacing w:before="20" w:after="20"/>
              <w:ind w:right="-3"/>
              <w:rPr>
                <w:color w:val="000000"/>
                <w:sz w:val="20"/>
                <w:szCs w:val="20"/>
              </w:rPr>
            </w:pPr>
            <w:r w:rsidRPr="00D83B72">
              <w:rPr>
                <w:color w:val="000000"/>
                <w:sz w:val="20"/>
                <w:szCs w:val="20"/>
              </w:rPr>
              <w:t>12.40%</w:t>
            </w:r>
          </w:p>
        </w:tc>
        <w:tc>
          <w:tcPr>
            <w:tcW w:w="1239" w:type="dxa"/>
          </w:tcPr>
          <w:p w14:paraId="4AFF6836" w14:textId="77777777" w:rsidR="00E53B6B" w:rsidRPr="00D83B72" w:rsidRDefault="00E53B6B" w:rsidP="00CA0D72">
            <w:pPr>
              <w:spacing w:before="20" w:after="20"/>
              <w:ind w:right="-3"/>
              <w:rPr>
                <w:color w:val="000000"/>
                <w:sz w:val="20"/>
                <w:szCs w:val="20"/>
              </w:rPr>
            </w:pPr>
            <w:r w:rsidRPr="00D83B72">
              <w:rPr>
                <w:color w:val="000000"/>
                <w:sz w:val="20"/>
                <w:szCs w:val="20"/>
              </w:rPr>
              <w:t>6.40%</w:t>
            </w:r>
          </w:p>
        </w:tc>
        <w:tc>
          <w:tcPr>
            <w:tcW w:w="1172" w:type="dxa"/>
          </w:tcPr>
          <w:p w14:paraId="434DBF3A" w14:textId="77777777" w:rsidR="00E53B6B" w:rsidRPr="00D83B72" w:rsidRDefault="00E53B6B" w:rsidP="00CA0D72">
            <w:pPr>
              <w:spacing w:before="20" w:after="20"/>
              <w:ind w:right="-3"/>
              <w:rPr>
                <w:color w:val="000000"/>
                <w:sz w:val="20"/>
                <w:szCs w:val="20"/>
              </w:rPr>
            </w:pPr>
            <w:r w:rsidRPr="00D83B72">
              <w:rPr>
                <w:color w:val="000000"/>
                <w:sz w:val="20"/>
                <w:szCs w:val="20"/>
              </w:rPr>
              <w:t>18.40%</w:t>
            </w:r>
          </w:p>
        </w:tc>
        <w:tc>
          <w:tcPr>
            <w:tcW w:w="761" w:type="dxa"/>
          </w:tcPr>
          <w:p w14:paraId="18ADE538" w14:textId="77777777" w:rsidR="00E53B6B" w:rsidRPr="00D83B72" w:rsidRDefault="00E53B6B" w:rsidP="00CA0D72">
            <w:pPr>
              <w:spacing w:before="20" w:after="20"/>
              <w:ind w:right="-3"/>
              <w:rPr>
                <w:sz w:val="20"/>
                <w:szCs w:val="20"/>
              </w:rPr>
            </w:pPr>
          </w:p>
        </w:tc>
        <w:tc>
          <w:tcPr>
            <w:tcW w:w="1572" w:type="dxa"/>
          </w:tcPr>
          <w:p w14:paraId="623F6451" w14:textId="77777777" w:rsidR="00E53B6B" w:rsidRPr="00D83B72" w:rsidRDefault="00E53B6B" w:rsidP="00CA0D72">
            <w:pPr>
              <w:spacing w:before="20" w:after="20"/>
              <w:ind w:right="-3"/>
              <w:rPr>
                <w:sz w:val="20"/>
                <w:szCs w:val="20"/>
              </w:rPr>
            </w:pPr>
          </w:p>
        </w:tc>
      </w:tr>
      <w:tr w:rsidR="00E53B6B" w:rsidRPr="00D83B72" w14:paraId="4BA01777" w14:textId="77777777" w:rsidTr="009F2D50">
        <w:tc>
          <w:tcPr>
            <w:tcW w:w="3402" w:type="dxa"/>
          </w:tcPr>
          <w:p w14:paraId="37E791A1"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nervous system </w:t>
            </w:r>
          </w:p>
        </w:tc>
        <w:tc>
          <w:tcPr>
            <w:tcW w:w="1701" w:type="dxa"/>
          </w:tcPr>
          <w:p w14:paraId="49CAB21E" w14:textId="77777777" w:rsidR="00E53B6B" w:rsidRPr="00D83B72" w:rsidRDefault="00E53B6B" w:rsidP="00CA0D72">
            <w:pPr>
              <w:spacing w:before="20" w:after="20"/>
              <w:ind w:right="-3"/>
              <w:rPr>
                <w:color w:val="000000"/>
                <w:sz w:val="20"/>
                <w:szCs w:val="20"/>
              </w:rPr>
            </w:pPr>
            <w:r w:rsidRPr="00D83B72">
              <w:rPr>
                <w:color w:val="000000"/>
                <w:sz w:val="20"/>
                <w:szCs w:val="20"/>
              </w:rPr>
              <w:t>4.20%</w:t>
            </w:r>
          </w:p>
        </w:tc>
        <w:tc>
          <w:tcPr>
            <w:tcW w:w="1239" w:type="dxa"/>
          </w:tcPr>
          <w:p w14:paraId="00200092" w14:textId="77777777" w:rsidR="00E53B6B" w:rsidRPr="00D83B72" w:rsidRDefault="00E53B6B" w:rsidP="00CA0D72">
            <w:pPr>
              <w:spacing w:before="20" w:after="20"/>
              <w:ind w:right="-3"/>
              <w:rPr>
                <w:color w:val="000000"/>
                <w:sz w:val="20"/>
                <w:szCs w:val="20"/>
              </w:rPr>
            </w:pPr>
            <w:r w:rsidRPr="00D83B72">
              <w:rPr>
                <w:color w:val="000000"/>
                <w:sz w:val="20"/>
                <w:szCs w:val="20"/>
              </w:rPr>
              <w:t>4.80%</w:t>
            </w:r>
          </w:p>
        </w:tc>
        <w:tc>
          <w:tcPr>
            <w:tcW w:w="1172" w:type="dxa"/>
          </w:tcPr>
          <w:p w14:paraId="66C28215" w14:textId="77777777" w:rsidR="00E53B6B" w:rsidRPr="00D83B72" w:rsidRDefault="00E53B6B" w:rsidP="00CA0D72">
            <w:pPr>
              <w:spacing w:before="20" w:after="20"/>
              <w:ind w:right="-3"/>
              <w:rPr>
                <w:color w:val="000000"/>
                <w:sz w:val="20"/>
                <w:szCs w:val="20"/>
              </w:rPr>
            </w:pPr>
            <w:r w:rsidRPr="00D83B72">
              <w:rPr>
                <w:color w:val="000000"/>
                <w:sz w:val="20"/>
                <w:szCs w:val="20"/>
              </w:rPr>
              <w:t>3.80%</w:t>
            </w:r>
          </w:p>
        </w:tc>
        <w:tc>
          <w:tcPr>
            <w:tcW w:w="761" w:type="dxa"/>
          </w:tcPr>
          <w:p w14:paraId="4F053D71" w14:textId="77777777" w:rsidR="00E53B6B" w:rsidRPr="00D83B72" w:rsidRDefault="00E53B6B" w:rsidP="00CA0D72">
            <w:pPr>
              <w:spacing w:before="20" w:after="20"/>
              <w:ind w:right="-3"/>
              <w:rPr>
                <w:sz w:val="20"/>
                <w:szCs w:val="20"/>
              </w:rPr>
            </w:pPr>
          </w:p>
        </w:tc>
        <w:tc>
          <w:tcPr>
            <w:tcW w:w="1572" w:type="dxa"/>
          </w:tcPr>
          <w:p w14:paraId="1712E9CD" w14:textId="77777777" w:rsidR="00E53B6B" w:rsidRPr="00D83B72" w:rsidRDefault="00E53B6B" w:rsidP="00CA0D72">
            <w:pPr>
              <w:spacing w:before="20" w:after="20"/>
              <w:ind w:right="-3"/>
              <w:rPr>
                <w:sz w:val="20"/>
                <w:szCs w:val="20"/>
              </w:rPr>
            </w:pPr>
          </w:p>
        </w:tc>
      </w:tr>
      <w:tr w:rsidR="00E53B6B" w:rsidRPr="00D83B72" w14:paraId="5A2052A6" w14:textId="77777777" w:rsidTr="009F2D50">
        <w:tc>
          <w:tcPr>
            <w:tcW w:w="3402" w:type="dxa"/>
          </w:tcPr>
          <w:p w14:paraId="57B120B2"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eye and adnexa   </w:t>
            </w:r>
          </w:p>
        </w:tc>
        <w:tc>
          <w:tcPr>
            <w:tcW w:w="1701" w:type="dxa"/>
          </w:tcPr>
          <w:p w14:paraId="41403F28" w14:textId="77777777" w:rsidR="00E53B6B" w:rsidRPr="00D83B72" w:rsidRDefault="00E53B6B" w:rsidP="00CA0D72">
            <w:pPr>
              <w:spacing w:before="20" w:after="20"/>
              <w:ind w:right="-3"/>
              <w:rPr>
                <w:color w:val="000000"/>
                <w:sz w:val="20"/>
                <w:szCs w:val="20"/>
              </w:rPr>
            </w:pPr>
            <w:r w:rsidRPr="00D83B72">
              <w:rPr>
                <w:color w:val="000000"/>
                <w:sz w:val="20"/>
                <w:szCs w:val="20"/>
              </w:rPr>
              <w:t>0.70%</w:t>
            </w:r>
          </w:p>
        </w:tc>
        <w:tc>
          <w:tcPr>
            <w:tcW w:w="1239" w:type="dxa"/>
          </w:tcPr>
          <w:p w14:paraId="58C3A9FC" w14:textId="77777777" w:rsidR="00E53B6B" w:rsidRPr="00D83B72" w:rsidRDefault="00E53B6B" w:rsidP="00CA0D72">
            <w:pPr>
              <w:spacing w:before="20" w:after="20"/>
              <w:ind w:right="-3"/>
              <w:rPr>
                <w:color w:val="000000"/>
                <w:sz w:val="20"/>
                <w:szCs w:val="20"/>
              </w:rPr>
            </w:pPr>
            <w:r w:rsidRPr="00D83B72">
              <w:rPr>
                <w:color w:val="000000"/>
                <w:sz w:val="20"/>
                <w:szCs w:val="20"/>
              </w:rPr>
              <w:t>0.70%</w:t>
            </w:r>
          </w:p>
        </w:tc>
        <w:tc>
          <w:tcPr>
            <w:tcW w:w="1172" w:type="dxa"/>
          </w:tcPr>
          <w:p w14:paraId="655D1B2F" w14:textId="77777777" w:rsidR="00E53B6B" w:rsidRPr="00D83B72" w:rsidRDefault="00E53B6B" w:rsidP="00CA0D72">
            <w:pPr>
              <w:spacing w:before="20" w:after="20"/>
              <w:ind w:right="-3"/>
              <w:rPr>
                <w:color w:val="000000"/>
                <w:sz w:val="20"/>
                <w:szCs w:val="20"/>
              </w:rPr>
            </w:pPr>
            <w:r w:rsidRPr="00D83B72">
              <w:rPr>
                <w:color w:val="000000"/>
                <w:sz w:val="20"/>
                <w:szCs w:val="20"/>
              </w:rPr>
              <w:t>0.60%</w:t>
            </w:r>
          </w:p>
        </w:tc>
        <w:tc>
          <w:tcPr>
            <w:tcW w:w="761" w:type="dxa"/>
          </w:tcPr>
          <w:p w14:paraId="3FE8D6D5" w14:textId="77777777" w:rsidR="00E53B6B" w:rsidRPr="00D83B72" w:rsidRDefault="00E53B6B" w:rsidP="00CA0D72">
            <w:pPr>
              <w:spacing w:before="20" w:after="20"/>
              <w:ind w:right="-3"/>
              <w:rPr>
                <w:sz w:val="20"/>
                <w:szCs w:val="20"/>
              </w:rPr>
            </w:pPr>
          </w:p>
        </w:tc>
        <w:tc>
          <w:tcPr>
            <w:tcW w:w="1572" w:type="dxa"/>
          </w:tcPr>
          <w:p w14:paraId="62866D69" w14:textId="77777777" w:rsidR="00E53B6B" w:rsidRPr="00D83B72" w:rsidRDefault="00E53B6B" w:rsidP="00CA0D72">
            <w:pPr>
              <w:spacing w:before="20" w:after="20"/>
              <w:ind w:right="-3"/>
              <w:rPr>
                <w:sz w:val="20"/>
                <w:szCs w:val="20"/>
              </w:rPr>
            </w:pPr>
          </w:p>
        </w:tc>
      </w:tr>
      <w:tr w:rsidR="00E53B6B" w:rsidRPr="00D83B72" w14:paraId="1839538D" w14:textId="77777777" w:rsidTr="009F2D50">
        <w:tc>
          <w:tcPr>
            <w:tcW w:w="3402" w:type="dxa"/>
          </w:tcPr>
          <w:p w14:paraId="250F8DA9"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 of the ear and mastoid process </w:t>
            </w:r>
          </w:p>
        </w:tc>
        <w:tc>
          <w:tcPr>
            <w:tcW w:w="1701" w:type="dxa"/>
          </w:tcPr>
          <w:p w14:paraId="60BA60B0" w14:textId="77777777" w:rsidR="00E53B6B" w:rsidRPr="00D83B72" w:rsidRDefault="00E53B6B" w:rsidP="00CA0D72">
            <w:pPr>
              <w:spacing w:before="20" w:after="20"/>
              <w:ind w:right="-3"/>
              <w:rPr>
                <w:color w:val="000000"/>
                <w:sz w:val="20"/>
                <w:szCs w:val="20"/>
              </w:rPr>
            </w:pPr>
            <w:r w:rsidRPr="00D83B72">
              <w:rPr>
                <w:color w:val="000000"/>
                <w:sz w:val="20"/>
                <w:szCs w:val="20"/>
              </w:rPr>
              <w:t>0.10%</w:t>
            </w:r>
          </w:p>
        </w:tc>
        <w:tc>
          <w:tcPr>
            <w:tcW w:w="1239" w:type="dxa"/>
          </w:tcPr>
          <w:p w14:paraId="691C2709" w14:textId="77777777" w:rsidR="00E53B6B" w:rsidRPr="00D83B72" w:rsidRDefault="00E53B6B" w:rsidP="00CA0D72">
            <w:pPr>
              <w:spacing w:before="20" w:after="20"/>
              <w:ind w:right="-3"/>
              <w:rPr>
                <w:color w:val="000000"/>
                <w:sz w:val="20"/>
                <w:szCs w:val="20"/>
              </w:rPr>
            </w:pPr>
            <w:r w:rsidRPr="00D83B72">
              <w:rPr>
                <w:color w:val="000000"/>
                <w:sz w:val="20"/>
                <w:szCs w:val="20"/>
              </w:rPr>
              <w:t>0.00%</w:t>
            </w:r>
          </w:p>
        </w:tc>
        <w:tc>
          <w:tcPr>
            <w:tcW w:w="1172" w:type="dxa"/>
          </w:tcPr>
          <w:p w14:paraId="78128212" w14:textId="77777777" w:rsidR="00E53B6B" w:rsidRPr="00D83B72" w:rsidRDefault="00E53B6B" w:rsidP="00CA0D72">
            <w:pPr>
              <w:spacing w:before="20" w:after="20"/>
              <w:ind w:right="-3"/>
              <w:rPr>
                <w:color w:val="000000"/>
                <w:sz w:val="20"/>
                <w:szCs w:val="20"/>
              </w:rPr>
            </w:pPr>
            <w:r w:rsidRPr="00D83B72">
              <w:rPr>
                <w:color w:val="000000"/>
                <w:sz w:val="20"/>
                <w:szCs w:val="20"/>
              </w:rPr>
              <w:t>0.20%</w:t>
            </w:r>
          </w:p>
        </w:tc>
        <w:tc>
          <w:tcPr>
            <w:tcW w:w="761" w:type="dxa"/>
          </w:tcPr>
          <w:p w14:paraId="7914EBC4" w14:textId="77777777" w:rsidR="00E53B6B" w:rsidRPr="00D83B72" w:rsidRDefault="00E53B6B" w:rsidP="00CA0D72">
            <w:pPr>
              <w:spacing w:before="20" w:after="20"/>
              <w:ind w:right="-3"/>
              <w:rPr>
                <w:sz w:val="20"/>
                <w:szCs w:val="20"/>
              </w:rPr>
            </w:pPr>
          </w:p>
        </w:tc>
        <w:tc>
          <w:tcPr>
            <w:tcW w:w="1572" w:type="dxa"/>
          </w:tcPr>
          <w:p w14:paraId="32A5A861" w14:textId="77777777" w:rsidR="00E53B6B" w:rsidRPr="00D83B72" w:rsidRDefault="00E53B6B" w:rsidP="00CA0D72">
            <w:pPr>
              <w:spacing w:before="20" w:after="20"/>
              <w:ind w:right="-3"/>
              <w:rPr>
                <w:sz w:val="20"/>
                <w:szCs w:val="20"/>
              </w:rPr>
            </w:pPr>
          </w:p>
        </w:tc>
      </w:tr>
      <w:tr w:rsidR="00E53B6B" w:rsidRPr="00D83B72" w14:paraId="3B770832" w14:textId="77777777" w:rsidTr="009F2D50">
        <w:tc>
          <w:tcPr>
            <w:tcW w:w="3402" w:type="dxa"/>
          </w:tcPr>
          <w:p w14:paraId="6A47188B"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circulatory system </w:t>
            </w:r>
          </w:p>
        </w:tc>
        <w:tc>
          <w:tcPr>
            <w:tcW w:w="1701" w:type="dxa"/>
          </w:tcPr>
          <w:p w14:paraId="448581E9" w14:textId="77777777" w:rsidR="00E53B6B" w:rsidRPr="00D83B72" w:rsidRDefault="00E53B6B" w:rsidP="00CA0D72">
            <w:pPr>
              <w:spacing w:before="20" w:after="20"/>
              <w:ind w:right="-3"/>
              <w:rPr>
                <w:color w:val="000000"/>
                <w:sz w:val="20"/>
                <w:szCs w:val="20"/>
              </w:rPr>
            </w:pPr>
            <w:r w:rsidRPr="00D83B72">
              <w:rPr>
                <w:color w:val="000000"/>
                <w:sz w:val="20"/>
                <w:szCs w:val="20"/>
              </w:rPr>
              <w:t>23.40%</w:t>
            </w:r>
          </w:p>
        </w:tc>
        <w:tc>
          <w:tcPr>
            <w:tcW w:w="1239" w:type="dxa"/>
          </w:tcPr>
          <w:p w14:paraId="50D59352" w14:textId="77777777" w:rsidR="00E53B6B" w:rsidRPr="00D83B72" w:rsidRDefault="00E53B6B" w:rsidP="00CA0D72">
            <w:pPr>
              <w:spacing w:before="20" w:after="20"/>
              <w:ind w:right="-3"/>
              <w:rPr>
                <w:color w:val="000000"/>
                <w:sz w:val="20"/>
                <w:szCs w:val="20"/>
              </w:rPr>
            </w:pPr>
            <w:r w:rsidRPr="00D83B72">
              <w:rPr>
                <w:color w:val="000000"/>
                <w:sz w:val="20"/>
                <w:szCs w:val="20"/>
              </w:rPr>
              <w:t>25.20%</w:t>
            </w:r>
          </w:p>
        </w:tc>
        <w:tc>
          <w:tcPr>
            <w:tcW w:w="1172" w:type="dxa"/>
          </w:tcPr>
          <w:p w14:paraId="2C819C2A" w14:textId="77777777" w:rsidR="00E53B6B" w:rsidRPr="00D83B72" w:rsidRDefault="00E53B6B" w:rsidP="00CA0D72">
            <w:pPr>
              <w:spacing w:before="20" w:after="20"/>
              <w:ind w:right="-3"/>
              <w:rPr>
                <w:color w:val="000000"/>
                <w:sz w:val="20"/>
                <w:szCs w:val="20"/>
              </w:rPr>
            </w:pPr>
            <w:r w:rsidRPr="00D83B72">
              <w:rPr>
                <w:color w:val="000000"/>
                <w:sz w:val="20"/>
                <w:szCs w:val="20"/>
              </w:rPr>
              <w:t>22.50%</w:t>
            </w:r>
          </w:p>
        </w:tc>
        <w:tc>
          <w:tcPr>
            <w:tcW w:w="761" w:type="dxa"/>
          </w:tcPr>
          <w:p w14:paraId="0350B5E7" w14:textId="77777777" w:rsidR="00E53B6B" w:rsidRPr="00D83B72" w:rsidRDefault="00E53B6B" w:rsidP="00CA0D72">
            <w:pPr>
              <w:spacing w:before="20" w:after="20"/>
              <w:ind w:right="-3"/>
              <w:rPr>
                <w:sz w:val="20"/>
                <w:szCs w:val="20"/>
              </w:rPr>
            </w:pPr>
          </w:p>
        </w:tc>
        <w:tc>
          <w:tcPr>
            <w:tcW w:w="1572" w:type="dxa"/>
          </w:tcPr>
          <w:p w14:paraId="4A5F0CB3" w14:textId="77777777" w:rsidR="00E53B6B" w:rsidRPr="00D83B72" w:rsidRDefault="00E53B6B" w:rsidP="00CA0D72">
            <w:pPr>
              <w:spacing w:before="20" w:after="20"/>
              <w:ind w:right="-3"/>
              <w:rPr>
                <w:sz w:val="20"/>
                <w:szCs w:val="20"/>
              </w:rPr>
            </w:pPr>
          </w:p>
        </w:tc>
      </w:tr>
      <w:tr w:rsidR="00E53B6B" w:rsidRPr="00D83B72" w14:paraId="69C5C4BA" w14:textId="77777777" w:rsidTr="009F2D50">
        <w:tc>
          <w:tcPr>
            <w:tcW w:w="3402" w:type="dxa"/>
          </w:tcPr>
          <w:p w14:paraId="6082367C"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respiratory system </w:t>
            </w:r>
          </w:p>
        </w:tc>
        <w:tc>
          <w:tcPr>
            <w:tcW w:w="1701" w:type="dxa"/>
          </w:tcPr>
          <w:p w14:paraId="7E712875" w14:textId="77777777" w:rsidR="00E53B6B" w:rsidRPr="00D83B72" w:rsidRDefault="00E53B6B" w:rsidP="00CA0D72">
            <w:pPr>
              <w:spacing w:before="20" w:after="20"/>
              <w:ind w:right="-3"/>
              <w:rPr>
                <w:color w:val="000000"/>
                <w:sz w:val="20"/>
                <w:szCs w:val="20"/>
              </w:rPr>
            </w:pPr>
            <w:r w:rsidRPr="00D83B72">
              <w:rPr>
                <w:color w:val="000000"/>
                <w:sz w:val="20"/>
                <w:szCs w:val="20"/>
              </w:rPr>
              <w:t>4.60%</w:t>
            </w:r>
          </w:p>
        </w:tc>
        <w:tc>
          <w:tcPr>
            <w:tcW w:w="1239" w:type="dxa"/>
          </w:tcPr>
          <w:p w14:paraId="562A028B" w14:textId="77777777" w:rsidR="00E53B6B" w:rsidRPr="00D83B72" w:rsidRDefault="00E53B6B" w:rsidP="00CA0D72">
            <w:pPr>
              <w:spacing w:before="20" w:after="20"/>
              <w:ind w:right="-3"/>
              <w:rPr>
                <w:color w:val="000000"/>
                <w:sz w:val="20"/>
                <w:szCs w:val="20"/>
              </w:rPr>
            </w:pPr>
            <w:r w:rsidRPr="00D83B72">
              <w:rPr>
                <w:color w:val="000000"/>
                <w:sz w:val="20"/>
                <w:szCs w:val="20"/>
              </w:rPr>
              <w:t>4.60%</w:t>
            </w:r>
          </w:p>
        </w:tc>
        <w:tc>
          <w:tcPr>
            <w:tcW w:w="1172" w:type="dxa"/>
          </w:tcPr>
          <w:p w14:paraId="24B079DF" w14:textId="77777777" w:rsidR="00E53B6B" w:rsidRPr="00D83B72" w:rsidRDefault="00E53B6B" w:rsidP="00CA0D72">
            <w:pPr>
              <w:spacing w:before="20" w:after="20"/>
              <w:ind w:right="-3"/>
              <w:rPr>
                <w:color w:val="000000"/>
                <w:sz w:val="20"/>
                <w:szCs w:val="20"/>
              </w:rPr>
            </w:pPr>
            <w:r w:rsidRPr="00D83B72">
              <w:rPr>
                <w:color w:val="000000"/>
                <w:sz w:val="20"/>
                <w:szCs w:val="20"/>
              </w:rPr>
              <w:t>5.00%</w:t>
            </w:r>
          </w:p>
        </w:tc>
        <w:tc>
          <w:tcPr>
            <w:tcW w:w="761" w:type="dxa"/>
          </w:tcPr>
          <w:p w14:paraId="21401EA7" w14:textId="77777777" w:rsidR="00E53B6B" w:rsidRPr="00D83B72" w:rsidRDefault="00E53B6B" w:rsidP="00CA0D72">
            <w:pPr>
              <w:spacing w:before="20" w:after="20"/>
              <w:ind w:right="-3"/>
              <w:rPr>
                <w:sz w:val="20"/>
                <w:szCs w:val="20"/>
              </w:rPr>
            </w:pPr>
          </w:p>
        </w:tc>
        <w:tc>
          <w:tcPr>
            <w:tcW w:w="1572" w:type="dxa"/>
          </w:tcPr>
          <w:p w14:paraId="33E4C0D0" w14:textId="77777777" w:rsidR="00E53B6B" w:rsidRPr="00D83B72" w:rsidRDefault="00E53B6B" w:rsidP="00CA0D72">
            <w:pPr>
              <w:spacing w:before="20" w:after="20"/>
              <w:ind w:right="-3"/>
              <w:rPr>
                <w:sz w:val="20"/>
                <w:szCs w:val="20"/>
              </w:rPr>
            </w:pPr>
          </w:p>
        </w:tc>
      </w:tr>
      <w:tr w:rsidR="00E53B6B" w:rsidRPr="00D83B72" w14:paraId="1E07138D" w14:textId="77777777" w:rsidTr="009F2D50">
        <w:tc>
          <w:tcPr>
            <w:tcW w:w="3402" w:type="dxa"/>
          </w:tcPr>
          <w:p w14:paraId="6318F340"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digestive system</w:t>
            </w:r>
          </w:p>
        </w:tc>
        <w:tc>
          <w:tcPr>
            <w:tcW w:w="1701" w:type="dxa"/>
          </w:tcPr>
          <w:p w14:paraId="4F38DCBA" w14:textId="77777777" w:rsidR="00E53B6B" w:rsidRPr="00D83B72" w:rsidRDefault="00E53B6B" w:rsidP="00CA0D72">
            <w:pPr>
              <w:spacing w:before="20" w:after="20"/>
              <w:ind w:right="-3"/>
              <w:rPr>
                <w:color w:val="000000"/>
                <w:sz w:val="20"/>
                <w:szCs w:val="20"/>
              </w:rPr>
            </w:pPr>
            <w:r w:rsidRPr="00D83B72">
              <w:rPr>
                <w:color w:val="000000"/>
                <w:sz w:val="20"/>
                <w:szCs w:val="20"/>
              </w:rPr>
              <w:t>2.80%</w:t>
            </w:r>
          </w:p>
        </w:tc>
        <w:tc>
          <w:tcPr>
            <w:tcW w:w="1239" w:type="dxa"/>
          </w:tcPr>
          <w:p w14:paraId="5378BCC9" w14:textId="77777777" w:rsidR="00E53B6B" w:rsidRPr="00D83B72" w:rsidRDefault="00E53B6B" w:rsidP="00CA0D72">
            <w:pPr>
              <w:spacing w:before="20" w:after="20"/>
              <w:ind w:right="-3"/>
              <w:rPr>
                <w:color w:val="000000"/>
                <w:sz w:val="20"/>
                <w:szCs w:val="20"/>
              </w:rPr>
            </w:pPr>
            <w:r w:rsidRPr="00D83B72">
              <w:rPr>
                <w:color w:val="000000"/>
                <w:sz w:val="20"/>
                <w:szCs w:val="20"/>
              </w:rPr>
              <w:t>3.80%</w:t>
            </w:r>
          </w:p>
        </w:tc>
        <w:tc>
          <w:tcPr>
            <w:tcW w:w="1172" w:type="dxa"/>
          </w:tcPr>
          <w:p w14:paraId="59EF5677" w14:textId="77777777" w:rsidR="00E53B6B" w:rsidRPr="00D83B72" w:rsidRDefault="00E53B6B" w:rsidP="00CA0D72">
            <w:pPr>
              <w:spacing w:before="20" w:after="20"/>
              <w:ind w:right="-3"/>
              <w:rPr>
                <w:color w:val="000000"/>
                <w:sz w:val="20"/>
                <w:szCs w:val="20"/>
              </w:rPr>
            </w:pPr>
            <w:r w:rsidRPr="00D83B72">
              <w:rPr>
                <w:color w:val="000000"/>
                <w:sz w:val="20"/>
                <w:szCs w:val="20"/>
              </w:rPr>
              <w:t>1.90%</w:t>
            </w:r>
          </w:p>
        </w:tc>
        <w:tc>
          <w:tcPr>
            <w:tcW w:w="761" w:type="dxa"/>
          </w:tcPr>
          <w:p w14:paraId="4DD4FF34" w14:textId="77777777" w:rsidR="00E53B6B" w:rsidRPr="00D83B72" w:rsidRDefault="00E53B6B" w:rsidP="00CA0D72">
            <w:pPr>
              <w:spacing w:before="20" w:after="20"/>
              <w:ind w:right="-3"/>
              <w:rPr>
                <w:sz w:val="20"/>
                <w:szCs w:val="20"/>
              </w:rPr>
            </w:pPr>
          </w:p>
        </w:tc>
        <w:tc>
          <w:tcPr>
            <w:tcW w:w="1572" w:type="dxa"/>
          </w:tcPr>
          <w:p w14:paraId="7F4F3DE9" w14:textId="77777777" w:rsidR="00E53B6B" w:rsidRPr="00D83B72" w:rsidRDefault="00E53B6B" w:rsidP="00CA0D72">
            <w:pPr>
              <w:spacing w:before="20" w:after="20"/>
              <w:ind w:right="-3"/>
              <w:rPr>
                <w:sz w:val="20"/>
                <w:szCs w:val="20"/>
              </w:rPr>
            </w:pPr>
          </w:p>
        </w:tc>
      </w:tr>
      <w:tr w:rsidR="00E53B6B" w:rsidRPr="00D83B72" w14:paraId="7F4721DE" w14:textId="77777777" w:rsidTr="009F2D50">
        <w:tc>
          <w:tcPr>
            <w:tcW w:w="3402" w:type="dxa"/>
          </w:tcPr>
          <w:p w14:paraId="1085BE19"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skin and subcutaneous tissue</w:t>
            </w:r>
          </w:p>
        </w:tc>
        <w:tc>
          <w:tcPr>
            <w:tcW w:w="1701" w:type="dxa"/>
          </w:tcPr>
          <w:p w14:paraId="75DA8F8F" w14:textId="77777777" w:rsidR="00E53B6B" w:rsidRPr="00D83B72" w:rsidRDefault="00E53B6B" w:rsidP="00CA0D72">
            <w:pPr>
              <w:spacing w:before="20" w:after="20"/>
              <w:ind w:right="-3"/>
              <w:rPr>
                <w:color w:val="000000"/>
                <w:sz w:val="20"/>
                <w:szCs w:val="20"/>
              </w:rPr>
            </w:pPr>
            <w:r w:rsidRPr="00D83B72">
              <w:rPr>
                <w:color w:val="000000"/>
                <w:sz w:val="20"/>
                <w:szCs w:val="20"/>
              </w:rPr>
              <w:t>0.90%</w:t>
            </w:r>
          </w:p>
        </w:tc>
        <w:tc>
          <w:tcPr>
            <w:tcW w:w="1239" w:type="dxa"/>
          </w:tcPr>
          <w:p w14:paraId="5CC24FEB" w14:textId="77777777" w:rsidR="00E53B6B" w:rsidRPr="00D83B72" w:rsidRDefault="00E53B6B" w:rsidP="00CA0D72">
            <w:pPr>
              <w:spacing w:before="20" w:after="20"/>
              <w:ind w:right="-3"/>
              <w:rPr>
                <w:color w:val="000000"/>
                <w:sz w:val="20"/>
                <w:szCs w:val="20"/>
              </w:rPr>
            </w:pPr>
            <w:r w:rsidRPr="00D83B72">
              <w:rPr>
                <w:color w:val="000000"/>
                <w:sz w:val="20"/>
                <w:szCs w:val="20"/>
              </w:rPr>
              <w:t>0.90%</w:t>
            </w:r>
          </w:p>
        </w:tc>
        <w:tc>
          <w:tcPr>
            <w:tcW w:w="1172" w:type="dxa"/>
          </w:tcPr>
          <w:p w14:paraId="2580C4A9" w14:textId="77777777" w:rsidR="00E53B6B" w:rsidRPr="00D83B72" w:rsidRDefault="00E53B6B" w:rsidP="00CA0D72">
            <w:pPr>
              <w:spacing w:before="20" w:after="20"/>
              <w:ind w:right="-3"/>
              <w:rPr>
                <w:color w:val="000000"/>
                <w:sz w:val="20"/>
                <w:szCs w:val="20"/>
              </w:rPr>
            </w:pPr>
            <w:r w:rsidRPr="00D83B72">
              <w:rPr>
                <w:color w:val="000000"/>
                <w:sz w:val="20"/>
                <w:szCs w:val="20"/>
              </w:rPr>
              <w:t>1.10%</w:t>
            </w:r>
          </w:p>
        </w:tc>
        <w:tc>
          <w:tcPr>
            <w:tcW w:w="761" w:type="dxa"/>
          </w:tcPr>
          <w:p w14:paraId="58055C83" w14:textId="77777777" w:rsidR="00E53B6B" w:rsidRPr="00D83B72" w:rsidRDefault="00E53B6B" w:rsidP="00CA0D72">
            <w:pPr>
              <w:spacing w:before="20" w:after="20"/>
              <w:ind w:right="-3"/>
              <w:rPr>
                <w:iCs/>
                <w:color w:val="000000"/>
                <w:sz w:val="20"/>
                <w:szCs w:val="20"/>
              </w:rPr>
            </w:pPr>
          </w:p>
        </w:tc>
        <w:tc>
          <w:tcPr>
            <w:tcW w:w="1572" w:type="dxa"/>
          </w:tcPr>
          <w:p w14:paraId="60BAF49D" w14:textId="77777777" w:rsidR="00E53B6B" w:rsidRPr="00D83B72" w:rsidRDefault="00E53B6B" w:rsidP="00CA0D72">
            <w:pPr>
              <w:spacing w:before="20" w:after="20"/>
              <w:ind w:right="-3"/>
              <w:rPr>
                <w:iCs/>
                <w:color w:val="000000"/>
                <w:sz w:val="20"/>
                <w:szCs w:val="20"/>
              </w:rPr>
            </w:pPr>
          </w:p>
        </w:tc>
      </w:tr>
      <w:tr w:rsidR="00E53B6B" w:rsidRPr="00D83B72" w14:paraId="465D6001" w14:textId="77777777" w:rsidTr="009F2D50">
        <w:tc>
          <w:tcPr>
            <w:tcW w:w="3402" w:type="dxa"/>
          </w:tcPr>
          <w:p w14:paraId="66EB44FF"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musculoskeletal system &amp; connective tissue</w:t>
            </w:r>
          </w:p>
        </w:tc>
        <w:tc>
          <w:tcPr>
            <w:tcW w:w="1701" w:type="dxa"/>
          </w:tcPr>
          <w:p w14:paraId="6AC2D482" w14:textId="77777777" w:rsidR="00E53B6B" w:rsidRPr="00D83B72" w:rsidRDefault="00E53B6B" w:rsidP="00CA0D72">
            <w:pPr>
              <w:spacing w:before="20" w:after="20"/>
              <w:ind w:right="-3"/>
              <w:rPr>
                <w:color w:val="000000"/>
                <w:sz w:val="20"/>
                <w:szCs w:val="20"/>
              </w:rPr>
            </w:pPr>
            <w:r w:rsidRPr="00D83B72">
              <w:rPr>
                <w:color w:val="000000"/>
                <w:sz w:val="20"/>
                <w:szCs w:val="20"/>
              </w:rPr>
              <w:t>4.60%</w:t>
            </w:r>
          </w:p>
        </w:tc>
        <w:tc>
          <w:tcPr>
            <w:tcW w:w="1239" w:type="dxa"/>
          </w:tcPr>
          <w:p w14:paraId="4F5F7251" w14:textId="77777777" w:rsidR="00E53B6B" w:rsidRPr="00D83B72" w:rsidRDefault="00E53B6B" w:rsidP="00CA0D72">
            <w:pPr>
              <w:spacing w:before="20" w:after="20"/>
              <w:ind w:right="-3"/>
              <w:rPr>
                <w:color w:val="000000"/>
                <w:sz w:val="20"/>
                <w:szCs w:val="20"/>
              </w:rPr>
            </w:pPr>
            <w:r w:rsidRPr="00D83B72">
              <w:rPr>
                <w:color w:val="000000"/>
                <w:sz w:val="20"/>
                <w:szCs w:val="20"/>
              </w:rPr>
              <w:t>5.90%</w:t>
            </w:r>
          </w:p>
        </w:tc>
        <w:tc>
          <w:tcPr>
            <w:tcW w:w="1172" w:type="dxa"/>
          </w:tcPr>
          <w:p w14:paraId="1BB16744" w14:textId="77777777" w:rsidR="00E53B6B" w:rsidRPr="00D83B72" w:rsidRDefault="00E53B6B" w:rsidP="00CA0D72">
            <w:pPr>
              <w:spacing w:before="20" w:after="20"/>
              <w:ind w:right="-3"/>
              <w:rPr>
                <w:color w:val="000000"/>
                <w:sz w:val="20"/>
                <w:szCs w:val="20"/>
              </w:rPr>
            </w:pPr>
            <w:r w:rsidRPr="00D83B72">
              <w:rPr>
                <w:color w:val="000000"/>
                <w:sz w:val="20"/>
                <w:szCs w:val="20"/>
              </w:rPr>
              <w:t>3.40%</w:t>
            </w:r>
          </w:p>
        </w:tc>
        <w:tc>
          <w:tcPr>
            <w:tcW w:w="761" w:type="dxa"/>
          </w:tcPr>
          <w:p w14:paraId="7FD36D5F" w14:textId="77777777" w:rsidR="00E53B6B" w:rsidRPr="00D83B72" w:rsidRDefault="00E53B6B" w:rsidP="00CA0D72">
            <w:pPr>
              <w:spacing w:before="20" w:after="20"/>
              <w:ind w:right="-3"/>
              <w:rPr>
                <w:color w:val="000000"/>
                <w:sz w:val="20"/>
                <w:szCs w:val="20"/>
              </w:rPr>
            </w:pPr>
          </w:p>
        </w:tc>
        <w:tc>
          <w:tcPr>
            <w:tcW w:w="1572" w:type="dxa"/>
          </w:tcPr>
          <w:p w14:paraId="6D17D543" w14:textId="77777777" w:rsidR="00E53B6B" w:rsidRPr="00D83B72" w:rsidRDefault="00E53B6B" w:rsidP="00CA0D72">
            <w:pPr>
              <w:spacing w:before="20" w:after="20"/>
              <w:ind w:right="-3"/>
              <w:rPr>
                <w:color w:val="000000"/>
                <w:sz w:val="20"/>
                <w:szCs w:val="20"/>
              </w:rPr>
            </w:pPr>
          </w:p>
        </w:tc>
      </w:tr>
      <w:tr w:rsidR="00E53B6B" w:rsidRPr="00D83B72" w14:paraId="4FF37EC0" w14:textId="77777777" w:rsidTr="009F2D50">
        <w:tc>
          <w:tcPr>
            <w:tcW w:w="3402" w:type="dxa"/>
          </w:tcPr>
          <w:p w14:paraId="0738D92A"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Diseases of the genitourinary system  </w:t>
            </w:r>
          </w:p>
        </w:tc>
        <w:tc>
          <w:tcPr>
            <w:tcW w:w="1701" w:type="dxa"/>
          </w:tcPr>
          <w:p w14:paraId="2AEFC8B9" w14:textId="77777777" w:rsidR="00E53B6B" w:rsidRPr="00D83B72" w:rsidRDefault="00E53B6B" w:rsidP="00CA0D72">
            <w:pPr>
              <w:spacing w:before="20" w:after="20"/>
              <w:ind w:right="-3"/>
              <w:rPr>
                <w:color w:val="000000"/>
                <w:sz w:val="20"/>
                <w:szCs w:val="20"/>
              </w:rPr>
            </w:pPr>
            <w:r w:rsidRPr="00D83B72">
              <w:rPr>
                <w:color w:val="000000"/>
                <w:sz w:val="20"/>
                <w:szCs w:val="20"/>
              </w:rPr>
              <w:t>2.10%</w:t>
            </w:r>
          </w:p>
        </w:tc>
        <w:tc>
          <w:tcPr>
            <w:tcW w:w="1239" w:type="dxa"/>
          </w:tcPr>
          <w:p w14:paraId="4BF417FB" w14:textId="77777777" w:rsidR="00E53B6B" w:rsidRPr="00D83B72" w:rsidRDefault="00E53B6B" w:rsidP="00CA0D72">
            <w:pPr>
              <w:spacing w:before="20" w:after="20"/>
              <w:ind w:right="-3"/>
              <w:rPr>
                <w:color w:val="000000"/>
                <w:sz w:val="20"/>
                <w:szCs w:val="20"/>
              </w:rPr>
            </w:pPr>
            <w:r w:rsidRPr="00D83B72">
              <w:rPr>
                <w:color w:val="000000"/>
                <w:sz w:val="20"/>
                <w:szCs w:val="20"/>
              </w:rPr>
              <w:t>2.80%</w:t>
            </w:r>
          </w:p>
        </w:tc>
        <w:tc>
          <w:tcPr>
            <w:tcW w:w="1172" w:type="dxa"/>
          </w:tcPr>
          <w:p w14:paraId="6E48C98E" w14:textId="77777777" w:rsidR="00E53B6B" w:rsidRPr="00D83B72" w:rsidRDefault="00E53B6B" w:rsidP="00CA0D72">
            <w:pPr>
              <w:spacing w:before="20" w:after="20"/>
              <w:ind w:right="-3"/>
              <w:rPr>
                <w:color w:val="000000"/>
                <w:sz w:val="20"/>
                <w:szCs w:val="20"/>
              </w:rPr>
            </w:pPr>
            <w:r w:rsidRPr="00D83B72">
              <w:rPr>
                <w:color w:val="000000"/>
                <w:sz w:val="20"/>
                <w:szCs w:val="20"/>
              </w:rPr>
              <w:t>1.70%</w:t>
            </w:r>
          </w:p>
        </w:tc>
        <w:tc>
          <w:tcPr>
            <w:tcW w:w="761" w:type="dxa"/>
          </w:tcPr>
          <w:p w14:paraId="79693076" w14:textId="77777777" w:rsidR="00E53B6B" w:rsidRPr="00D83B72" w:rsidRDefault="00E53B6B" w:rsidP="00CA0D72">
            <w:pPr>
              <w:spacing w:before="20" w:after="20"/>
              <w:ind w:right="-3"/>
              <w:rPr>
                <w:sz w:val="20"/>
                <w:szCs w:val="20"/>
              </w:rPr>
            </w:pPr>
          </w:p>
        </w:tc>
        <w:tc>
          <w:tcPr>
            <w:tcW w:w="1572" w:type="dxa"/>
          </w:tcPr>
          <w:p w14:paraId="53752404" w14:textId="77777777" w:rsidR="00E53B6B" w:rsidRPr="00D83B72" w:rsidRDefault="00E53B6B" w:rsidP="00CA0D72">
            <w:pPr>
              <w:spacing w:before="20" w:after="20"/>
              <w:ind w:right="-3"/>
              <w:rPr>
                <w:sz w:val="20"/>
                <w:szCs w:val="20"/>
              </w:rPr>
            </w:pPr>
          </w:p>
        </w:tc>
      </w:tr>
      <w:tr w:rsidR="00E53B6B" w:rsidRPr="00D83B72" w14:paraId="4B2F6A66" w14:textId="77777777" w:rsidTr="009F2D50">
        <w:tc>
          <w:tcPr>
            <w:tcW w:w="3402" w:type="dxa"/>
          </w:tcPr>
          <w:p w14:paraId="4B5268A9" w14:textId="77777777" w:rsidR="00E53B6B" w:rsidRPr="00D83B72" w:rsidRDefault="00E53B6B" w:rsidP="00CA0D72">
            <w:pPr>
              <w:spacing w:before="20" w:after="20"/>
              <w:ind w:right="-3"/>
              <w:rPr>
                <w:color w:val="000000"/>
                <w:sz w:val="20"/>
                <w:szCs w:val="20"/>
              </w:rPr>
            </w:pPr>
            <w:r w:rsidRPr="00D83B72">
              <w:rPr>
                <w:iCs/>
                <w:color w:val="000000"/>
                <w:sz w:val="20"/>
                <w:szCs w:val="20"/>
              </w:rPr>
              <w:t xml:space="preserve">  Congenital malformations, deformations </w:t>
            </w:r>
            <w:r w:rsidRPr="00D83B72">
              <w:rPr>
                <w:color w:val="000000"/>
                <w:sz w:val="20"/>
                <w:szCs w:val="20"/>
              </w:rPr>
              <w:t>0%</w:t>
            </w:r>
          </w:p>
        </w:tc>
        <w:tc>
          <w:tcPr>
            <w:tcW w:w="1701" w:type="dxa"/>
          </w:tcPr>
          <w:p w14:paraId="3385FE3A" w14:textId="77777777" w:rsidR="00E53B6B" w:rsidRPr="00D83B72" w:rsidRDefault="00E53B6B" w:rsidP="00CA0D72">
            <w:pPr>
              <w:spacing w:before="20" w:after="20"/>
              <w:ind w:right="-3"/>
              <w:rPr>
                <w:color w:val="000000"/>
                <w:sz w:val="20"/>
                <w:szCs w:val="20"/>
              </w:rPr>
            </w:pPr>
            <w:r w:rsidRPr="00D83B72">
              <w:rPr>
                <w:color w:val="000000"/>
                <w:sz w:val="20"/>
                <w:szCs w:val="20"/>
              </w:rPr>
              <w:t>0%</w:t>
            </w:r>
          </w:p>
        </w:tc>
        <w:tc>
          <w:tcPr>
            <w:tcW w:w="1239" w:type="dxa"/>
          </w:tcPr>
          <w:p w14:paraId="3676C0F3" w14:textId="77777777" w:rsidR="00E53B6B" w:rsidRPr="00D83B72" w:rsidRDefault="00E53B6B" w:rsidP="00CA0D72">
            <w:pPr>
              <w:spacing w:before="20" w:after="20"/>
              <w:ind w:right="-3"/>
              <w:rPr>
                <w:color w:val="000000"/>
                <w:sz w:val="20"/>
                <w:szCs w:val="20"/>
              </w:rPr>
            </w:pPr>
            <w:r w:rsidRPr="00D83B72">
              <w:rPr>
                <w:color w:val="000000"/>
                <w:sz w:val="20"/>
                <w:szCs w:val="20"/>
              </w:rPr>
              <w:t>0%</w:t>
            </w:r>
          </w:p>
        </w:tc>
        <w:tc>
          <w:tcPr>
            <w:tcW w:w="1172" w:type="dxa"/>
          </w:tcPr>
          <w:p w14:paraId="04D507DE" w14:textId="77777777" w:rsidR="00E53B6B" w:rsidRPr="00D83B72" w:rsidRDefault="00E53B6B" w:rsidP="00CA0D72">
            <w:pPr>
              <w:spacing w:before="20" w:after="20"/>
              <w:ind w:right="-3"/>
              <w:rPr>
                <w:sz w:val="20"/>
                <w:szCs w:val="20"/>
              </w:rPr>
            </w:pPr>
          </w:p>
        </w:tc>
        <w:tc>
          <w:tcPr>
            <w:tcW w:w="761" w:type="dxa"/>
          </w:tcPr>
          <w:p w14:paraId="7B9B7E1A" w14:textId="77777777" w:rsidR="00E53B6B" w:rsidRPr="00D83B72" w:rsidRDefault="00E53B6B" w:rsidP="00CA0D72">
            <w:pPr>
              <w:spacing w:before="20" w:after="20"/>
              <w:ind w:right="-3"/>
              <w:rPr>
                <w:sz w:val="20"/>
                <w:szCs w:val="20"/>
              </w:rPr>
            </w:pPr>
          </w:p>
        </w:tc>
        <w:tc>
          <w:tcPr>
            <w:tcW w:w="1572" w:type="dxa"/>
          </w:tcPr>
          <w:p w14:paraId="17419CF7" w14:textId="77777777" w:rsidR="00E53B6B" w:rsidRPr="00D83B72" w:rsidRDefault="00E53B6B" w:rsidP="00CA0D72">
            <w:pPr>
              <w:spacing w:before="20" w:after="20"/>
              <w:ind w:right="-3"/>
              <w:rPr>
                <w:sz w:val="20"/>
                <w:szCs w:val="20"/>
              </w:rPr>
            </w:pPr>
          </w:p>
        </w:tc>
      </w:tr>
      <w:tr w:rsidR="00E53B6B" w:rsidRPr="00D83B72" w14:paraId="68725BBD" w14:textId="77777777" w:rsidTr="009F2D50">
        <w:tc>
          <w:tcPr>
            <w:tcW w:w="3402" w:type="dxa"/>
          </w:tcPr>
          <w:p w14:paraId="7511AD82" w14:textId="77777777" w:rsidR="00E53B6B" w:rsidRPr="00D83B72" w:rsidRDefault="00E53B6B" w:rsidP="00CA0D72">
            <w:pPr>
              <w:spacing w:before="20" w:after="20"/>
              <w:ind w:right="-3"/>
              <w:rPr>
                <w:iCs/>
                <w:color w:val="000000"/>
                <w:sz w:val="20"/>
                <w:szCs w:val="20"/>
              </w:rPr>
            </w:pPr>
            <w:r w:rsidRPr="00D83B72">
              <w:rPr>
                <w:iCs/>
                <w:color w:val="000000"/>
                <w:sz w:val="20"/>
                <w:szCs w:val="20"/>
              </w:rPr>
              <w:t xml:space="preserve">  Injury, poisoning and other </w:t>
            </w:r>
            <w:r w:rsidRPr="00D83B72">
              <w:rPr>
                <w:iCs/>
                <w:color w:val="000000"/>
                <w:sz w:val="20"/>
                <w:szCs w:val="20"/>
              </w:rPr>
              <w:lastRenderedPageBreak/>
              <w:t xml:space="preserve">consequences of ext. trauma </w:t>
            </w:r>
          </w:p>
        </w:tc>
        <w:tc>
          <w:tcPr>
            <w:tcW w:w="1701" w:type="dxa"/>
          </w:tcPr>
          <w:p w14:paraId="423A47FE" w14:textId="77777777" w:rsidR="00E53B6B" w:rsidRPr="00D83B72" w:rsidRDefault="00E53B6B" w:rsidP="00CA0D72">
            <w:pPr>
              <w:spacing w:before="20" w:after="20"/>
              <w:ind w:right="-3"/>
              <w:rPr>
                <w:color w:val="000000"/>
                <w:sz w:val="20"/>
                <w:szCs w:val="20"/>
              </w:rPr>
            </w:pPr>
            <w:r w:rsidRPr="00D83B72">
              <w:rPr>
                <w:color w:val="000000"/>
                <w:sz w:val="20"/>
                <w:szCs w:val="20"/>
              </w:rPr>
              <w:lastRenderedPageBreak/>
              <w:t>24.10%</w:t>
            </w:r>
          </w:p>
        </w:tc>
        <w:tc>
          <w:tcPr>
            <w:tcW w:w="1239" w:type="dxa"/>
          </w:tcPr>
          <w:p w14:paraId="50E8A72D" w14:textId="77777777" w:rsidR="00E53B6B" w:rsidRPr="00D83B72" w:rsidRDefault="00E53B6B" w:rsidP="00CA0D72">
            <w:pPr>
              <w:spacing w:before="20" w:after="20"/>
              <w:ind w:right="-3"/>
              <w:rPr>
                <w:color w:val="000000"/>
                <w:sz w:val="20"/>
                <w:szCs w:val="20"/>
              </w:rPr>
            </w:pPr>
            <w:r w:rsidRPr="00D83B72">
              <w:rPr>
                <w:color w:val="000000"/>
                <w:sz w:val="20"/>
                <w:szCs w:val="20"/>
              </w:rPr>
              <w:t>26.40%</w:t>
            </w:r>
          </w:p>
        </w:tc>
        <w:tc>
          <w:tcPr>
            <w:tcW w:w="1172" w:type="dxa"/>
          </w:tcPr>
          <w:p w14:paraId="08624344" w14:textId="77777777" w:rsidR="00E53B6B" w:rsidRPr="00D83B72" w:rsidRDefault="00E53B6B" w:rsidP="00CA0D72">
            <w:pPr>
              <w:spacing w:before="20" w:after="20"/>
              <w:ind w:right="-3"/>
              <w:rPr>
                <w:color w:val="000000"/>
                <w:sz w:val="20"/>
                <w:szCs w:val="20"/>
              </w:rPr>
            </w:pPr>
            <w:r w:rsidRPr="00D83B72">
              <w:rPr>
                <w:color w:val="000000"/>
                <w:sz w:val="20"/>
                <w:szCs w:val="20"/>
              </w:rPr>
              <w:t>20.30%</w:t>
            </w:r>
          </w:p>
        </w:tc>
        <w:tc>
          <w:tcPr>
            <w:tcW w:w="761" w:type="dxa"/>
          </w:tcPr>
          <w:p w14:paraId="3CBB39FB" w14:textId="77777777" w:rsidR="00E53B6B" w:rsidRPr="00D83B72" w:rsidRDefault="00E53B6B" w:rsidP="00CA0D72">
            <w:pPr>
              <w:spacing w:before="20" w:after="20"/>
              <w:ind w:right="-3"/>
              <w:rPr>
                <w:iCs/>
                <w:color w:val="000000"/>
                <w:sz w:val="20"/>
                <w:szCs w:val="20"/>
              </w:rPr>
            </w:pPr>
          </w:p>
        </w:tc>
        <w:tc>
          <w:tcPr>
            <w:tcW w:w="1572" w:type="dxa"/>
          </w:tcPr>
          <w:p w14:paraId="75AC2773" w14:textId="77777777" w:rsidR="00E53B6B" w:rsidRPr="00D83B72" w:rsidRDefault="00E53B6B" w:rsidP="00CA0D72">
            <w:pPr>
              <w:spacing w:before="20" w:after="20"/>
              <w:ind w:right="-3"/>
              <w:rPr>
                <w:iCs/>
                <w:color w:val="000000"/>
                <w:sz w:val="20"/>
                <w:szCs w:val="20"/>
              </w:rPr>
            </w:pPr>
          </w:p>
        </w:tc>
      </w:tr>
      <w:tr w:rsidR="00E53B6B" w:rsidRPr="00D83B72" w14:paraId="6CCBD2E3" w14:textId="77777777" w:rsidTr="009F2D50">
        <w:tc>
          <w:tcPr>
            <w:tcW w:w="3402" w:type="dxa"/>
          </w:tcPr>
          <w:p w14:paraId="06365055" w14:textId="77777777" w:rsidR="00E53B6B" w:rsidRPr="00D83B72" w:rsidRDefault="00E53B6B" w:rsidP="00CA0D72">
            <w:pPr>
              <w:spacing w:before="20" w:after="20"/>
              <w:ind w:right="-3"/>
              <w:rPr>
                <w:color w:val="000000"/>
                <w:sz w:val="20"/>
                <w:szCs w:val="20"/>
              </w:rPr>
            </w:pPr>
            <w:r w:rsidRPr="00D83B72">
              <w:rPr>
                <w:iCs/>
                <w:color w:val="000000"/>
                <w:sz w:val="20"/>
                <w:szCs w:val="20"/>
              </w:rPr>
              <w:lastRenderedPageBreak/>
              <w:t xml:space="preserve">  Symptoms, signs not otherwise classified </w:t>
            </w:r>
            <w:r w:rsidRPr="00D83B72">
              <w:rPr>
                <w:color w:val="000000"/>
                <w:sz w:val="20"/>
                <w:szCs w:val="20"/>
              </w:rPr>
              <w:t>11.00%</w:t>
            </w:r>
          </w:p>
        </w:tc>
        <w:tc>
          <w:tcPr>
            <w:tcW w:w="1701" w:type="dxa"/>
          </w:tcPr>
          <w:p w14:paraId="6CB48B38" w14:textId="77777777" w:rsidR="00E53B6B" w:rsidRPr="00D83B72" w:rsidRDefault="00E53B6B" w:rsidP="00CA0D72">
            <w:pPr>
              <w:spacing w:before="20" w:after="20"/>
              <w:ind w:right="-3"/>
              <w:rPr>
                <w:color w:val="000000"/>
                <w:sz w:val="20"/>
                <w:szCs w:val="20"/>
              </w:rPr>
            </w:pPr>
            <w:r w:rsidRPr="00D83B72">
              <w:rPr>
                <w:color w:val="000000"/>
                <w:sz w:val="20"/>
                <w:szCs w:val="20"/>
              </w:rPr>
              <w:t>9.60%</w:t>
            </w:r>
          </w:p>
        </w:tc>
        <w:tc>
          <w:tcPr>
            <w:tcW w:w="1239" w:type="dxa"/>
          </w:tcPr>
          <w:p w14:paraId="654DC1FA" w14:textId="77777777" w:rsidR="00E53B6B" w:rsidRPr="00D83B72" w:rsidRDefault="00E53B6B" w:rsidP="00CA0D72">
            <w:pPr>
              <w:spacing w:before="20" w:after="20"/>
              <w:ind w:right="-3"/>
              <w:rPr>
                <w:color w:val="000000"/>
                <w:sz w:val="20"/>
                <w:szCs w:val="20"/>
              </w:rPr>
            </w:pPr>
            <w:r w:rsidRPr="00D83B72">
              <w:rPr>
                <w:color w:val="000000"/>
                <w:sz w:val="20"/>
                <w:szCs w:val="20"/>
              </w:rPr>
              <w:t>12.10%</w:t>
            </w:r>
          </w:p>
        </w:tc>
        <w:tc>
          <w:tcPr>
            <w:tcW w:w="1172" w:type="dxa"/>
          </w:tcPr>
          <w:p w14:paraId="73177D8B" w14:textId="77777777" w:rsidR="00E53B6B" w:rsidRPr="00D83B72" w:rsidRDefault="00E53B6B" w:rsidP="00CA0D72">
            <w:pPr>
              <w:spacing w:before="20" w:after="20"/>
              <w:ind w:right="-3"/>
              <w:rPr>
                <w:sz w:val="20"/>
                <w:szCs w:val="20"/>
              </w:rPr>
            </w:pPr>
          </w:p>
        </w:tc>
        <w:tc>
          <w:tcPr>
            <w:tcW w:w="761" w:type="dxa"/>
          </w:tcPr>
          <w:p w14:paraId="673822A6" w14:textId="77777777" w:rsidR="00E53B6B" w:rsidRPr="00D83B72" w:rsidRDefault="00E53B6B" w:rsidP="00CA0D72">
            <w:pPr>
              <w:spacing w:before="20" w:after="20"/>
              <w:ind w:right="-3"/>
              <w:rPr>
                <w:sz w:val="20"/>
                <w:szCs w:val="20"/>
              </w:rPr>
            </w:pPr>
          </w:p>
        </w:tc>
        <w:tc>
          <w:tcPr>
            <w:tcW w:w="1572" w:type="dxa"/>
          </w:tcPr>
          <w:p w14:paraId="6F961C62" w14:textId="77777777" w:rsidR="00E53B6B" w:rsidRPr="00D83B72" w:rsidRDefault="00E53B6B" w:rsidP="00CA0D72">
            <w:pPr>
              <w:spacing w:before="20" w:after="20"/>
              <w:ind w:right="-3"/>
              <w:rPr>
                <w:sz w:val="20"/>
                <w:szCs w:val="20"/>
              </w:rPr>
            </w:pPr>
          </w:p>
        </w:tc>
      </w:tr>
      <w:tr w:rsidR="00E53B6B" w:rsidRPr="00D83B72" w14:paraId="789ABF5C" w14:textId="77777777" w:rsidTr="009F2D50">
        <w:tc>
          <w:tcPr>
            <w:tcW w:w="3402" w:type="dxa"/>
          </w:tcPr>
          <w:p w14:paraId="62662EE5"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Time from ACAT to TCP admission </w:t>
            </w:r>
            <w:r w:rsidRPr="00D83B72">
              <w:rPr>
                <w:iCs/>
                <w:color w:val="000000"/>
                <w:sz w:val="20"/>
                <w:szCs w:val="20"/>
              </w:rPr>
              <w:t>median (IQR) days</w:t>
            </w:r>
          </w:p>
        </w:tc>
        <w:tc>
          <w:tcPr>
            <w:tcW w:w="1701" w:type="dxa"/>
          </w:tcPr>
          <w:p w14:paraId="0521FEB5" w14:textId="77777777" w:rsidR="00E53B6B" w:rsidRPr="00D83B72" w:rsidRDefault="00E53B6B" w:rsidP="00CA0D72">
            <w:pPr>
              <w:spacing w:before="20" w:after="20"/>
              <w:ind w:right="-3"/>
              <w:rPr>
                <w:color w:val="000000"/>
                <w:sz w:val="20"/>
                <w:szCs w:val="20"/>
              </w:rPr>
            </w:pPr>
            <w:r w:rsidRPr="00D83B72">
              <w:rPr>
                <w:color w:val="000000"/>
                <w:sz w:val="20"/>
                <w:szCs w:val="20"/>
              </w:rPr>
              <w:t>4 (1-8)</w:t>
            </w:r>
          </w:p>
        </w:tc>
        <w:tc>
          <w:tcPr>
            <w:tcW w:w="1239" w:type="dxa"/>
          </w:tcPr>
          <w:p w14:paraId="04350E5E" w14:textId="77777777" w:rsidR="00E53B6B" w:rsidRPr="00D83B72" w:rsidRDefault="00E53B6B" w:rsidP="00CA0D72">
            <w:pPr>
              <w:spacing w:before="20" w:after="20"/>
              <w:ind w:right="-3"/>
              <w:rPr>
                <w:color w:val="000000"/>
                <w:sz w:val="20"/>
                <w:szCs w:val="20"/>
              </w:rPr>
            </w:pPr>
            <w:r w:rsidRPr="00D83B72">
              <w:rPr>
                <w:color w:val="000000"/>
                <w:sz w:val="20"/>
                <w:szCs w:val="20"/>
              </w:rPr>
              <w:t>4 (2-8)</w:t>
            </w:r>
          </w:p>
        </w:tc>
        <w:tc>
          <w:tcPr>
            <w:tcW w:w="1172" w:type="dxa"/>
          </w:tcPr>
          <w:p w14:paraId="0274F0DD" w14:textId="77777777" w:rsidR="00E53B6B" w:rsidRPr="00D83B72" w:rsidRDefault="00E53B6B" w:rsidP="00CA0D72">
            <w:pPr>
              <w:spacing w:before="20" w:after="20"/>
              <w:ind w:right="-3"/>
              <w:rPr>
                <w:color w:val="000000"/>
                <w:sz w:val="20"/>
                <w:szCs w:val="20"/>
              </w:rPr>
            </w:pPr>
            <w:r w:rsidRPr="00D83B72">
              <w:rPr>
                <w:color w:val="000000"/>
                <w:sz w:val="20"/>
                <w:szCs w:val="20"/>
              </w:rPr>
              <w:t>4 (1-8)</w:t>
            </w:r>
          </w:p>
        </w:tc>
        <w:tc>
          <w:tcPr>
            <w:tcW w:w="761" w:type="dxa"/>
          </w:tcPr>
          <w:p w14:paraId="5B48F10D" w14:textId="77777777" w:rsidR="00E53B6B" w:rsidRPr="00D83B72" w:rsidRDefault="00E53B6B" w:rsidP="00CA0D72">
            <w:pPr>
              <w:spacing w:before="20" w:after="20"/>
              <w:ind w:right="-3"/>
              <w:rPr>
                <w:sz w:val="20"/>
                <w:szCs w:val="20"/>
              </w:rPr>
            </w:pPr>
            <w:r w:rsidRPr="00D83B72">
              <w:rPr>
                <w:sz w:val="20"/>
                <w:szCs w:val="20"/>
              </w:rPr>
              <w:t>2443</w:t>
            </w:r>
          </w:p>
        </w:tc>
        <w:tc>
          <w:tcPr>
            <w:tcW w:w="1572" w:type="dxa"/>
          </w:tcPr>
          <w:p w14:paraId="1854645B" w14:textId="77777777" w:rsidR="00E53B6B" w:rsidRPr="00D83B72" w:rsidRDefault="00E53B6B" w:rsidP="00CA0D72">
            <w:pPr>
              <w:spacing w:before="20" w:after="20"/>
              <w:ind w:right="-3"/>
              <w:rPr>
                <w:color w:val="000000"/>
                <w:sz w:val="20"/>
                <w:szCs w:val="20"/>
              </w:rPr>
            </w:pPr>
            <w:r w:rsidRPr="00D83B72">
              <w:rPr>
                <w:color w:val="000000"/>
                <w:sz w:val="20"/>
                <w:szCs w:val="20"/>
              </w:rPr>
              <w:t>ACCR/TCP</w:t>
            </w:r>
          </w:p>
        </w:tc>
      </w:tr>
      <w:tr w:rsidR="00E53B6B" w:rsidRPr="00D83B72" w14:paraId="31C63A58" w14:textId="77777777" w:rsidTr="009F2D50">
        <w:tc>
          <w:tcPr>
            <w:tcW w:w="3402" w:type="dxa"/>
          </w:tcPr>
          <w:p w14:paraId="63AC377D" w14:textId="77777777" w:rsidR="00E53B6B" w:rsidRPr="00D83B72" w:rsidRDefault="00E53B6B" w:rsidP="00CA0D72">
            <w:pPr>
              <w:spacing w:before="20" w:after="20"/>
              <w:ind w:right="-3"/>
              <w:rPr>
                <w:color w:val="000000"/>
                <w:sz w:val="20"/>
                <w:szCs w:val="20"/>
              </w:rPr>
            </w:pPr>
            <w:r w:rsidRPr="00D83B72">
              <w:rPr>
                <w:color w:val="000000"/>
                <w:sz w:val="20"/>
                <w:szCs w:val="20"/>
              </w:rPr>
              <w:t xml:space="preserve">Main language spoken at home </w:t>
            </w:r>
          </w:p>
        </w:tc>
        <w:tc>
          <w:tcPr>
            <w:tcW w:w="1701" w:type="dxa"/>
          </w:tcPr>
          <w:p w14:paraId="60D9950B" w14:textId="77777777" w:rsidR="00E53B6B" w:rsidRPr="00D83B72" w:rsidRDefault="00E53B6B" w:rsidP="00CA0D72">
            <w:pPr>
              <w:spacing w:before="20" w:after="20"/>
              <w:ind w:right="-3"/>
              <w:rPr>
                <w:color w:val="000000"/>
                <w:sz w:val="20"/>
                <w:szCs w:val="20"/>
              </w:rPr>
            </w:pPr>
          </w:p>
        </w:tc>
        <w:tc>
          <w:tcPr>
            <w:tcW w:w="1239" w:type="dxa"/>
          </w:tcPr>
          <w:p w14:paraId="1637B0A6" w14:textId="77777777" w:rsidR="00E53B6B" w:rsidRPr="00D83B72" w:rsidRDefault="00E53B6B" w:rsidP="00CA0D72">
            <w:pPr>
              <w:spacing w:before="20" w:after="20"/>
              <w:ind w:right="-3"/>
              <w:rPr>
                <w:color w:val="000000"/>
                <w:sz w:val="20"/>
                <w:szCs w:val="20"/>
              </w:rPr>
            </w:pPr>
          </w:p>
        </w:tc>
        <w:tc>
          <w:tcPr>
            <w:tcW w:w="1172" w:type="dxa"/>
          </w:tcPr>
          <w:p w14:paraId="71808820" w14:textId="77777777" w:rsidR="00E53B6B" w:rsidRPr="00D83B72" w:rsidRDefault="00E53B6B" w:rsidP="00CA0D72">
            <w:pPr>
              <w:spacing w:before="20" w:after="20"/>
              <w:ind w:right="-3"/>
              <w:rPr>
                <w:sz w:val="20"/>
                <w:szCs w:val="20"/>
              </w:rPr>
            </w:pPr>
          </w:p>
        </w:tc>
        <w:tc>
          <w:tcPr>
            <w:tcW w:w="761" w:type="dxa"/>
          </w:tcPr>
          <w:p w14:paraId="6AF319D3" w14:textId="77777777" w:rsidR="00E53B6B" w:rsidRPr="00D83B72" w:rsidRDefault="00E53B6B" w:rsidP="00CA0D72">
            <w:pPr>
              <w:spacing w:before="20" w:after="20"/>
              <w:ind w:right="-3"/>
              <w:rPr>
                <w:color w:val="000000"/>
                <w:sz w:val="20"/>
                <w:szCs w:val="20"/>
              </w:rPr>
            </w:pPr>
          </w:p>
        </w:tc>
        <w:tc>
          <w:tcPr>
            <w:tcW w:w="1572" w:type="dxa"/>
          </w:tcPr>
          <w:p w14:paraId="0B32AA91" w14:textId="77777777" w:rsidR="00E53B6B" w:rsidRPr="00D83B72" w:rsidRDefault="00E53B6B" w:rsidP="00CA0D72">
            <w:pPr>
              <w:spacing w:before="20" w:after="20"/>
              <w:ind w:right="-3"/>
              <w:rPr>
                <w:color w:val="000000"/>
                <w:sz w:val="20"/>
                <w:szCs w:val="20"/>
              </w:rPr>
            </w:pPr>
          </w:p>
        </w:tc>
      </w:tr>
      <w:tr w:rsidR="00E53B6B" w:rsidRPr="00D83B72" w14:paraId="32F7506B" w14:textId="77777777" w:rsidTr="009F2D50">
        <w:tc>
          <w:tcPr>
            <w:tcW w:w="3402" w:type="dxa"/>
          </w:tcPr>
          <w:p w14:paraId="1CB90841" w14:textId="77777777" w:rsidR="00E53B6B" w:rsidRPr="00D83B72" w:rsidRDefault="00E53B6B" w:rsidP="00CA0D72">
            <w:pPr>
              <w:spacing w:before="20" w:after="20"/>
              <w:ind w:right="-3"/>
              <w:rPr>
                <w:sz w:val="20"/>
                <w:szCs w:val="20"/>
              </w:rPr>
            </w:pPr>
            <w:r w:rsidRPr="00D83B72">
              <w:rPr>
                <w:sz w:val="20"/>
                <w:szCs w:val="20"/>
              </w:rPr>
              <w:t xml:space="preserve">  English</w:t>
            </w:r>
          </w:p>
        </w:tc>
        <w:tc>
          <w:tcPr>
            <w:tcW w:w="1701" w:type="dxa"/>
          </w:tcPr>
          <w:p w14:paraId="017E67A1" w14:textId="77777777" w:rsidR="00E53B6B" w:rsidRPr="00D83B72" w:rsidRDefault="00E53B6B" w:rsidP="00CA0D72">
            <w:pPr>
              <w:spacing w:before="20" w:after="20"/>
              <w:ind w:right="-3"/>
              <w:rPr>
                <w:sz w:val="20"/>
                <w:szCs w:val="20"/>
              </w:rPr>
            </w:pPr>
            <w:r w:rsidRPr="00D83B72">
              <w:rPr>
                <w:sz w:val="20"/>
                <w:szCs w:val="20"/>
              </w:rPr>
              <w:t>87%</w:t>
            </w:r>
          </w:p>
        </w:tc>
        <w:tc>
          <w:tcPr>
            <w:tcW w:w="1239" w:type="dxa"/>
          </w:tcPr>
          <w:p w14:paraId="695A3FF0" w14:textId="77777777" w:rsidR="00E53B6B" w:rsidRPr="00D83B72" w:rsidRDefault="00E53B6B" w:rsidP="00CA0D72">
            <w:pPr>
              <w:spacing w:before="20" w:after="20"/>
              <w:ind w:right="-3"/>
              <w:rPr>
                <w:sz w:val="20"/>
                <w:szCs w:val="20"/>
              </w:rPr>
            </w:pPr>
            <w:r w:rsidRPr="00D83B72">
              <w:rPr>
                <w:sz w:val="20"/>
                <w:szCs w:val="20"/>
              </w:rPr>
              <w:t>89%</w:t>
            </w:r>
          </w:p>
        </w:tc>
        <w:tc>
          <w:tcPr>
            <w:tcW w:w="1172" w:type="dxa"/>
          </w:tcPr>
          <w:p w14:paraId="4653B9B9" w14:textId="77777777" w:rsidR="00E53B6B" w:rsidRPr="00D83B72" w:rsidRDefault="00E53B6B" w:rsidP="00CA0D72">
            <w:pPr>
              <w:spacing w:before="20" w:after="20"/>
              <w:ind w:right="-3"/>
              <w:rPr>
                <w:sz w:val="20"/>
                <w:szCs w:val="20"/>
              </w:rPr>
            </w:pPr>
            <w:r w:rsidRPr="00D83B72">
              <w:rPr>
                <w:sz w:val="20"/>
                <w:szCs w:val="20"/>
              </w:rPr>
              <w:t>85%</w:t>
            </w:r>
          </w:p>
        </w:tc>
        <w:tc>
          <w:tcPr>
            <w:tcW w:w="761" w:type="dxa"/>
          </w:tcPr>
          <w:p w14:paraId="1508C3DA" w14:textId="77777777" w:rsidR="00E53B6B" w:rsidRPr="00D83B72" w:rsidRDefault="00E53B6B" w:rsidP="00CA0D72">
            <w:pPr>
              <w:spacing w:before="20" w:after="20"/>
              <w:ind w:right="-3"/>
              <w:rPr>
                <w:sz w:val="20"/>
                <w:szCs w:val="20"/>
              </w:rPr>
            </w:pPr>
          </w:p>
        </w:tc>
        <w:tc>
          <w:tcPr>
            <w:tcW w:w="1572" w:type="dxa"/>
          </w:tcPr>
          <w:p w14:paraId="0C4E4D47" w14:textId="77777777" w:rsidR="00E53B6B" w:rsidRPr="00D83B72" w:rsidRDefault="00E53B6B" w:rsidP="00CA0D72">
            <w:pPr>
              <w:spacing w:before="20" w:after="20"/>
              <w:ind w:right="-3"/>
              <w:rPr>
                <w:sz w:val="20"/>
                <w:szCs w:val="20"/>
              </w:rPr>
            </w:pPr>
          </w:p>
        </w:tc>
      </w:tr>
      <w:tr w:rsidR="00E53B6B" w:rsidRPr="00D83B72" w14:paraId="0DE7B1AD" w14:textId="77777777" w:rsidTr="009F2D50">
        <w:tc>
          <w:tcPr>
            <w:tcW w:w="3402" w:type="dxa"/>
          </w:tcPr>
          <w:p w14:paraId="54D4F87B" w14:textId="77777777" w:rsidR="00E53B6B" w:rsidRPr="00D83B72" w:rsidRDefault="00E53B6B" w:rsidP="00CA0D72">
            <w:pPr>
              <w:spacing w:before="20" w:after="20"/>
              <w:ind w:right="-3"/>
              <w:rPr>
                <w:sz w:val="20"/>
                <w:szCs w:val="20"/>
              </w:rPr>
            </w:pPr>
            <w:r w:rsidRPr="00D83B72">
              <w:rPr>
                <w:sz w:val="20"/>
                <w:szCs w:val="20"/>
              </w:rPr>
              <w:t xml:space="preserve">  German</w:t>
            </w:r>
          </w:p>
        </w:tc>
        <w:tc>
          <w:tcPr>
            <w:tcW w:w="1701" w:type="dxa"/>
          </w:tcPr>
          <w:p w14:paraId="094D57D6" w14:textId="77777777" w:rsidR="00E53B6B" w:rsidRPr="00D83B72" w:rsidRDefault="00E53B6B" w:rsidP="00CA0D72">
            <w:pPr>
              <w:spacing w:before="20" w:after="20"/>
              <w:ind w:right="-3"/>
              <w:rPr>
                <w:sz w:val="20"/>
                <w:szCs w:val="20"/>
              </w:rPr>
            </w:pPr>
            <w:r w:rsidRPr="00D83B72">
              <w:rPr>
                <w:sz w:val="20"/>
                <w:szCs w:val="20"/>
              </w:rPr>
              <w:t>1%</w:t>
            </w:r>
          </w:p>
        </w:tc>
        <w:tc>
          <w:tcPr>
            <w:tcW w:w="1239" w:type="dxa"/>
          </w:tcPr>
          <w:p w14:paraId="772F555A" w14:textId="77777777" w:rsidR="00E53B6B" w:rsidRPr="00D83B72" w:rsidRDefault="00E53B6B" w:rsidP="00CA0D72">
            <w:pPr>
              <w:spacing w:before="20" w:after="20"/>
              <w:ind w:right="-3"/>
              <w:rPr>
                <w:sz w:val="20"/>
                <w:szCs w:val="20"/>
              </w:rPr>
            </w:pPr>
            <w:r w:rsidRPr="00D83B72">
              <w:rPr>
                <w:sz w:val="20"/>
                <w:szCs w:val="20"/>
              </w:rPr>
              <w:t>0.30%</w:t>
            </w:r>
          </w:p>
        </w:tc>
        <w:tc>
          <w:tcPr>
            <w:tcW w:w="1172" w:type="dxa"/>
          </w:tcPr>
          <w:p w14:paraId="6DEA48C4" w14:textId="77777777" w:rsidR="00E53B6B" w:rsidRPr="00D83B72" w:rsidRDefault="00E53B6B" w:rsidP="00CA0D72">
            <w:pPr>
              <w:spacing w:before="20" w:after="20"/>
              <w:ind w:right="-3"/>
              <w:rPr>
                <w:sz w:val="20"/>
                <w:szCs w:val="20"/>
              </w:rPr>
            </w:pPr>
            <w:r w:rsidRPr="00D83B72">
              <w:rPr>
                <w:sz w:val="20"/>
                <w:szCs w:val="20"/>
              </w:rPr>
              <w:t>1%</w:t>
            </w:r>
          </w:p>
        </w:tc>
        <w:tc>
          <w:tcPr>
            <w:tcW w:w="761" w:type="dxa"/>
          </w:tcPr>
          <w:p w14:paraId="4FF676C5" w14:textId="77777777" w:rsidR="00E53B6B" w:rsidRPr="00D83B72" w:rsidRDefault="00E53B6B" w:rsidP="00CA0D72">
            <w:pPr>
              <w:spacing w:before="20" w:after="20"/>
              <w:ind w:right="-3"/>
              <w:rPr>
                <w:sz w:val="20"/>
                <w:szCs w:val="20"/>
              </w:rPr>
            </w:pPr>
          </w:p>
        </w:tc>
        <w:tc>
          <w:tcPr>
            <w:tcW w:w="1572" w:type="dxa"/>
          </w:tcPr>
          <w:p w14:paraId="3D374F3D" w14:textId="77777777" w:rsidR="00E53B6B" w:rsidRPr="00D83B72" w:rsidRDefault="00E53B6B" w:rsidP="00CA0D72">
            <w:pPr>
              <w:spacing w:before="20" w:after="20"/>
              <w:ind w:right="-3"/>
              <w:rPr>
                <w:sz w:val="20"/>
                <w:szCs w:val="20"/>
              </w:rPr>
            </w:pPr>
          </w:p>
        </w:tc>
      </w:tr>
      <w:tr w:rsidR="00E53B6B" w:rsidRPr="00D83B72" w14:paraId="211DC6B7" w14:textId="77777777" w:rsidTr="009F2D50">
        <w:tc>
          <w:tcPr>
            <w:tcW w:w="3402" w:type="dxa"/>
          </w:tcPr>
          <w:p w14:paraId="0C97FD83" w14:textId="77777777" w:rsidR="00E53B6B" w:rsidRPr="00D83B72" w:rsidRDefault="00E53B6B" w:rsidP="00CA0D72">
            <w:pPr>
              <w:spacing w:before="20" w:after="20"/>
              <w:ind w:right="-3"/>
              <w:rPr>
                <w:sz w:val="20"/>
                <w:szCs w:val="20"/>
              </w:rPr>
            </w:pPr>
            <w:r w:rsidRPr="00D83B72">
              <w:rPr>
                <w:sz w:val="20"/>
                <w:szCs w:val="20"/>
              </w:rPr>
              <w:t xml:space="preserve">  Greek</w:t>
            </w:r>
          </w:p>
        </w:tc>
        <w:tc>
          <w:tcPr>
            <w:tcW w:w="1701" w:type="dxa"/>
          </w:tcPr>
          <w:p w14:paraId="3DE53EE4" w14:textId="77777777" w:rsidR="00E53B6B" w:rsidRPr="00D83B72" w:rsidRDefault="00E53B6B" w:rsidP="00CA0D72">
            <w:pPr>
              <w:spacing w:before="20" w:after="20"/>
              <w:ind w:right="-3"/>
              <w:rPr>
                <w:sz w:val="20"/>
                <w:szCs w:val="20"/>
              </w:rPr>
            </w:pPr>
            <w:r w:rsidRPr="00D83B72">
              <w:rPr>
                <w:sz w:val="20"/>
                <w:szCs w:val="20"/>
              </w:rPr>
              <w:t>2%</w:t>
            </w:r>
          </w:p>
        </w:tc>
        <w:tc>
          <w:tcPr>
            <w:tcW w:w="1239" w:type="dxa"/>
          </w:tcPr>
          <w:p w14:paraId="1EAA826D" w14:textId="77777777" w:rsidR="00E53B6B" w:rsidRPr="00D83B72" w:rsidRDefault="00E53B6B" w:rsidP="00CA0D72">
            <w:pPr>
              <w:spacing w:before="20" w:after="20"/>
              <w:ind w:right="-3"/>
              <w:rPr>
                <w:sz w:val="20"/>
                <w:szCs w:val="20"/>
              </w:rPr>
            </w:pPr>
            <w:r w:rsidRPr="00D83B72">
              <w:rPr>
                <w:sz w:val="20"/>
                <w:szCs w:val="20"/>
              </w:rPr>
              <w:t>1%</w:t>
            </w:r>
          </w:p>
        </w:tc>
        <w:tc>
          <w:tcPr>
            <w:tcW w:w="1172" w:type="dxa"/>
          </w:tcPr>
          <w:p w14:paraId="0E5A6206" w14:textId="77777777" w:rsidR="00E53B6B" w:rsidRPr="00D83B72" w:rsidRDefault="00E53B6B" w:rsidP="00CA0D72">
            <w:pPr>
              <w:spacing w:before="20" w:after="20"/>
              <w:ind w:right="-3"/>
              <w:rPr>
                <w:sz w:val="20"/>
                <w:szCs w:val="20"/>
              </w:rPr>
            </w:pPr>
            <w:r w:rsidRPr="00D83B72">
              <w:rPr>
                <w:sz w:val="20"/>
                <w:szCs w:val="20"/>
              </w:rPr>
              <w:t>3%</w:t>
            </w:r>
          </w:p>
        </w:tc>
        <w:tc>
          <w:tcPr>
            <w:tcW w:w="761" w:type="dxa"/>
          </w:tcPr>
          <w:p w14:paraId="3C6F2C2A" w14:textId="77777777" w:rsidR="00E53B6B" w:rsidRPr="00D83B72" w:rsidRDefault="00E53B6B" w:rsidP="00CA0D72">
            <w:pPr>
              <w:spacing w:before="20" w:after="20"/>
              <w:ind w:right="-3"/>
              <w:rPr>
                <w:sz w:val="20"/>
                <w:szCs w:val="20"/>
              </w:rPr>
            </w:pPr>
          </w:p>
        </w:tc>
        <w:tc>
          <w:tcPr>
            <w:tcW w:w="1572" w:type="dxa"/>
          </w:tcPr>
          <w:p w14:paraId="0FFE12A4" w14:textId="77777777" w:rsidR="00E53B6B" w:rsidRPr="00D83B72" w:rsidRDefault="00E53B6B" w:rsidP="00CA0D72">
            <w:pPr>
              <w:spacing w:before="20" w:after="20"/>
              <w:ind w:right="-3"/>
              <w:rPr>
                <w:sz w:val="20"/>
                <w:szCs w:val="20"/>
              </w:rPr>
            </w:pPr>
          </w:p>
        </w:tc>
      </w:tr>
      <w:tr w:rsidR="00E53B6B" w:rsidRPr="00D83B72" w14:paraId="01B8D810" w14:textId="77777777" w:rsidTr="009F2D50">
        <w:tc>
          <w:tcPr>
            <w:tcW w:w="3402" w:type="dxa"/>
          </w:tcPr>
          <w:p w14:paraId="0E5D299C" w14:textId="77777777" w:rsidR="00E53B6B" w:rsidRPr="00D83B72" w:rsidRDefault="00E53B6B" w:rsidP="00CA0D72">
            <w:pPr>
              <w:spacing w:before="20" w:after="20"/>
              <w:ind w:right="-3"/>
              <w:rPr>
                <w:sz w:val="20"/>
                <w:szCs w:val="20"/>
              </w:rPr>
            </w:pPr>
            <w:r w:rsidRPr="00D83B72">
              <w:rPr>
                <w:sz w:val="20"/>
                <w:szCs w:val="20"/>
              </w:rPr>
              <w:t xml:space="preserve">  Italian</w:t>
            </w:r>
          </w:p>
        </w:tc>
        <w:tc>
          <w:tcPr>
            <w:tcW w:w="1701" w:type="dxa"/>
          </w:tcPr>
          <w:p w14:paraId="2711F1F5" w14:textId="77777777" w:rsidR="00E53B6B" w:rsidRPr="00D83B72" w:rsidRDefault="00E53B6B" w:rsidP="00CA0D72">
            <w:pPr>
              <w:spacing w:before="20" w:after="20"/>
              <w:ind w:right="-3"/>
              <w:rPr>
                <w:sz w:val="20"/>
                <w:szCs w:val="20"/>
              </w:rPr>
            </w:pPr>
            <w:r w:rsidRPr="00D83B72">
              <w:rPr>
                <w:sz w:val="20"/>
                <w:szCs w:val="20"/>
              </w:rPr>
              <w:t>3%</w:t>
            </w:r>
          </w:p>
        </w:tc>
        <w:tc>
          <w:tcPr>
            <w:tcW w:w="1239" w:type="dxa"/>
          </w:tcPr>
          <w:p w14:paraId="767C04E4" w14:textId="77777777" w:rsidR="00E53B6B" w:rsidRPr="00D83B72" w:rsidRDefault="00E53B6B" w:rsidP="00CA0D72">
            <w:pPr>
              <w:spacing w:before="20" w:after="20"/>
              <w:ind w:right="-3"/>
              <w:rPr>
                <w:sz w:val="20"/>
                <w:szCs w:val="20"/>
              </w:rPr>
            </w:pPr>
            <w:r w:rsidRPr="00D83B72">
              <w:rPr>
                <w:sz w:val="20"/>
                <w:szCs w:val="20"/>
              </w:rPr>
              <w:t>3%</w:t>
            </w:r>
          </w:p>
        </w:tc>
        <w:tc>
          <w:tcPr>
            <w:tcW w:w="1172" w:type="dxa"/>
          </w:tcPr>
          <w:p w14:paraId="0ED48436" w14:textId="77777777" w:rsidR="00E53B6B" w:rsidRPr="00D83B72" w:rsidRDefault="00E53B6B" w:rsidP="00CA0D72">
            <w:pPr>
              <w:spacing w:before="20" w:after="20"/>
              <w:ind w:right="-3"/>
              <w:rPr>
                <w:sz w:val="20"/>
                <w:szCs w:val="20"/>
              </w:rPr>
            </w:pPr>
            <w:r w:rsidRPr="00D83B72">
              <w:rPr>
                <w:sz w:val="20"/>
                <w:szCs w:val="20"/>
              </w:rPr>
              <w:t>3%</w:t>
            </w:r>
          </w:p>
        </w:tc>
        <w:tc>
          <w:tcPr>
            <w:tcW w:w="761" w:type="dxa"/>
          </w:tcPr>
          <w:p w14:paraId="09E0B5F5" w14:textId="77777777" w:rsidR="00E53B6B" w:rsidRPr="00D83B72" w:rsidRDefault="00E53B6B" w:rsidP="00CA0D72">
            <w:pPr>
              <w:spacing w:before="20" w:after="20"/>
              <w:ind w:right="-3"/>
              <w:rPr>
                <w:sz w:val="20"/>
                <w:szCs w:val="20"/>
              </w:rPr>
            </w:pPr>
          </w:p>
        </w:tc>
        <w:tc>
          <w:tcPr>
            <w:tcW w:w="1572" w:type="dxa"/>
          </w:tcPr>
          <w:p w14:paraId="0CB11D2C" w14:textId="77777777" w:rsidR="00E53B6B" w:rsidRPr="00D83B72" w:rsidRDefault="00E53B6B" w:rsidP="00CA0D72">
            <w:pPr>
              <w:spacing w:before="20" w:after="20"/>
              <w:ind w:right="-3"/>
              <w:rPr>
                <w:sz w:val="20"/>
                <w:szCs w:val="20"/>
              </w:rPr>
            </w:pPr>
          </w:p>
        </w:tc>
      </w:tr>
      <w:tr w:rsidR="00E53B6B" w:rsidRPr="00D83B72" w14:paraId="2E7CC324" w14:textId="77777777" w:rsidTr="009F2D50">
        <w:tc>
          <w:tcPr>
            <w:tcW w:w="3402" w:type="dxa"/>
          </w:tcPr>
          <w:p w14:paraId="2B457E55" w14:textId="77777777" w:rsidR="00E53B6B" w:rsidRPr="00D83B72" w:rsidRDefault="00E53B6B" w:rsidP="00CA0D72">
            <w:pPr>
              <w:spacing w:before="20" w:after="20"/>
              <w:ind w:right="-3"/>
              <w:rPr>
                <w:sz w:val="20"/>
                <w:szCs w:val="20"/>
              </w:rPr>
            </w:pPr>
            <w:r w:rsidRPr="00D83B72">
              <w:rPr>
                <w:sz w:val="20"/>
                <w:szCs w:val="20"/>
              </w:rPr>
              <w:t xml:space="preserve">  Polish</w:t>
            </w:r>
          </w:p>
        </w:tc>
        <w:tc>
          <w:tcPr>
            <w:tcW w:w="1701" w:type="dxa"/>
          </w:tcPr>
          <w:p w14:paraId="240C5647" w14:textId="77777777" w:rsidR="00E53B6B" w:rsidRPr="00D83B72" w:rsidRDefault="00E53B6B" w:rsidP="00CA0D72">
            <w:pPr>
              <w:spacing w:before="20" w:after="20"/>
              <w:ind w:right="-3"/>
              <w:rPr>
                <w:sz w:val="20"/>
                <w:szCs w:val="20"/>
              </w:rPr>
            </w:pPr>
            <w:r w:rsidRPr="00D83B72">
              <w:rPr>
                <w:sz w:val="20"/>
                <w:szCs w:val="20"/>
              </w:rPr>
              <w:t>1%</w:t>
            </w:r>
          </w:p>
        </w:tc>
        <w:tc>
          <w:tcPr>
            <w:tcW w:w="1239" w:type="dxa"/>
          </w:tcPr>
          <w:p w14:paraId="0856B2A5" w14:textId="77777777" w:rsidR="00E53B6B" w:rsidRPr="00D83B72" w:rsidRDefault="00E53B6B" w:rsidP="00CA0D72">
            <w:pPr>
              <w:spacing w:before="20" w:after="20"/>
              <w:ind w:right="-3"/>
              <w:rPr>
                <w:sz w:val="20"/>
                <w:szCs w:val="20"/>
              </w:rPr>
            </w:pPr>
            <w:r w:rsidRPr="00D83B72">
              <w:rPr>
                <w:sz w:val="20"/>
                <w:szCs w:val="20"/>
              </w:rPr>
              <w:t>0.30%</w:t>
            </w:r>
          </w:p>
        </w:tc>
        <w:tc>
          <w:tcPr>
            <w:tcW w:w="1172" w:type="dxa"/>
          </w:tcPr>
          <w:p w14:paraId="0110170C" w14:textId="77777777" w:rsidR="00E53B6B" w:rsidRPr="00D83B72" w:rsidRDefault="00E53B6B" w:rsidP="00CA0D72">
            <w:pPr>
              <w:spacing w:before="20" w:after="20"/>
              <w:ind w:right="-3"/>
              <w:rPr>
                <w:sz w:val="20"/>
                <w:szCs w:val="20"/>
              </w:rPr>
            </w:pPr>
            <w:r w:rsidRPr="00D83B72">
              <w:rPr>
                <w:sz w:val="20"/>
                <w:szCs w:val="20"/>
              </w:rPr>
              <w:t>2%</w:t>
            </w:r>
          </w:p>
        </w:tc>
        <w:tc>
          <w:tcPr>
            <w:tcW w:w="761" w:type="dxa"/>
          </w:tcPr>
          <w:p w14:paraId="6150D630" w14:textId="77777777" w:rsidR="00E53B6B" w:rsidRPr="00D83B72" w:rsidRDefault="00E53B6B" w:rsidP="00CA0D72">
            <w:pPr>
              <w:spacing w:before="20" w:after="20"/>
              <w:ind w:right="-3"/>
              <w:rPr>
                <w:sz w:val="20"/>
                <w:szCs w:val="20"/>
              </w:rPr>
            </w:pPr>
          </w:p>
        </w:tc>
        <w:tc>
          <w:tcPr>
            <w:tcW w:w="1572" w:type="dxa"/>
          </w:tcPr>
          <w:p w14:paraId="7535DD6E" w14:textId="77777777" w:rsidR="00E53B6B" w:rsidRPr="00D83B72" w:rsidRDefault="00E53B6B" w:rsidP="00CA0D72">
            <w:pPr>
              <w:spacing w:before="20" w:after="20"/>
              <w:ind w:right="-3"/>
              <w:rPr>
                <w:sz w:val="20"/>
                <w:szCs w:val="20"/>
              </w:rPr>
            </w:pPr>
          </w:p>
        </w:tc>
      </w:tr>
      <w:tr w:rsidR="00E53B6B" w:rsidRPr="00D83B72" w14:paraId="0F5D12EE" w14:textId="77777777" w:rsidTr="009F2D50">
        <w:tc>
          <w:tcPr>
            <w:tcW w:w="3402" w:type="dxa"/>
          </w:tcPr>
          <w:p w14:paraId="0357116D" w14:textId="77777777" w:rsidR="00E53B6B" w:rsidRPr="00D83B72" w:rsidRDefault="00E53B6B" w:rsidP="00CA0D72">
            <w:pPr>
              <w:spacing w:before="20" w:after="20"/>
              <w:ind w:right="-3"/>
              <w:rPr>
                <w:sz w:val="20"/>
                <w:szCs w:val="20"/>
              </w:rPr>
            </w:pPr>
            <w:r w:rsidRPr="00D83B72">
              <w:rPr>
                <w:sz w:val="20"/>
                <w:szCs w:val="20"/>
              </w:rPr>
              <w:t xml:space="preserve">  Other</w:t>
            </w:r>
          </w:p>
        </w:tc>
        <w:tc>
          <w:tcPr>
            <w:tcW w:w="1701" w:type="dxa"/>
          </w:tcPr>
          <w:p w14:paraId="3E4431CE" w14:textId="77777777" w:rsidR="00E53B6B" w:rsidRPr="00D83B72" w:rsidRDefault="00E53B6B" w:rsidP="00CA0D72">
            <w:pPr>
              <w:spacing w:before="20" w:after="20"/>
              <w:ind w:right="-3"/>
              <w:rPr>
                <w:sz w:val="20"/>
                <w:szCs w:val="20"/>
              </w:rPr>
            </w:pPr>
            <w:r w:rsidRPr="00D83B72">
              <w:rPr>
                <w:sz w:val="20"/>
                <w:szCs w:val="20"/>
              </w:rPr>
              <w:t>6%</w:t>
            </w:r>
          </w:p>
        </w:tc>
        <w:tc>
          <w:tcPr>
            <w:tcW w:w="1239" w:type="dxa"/>
          </w:tcPr>
          <w:p w14:paraId="59376FF2" w14:textId="77777777" w:rsidR="00E53B6B" w:rsidRPr="00D83B72" w:rsidRDefault="00E53B6B" w:rsidP="00CA0D72">
            <w:pPr>
              <w:spacing w:before="20" w:after="20"/>
              <w:ind w:right="-3"/>
              <w:rPr>
                <w:sz w:val="20"/>
                <w:szCs w:val="20"/>
              </w:rPr>
            </w:pPr>
            <w:r w:rsidRPr="00D83B72">
              <w:rPr>
                <w:sz w:val="20"/>
                <w:szCs w:val="20"/>
              </w:rPr>
              <w:t>6%</w:t>
            </w:r>
          </w:p>
        </w:tc>
        <w:tc>
          <w:tcPr>
            <w:tcW w:w="1172" w:type="dxa"/>
          </w:tcPr>
          <w:p w14:paraId="3ECE7506" w14:textId="77777777" w:rsidR="00E53B6B" w:rsidRPr="00D83B72" w:rsidRDefault="00E53B6B" w:rsidP="00CA0D72">
            <w:pPr>
              <w:spacing w:before="20" w:after="20"/>
              <w:ind w:right="-3"/>
              <w:rPr>
                <w:sz w:val="20"/>
                <w:szCs w:val="20"/>
              </w:rPr>
            </w:pPr>
            <w:r w:rsidRPr="00D83B72">
              <w:rPr>
                <w:sz w:val="20"/>
                <w:szCs w:val="20"/>
              </w:rPr>
              <w:t>6%</w:t>
            </w:r>
          </w:p>
        </w:tc>
        <w:tc>
          <w:tcPr>
            <w:tcW w:w="761" w:type="dxa"/>
          </w:tcPr>
          <w:p w14:paraId="116C466B" w14:textId="77777777" w:rsidR="00E53B6B" w:rsidRPr="00D83B72" w:rsidRDefault="00E53B6B" w:rsidP="00CA0D72">
            <w:pPr>
              <w:spacing w:before="20" w:after="20"/>
              <w:ind w:right="-3"/>
              <w:rPr>
                <w:sz w:val="20"/>
                <w:szCs w:val="20"/>
              </w:rPr>
            </w:pPr>
          </w:p>
        </w:tc>
        <w:tc>
          <w:tcPr>
            <w:tcW w:w="1572" w:type="dxa"/>
          </w:tcPr>
          <w:p w14:paraId="01D6252E" w14:textId="77777777" w:rsidR="00E53B6B" w:rsidRPr="00D83B72" w:rsidRDefault="00E53B6B" w:rsidP="00CA0D72">
            <w:pPr>
              <w:spacing w:before="20" w:after="20"/>
              <w:ind w:right="-3"/>
              <w:rPr>
                <w:sz w:val="20"/>
                <w:szCs w:val="20"/>
              </w:rPr>
            </w:pPr>
          </w:p>
        </w:tc>
      </w:tr>
      <w:tr w:rsidR="00E53B6B" w:rsidRPr="00D83B72" w14:paraId="082DE435" w14:textId="77777777" w:rsidTr="009F2D50">
        <w:tc>
          <w:tcPr>
            <w:tcW w:w="3402" w:type="dxa"/>
          </w:tcPr>
          <w:p w14:paraId="00ABF74E" w14:textId="77777777" w:rsidR="00E53B6B" w:rsidRPr="00D83B72" w:rsidRDefault="00E53B6B" w:rsidP="00CA0D72">
            <w:pPr>
              <w:spacing w:before="20" w:after="20"/>
              <w:ind w:right="-3"/>
              <w:rPr>
                <w:sz w:val="20"/>
                <w:szCs w:val="20"/>
                <w:vertAlign w:val="superscript"/>
              </w:rPr>
            </w:pPr>
            <w:r w:rsidRPr="00D83B72">
              <w:rPr>
                <w:sz w:val="20"/>
                <w:szCs w:val="20"/>
              </w:rPr>
              <w:t>Patient election status at initial referral</w:t>
            </w:r>
            <w:r w:rsidRPr="00D83B72">
              <w:rPr>
                <w:sz w:val="20"/>
                <w:szCs w:val="20"/>
                <w:vertAlign w:val="superscript"/>
              </w:rPr>
              <w:t>1</w:t>
            </w:r>
          </w:p>
          <w:p w14:paraId="603B1059" w14:textId="77777777" w:rsidR="00E53B6B" w:rsidRPr="00D83B72" w:rsidRDefault="00E53B6B" w:rsidP="00CA0D72">
            <w:pPr>
              <w:spacing w:before="20" w:after="20"/>
              <w:ind w:right="-3"/>
              <w:rPr>
                <w:sz w:val="20"/>
                <w:szCs w:val="20"/>
              </w:rPr>
            </w:pPr>
            <w:r w:rsidRPr="00D83B72">
              <w:rPr>
                <w:sz w:val="20"/>
                <w:szCs w:val="20"/>
              </w:rPr>
              <w:t>% private</w:t>
            </w:r>
          </w:p>
        </w:tc>
        <w:tc>
          <w:tcPr>
            <w:tcW w:w="1701" w:type="dxa"/>
          </w:tcPr>
          <w:p w14:paraId="54EF1C32" w14:textId="77777777" w:rsidR="00E53B6B" w:rsidRPr="00D83B72" w:rsidRDefault="00E53B6B" w:rsidP="00CA0D72">
            <w:pPr>
              <w:spacing w:before="20" w:after="20"/>
              <w:ind w:right="-3"/>
              <w:rPr>
                <w:sz w:val="20"/>
                <w:szCs w:val="20"/>
              </w:rPr>
            </w:pPr>
            <w:r w:rsidRPr="00D83B72">
              <w:rPr>
                <w:sz w:val="20"/>
                <w:szCs w:val="20"/>
              </w:rPr>
              <w:t>23%</w:t>
            </w:r>
          </w:p>
        </w:tc>
        <w:tc>
          <w:tcPr>
            <w:tcW w:w="1239" w:type="dxa"/>
          </w:tcPr>
          <w:p w14:paraId="741984C0" w14:textId="77777777" w:rsidR="00E53B6B" w:rsidRPr="00D83B72" w:rsidRDefault="00E53B6B" w:rsidP="00CA0D72">
            <w:pPr>
              <w:spacing w:before="20" w:after="20"/>
              <w:ind w:right="-3"/>
              <w:rPr>
                <w:sz w:val="20"/>
                <w:szCs w:val="20"/>
              </w:rPr>
            </w:pPr>
            <w:r w:rsidRPr="00D83B72">
              <w:rPr>
                <w:sz w:val="20"/>
                <w:szCs w:val="20"/>
              </w:rPr>
              <w:t>20%</w:t>
            </w:r>
          </w:p>
        </w:tc>
        <w:tc>
          <w:tcPr>
            <w:tcW w:w="1172" w:type="dxa"/>
          </w:tcPr>
          <w:p w14:paraId="1206AABF" w14:textId="77777777" w:rsidR="00E53B6B" w:rsidRPr="00D83B72" w:rsidRDefault="00E53B6B" w:rsidP="00CA0D72">
            <w:pPr>
              <w:spacing w:before="20" w:after="20"/>
              <w:ind w:right="-3"/>
              <w:rPr>
                <w:sz w:val="20"/>
                <w:szCs w:val="20"/>
              </w:rPr>
            </w:pPr>
            <w:r w:rsidRPr="00D83B72">
              <w:rPr>
                <w:sz w:val="20"/>
                <w:szCs w:val="20"/>
              </w:rPr>
              <w:t>22%</w:t>
            </w:r>
          </w:p>
        </w:tc>
        <w:tc>
          <w:tcPr>
            <w:tcW w:w="761" w:type="dxa"/>
          </w:tcPr>
          <w:p w14:paraId="24D11191" w14:textId="77777777" w:rsidR="00E53B6B" w:rsidRPr="00D83B72" w:rsidRDefault="00E53B6B" w:rsidP="00CA0D72">
            <w:pPr>
              <w:spacing w:before="20" w:after="20"/>
              <w:ind w:right="-3"/>
              <w:rPr>
                <w:sz w:val="20"/>
                <w:szCs w:val="20"/>
              </w:rPr>
            </w:pPr>
            <w:r w:rsidRPr="00D83B72">
              <w:rPr>
                <w:sz w:val="20"/>
                <w:szCs w:val="20"/>
              </w:rPr>
              <w:t>1,169</w:t>
            </w:r>
          </w:p>
        </w:tc>
        <w:tc>
          <w:tcPr>
            <w:tcW w:w="1572" w:type="dxa"/>
          </w:tcPr>
          <w:p w14:paraId="039BB9A7" w14:textId="77777777" w:rsidR="00E53B6B" w:rsidRPr="00D83B72" w:rsidRDefault="00E53B6B" w:rsidP="00CA0D72">
            <w:pPr>
              <w:spacing w:before="20" w:after="20"/>
              <w:ind w:right="-3"/>
              <w:rPr>
                <w:sz w:val="20"/>
                <w:szCs w:val="20"/>
              </w:rPr>
            </w:pPr>
            <w:r w:rsidRPr="00D83B72">
              <w:rPr>
                <w:sz w:val="20"/>
                <w:szCs w:val="20"/>
              </w:rPr>
              <w:t>Hospital morbidity collections</w:t>
            </w:r>
          </w:p>
        </w:tc>
      </w:tr>
    </w:tbl>
    <w:p w14:paraId="639882FE" w14:textId="77777777" w:rsidR="00410CD4" w:rsidRDefault="00410CD4" w:rsidP="00CA0D72">
      <w:pPr>
        <w:tabs>
          <w:tab w:val="left" w:pos="3402"/>
          <w:tab w:val="left" w:pos="5103"/>
          <w:tab w:val="left" w:pos="6237"/>
          <w:tab w:val="left" w:pos="7371"/>
          <w:tab w:val="left" w:pos="7938"/>
          <w:tab w:val="left" w:pos="8335"/>
          <w:tab w:val="left" w:pos="8931"/>
        </w:tabs>
        <w:spacing w:before="0" w:after="0"/>
        <w:ind w:right="-3"/>
        <w:rPr>
          <w:sz w:val="20"/>
          <w:szCs w:val="20"/>
        </w:rPr>
      </w:pPr>
    </w:p>
    <w:p w14:paraId="6CE63DE3" w14:textId="77777777" w:rsidR="009F5B1A" w:rsidRDefault="009F5B1A" w:rsidP="00CA0D72">
      <w:pPr>
        <w:pStyle w:val="Note"/>
        <w:ind w:right="-3"/>
      </w:pPr>
      <w:r w:rsidRPr="009F5B1A">
        <w:rPr>
          <w:vertAlign w:val="superscript"/>
        </w:rPr>
        <w:t>1</w:t>
      </w:r>
      <w:r w:rsidRPr="009F5B1A">
        <w:t>: based on ACT, NSW, QLD, SA, WA</w:t>
      </w:r>
    </w:p>
    <w:p w14:paraId="57E111B8" w14:textId="77777777" w:rsidR="00783380" w:rsidRDefault="00783380" w:rsidP="00CA0D72">
      <w:pPr>
        <w:pStyle w:val="Note"/>
        <w:ind w:right="-3"/>
      </w:pPr>
    </w:p>
    <w:p w14:paraId="2056B856" w14:textId="77777777" w:rsidR="005D7ABA" w:rsidRDefault="00B03418" w:rsidP="00CA0D72">
      <w:pPr>
        <w:pStyle w:val="Heading2"/>
        <w:ind w:right="-3"/>
      </w:pPr>
      <w:bookmarkStart w:id="55" w:name="_Toc402348902"/>
      <w:r w:rsidRPr="00B03418">
        <w:t>3.2. Function</w:t>
      </w:r>
      <w:bookmarkEnd w:id="55"/>
    </w:p>
    <w:p w14:paraId="72447366" w14:textId="77777777" w:rsidR="005D7ABA" w:rsidRDefault="00B03418" w:rsidP="00CA0D72">
      <w:pPr>
        <w:ind w:right="-3"/>
      </w:pPr>
      <w:r w:rsidRPr="00B03418">
        <w:t>Evidence for a functional outcome of the TCP is based on the MBI, and this outcome has been considered in each of the three aforementioned reports.</w:t>
      </w:r>
    </w:p>
    <w:p w14:paraId="354E6059" w14:textId="77777777" w:rsidR="005D7ABA" w:rsidRDefault="00B03418" w:rsidP="00CA0D72">
      <w:pPr>
        <w:ind w:right="-3"/>
      </w:pPr>
      <w:r w:rsidRPr="00B03418">
        <w:t>The Models of Transition Care Report (National Evaluation of the Transition Care Program 2007a) demonstrated that overall the average MBI at admission to TC was 64.3 units and at discharge was 76.9 units, representing a change of 12.5 units.  It is important to note that those who died or were discharged to hospital are coded as '0' in the TCP Program Management Data Set, and these cases have been excluded in the calculation of the discharge MBI (National Evaluation of the Transition Care Program 2007a).  When expressed as MBI change per day of stay, this gives an MBI efficiency of 0.26 units.  For TC delivered only in a community setting, the average MBI at admission was 73.7 and discharge 84.8, representing a change of 11.1 units. The change from admission to discharge MBI among TC delivered only in a residential setting was greater, being 51.1 at admission and 65.0 at discharge, with a change of 13.8 units.</w:t>
      </w:r>
    </w:p>
    <w:p w14:paraId="631097AB" w14:textId="470C1354" w:rsidR="00783380" w:rsidRDefault="00B03418" w:rsidP="00CA0D72">
      <w:pPr>
        <w:ind w:right="-3"/>
      </w:pPr>
      <w:r w:rsidRPr="00B03418">
        <w:t>This finding must be interpreted bearing in mind the considerable diversity both between and within states or territories in terms of client profile and functional capacity.  Telephone-based interviews with recipients of TC at three months post TCP-discharge showed a mean MBI of 84.5 (SD 22.1) units, and this was higher among the recipients receiving TC only in a</w:t>
      </w:r>
      <w:r>
        <w:t xml:space="preserve"> </w:t>
      </w:r>
      <w:r w:rsidRPr="00B03418">
        <w:t>community setting (88.7 SD 17.0) than those who received TC only in a residential setting (74.0 SD 29.1).  Among the group of TC recipients for whom linked data was available (n=2,443), the average MBI on admission to TC was 64.5 units (SD 24.2) and on discharge was 75.7 units (SD 25.3).  This can be further decomposed to type of TC received, which showed that those who received TC only in a community setting entered with an average MBI of 75.2 units (SD 18.0) and were discharged with an average MBI of 86.0 (SD 17.5).  For those who received TC only in a residential setting, the mean MBI on admission to TC was 51.6 units (SD 25.1) and the mean MBI at discharge from TC was 62.3 (SD 27.7).  Those who received a combination of community-based and residential-based TC services were intermediate between these average values.  The mean MBI on admission for the combination group was 63.0 (SD 21.1) and on discharge was 78.8 (SD 22.7).</w:t>
      </w:r>
    </w:p>
    <w:p w14:paraId="0E975437" w14:textId="77777777" w:rsidR="00AD2A80" w:rsidRDefault="00AD2A80" w:rsidP="00D83B72">
      <w:pPr>
        <w:pStyle w:val="Heading3"/>
      </w:pPr>
      <w:r>
        <w:br w:type="page"/>
      </w:r>
      <w:bookmarkStart w:id="56" w:name="_Toc402348903"/>
      <w:r w:rsidRPr="00AD2A80">
        <w:lastRenderedPageBreak/>
        <w:t xml:space="preserve">Table 3.3:  Median (IQR) Modified </w:t>
      </w:r>
      <w:proofErr w:type="spellStart"/>
      <w:r w:rsidRPr="00AD2A80">
        <w:t>Barthel</w:t>
      </w:r>
      <w:proofErr w:type="spellEnd"/>
      <w:r w:rsidRPr="00AD2A80">
        <w:t xml:space="preserve"> Index for all Transition Care recipients by type of Transition Care: Community, Residential, and Combination</w:t>
      </w:r>
      <w:bookmarkEnd w:id="56"/>
    </w:p>
    <w:p w14:paraId="5E867455" w14:textId="77777777" w:rsidR="001F5D28" w:rsidRPr="001F5D28" w:rsidRDefault="001F5D28" w:rsidP="00CA0D72">
      <w:pPr>
        <w:pStyle w:val="Table"/>
        <w:ind w:right="-3"/>
      </w:pPr>
      <w:r w:rsidRPr="001F5D28">
        <w:tab/>
      </w:r>
    </w:p>
    <w:tbl>
      <w:tblPr>
        <w:tblStyle w:val="TableGrid"/>
        <w:tblW w:w="0" w:type="auto"/>
        <w:tblLook w:val="01E0" w:firstRow="1" w:lastRow="1" w:firstColumn="1" w:lastColumn="1" w:noHBand="0" w:noVBand="0"/>
        <w:tblDescription w:val="Table 3.3:  Median (IQR) Modified Barthel Index for all Transition Care recipients by type of Transition Care: Community, Residential, and Combination"/>
      </w:tblPr>
      <w:tblGrid>
        <w:gridCol w:w="2943"/>
        <w:gridCol w:w="909"/>
        <w:gridCol w:w="2832"/>
        <w:gridCol w:w="2888"/>
      </w:tblGrid>
      <w:tr w:rsidR="008B0470" w:rsidRPr="008B0470" w14:paraId="42692BAC" w14:textId="77777777" w:rsidTr="00D83B72">
        <w:trPr>
          <w:tblHeader/>
        </w:trPr>
        <w:tc>
          <w:tcPr>
            <w:tcW w:w="2943" w:type="dxa"/>
            <w:vAlign w:val="center"/>
          </w:tcPr>
          <w:p w14:paraId="6AA0B2B9" w14:textId="70FD4EB5" w:rsidR="008B0470" w:rsidRPr="00D83B72" w:rsidRDefault="00D83B72" w:rsidP="00D83B72">
            <w:pPr>
              <w:pStyle w:val="Table"/>
              <w:ind w:right="-3"/>
              <w:jc w:val="center"/>
              <w:rPr>
                <w:b/>
              </w:rPr>
            </w:pPr>
            <w:r w:rsidRPr="00D83B72">
              <w:rPr>
                <w:b/>
              </w:rPr>
              <w:t>State / Territory</w:t>
            </w:r>
          </w:p>
        </w:tc>
        <w:tc>
          <w:tcPr>
            <w:tcW w:w="909" w:type="dxa"/>
            <w:vAlign w:val="center"/>
          </w:tcPr>
          <w:p w14:paraId="31F54E5B" w14:textId="77777777" w:rsidR="008B0470" w:rsidRPr="00D83B72" w:rsidRDefault="008B0470" w:rsidP="00D83B72">
            <w:pPr>
              <w:pStyle w:val="Table"/>
              <w:ind w:right="-3"/>
              <w:jc w:val="center"/>
              <w:rPr>
                <w:b/>
              </w:rPr>
            </w:pPr>
            <w:r w:rsidRPr="00D83B72">
              <w:rPr>
                <w:b/>
              </w:rPr>
              <w:t>n</w:t>
            </w:r>
          </w:p>
        </w:tc>
        <w:tc>
          <w:tcPr>
            <w:tcW w:w="2832" w:type="dxa"/>
            <w:vAlign w:val="center"/>
          </w:tcPr>
          <w:p w14:paraId="71780333" w14:textId="147B9319" w:rsidR="00D83B72" w:rsidRPr="00D83B72" w:rsidRDefault="00D83B72" w:rsidP="00D83B72">
            <w:pPr>
              <w:pStyle w:val="Table"/>
              <w:ind w:right="-3"/>
              <w:jc w:val="center"/>
              <w:rPr>
                <w:b/>
              </w:rPr>
            </w:pPr>
            <w:r w:rsidRPr="00D83B72">
              <w:rPr>
                <w:b/>
              </w:rPr>
              <w:t xml:space="preserve">Modified </w:t>
            </w:r>
            <w:proofErr w:type="spellStart"/>
            <w:r w:rsidRPr="00D83B72">
              <w:rPr>
                <w:b/>
              </w:rPr>
              <w:t>Barthel</w:t>
            </w:r>
            <w:proofErr w:type="spellEnd"/>
            <w:r w:rsidRPr="00D83B72">
              <w:rPr>
                <w:b/>
              </w:rPr>
              <w:t xml:space="preserve"> Index -</w:t>
            </w:r>
          </w:p>
          <w:p w14:paraId="2ACBC929" w14:textId="241FA2EE" w:rsidR="008B0470" w:rsidRPr="00D83B72" w:rsidRDefault="008B0470" w:rsidP="00D83B72">
            <w:pPr>
              <w:pStyle w:val="Table"/>
              <w:ind w:right="-3"/>
              <w:jc w:val="center"/>
              <w:rPr>
                <w:b/>
              </w:rPr>
            </w:pPr>
            <w:r w:rsidRPr="00D83B72">
              <w:rPr>
                <w:b/>
              </w:rPr>
              <w:t>On Admission</w:t>
            </w:r>
          </w:p>
        </w:tc>
        <w:tc>
          <w:tcPr>
            <w:tcW w:w="2888" w:type="dxa"/>
            <w:vAlign w:val="center"/>
          </w:tcPr>
          <w:p w14:paraId="10EB4B24" w14:textId="63C6DA61" w:rsidR="00D83B72" w:rsidRPr="00D83B72" w:rsidRDefault="00D83B72" w:rsidP="00D83B72">
            <w:pPr>
              <w:pStyle w:val="Table"/>
              <w:ind w:right="-3"/>
              <w:jc w:val="center"/>
              <w:rPr>
                <w:b/>
              </w:rPr>
            </w:pPr>
            <w:r w:rsidRPr="00D83B72">
              <w:rPr>
                <w:b/>
              </w:rPr>
              <w:t xml:space="preserve">Modified </w:t>
            </w:r>
            <w:proofErr w:type="spellStart"/>
            <w:r w:rsidRPr="00D83B72">
              <w:rPr>
                <w:b/>
              </w:rPr>
              <w:t>Barthel</w:t>
            </w:r>
            <w:proofErr w:type="spellEnd"/>
            <w:r w:rsidRPr="00D83B72">
              <w:rPr>
                <w:b/>
              </w:rPr>
              <w:t xml:space="preserve"> Index -</w:t>
            </w:r>
          </w:p>
          <w:p w14:paraId="66F0E409" w14:textId="2DAE583B" w:rsidR="008B0470" w:rsidRPr="00D83B72" w:rsidRDefault="008B0470" w:rsidP="00D83B72">
            <w:pPr>
              <w:pStyle w:val="Table"/>
              <w:ind w:right="-3"/>
              <w:jc w:val="center"/>
              <w:rPr>
                <w:b/>
              </w:rPr>
            </w:pPr>
            <w:r w:rsidRPr="00D83B72">
              <w:rPr>
                <w:b/>
              </w:rPr>
              <w:t>On Discharge</w:t>
            </w:r>
          </w:p>
        </w:tc>
      </w:tr>
      <w:tr w:rsidR="008B0470" w:rsidRPr="008B0470" w14:paraId="4544C485" w14:textId="77777777" w:rsidTr="00D83B72">
        <w:tc>
          <w:tcPr>
            <w:tcW w:w="2943" w:type="dxa"/>
          </w:tcPr>
          <w:p w14:paraId="1EF5C55B" w14:textId="0ECF425E" w:rsidR="008B0470" w:rsidRPr="008B0470" w:rsidRDefault="008B0470" w:rsidP="00CA0D72">
            <w:pPr>
              <w:pStyle w:val="Table"/>
              <w:ind w:right="-3"/>
            </w:pPr>
            <w:r w:rsidRPr="008B0470">
              <w:t xml:space="preserve">  </w:t>
            </w:r>
            <w:r w:rsidR="00D83B72" w:rsidRPr="008B0470">
              <w:t>ACT</w:t>
            </w:r>
            <w:r w:rsidR="00D83B72">
              <w:t xml:space="preserve"> - </w:t>
            </w:r>
            <w:r w:rsidRPr="008B0470">
              <w:t>Community</w:t>
            </w:r>
          </w:p>
        </w:tc>
        <w:tc>
          <w:tcPr>
            <w:tcW w:w="909" w:type="dxa"/>
          </w:tcPr>
          <w:p w14:paraId="55A10940" w14:textId="77777777" w:rsidR="008B0470" w:rsidRPr="008B0470" w:rsidRDefault="008B0470" w:rsidP="00CA0D72">
            <w:pPr>
              <w:pStyle w:val="Table"/>
              <w:ind w:right="-3"/>
            </w:pPr>
            <w:r w:rsidRPr="008B0470">
              <w:t>24</w:t>
            </w:r>
          </w:p>
        </w:tc>
        <w:tc>
          <w:tcPr>
            <w:tcW w:w="2832" w:type="dxa"/>
          </w:tcPr>
          <w:p w14:paraId="1DECCA3F" w14:textId="77777777" w:rsidR="008B0470" w:rsidRPr="008B0470" w:rsidRDefault="008B0470" w:rsidP="00CA0D72">
            <w:pPr>
              <w:pStyle w:val="Table"/>
              <w:ind w:right="-3"/>
            </w:pPr>
            <w:r w:rsidRPr="008B0470">
              <w:t>80  (73-84)</w:t>
            </w:r>
          </w:p>
        </w:tc>
        <w:tc>
          <w:tcPr>
            <w:tcW w:w="2888" w:type="dxa"/>
          </w:tcPr>
          <w:p w14:paraId="20179F3E" w14:textId="77777777" w:rsidR="008B0470" w:rsidRPr="008B0470" w:rsidRDefault="008B0470" w:rsidP="00CA0D72">
            <w:pPr>
              <w:pStyle w:val="Table"/>
              <w:ind w:right="-3"/>
            </w:pPr>
            <w:r w:rsidRPr="008B0470">
              <w:t>98  (87-98)</w:t>
            </w:r>
          </w:p>
        </w:tc>
      </w:tr>
      <w:tr w:rsidR="008B0470" w:rsidRPr="008B0470" w14:paraId="7484EA9B" w14:textId="77777777" w:rsidTr="00D83B72">
        <w:tc>
          <w:tcPr>
            <w:tcW w:w="2943" w:type="dxa"/>
          </w:tcPr>
          <w:p w14:paraId="7A340897" w14:textId="4031B8E9" w:rsidR="008B0470" w:rsidRPr="008B0470" w:rsidRDefault="008B0470" w:rsidP="00CA0D72">
            <w:pPr>
              <w:pStyle w:val="Table"/>
              <w:ind w:right="-3"/>
            </w:pPr>
            <w:r w:rsidRPr="008B0470">
              <w:t xml:space="preserve">  </w:t>
            </w:r>
            <w:r w:rsidR="00D83B72" w:rsidRPr="008B0470">
              <w:t>ACT</w:t>
            </w:r>
            <w:r w:rsidR="00D83B72">
              <w:t xml:space="preserve"> - </w:t>
            </w:r>
            <w:r w:rsidRPr="008B0470">
              <w:t>Residential</w:t>
            </w:r>
          </w:p>
        </w:tc>
        <w:tc>
          <w:tcPr>
            <w:tcW w:w="909" w:type="dxa"/>
          </w:tcPr>
          <w:p w14:paraId="393A86BC" w14:textId="77777777" w:rsidR="008B0470" w:rsidRPr="008B0470" w:rsidRDefault="008B0470" w:rsidP="00CA0D72">
            <w:pPr>
              <w:pStyle w:val="Table"/>
              <w:ind w:right="-3"/>
            </w:pPr>
            <w:r w:rsidRPr="008B0470">
              <w:t>16</w:t>
            </w:r>
          </w:p>
        </w:tc>
        <w:tc>
          <w:tcPr>
            <w:tcW w:w="2832" w:type="dxa"/>
          </w:tcPr>
          <w:p w14:paraId="154FBA22" w14:textId="77777777" w:rsidR="008B0470" w:rsidRPr="008B0470" w:rsidRDefault="008B0470" w:rsidP="00CA0D72">
            <w:pPr>
              <w:pStyle w:val="Table"/>
              <w:ind w:right="-3"/>
            </w:pPr>
            <w:r w:rsidRPr="008B0470">
              <w:t>72  (64-80)</w:t>
            </w:r>
          </w:p>
        </w:tc>
        <w:tc>
          <w:tcPr>
            <w:tcW w:w="2888" w:type="dxa"/>
          </w:tcPr>
          <w:p w14:paraId="2EA46A0B" w14:textId="77777777" w:rsidR="008B0470" w:rsidRPr="008B0470" w:rsidRDefault="008B0470" w:rsidP="00CA0D72">
            <w:pPr>
              <w:pStyle w:val="Table"/>
              <w:ind w:right="-3"/>
            </w:pPr>
            <w:r w:rsidRPr="008B0470">
              <w:t>86  (71-95)</w:t>
            </w:r>
          </w:p>
        </w:tc>
      </w:tr>
      <w:tr w:rsidR="008B0470" w:rsidRPr="008B0470" w14:paraId="5376CB20" w14:textId="77777777" w:rsidTr="00D83B72">
        <w:tc>
          <w:tcPr>
            <w:tcW w:w="2943" w:type="dxa"/>
          </w:tcPr>
          <w:p w14:paraId="2A292882" w14:textId="4E8F954A" w:rsidR="008B0470" w:rsidRPr="008B0470" w:rsidRDefault="008B0470" w:rsidP="00CA0D72">
            <w:pPr>
              <w:pStyle w:val="Table"/>
              <w:ind w:right="-3"/>
            </w:pPr>
            <w:r w:rsidRPr="008B0470">
              <w:t xml:space="preserve">  </w:t>
            </w:r>
            <w:r w:rsidR="00D83B72" w:rsidRPr="008B0470">
              <w:t>ACT</w:t>
            </w:r>
            <w:r w:rsidR="00D83B72">
              <w:t xml:space="preserve"> - </w:t>
            </w:r>
            <w:r w:rsidRPr="008B0470">
              <w:t>Combination</w:t>
            </w:r>
          </w:p>
        </w:tc>
        <w:tc>
          <w:tcPr>
            <w:tcW w:w="909" w:type="dxa"/>
          </w:tcPr>
          <w:p w14:paraId="0803C1CC" w14:textId="77777777" w:rsidR="008B0470" w:rsidRPr="008B0470" w:rsidRDefault="008B0470" w:rsidP="00CA0D72">
            <w:pPr>
              <w:pStyle w:val="Table"/>
              <w:ind w:right="-3"/>
            </w:pPr>
            <w:r w:rsidRPr="008B0470">
              <w:t>29</w:t>
            </w:r>
          </w:p>
        </w:tc>
        <w:tc>
          <w:tcPr>
            <w:tcW w:w="2832" w:type="dxa"/>
          </w:tcPr>
          <w:p w14:paraId="132E55ED" w14:textId="77777777" w:rsidR="008B0470" w:rsidRPr="008B0470" w:rsidRDefault="008B0470" w:rsidP="00CA0D72">
            <w:pPr>
              <w:pStyle w:val="Table"/>
              <w:ind w:right="-3"/>
            </w:pPr>
            <w:r w:rsidRPr="008B0470">
              <w:t>74  (69-80)</w:t>
            </w:r>
          </w:p>
        </w:tc>
        <w:tc>
          <w:tcPr>
            <w:tcW w:w="2888" w:type="dxa"/>
          </w:tcPr>
          <w:p w14:paraId="73A31C04" w14:textId="77777777" w:rsidR="008B0470" w:rsidRPr="008B0470" w:rsidRDefault="008B0470" w:rsidP="00CA0D72">
            <w:pPr>
              <w:pStyle w:val="Table"/>
              <w:ind w:right="-3"/>
            </w:pPr>
            <w:r w:rsidRPr="008B0470">
              <w:t>98  (94-100)</w:t>
            </w:r>
          </w:p>
        </w:tc>
      </w:tr>
      <w:tr w:rsidR="008B0470" w:rsidRPr="008B0470" w14:paraId="5F755F55" w14:textId="77777777" w:rsidTr="00D83B72">
        <w:tc>
          <w:tcPr>
            <w:tcW w:w="2943" w:type="dxa"/>
          </w:tcPr>
          <w:p w14:paraId="7C37A0ED" w14:textId="2F7036AD" w:rsidR="008B0470" w:rsidRPr="008B0470" w:rsidRDefault="008B0470" w:rsidP="00CA0D72">
            <w:pPr>
              <w:pStyle w:val="Table"/>
              <w:ind w:right="-3"/>
            </w:pPr>
            <w:r w:rsidRPr="008B0470">
              <w:t xml:space="preserve">  </w:t>
            </w:r>
            <w:r w:rsidR="00D83B72" w:rsidRPr="008B0470">
              <w:t>NSW</w:t>
            </w:r>
            <w:r w:rsidR="00D83B72">
              <w:t xml:space="preserve"> - </w:t>
            </w:r>
            <w:r w:rsidRPr="008B0470">
              <w:t>Community</w:t>
            </w:r>
          </w:p>
        </w:tc>
        <w:tc>
          <w:tcPr>
            <w:tcW w:w="909" w:type="dxa"/>
          </w:tcPr>
          <w:p w14:paraId="7D258B92" w14:textId="77777777" w:rsidR="008B0470" w:rsidRPr="008B0470" w:rsidRDefault="008B0470" w:rsidP="00CA0D72">
            <w:pPr>
              <w:pStyle w:val="Table"/>
              <w:ind w:right="-3"/>
            </w:pPr>
            <w:r w:rsidRPr="008B0470">
              <w:t>531</w:t>
            </w:r>
          </w:p>
        </w:tc>
        <w:tc>
          <w:tcPr>
            <w:tcW w:w="2832" w:type="dxa"/>
          </w:tcPr>
          <w:p w14:paraId="246865CA" w14:textId="77777777" w:rsidR="008B0470" w:rsidRPr="008B0470" w:rsidRDefault="008B0470" w:rsidP="00CA0D72">
            <w:pPr>
              <w:pStyle w:val="Table"/>
              <w:ind w:right="-3"/>
            </w:pPr>
            <w:r w:rsidRPr="008B0470">
              <w:t>80  (66-89)</w:t>
            </w:r>
          </w:p>
        </w:tc>
        <w:tc>
          <w:tcPr>
            <w:tcW w:w="2888" w:type="dxa"/>
          </w:tcPr>
          <w:p w14:paraId="5415B2B3" w14:textId="77777777" w:rsidR="008B0470" w:rsidRPr="008B0470" w:rsidRDefault="008B0470" w:rsidP="00CA0D72">
            <w:pPr>
              <w:pStyle w:val="Table"/>
              <w:ind w:right="-3"/>
            </w:pPr>
            <w:r w:rsidRPr="008B0470">
              <w:t>94  (85-100)</w:t>
            </w:r>
          </w:p>
        </w:tc>
      </w:tr>
      <w:tr w:rsidR="008B0470" w:rsidRPr="008B0470" w14:paraId="46CFF0F5" w14:textId="77777777" w:rsidTr="00D83B72">
        <w:tc>
          <w:tcPr>
            <w:tcW w:w="2943" w:type="dxa"/>
          </w:tcPr>
          <w:p w14:paraId="34D725B5" w14:textId="7EEE51CD" w:rsidR="008B0470" w:rsidRPr="008B0470" w:rsidRDefault="008B0470" w:rsidP="00CA0D72">
            <w:pPr>
              <w:pStyle w:val="Table"/>
              <w:ind w:right="-3"/>
            </w:pPr>
            <w:r w:rsidRPr="008B0470">
              <w:t xml:space="preserve">  </w:t>
            </w:r>
            <w:r w:rsidR="00D83B72" w:rsidRPr="008B0470">
              <w:t>NSW</w:t>
            </w:r>
            <w:r w:rsidR="00D83B72">
              <w:t xml:space="preserve"> - </w:t>
            </w:r>
            <w:r w:rsidRPr="008B0470">
              <w:t>Residential</w:t>
            </w:r>
          </w:p>
        </w:tc>
        <w:tc>
          <w:tcPr>
            <w:tcW w:w="909" w:type="dxa"/>
          </w:tcPr>
          <w:p w14:paraId="3CCE64D3" w14:textId="77777777" w:rsidR="008B0470" w:rsidRPr="008B0470" w:rsidRDefault="008B0470" w:rsidP="00CA0D72">
            <w:pPr>
              <w:pStyle w:val="Table"/>
              <w:ind w:right="-3"/>
            </w:pPr>
            <w:r w:rsidRPr="008B0470">
              <w:t>94</w:t>
            </w:r>
          </w:p>
        </w:tc>
        <w:tc>
          <w:tcPr>
            <w:tcW w:w="2832" w:type="dxa"/>
          </w:tcPr>
          <w:p w14:paraId="54FEC4D9" w14:textId="77777777" w:rsidR="008B0470" w:rsidRPr="008B0470" w:rsidRDefault="008B0470" w:rsidP="00CA0D72">
            <w:pPr>
              <w:pStyle w:val="Table"/>
              <w:ind w:right="-3"/>
            </w:pPr>
            <w:r w:rsidRPr="008B0470">
              <w:t>60  (45-76)</w:t>
            </w:r>
          </w:p>
        </w:tc>
        <w:tc>
          <w:tcPr>
            <w:tcW w:w="2888" w:type="dxa"/>
          </w:tcPr>
          <w:p w14:paraId="4CD29CA3" w14:textId="77777777" w:rsidR="008B0470" w:rsidRPr="008B0470" w:rsidRDefault="008B0470" w:rsidP="00CA0D72">
            <w:pPr>
              <w:pStyle w:val="Table"/>
              <w:ind w:right="-3"/>
            </w:pPr>
            <w:r w:rsidRPr="008B0470">
              <w:t>86  (75-95)</w:t>
            </w:r>
          </w:p>
        </w:tc>
      </w:tr>
      <w:tr w:rsidR="008B0470" w:rsidRPr="008B0470" w14:paraId="78B30696" w14:textId="77777777" w:rsidTr="00D83B72">
        <w:tc>
          <w:tcPr>
            <w:tcW w:w="2943" w:type="dxa"/>
          </w:tcPr>
          <w:p w14:paraId="325BB561" w14:textId="17C52634" w:rsidR="008B0470" w:rsidRPr="008B0470" w:rsidRDefault="008B0470" w:rsidP="00CA0D72">
            <w:pPr>
              <w:pStyle w:val="Table"/>
              <w:ind w:right="-3"/>
            </w:pPr>
            <w:r w:rsidRPr="008B0470">
              <w:t xml:space="preserve">  </w:t>
            </w:r>
            <w:r w:rsidR="00D83B72" w:rsidRPr="008B0470">
              <w:t>NSW</w:t>
            </w:r>
            <w:r w:rsidR="00D83B72">
              <w:t xml:space="preserve"> - </w:t>
            </w:r>
            <w:r w:rsidRPr="008B0470">
              <w:t>Combination*</w:t>
            </w:r>
          </w:p>
        </w:tc>
        <w:tc>
          <w:tcPr>
            <w:tcW w:w="909" w:type="dxa"/>
          </w:tcPr>
          <w:p w14:paraId="034A23EE" w14:textId="77777777" w:rsidR="008B0470" w:rsidRPr="008B0470" w:rsidRDefault="008B0470" w:rsidP="00CA0D72">
            <w:pPr>
              <w:pStyle w:val="Table"/>
              <w:ind w:right="-3"/>
            </w:pPr>
            <w:r w:rsidRPr="008B0470">
              <w:t>5</w:t>
            </w:r>
          </w:p>
        </w:tc>
        <w:tc>
          <w:tcPr>
            <w:tcW w:w="2832" w:type="dxa"/>
          </w:tcPr>
          <w:p w14:paraId="4E512532" w14:textId="77777777" w:rsidR="008B0470" w:rsidRPr="008B0470" w:rsidRDefault="008B0470" w:rsidP="00CA0D72">
            <w:pPr>
              <w:pStyle w:val="Table"/>
              <w:ind w:right="-3"/>
            </w:pPr>
            <w:r w:rsidRPr="008B0470">
              <w:t>68  (59-84)</w:t>
            </w:r>
          </w:p>
        </w:tc>
        <w:tc>
          <w:tcPr>
            <w:tcW w:w="2888" w:type="dxa"/>
          </w:tcPr>
          <w:p w14:paraId="1A0CD0CD" w14:textId="77777777" w:rsidR="008B0470" w:rsidRPr="008B0470" w:rsidRDefault="008B0470" w:rsidP="00CA0D72">
            <w:pPr>
              <w:pStyle w:val="Table"/>
              <w:ind w:right="-3"/>
            </w:pPr>
            <w:r w:rsidRPr="008B0470">
              <w:t>97  †</w:t>
            </w:r>
          </w:p>
        </w:tc>
      </w:tr>
      <w:tr w:rsidR="008B0470" w:rsidRPr="008B0470" w14:paraId="4EF7A960" w14:textId="77777777" w:rsidTr="00D83B72">
        <w:tc>
          <w:tcPr>
            <w:tcW w:w="2943" w:type="dxa"/>
          </w:tcPr>
          <w:p w14:paraId="30C4A8E9" w14:textId="2BA5F2A9" w:rsidR="008B0470" w:rsidRPr="008B0470" w:rsidRDefault="008B0470" w:rsidP="00CA0D72">
            <w:pPr>
              <w:pStyle w:val="Table"/>
              <w:ind w:right="-3"/>
            </w:pPr>
            <w:r w:rsidRPr="008B0470">
              <w:t xml:space="preserve">  </w:t>
            </w:r>
            <w:r w:rsidR="00D83B72" w:rsidRPr="008B0470">
              <w:t>NT</w:t>
            </w:r>
            <w:r w:rsidR="00D83B72">
              <w:t xml:space="preserve"> - </w:t>
            </w:r>
            <w:r w:rsidRPr="008B0470">
              <w:t>Residential</w:t>
            </w:r>
          </w:p>
        </w:tc>
        <w:tc>
          <w:tcPr>
            <w:tcW w:w="909" w:type="dxa"/>
          </w:tcPr>
          <w:p w14:paraId="0390C06D" w14:textId="77777777" w:rsidR="008B0470" w:rsidRPr="008B0470" w:rsidRDefault="008B0470" w:rsidP="00CA0D72">
            <w:pPr>
              <w:pStyle w:val="Table"/>
              <w:ind w:right="-3"/>
            </w:pPr>
            <w:r w:rsidRPr="008B0470">
              <w:t>12</w:t>
            </w:r>
          </w:p>
        </w:tc>
        <w:tc>
          <w:tcPr>
            <w:tcW w:w="2832" w:type="dxa"/>
          </w:tcPr>
          <w:p w14:paraId="6332B78A" w14:textId="77777777" w:rsidR="008B0470" w:rsidRPr="008B0470" w:rsidRDefault="008B0470" w:rsidP="00CA0D72">
            <w:pPr>
              <w:pStyle w:val="Table"/>
              <w:ind w:right="-3"/>
            </w:pPr>
            <w:r w:rsidRPr="008B0470">
              <w:t>38  (27-45)</w:t>
            </w:r>
          </w:p>
        </w:tc>
        <w:tc>
          <w:tcPr>
            <w:tcW w:w="2888" w:type="dxa"/>
          </w:tcPr>
          <w:p w14:paraId="2BB80DD7" w14:textId="77777777" w:rsidR="008B0470" w:rsidRPr="008B0470" w:rsidRDefault="008B0470" w:rsidP="00CA0D72">
            <w:pPr>
              <w:pStyle w:val="Table"/>
              <w:ind w:right="-3"/>
            </w:pPr>
            <w:r w:rsidRPr="008B0470">
              <w:t>53  (33-58)</w:t>
            </w:r>
          </w:p>
        </w:tc>
      </w:tr>
      <w:tr w:rsidR="008B0470" w:rsidRPr="008B0470" w14:paraId="59BD7B57" w14:textId="77777777" w:rsidTr="00D83B72">
        <w:tc>
          <w:tcPr>
            <w:tcW w:w="2943" w:type="dxa"/>
          </w:tcPr>
          <w:p w14:paraId="1A5434AF" w14:textId="2BA4083B" w:rsidR="008B0470" w:rsidRPr="008B0470" w:rsidRDefault="008B0470" w:rsidP="00CA0D72">
            <w:pPr>
              <w:pStyle w:val="Table"/>
              <w:ind w:right="-3"/>
            </w:pPr>
            <w:r w:rsidRPr="008B0470">
              <w:t xml:space="preserve">  </w:t>
            </w:r>
            <w:r w:rsidR="00D83B72" w:rsidRPr="008B0470">
              <w:t>QLD</w:t>
            </w:r>
            <w:r w:rsidR="00D83B72">
              <w:t xml:space="preserve"> - </w:t>
            </w:r>
            <w:r w:rsidRPr="008B0470">
              <w:t>Community</w:t>
            </w:r>
          </w:p>
        </w:tc>
        <w:tc>
          <w:tcPr>
            <w:tcW w:w="909" w:type="dxa"/>
          </w:tcPr>
          <w:p w14:paraId="2B75E3B5" w14:textId="77777777" w:rsidR="008B0470" w:rsidRPr="008B0470" w:rsidRDefault="008B0470" w:rsidP="00CA0D72">
            <w:pPr>
              <w:pStyle w:val="Table"/>
              <w:ind w:right="-3"/>
            </w:pPr>
            <w:r w:rsidRPr="008B0470">
              <w:t>265</w:t>
            </w:r>
          </w:p>
        </w:tc>
        <w:tc>
          <w:tcPr>
            <w:tcW w:w="2832" w:type="dxa"/>
          </w:tcPr>
          <w:p w14:paraId="64AD7131" w14:textId="77777777" w:rsidR="008B0470" w:rsidRPr="008B0470" w:rsidRDefault="008B0470" w:rsidP="00CA0D72">
            <w:pPr>
              <w:pStyle w:val="Table"/>
              <w:ind w:right="-3"/>
            </w:pPr>
            <w:r w:rsidRPr="008B0470">
              <w:t>83  (74-89)</w:t>
            </w:r>
          </w:p>
        </w:tc>
        <w:tc>
          <w:tcPr>
            <w:tcW w:w="2888" w:type="dxa"/>
          </w:tcPr>
          <w:p w14:paraId="6CDC47DB" w14:textId="77777777" w:rsidR="008B0470" w:rsidRPr="008B0470" w:rsidRDefault="008B0470" w:rsidP="00CA0D72">
            <w:pPr>
              <w:pStyle w:val="Table"/>
              <w:ind w:right="-3"/>
            </w:pPr>
            <w:r w:rsidRPr="008B0470">
              <w:t>97  (88-100)</w:t>
            </w:r>
          </w:p>
        </w:tc>
      </w:tr>
      <w:tr w:rsidR="008B0470" w:rsidRPr="008B0470" w14:paraId="250A7080" w14:textId="77777777" w:rsidTr="00D83B72">
        <w:tc>
          <w:tcPr>
            <w:tcW w:w="2943" w:type="dxa"/>
          </w:tcPr>
          <w:p w14:paraId="5531B044" w14:textId="4EDC96B9" w:rsidR="008B0470" w:rsidRPr="008B0470" w:rsidRDefault="008B0470" w:rsidP="00CA0D72">
            <w:pPr>
              <w:pStyle w:val="Table"/>
              <w:ind w:right="-3"/>
            </w:pPr>
            <w:r w:rsidRPr="008B0470">
              <w:t xml:space="preserve">  </w:t>
            </w:r>
            <w:r w:rsidR="00D83B72" w:rsidRPr="008B0470">
              <w:t>QLD</w:t>
            </w:r>
            <w:r w:rsidR="00D83B72">
              <w:t xml:space="preserve"> - </w:t>
            </w:r>
            <w:r w:rsidRPr="008B0470">
              <w:t>Residential**</w:t>
            </w:r>
          </w:p>
        </w:tc>
        <w:tc>
          <w:tcPr>
            <w:tcW w:w="909" w:type="dxa"/>
          </w:tcPr>
          <w:p w14:paraId="6E43FD9D" w14:textId="77777777" w:rsidR="008B0470" w:rsidRPr="008B0470" w:rsidRDefault="008B0470" w:rsidP="00CA0D72">
            <w:pPr>
              <w:pStyle w:val="Table"/>
              <w:ind w:right="-3"/>
            </w:pPr>
            <w:r w:rsidRPr="008B0470">
              <w:t>3</w:t>
            </w:r>
          </w:p>
        </w:tc>
        <w:tc>
          <w:tcPr>
            <w:tcW w:w="2832" w:type="dxa"/>
          </w:tcPr>
          <w:p w14:paraId="416552DE" w14:textId="77777777" w:rsidR="008B0470" w:rsidRPr="008B0470" w:rsidRDefault="008B0470" w:rsidP="00CA0D72">
            <w:pPr>
              <w:pStyle w:val="Table"/>
              <w:ind w:right="-3"/>
            </w:pPr>
            <w:r w:rsidRPr="008B0470">
              <w:t>89  †</w:t>
            </w:r>
          </w:p>
        </w:tc>
        <w:tc>
          <w:tcPr>
            <w:tcW w:w="2888" w:type="dxa"/>
          </w:tcPr>
          <w:p w14:paraId="6728D89A" w14:textId="77777777" w:rsidR="008B0470" w:rsidRPr="008B0470" w:rsidRDefault="008B0470" w:rsidP="00CA0D72">
            <w:pPr>
              <w:pStyle w:val="Table"/>
              <w:ind w:right="-3"/>
            </w:pPr>
            <w:r w:rsidRPr="008B0470">
              <w:t>77  †</w:t>
            </w:r>
          </w:p>
        </w:tc>
      </w:tr>
      <w:tr w:rsidR="008B0470" w:rsidRPr="008B0470" w14:paraId="73792BB4" w14:textId="77777777" w:rsidTr="00D83B72">
        <w:tc>
          <w:tcPr>
            <w:tcW w:w="2943" w:type="dxa"/>
          </w:tcPr>
          <w:p w14:paraId="1C8AAF33" w14:textId="7F8F287F" w:rsidR="008B0470" w:rsidRPr="008B0470" w:rsidRDefault="008B0470" w:rsidP="00CA0D72">
            <w:pPr>
              <w:pStyle w:val="Table"/>
              <w:ind w:right="-3"/>
            </w:pPr>
            <w:r w:rsidRPr="008B0470">
              <w:t xml:space="preserve">  </w:t>
            </w:r>
            <w:r w:rsidR="00D83B72" w:rsidRPr="008B0470">
              <w:t>QLD</w:t>
            </w:r>
            <w:r w:rsidR="00D83B72">
              <w:t xml:space="preserve"> - </w:t>
            </w:r>
            <w:r w:rsidRPr="008B0470">
              <w:t>Combination***</w:t>
            </w:r>
          </w:p>
        </w:tc>
        <w:tc>
          <w:tcPr>
            <w:tcW w:w="909" w:type="dxa"/>
          </w:tcPr>
          <w:p w14:paraId="0F70030F" w14:textId="77777777" w:rsidR="008B0470" w:rsidRPr="008B0470" w:rsidRDefault="008B0470" w:rsidP="00CA0D72">
            <w:pPr>
              <w:pStyle w:val="Table"/>
              <w:ind w:right="-3"/>
            </w:pPr>
            <w:r w:rsidRPr="008B0470">
              <w:t>5</w:t>
            </w:r>
          </w:p>
        </w:tc>
        <w:tc>
          <w:tcPr>
            <w:tcW w:w="2832" w:type="dxa"/>
          </w:tcPr>
          <w:p w14:paraId="57320D85" w14:textId="77777777" w:rsidR="008B0470" w:rsidRPr="008B0470" w:rsidRDefault="008B0470" w:rsidP="00CA0D72">
            <w:pPr>
              <w:pStyle w:val="Table"/>
              <w:ind w:right="-3"/>
            </w:pPr>
            <w:r w:rsidRPr="008B0470">
              <w:t>78  (69-90)</w:t>
            </w:r>
          </w:p>
        </w:tc>
        <w:tc>
          <w:tcPr>
            <w:tcW w:w="2888" w:type="dxa"/>
          </w:tcPr>
          <w:p w14:paraId="363D9490" w14:textId="77777777" w:rsidR="008B0470" w:rsidRPr="008B0470" w:rsidRDefault="008B0470" w:rsidP="00CA0D72">
            <w:pPr>
              <w:pStyle w:val="Table"/>
              <w:ind w:right="-3"/>
            </w:pPr>
            <w:r w:rsidRPr="008B0470">
              <w:t>84  (78-93)</w:t>
            </w:r>
          </w:p>
        </w:tc>
      </w:tr>
      <w:tr w:rsidR="008B0470" w:rsidRPr="008B0470" w14:paraId="44284B82" w14:textId="77777777" w:rsidTr="00D83B72">
        <w:tc>
          <w:tcPr>
            <w:tcW w:w="2943" w:type="dxa"/>
          </w:tcPr>
          <w:p w14:paraId="34B310C6" w14:textId="2FCFAB09" w:rsidR="008B0470" w:rsidRPr="008B0470" w:rsidRDefault="008B0470" w:rsidP="00CA0D72">
            <w:pPr>
              <w:pStyle w:val="Table"/>
              <w:ind w:right="-3"/>
            </w:pPr>
            <w:r w:rsidRPr="008B0470">
              <w:t xml:space="preserve">  </w:t>
            </w:r>
            <w:r w:rsidR="00D83B72" w:rsidRPr="008B0470">
              <w:t>SA</w:t>
            </w:r>
            <w:r w:rsidR="00D83B72">
              <w:t xml:space="preserve"> - </w:t>
            </w:r>
            <w:r w:rsidRPr="008B0470">
              <w:t>Community</w:t>
            </w:r>
          </w:p>
        </w:tc>
        <w:tc>
          <w:tcPr>
            <w:tcW w:w="909" w:type="dxa"/>
          </w:tcPr>
          <w:p w14:paraId="54973C4B" w14:textId="77777777" w:rsidR="008B0470" w:rsidRPr="008B0470" w:rsidRDefault="008B0470" w:rsidP="00CA0D72">
            <w:pPr>
              <w:pStyle w:val="Table"/>
              <w:ind w:right="-3"/>
            </w:pPr>
            <w:r w:rsidRPr="008B0470">
              <w:t>110</w:t>
            </w:r>
          </w:p>
        </w:tc>
        <w:tc>
          <w:tcPr>
            <w:tcW w:w="2832" w:type="dxa"/>
          </w:tcPr>
          <w:p w14:paraId="48F0E435" w14:textId="77777777" w:rsidR="008B0470" w:rsidRPr="008B0470" w:rsidRDefault="008B0470" w:rsidP="00CA0D72">
            <w:pPr>
              <w:pStyle w:val="Table"/>
              <w:ind w:right="-3"/>
            </w:pPr>
            <w:r w:rsidRPr="008B0470">
              <w:t>77  (65-86)</w:t>
            </w:r>
          </w:p>
        </w:tc>
        <w:tc>
          <w:tcPr>
            <w:tcW w:w="2888" w:type="dxa"/>
          </w:tcPr>
          <w:p w14:paraId="5C6FB2B9" w14:textId="77777777" w:rsidR="008B0470" w:rsidRPr="008B0470" w:rsidRDefault="008B0470" w:rsidP="00CA0D72">
            <w:pPr>
              <w:pStyle w:val="Table"/>
              <w:ind w:right="-3"/>
            </w:pPr>
            <w:r w:rsidRPr="008B0470">
              <w:t>84  (72-92)</w:t>
            </w:r>
          </w:p>
        </w:tc>
      </w:tr>
      <w:tr w:rsidR="008B0470" w:rsidRPr="008B0470" w14:paraId="22B49A01" w14:textId="77777777" w:rsidTr="00D83B72">
        <w:tc>
          <w:tcPr>
            <w:tcW w:w="2943" w:type="dxa"/>
          </w:tcPr>
          <w:p w14:paraId="58E58E12" w14:textId="4CE13A22" w:rsidR="008B0470" w:rsidRPr="008B0470" w:rsidRDefault="008B0470" w:rsidP="00CA0D72">
            <w:pPr>
              <w:pStyle w:val="Table"/>
              <w:ind w:right="-3"/>
            </w:pPr>
            <w:r w:rsidRPr="008B0470">
              <w:t xml:space="preserve">  </w:t>
            </w:r>
            <w:r w:rsidR="00D83B72" w:rsidRPr="008B0470">
              <w:t>SA</w:t>
            </w:r>
            <w:r w:rsidR="00D83B72">
              <w:t xml:space="preserve"> - </w:t>
            </w:r>
            <w:r w:rsidRPr="008B0470">
              <w:t>Residential</w:t>
            </w:r>
          </w:p>
        </w:tc>
        <w:tc>
          <w:tcPr>
            <w:tcW w:w="909" w:type="dxa"/>
          </w:tcPr>
          <w:p w14:paraId="79882C31" w14:textId="77777777" w:rsidR="008B0470" w:rsidRPr="008B0470" w:rsidRDefault="008B0470" w:rsidP="00CA0D72">
            <w:pPr>
              <w:pStyle w:val="Table"/>
              <w:ind w:right="-3"/>
            </w:pPr>
            <w:r w:rsidRPr="008B0470">
              <w:t>140</w:t>
            </w:r>
          </w:p>
        </w:tc>
        <w:tc>
          <w:tcPr>
            <w:tcW w:w="2832" w:type="dxa"/>
          </w:tcPr>
          <w:p w14:paraId="781443F7" w14:textId="77777777" w:rsidR="008B0470" w:rsidRPr="008B0470" w:rsidRDefault="008B0470" w:rsidP="00CA0D72">
            <w:pPr>
              <w:pStyle w:val="Table"/>
              <w:ind w:right="-3"/>
            </w:pPr>
            <w:r w:rsidRPr="008B0470">
              <w:t>56  (34-70)</w:t>
            </w:r>
          </w:p>
        </w:tc>
        <w:tc>
          <w:tcPr>
            <w:tcW w:w="2888" w:type="dxa"/>
          </w:tcPr>
          <w:p w14:paraId="3C8057C9" w14:textId="77777777" w:rsidR="008B0470" w:rsidRPr="008B0470" w:rsidRDefault="008B0470" w:rsidP="00CA0D72">
            <w:pPr>
              <w:pStyle w:val="Table"/>
              <w:ind w:right="-3"/>
            </w:pPr>
            <w:r w:rsidRPr="008B0470">
              <w:t>80  (60-88)</w:t>
            </w:r>
          </w:p>
        </w:tc>
      </w:tr>
      <w:tr w:rsidR="008B0470" w:rsidRPr="008B0470" w14:paraId="2767D602" w14:textId="77777777" w:rsidTr="00D83B72">
        <w:tc>
          <w:tcPr>
            <w:tcW w:w="2943" w:type="dxa"/>
          </w:tcPr>
          <w:p w14:paraId="0584E5FE" w14:textId="777FF73A" w:rsidR="008B0470" w:rsidRPr="008B0470" w:rsidRDefault="008B0470" w:rsidP="00CA0D72">
            <w:pPr>
              <w:pStyle w:val="Table"/>
              <w:ind w:right="-3"/>
            </w:pPr>
            <w:r w:rsidRPr="008B0470">
              <w:t xml:space="preserve">  </w:t>
            </w:r>
            <w:r w:rsidR="00D83B72" w:rsidRPr="008B0470">
              <w:t>SA</w:t>
            </w:r>
            <w:r w:rsidR="00D83B72">
              <w:t xml:space="preserve"> - </w:t>
            </w:r>
            <w:r w:rsidRPr="008B0470">
              <w:t>Combination</w:t>
            </w:r>
          </w:p>
        </w:tc>
        <w:tc>
          <w:tcPr>
            <w:tcW w:w="909" w:type="dxa"/>
          </w:tcPr>
          <w:p w14:paraId="5677FBA4" w14:textId="77777777" w:rsidR="008B0470" w:rsidRPr="008B0470" w:rsidRDefault="008B0470" w:rsidP="00CA0D72">
            <w:pPr>
              <w:pStyle w:val="Table"/>
              <w:ind w:right="-3"/>
            </w:pPr>
            <w:r w:rsidRPr="008B0470">
              <w:t>39</w:t>
            </w:r>
          </w:p>
        </w:tc>
        <w:tc>
          <w:tcPr>
            <w:tcW w:w="2832" w:type="dxa"/>
          </w:tcPr>
          <w:p w14:paraId="53FDAF86" w14:textId="77777777" w:rsidR="008B0470" w:rsidRPr="008B0470" w:rsidRDefault="008B0470" w:rsidP="00CA0D72">
            <w:pPr>
              <w:pStyle w:val="Table"/>
              <w:ind w:right="-3"/>
            </w:pPr>
            <w:r w:rsidRPr="008B0470">
              <w:t>67  (49-83)</w:t>
            </w:r>
          </w:p>
        </w:tc>
        <w:tc>
          <w:tcPr>
            <w:tcW w:w="2888" w:type="dxa"/>
          </w:tcPr>
          <w:p w14:paraId="46438591" w14:textId="77777777" w:rsidR="008B0470" w:rsidRPr="008B0470" w:rsidRDefault="008B0470" w:rsidP="00CA0D72">
            <w:pPr>
              <w:pStyle w:val="Table"/>
              <w:ind w:right="-3"/>
            </w:pPr>
            <w:r w:rsidRPr="008B0470">
              <w:t>86  (74-90)</w:t>
            </w:r>
          </w:p>
        </w:tc>
      </w:tr>
      <w:tr w:rsidR="008B0470" w:rsidRPr="008B0470" w14:paraId="14F7C1C9" w14:textId="77777777" w:rsidTr="00D83B72">
        <w:tc>
          <w:tcPr>
            <w:tcW w:w="2943" w:type="dxa"/>
          </w:tcPr>
          <w:p w14:paraId="5740522A" w14:textId="65E5640D" w:rsidR="008B0470" w:rsidRPr="008B0470" w:rsidRDefault="008B0470" w:rsidP="00CA0D72">
            <w:pPr>
              <w:pStyle w:val="Table"/>
              <w:ind w:right="-3"/>
            </w:pPr>
            <w:r w:rsidRPr="008B0470">
              <w:t xml:space="preserve">  </w:t>
            </w:r>
            <w:r w:rsidR="00D83B72" w:rsidRPr="008B0470">
              <w:t>TAS</w:t>
            </w:r>
            <w:r w:rsidR="00D83B72">
              <w:t xml:space="preserve"> - </w:t>
            </w:r>
            <w:r w:rsidRPr="008B0470">
              <w:t>Community</w:t>
            </w:r>
          </w:p>
        </w:tc>
        <w:tc>
          <w:tcPr>
            <w:tcW w:w="909" w:type="dxa"/>
          </w:tcPr>
          <w:p w14:paraId="599CEA26" w14:textId="77777777" w:rsidR="008B0470" w:rsidRPr="008B0470" w:rsidRDefault="008B0470" w:rsidP="00CA0D72">
            <w:pPr>
              <w:pStyle w:val="Table"/>
              <w:ind w:right="-3"/>
            </w:pPr>
            <w:r w:rsidRPr="008B0470">
              <w:t>34</w:t>
            </w:r>
          </w:p>
        </w:tc>
        <w:tc>
          <w:tcPr>
            <w:tcW w:w="2832" w:type="dxa"/>
          </w:tcPr>
          <w:p w14:paraId="73CFAC49" w14:textId="77777777" w:rsidR="008B0470" w:rsidRPr="008B0470" w:rsidRDefault="008B0470" w:rsidP="00CA0D72">
            <w:pPr>
              <w:pStyle w:val="Table"/>
              <w:ind w:right="-3"/>
            </w:pPr>
            <w:r w:rsidRPr="008B0470">
              <w:t>70  (62-79)</w:t>
            </w:r>
          </w:p>
        </w:tc>
        <w:tc>
          <w:tcPr>
            <w:tcW w:w="2888" w:type="dxa"/>
          </w:tcPr>
          <w:p w14:paraId="01116FB9" w14:textId="77777777" w:rsidR="008B0470" w:rsidRPr="008B0470" w:rsidRDefault="008B0470" w:rsidP="00CA0D72">
            <w:pPr>
              <w:pStyle w:val="Table"/>
              <w:ind w:right="-3"/>
            </w:pPr>
            <w:r w:rsidRPr="008B0470">
              <w:t>90  (74-95)</w:t>
            </w:r>
          </w:p>
        </w:tc>
      </w:tr>
      <w:tr w:rsidR="008B0470" w:rsidRPr="008B0470" w14:paraId="5DBD2193" w14:textId="77777777" w:rsidTr="00D83B72">
        <w:tc>
          <w:tcPr>
            <w:tcW w:w="2943" w:type="dxa"/>
          </w:tcPr>
          <w:p w14:paraId="7FD1EA9F" w14:textId="2C3C3A1D" w:rsidR="008B0470" w:rsidRPr="008B0470" w:rsidRDefault="008B0470" w:rsidP="00CA0D72">
            <w:pPr>
              <w:pStyle w:val="Table"/>
              <w:ind w:right="-3"/>
            </w:pPr>
            <w:r w:rsidRPr="008B0470">
              <w:t xml:space="preserve">  </w:t>
            </w:r>
            <w:r w:rsidR="00D83B72" w:rsidRPr="008B0470">
              <w:t>TAS</w:t>
            </w:r>
            <w:r w:rsidR="00D83B72">
              <w:t xml:space="preserve"> - </w:t>
            </w:r>
            <w:r w:rsidRPr="008B0470">
              <w:t>Residential</w:t>
            </w:r>
          </w:p>
        </w:tc>
        <w:tc>
          <w:tcPr>
            <w:tcW w:w="909" w:type="dxa"/>
          </w:tcPr>
          <w:p w14:paraId="3322E0B8" w14:textId="77777777" w:rsidR="008B0470" w:rsidRPr="008B0470" w:rsidRDefault="008B0470" w:rsidP="00CA0D72">
            <w:pPr>
              <w:pStyle w:val="Table"/>
              <w:ind w:right="-3"/>
            </w:pPr>
            <w:r w:rsidRPr="008B0470">
              <w:t>58</w:t>
            </w:r>
          </w:p>
        </w:tc>
        <w:tc>
          <w:tcPr>
            <w:tcW w:w="2832" w:type="dxa"/>
          </w:tcPr>
          <w:p w14:paraId="5C13B3CE" w14:textId="77777777" w:rsidR="008B0470" w:rsidRPr="008B0470" w:rsidRDefault="008B0470" w:rsidP="00CA0D72">
            <w:pPr>
              <w:pStyle w:val="Table"/>
              <w:ind w:right="-3"/>
            </w:pPr>
            <w:r w:rsidRPr="008B0470">
              <w:t>63  (54-75)</w:t>
            </w:r>
          </w:p>
        </w:tc>
        <w:tc>
          <w:tcPr>
            <w:tcW w:w="2888" w:type="dxa"/>
          </w:tcPr>
          <w:p w14:paraId="7AE5D22E" w14:textId="77777777" w:rsidR="008B0470" w:rsidRPr="008B0470" w:rsidRDefault="008B0470" w:rsidP="00CA0D72">
            <w:pPr>
              <w:pStyle w:val="Table"/>
              <w:ind w:right="-3"/>
            </w:pPr>
            <w:r w:rsidRPr="008B0470">
              <w:t>94  (81-98)</w:t>
            </w:r>
          </w:p>
        </w:tc>
      </w:tr>
      <w:tr w:rsidR="008B0470" w:rsidRPr="008B0470" w14:paraId="10869921" w14:textId="77777777" w:rsidTr="00D83B72">
        <w:tc>
          <w:tcPr>
            <w:tcW w:w="2943" w:type="dxa"/>
          </w:tcPr>
          <w:p w14:paraId="3BBDEFC6" w14:textId="1D8E39E3" w:rsidR="008B0470" w:rsidRPr="008B0470" w:rsidRDefault="008B0470" w:rsidP="00CA0D72">
            <w:pPr>
              <w:pStyle w:val="Table"/>
              <w:ind w:right="-3"/>
            </w:pPr>
            <w:r w:rsidRPr="008B0470">
              <w:t xml:space="preserve">  </w:t>
            </w:r>
            <w:r w:rsidR="00D83B72" w:rsidRPr="008B0470">
              <w:t>TAS</w:t>
            </w:r>
            <w:r w:rsidR="00D83B72">
              <w:t xml:space="preserve"> - </w:t>
            </w:r>
            <w:r w:rsidRPr="008B0470">
              <w:t>Combination</w:t>
            </w:r>
          </w:p>
        </w:tc>
        <w:tc>
          <w:tcPr>
            <w:tcW w:w="909" w:type="dxa"/>
          </w:tcPr>
          <w:p w14:paraId="00A463F0" w14:textId="77777777" w:rsidR="008B0470" w:rsidRPr="008B0470" w:rsidRDefault="008B0470" w:rsidP="00CA0D72">
            <w:pPr>
              <w:pStyle w:val="Table"/>
              <w:ind w:right="-3"/>
            </w:pPr>
            <w:r w:rsidRPr="008B0470">
              <w:t>6</w:t>
            </w:r>
          </w:p>
        </w:tc>
        <w:tc>
          <w:tcPr>
            <w:tcW w:w="2832" w:type="dxa"/>
          </w:tcPr>
          <w:p w14:paraId="3D9A9BF8" w14:textId="77777777" w:rsidR="008B0470" w:rsidRPr="008B0470" w:rsidRDefault="008B0470" w:rsidP="00CA0D72">
            <w:pPr>
              <w:pStyle w:val="Table"/>
              <w:ind w:right="-3"/>
            </w:pPr>
            <w:r w:rsidRPr="008B0470">
              <w:t>57  (42-69)</w:t>
            </w:r>
          </w:p>
        </w:tc>
        <w:tc>
          <w:tcPr>
            <w:tcW w:w="2888" w:type="dxa"/>
          </w:tcPr>
          <w:p w14:paraId="6F5E5242" w14:textId="77777777" w:rsidR="008B0470" w:rsidRPr="008B0470" w:rsidRDefault="008B0470" w:rsidP="00CA0D72">
            <w:pPr>
              <w:pStyle w:val="Table"/>
              <w:ind w:right="-3"/>
            </w:pPr>
            <w:r w:rsidRPr="008B0470">
              <w:t>89  (69-94)</w:t>
            </w:r>
          </w:p>
        </w:tc>
      </w:tr>
      <w:tr w:rsidR="008B0470" w:rsidRPr="008B0470" w14:paraId="4129B2FA" w14:textId="77777777" w:rsidTr="00D83B72">
        <w:tc>
          <w:tcPr>
            <w:tcW w:w="2943" w:type="dxa"/>
          </w:tcPr>
          <w:p w14:paraId="429E7F56" w14:textId="63E194DE" w:rsidR="008B0470" w:rsidRPr="008B0470" w:rsidRDefault="008B0470" w:rsidP="00CA0D72">
            <w:pPr>
              <w:pStyle w:val="Table"/>
              <w:ind w:right="-3"/>
            </w:pPr>
            <w:r w:rsidRPr="008B0470">
              <w:t xml:space="preserve">  </w:t>
            </w:r>
            <w:r w:rsidR="00D83B72" w:rsidRPr="008B0470">
              <w:t>VIC</w:t>
            </w:r>
            <w:r w:rsidR="00D83B72">
              <w:t xml:space="preserve"> - </w:t>
            </w:r>
            <w:r w:rsidRPr="008B0470">
              <w:t>Community</w:t>
            </w:r>
          </w:p>
        </w:tc>
        <w:tc>
          <w:tcPr>
            <w:tcW w:w="909" w:type="dxa"/>
          </w:tcPr>
          <w:p w14:paraId="5587D9C9" w14:textId="77777777" w:rsidR="008B0470" w:rsidRPr="008B0470" w:rsidRDefault="008B0470" w:rsidP="00CA0D72">
            <w:pPr>
              <w:pStyle w:val="Table"/>
              <w:ind w:right="-3"/>
            </w:pPr>
            <w:r w:rsidRPr="008B0470">
              <w:t>205</w:t>
            </w:r>
          </w:p>
        </w:tc>
        <w:tc>
          <w:tcPr>
            <w:tcW w:w="2832" w:type="dxa"/>
          </w:tcPr>
          <w:p w14:paraId="57BAE22A" w14:textId="77777777" w:rsidR="008B0470" w:rsidRPr="008B0470" w:rsidRDefault="008B0470" w:rsidP="00CA0D72">
            <w:pPr>
              <w:pStyle w:val="Table"/>
              <w:ind w:right="-3"/>
            </w:pPr>
            <w:r w:rsidRPr="008B0470">
              <w:t>75  (55-85)</w:t>
            </w:r>
          </w:p>
        </w:tc>
        <w:tc>
          <w:tcPr>
            <w:tcW w:w="2888" w:type="dxa"/>
          </w:tcPr>
          <w:p w14:paraId="37833F8C" w14:textId="77777777" w:rsidR="008B0470" w:rsidRPr="008B0470" w:rsidRDefault="008B0470" w:rsidP="00CA0D72">
            <w:pPr>
              <w:pStyle w:val="Table"/>
              <w:ind w:right="-3"/>
            </w:pPr>
            <w:r w:rsidRPr="008B0470">
              <w:t>84  (65-93)</w:t>
            </w:r>
          </w:p>
        </w:tc>
      </w:tr>
      <w:tr w:rsidR="008B0470" w:rsidRPr="008B0470" w14:paraId="5162029D" w14:textId="77777777" w:rsidTr="00D83B72">
        <w:tc>
          <w:tcPr>
            <w:tcW w:w="2943" w:type="dxa"/>
          </w:tcPr>
          <w:p w14:paraId="77C407D8" w14:textId="6018F033" w:rsidR="008B0470" w:rsidRPr="008B0470" w:rsidRDefault="008B0470" w:rsidP="00CA0D72">
            <w:pPr>
              <w:pStyle w:val="Table"/>
              <w:ind w:right="-3"/>
            </w:pPr>
            <w:r w:rsidRPr="008B0470">
              <w:t xml:space="preserve">  </w:t>
            </w:r>
            <w:r w:rsidR="00D83B72" w:rsidRPr="008B0470">
              <w:t>VIC</w:t>
            </w:r>
            <w:r w:rsidR="00D83B72">
              <w:t xml:space="preserve"> - </w:t>
            </w:r>
            <w:r w:rsidRPr="008B0470">
              <w:t>Residential</w:t>
            </w:r>
          </w:p>
        </w:tc>
        <w:tc>
          <w:tcPr>
            <w:tcW w:w="909" w:type="dxa"/>
          </w:tcPr>
          <w:p w14:paraId="366DE04E" w14:textId="77777777" w:rsidR="008B0470" w:rsidRPr="008B0470" w:rsidRDefault="008B0470" w:rsidP="00CA0D72">
            <w:pPr>
              <w:pStyle w:val="Table"/>
              <w:ind w:right="-3"/>
            </w:pPr>
            <w:r w:rsidRPr="008B0470">
              <w:t>646</w:t>
            </w:r>
          </w:p>
        </w:tc>
        <w:tc>
          <w:tcPr>
            <w:tcW w:w="2832" w:type="dxa"/>
          </w:tcPr>
          <w:p w14:paraId="3042ED53" w14:textId="77777777" w:rsidR="008B0470" w:rsidRPr="008B0470" w:rsidRDefault="008B0470" w:rsidP="00CA0D72">
            <w:pPr>
              <w:pStyle w:val="Table"/>
              <w:ind w:right="-3"/>
            </w:pPr>
            <w:r w:rsidRPr="008B0470">
              <w:t>48  (26-69)</w:t>
            </w:r>
          </w:p>
        </w:tc>
        <w:tc>
          <w:tcPr>
            <w:tcW w:w="2888" w:type="dxa"/>
          </w:tcPr>
          <w:p w14:paraId="12974C97" w14:textId="77777777" w:rsidR="008B0470" w:rsidRPr="008B0470" w:rsidRDefault="008B0470" w:rsidP="00CA0D72">
            <w:pPr>
              <w:pStyle w:val="Table"/>
              <w:ind w:right="-3"/>
            </w:pPr>
            <w:r w:rsidRPr="008B0470">
              <w:t>56  (30-78)</w:t>
            </w:r>
          </w:p>
        </w:tc>
      </w:tr>
      <w:tr w:rsidR="008B0470" w:rsidRPr="008B0470" w14:paraId="11C3A4DF" w14:textId="77777777" w:rsidTr="00D83B72">
        <w:tc>
          <w:tcPr>
            <w:tcW w:w="2943" w:type="dxa"/>
          </w:tcPr>
          <w:p w14:paraId="380B1EFF" w14:textId="37C3AF6B" w:rsidR="008B0470" w:rsidRPr="008B0470" w:rsidRDefault="008B0470" w:rsidP="00CA0D72">
            <w:pPr>
              <w:pStyle w:val="Table"/>
              <w:ind w:right="-3"/>
            </w:pPr>
            <w:r w:rsidRPr="008B0470">
              <w:t xml:space="preserve">  </w:t>
            </w:r>
            <w:r w:rsidR="00D83B72" w:rsidRPr="008B0470">
              <w:t>VIC</w:t>
            </w:r>
            <w:r w:rsidR="00D83B72">
              <w:t xml:space="preserve"> - </w:t>
            </w:r>
            <w:r w:rsidRPr="008B0470">
              <w:t>Combination</w:t>
            </w:r>
          </w:p>
        </w:tc>
        <w:tc>
          <w:tcPr>
            <w:tcW w:w="909" w:type="dxa"/>
          </w:tcPr>
          <w:p w14:paraId="1DB0EDF0" w14:textId="77777777" w:rsidR="008B0470" w:rsidRPr="008B0470" w:rsidRDefault="008B0470" w:rsidP="00CA0D72">
            <w:pPr>
              <w:pStyle w:val="Table"/>
              <w:ind w:right="-3"/>
            </w:pPr>
            <w:r w:rsidRPr="008B0470">
              <w:t>83</w:t>
            </w:r>
          </w:p>
        </w:tc>
        <w:tc>
          <w:tcPr>
            <w:tcW w:w="2832" w:type="dxa"/>
          </w:tcPr>
          <w:p w14:paraId="27A4C6BD" w14:textId="77777777" w:rsidR="008B0470" w:rsidRPr="008B0470" w:rsidRDefault="008B0470" w:rsidP="00CA0D72">
            <w:pPr>
              <w:pStyle w:val="Table"/>
              <w:ind w:right="-3"/>
            </w:pPr>
            <w:r w:rsidRPr="008B0470">
              <w:t>56  (37-74)</w:t>
            </w:r>
          </w:p>
        </w:tc>
        <w:tc>
          <w:tcPr>
            <w:tcW w:w="2888" w:type="dxa"/>
          </w:tcPr>
          <w:p w14:paraId="7768FD20" w14:textId="77777777" w:rsidR="008B0470" w:rsidRPr="008B0470" w:rsidRDefault="008B0470" w:rsidP="00CA0D72">
            <w:pPr>
              <w:pStyle w:val="Table"/>
              <w:ind w:right="-3"/>
            </w:pPr>
            <w:r w:rsidRPr="008B0470">
              <w:t>68  (45-90)</w:t>
            </w:r>
          </w:p>
        </w:tc>
      </w:tr>
      <w:tr w:rsidR="008B0470" w:rsidRPr="008B0470" w14:paraId="36B4A38F" w14:textId="77777777" w:rsidTr="00D83B72">
        <w:tc>
          <w:tcPr>
            <w:tcW w:w="2943" w:type="dxa"/>
          </w:tcPr>
          <w:p w14:paraId="64BC100C" w14:textId="090D12B9" w:rsidR="008B0470" w:rsidRPr="008B0470" w:rsidRDefault="008B0470" w:rsidP="00CA0D72">
            <w:pPr>
              <w:pStyle w:val="Table"/>
              <w:ind w:right="-3"/>
            </w:pPr>
            <w:r w:rsidRPr="008B0470">
              <w:t xml:space="preserve">  </w:t>
            </w:r>
            <w:r w:rsidR="00D83B72" w:rsidRPr="008B0470">
              <w:t>WA</w:t>
            </w:r>
            <w:r w:rsidR="00D83B72">
              <w:t xml:space="preserve"> - </w:t>
            </w:r>
            <w:r w:rsidRPr="008B0470">
              <w:t>Community</w:t>
            </w:r>
          </w:p>
        </w:tc>
        <w:tc>
          <w:tcPr>
            <w:tcW w:w="909" w:type="dxa"/>
          </w:tcPr>
          <w:p w14:paraId="1DC08E2E" w14:textId="77777777" w:rsidR="008B0470" w:rsidRPr="008B0470" w:rsidRDefault="008B0470" w:rsidP="00CA0D72">
            <w:pPr>
              <w:pStyle w:val="Table"/>
              <w:ind w:right="-3"/>
            </w:pPr>
            <w:r w:rsidRPr="008B0470">
              <w:t>35</w:t>
            </w:r>
          </w:p>
        </w:tc>
        <w:tc>
          <w:tcPr>
            <w:tcW w:w="2832" w:type="dxa"/>
          </w:tcPr>
          <w:p w14:paraId="7F1B2AD0" w14:textId="77777777" w:rsidR="008B0470" w:rsidRPr="008B0470" w:rsidRDefault="008B0470" w:rsidP="00CA0D72">
            <w:pPr>
              <w:pStyle w:val="Table"/>
              <w:ind w:right="-3"/>
            </w:pPr>
            <w:r w:rsidRPr="008B0470">
              <w:t>84  (74-91)</w:t>
            </w:r>
          </w:p>
        </w:tc>
        <w:tc>
          <w:tcPr>
            <w:tcW w:w="2888" w:type="dxa"/>
          </w:tcPr>
          <w:p w14:paraId="50465EEE" w14:textId="77777777" w:rsidR="008B0470" w:rsidRPr="008B0470" w:rsidRDefault="008B0470" w:rsidP="00CA0D72">
            <w:pPr>
              <w:pStyle w:val="Table"/>
              <w:ind w:right="-3"/>
            </w:pPr>
            <w:r w:rsidRPr="008B0470">
              <w:t>92  (90-96)</w:t>
            </w:r>
          </w:p>
        </w:tc>
      </w:tr>
      <w:tr w:rsidR="008B0470" w:rsidRPr="008B0470" w14:paraId="0910A4B7" w14:textId="77777777" w:rsidTr="00D83B72">
        <w:tc>
          <w:tcPr>
            <w:tcW w:w="2943" w:type="dxa"/>
          </w:tcPr>
          <w:p w14:paraId="4AF36949" w14:textId="5593F196" w:rsidR="008B0470" w:rsidRPr="008B0470" w:rsidRDefault="008B0470" w:rsidP="00CA0D72">
            <w:pPr>
              <w:pStyle w:val="Table"/>
              <w:ind w:right="-3"/>
            </w:pPr>
            <w:r w:rsidRPr="008B0470">
              <w:t xml:space="preserve">  </w:t>
            </w:r>
            <w:r w:rsidR="00D83B72" w:rsidRPr="008B0470">
              <w:t>WA</w:t>
            </w:r>
            <w:r w:rsidR="00D83B72">
              <w:t xml:space="preserve"> - </w:t>
            </w:r>
            <w:r w:rsidRPr="008B0470">
              <w:t>Residential</w:t>
            </w:r>
          </w:p>
        </w:tc>
        <w:tc>
          <w:tcPr>
            <w:tcW w:w="909" w:type="dxa"/>
          </w:tcPr>
          <w:p w14:paraId="771AE22B" w14:textId="77777777" w:rsidR="008B0470" w:rsidRPr="008B0470" w:rsidRDefault="008B0470" w:rsidP="00CA0D72">
            <w:pPr>
              <w:pStyle w:val="Table"/>
              <w:ind w:right="-3"/>
            </w:pPr>
            <w:r w:rsidRPr="008B0470">
              <w:t>57</w:t>
            </w:r>
          </w:p>
        </w:tc>
        <w:tc>
          <w:tcPr>
            <w:tcW w:w="2832" w:type="dxa"/>
          </w:tcPr>
          <w:p w14:paraId="5D6384DB" w14:textId="77777777" w:rsidR="008B0470" w:rsidRPr="008B0470" w:rsidRDefault="008B0470" w:rsidP="00CA0D72">
            <w:pPr>
              <w:pStyle w:val="Table"/>
              <w:ind w:right="-3"/>
            </w:pPr>
            <w:r w:rsidRPr="008B0470">
              <w:t>59  (34-78)</w:t>
            </w:r>
          </w:p>
        </w:tc>
        <w:tc>
          <w:tcPr>
            <w:tcW w:w="2888" w:type="dxa"/>
          </w:tcPr>
          <w:p w14:paraId="4DEC9B5A" w14:textId="77777777" w:rsidR="008B0470" w:rsidRPr="008B0470" w:rsidRDefault="008B0470" w:rsidP="00CA0D72">
            <w:pPr>
              <w:pStyle w:val="Table"/>
              <w:ind w:right="-3"/>
            </w:pPr>
            <w:r w:rsidRPr="008B0470">
              <w:t>76  (52-92)</w:t>
            </w:r>
          </w:p>
        </w:tc>
      </w:tr>
      <w:tr w:rsidR="008B0470" w:rsidRPr="008B0470" w14:paraId="2B0EF0DE" w14:textId="77777777" w:rsidTr="00D83B72">
        <w:tc>
          <w:tcPr>
            <w:tcW w:w="2943" w:type="dxa"/>
          </w:tcPr>
          <w:p w14:paraId="5E8BABDD" w14:textId="27A7F20B" w:rsidR="008B0470" w:rsidRPr="008B0470" w:rsidRDefault="008B0470" w:rsidP="00CA0D72">
            <w:pPr>
              <w:pStyle w:val="Table"/>
              <w:ind w:right="-3"/>
            </w:pPr>
            <w:r w:rsidRPr="008B0470">
              <w:t xml:space="preserve">  </w:t>
            </w:r>
            <w:r w:rsidR="00D83B72" w:rsidRPr="008B0470">
              <w:t>WA</w:t>
            </w:r>
            <w:r w:rsidR="00D83B72">
              <w:t xml:space="preserve"> - </w:t>
            </w:r>
            <w:r w:rsidRPr="008B0470">
              <w:t>Combination</w:t>
            </w:r>
          </w:p>
        </w:tc>
        <w:tc>
          <w:tcPr>
            <w:tcW w:w="909" w:type="dxa"/>
          </w:tcPr>
          <w:p w14:paraId="2F4D1DA5" w14:textId="77777777" w:rsidR="008B0470" w:rsidRPr="008B0470" w:rsidRDefault="008B0470" w:rsidP="00CA0D72">
            <w:pPr>
              <w:pStyle w:val="Table"/>
              <w:ind w:right="-3"/>
            </w:pPr>
            <w:r w:rsidRPr="008B0470">
              <w:t>46</w:t>
            </w:r>
          </w:p>
        </w:tc>
        <w:tc>
          <w:tcPr>
            <w:tcW w:w="2832" w:type="dxa"/>
          </w:tcPr>
          <w:p w14:paraId="3C770D0C" w14:textId="77777777" w:rsidR="008B0470" w:rsidRPr="008B0470" w:rsidRDefault="008B0470" w:rsidP="00CA0D72">
            <w:pPr>
              <w:pStyle w:val="Table"/>
              <w:ind w:right="-3"/>
            </w:pPr>
            <w:r w:rsidRPr="008B0470">
              <w:t>71  (61-82)</w:t>
            </w:r>
          </w:p>
        </w:tc>
        <w:tc>
          <w:tcPr>
            <w:tcW w:w="2888" w:type="dxa"/>
          </w:tcPr>
          <w:p w14:paraId="3E3C517D" w14:textId="77777777" w:rsidR="008B0470" w:rsidRPr="008B0470" w:rsidRDefault="008B0470" w:rsidP="00CA0D72">
            <w:pPr>
              <w:pStyle w:val="Table"/>
              <w:ind w:right="-3"/>
            </w:pPr>
            <w:r w:rsidRPr="008B0470">
              <w:t>95  (90-97)</w:t>
            </w:r>
          </w:p>
        </w:tc>
      </w:tr>
    </w:tbl>
    <w:p w14:paraId="773B40EC" w14:textId="62551EBB" w:rsidR="001F5D28" w:rsidRPr="001F5D28" w:rsidRDefault="001F5D28" w:rsidP="00CA0D72">
      <w:pPr>
        <w:pStyle w:val="Table"/>
        <w:ind w:right="-3"/>
      </w:pPr>
    </w:p>
    <w:p w14:paraId="37369A7E" w14:textId="77777777" w:rsidR="001F5D28" w:rsidRDefault="001F5D28" w:rsidP="00CA0D72">
      <w:pPr>
        <w:pStyle w:val="Note"/>
        <w:ind w:right="-3"/>
      </w:pPr>
      <w:r w:rsidRPr="001F5D28">
        <w:t>Median (IQR)</w:t>
      </w:r>
      <w:r w:rsidRPr="001F5D28">
        <w:tab/>
      </w:r>
    </w:p>
    <w:p w14:paraId="44D197E2" w14:textId="77777777" w:rsidR="001F5D28" w:rsidRDefault="001F5D28" w:rsidP="00CA0D72">
      <w:pPr>
        <w:pStyle w:val="Note"/>
        <w:ind w:right="-3"/>
      </w:pPr>
      <w:r>
        <w:t xml:space="preserve">* </w:t>
      </w:r>
      <w:proofErr w:type="gramStart"/>
      <w:r>
        <w:t>only</w:t>
      </w:r>
      <w:proofErr w:type="gramEnd"/>
      <w:r>
        <w:t xml:space="preserve"> 5 recipients of Combination TC in NSW</w:t>
      </w:r>
    </w:p>
    <w:p w14:paraId="37BC9736" w14:textId="77777777" w:rsidR="001F5D28" w:rsidRDefault="001F5D28" w:rsidP="00CA0D72">
      <w:pPr>
        <w:pStyle w:val="Note"/>
        <w:ind w:right="-3"/>
      </w:pPr>
      <w:r>
        <w:t xml:space="preserve">** </w:t>
      </w:r>
      <w:proofErr w:type="gramStart"/>
      <w:r>
        <w:t>only</w:t>
      </w:r>
      <w:proofErr w:type="gramEnd"/>
      <w:r>
        <w:t xml:space="preserve"> 3 recipients of Residential TC in QLD</w:t>
      </w:r>
    </w:p>
    <w:p w14:paraId="5901D1DA" w14:textId="77777777" w:rsidR="001F5D28" w:rsidRDefault="001F5D28" w:rsidP="00CA0D72">
      <w:pPr>
        <w:pStyle w:val="Note"/>
        <w:ind w:right="-3"/>
      </w:pPr>
      <w:r>
        <w:t xml:space="preserve">*** </w:t>
      </w:r>
      <w:proofErr w:type="gramStart"/>
      <w:r>
        <w:t>only</w:t>
      </w:r>
      <w:proofErr w:type="gramEnd"/>
      <w:r>
        <w:t xml:space="preserve"> 5 recipients of Combination TC in QLD</w:t>
      </w:r>
    </w:p>
    <w:p w14:paraId="35DC6CDD" w14:textId="77777777" w:rsidR="001F5D28" w:rsidRPr="001F5D28" w:rsidRDefault="001F5D28" w:rsidP="00CA0D72">
      <w:pPr>
        <w:pStyle w:val="Note"/>
        <w:ind w:right="-3"/>
      </w:pPr>
      <w:r>
        <w:t>† IQR not calculable as too few observations</w:t>
      </w:r>
      <w:r w:rsidRPr="001F5D28">
        <w:tab/>
      </w:r>
      <w:r w:rsidRPr="001F5D28">
        <w:tab/>
      </w:r>
    </w:p>
    <w:p w14:paraId="2BBBF534" w14:textId="77777777" w:rsidR="005D7ABA" w:rsidRDefault="001F5D28" w:rsidP="00CA0D72">
      <w:pPr>
        <w:pStyle w:val="Heading2"/>
        <w:ind w:right="-3"/>
      </w:pPr>
      <w:r>
        <w:br w:type="page"/>
      </w:r>
      <w:bookmarkStart w:id="57" w:name="_Toc402348904"/>
      <w:r w:rsidR="00FE2D3B" w:rsidRPr="00FE2D3B">
        <w:lastRenderedPageBreak/>
        <w:t>3.3. Length of stay</w:t>
      </w:r>
      <w:bookmarkEnd w:id="57"/>
    </w:p>
    <w:p w14:paraId="66B43145" w14:textId="77777777" w:rsidR="005D7ABA" w:rsidRDefault="00FE2D3B" w:rsidP="00CA0D72">
      <w:pPr>
        <w:ind w:right="-3"/>
      </w:pPr>
      <w:r w:rsidRPr="00FE2D3B">
        <w:t xml:space="preserve">The median length of stay in TC differed according to type of TC received.  Those who were on the residential-based program had a shorter length of stay in the program than those who received community-based TC. </w:t>
      </w:r>
      <w:proofErr w:type="gramStart"/>
      <w:r w:rsidRPr="00FE2D3B">
        <w:t>When those who were discharged to hospital or died on the program were excluded, the length of stay increased by several days for both types of TC.</w:t>
      </w:r>
      <w:proofErr w:type="gramEnd"/>
    </w:p>
    <w:p w14:paraId="226BDFCA" w14:textId="64BAA0B5" w:rsidR="00AD2A80" w:rsidRDefault="00FE2D3B" w:rsidP="00CA0D72">
      <w:pPr>
        <w:ind w:right="-3"/>
        <w:rPr>
          <w:b/>
        </w:rPr>
      </w:pPr>
      <w:r w:rsidRPr="00FE2D3B">
        <w:rPr>
          <w:b/>
        </w:rPr>
        <w:t>Table 3.4: Length of stay and adjusted length of stay excluding those discharged to hospital or death for all Transition Care recipients</w:t>
      </w:r>
    </w:p>
    <w:tbl>
      <w:tblPr>
        <w:tblStyle w:val="TableGrid"/>
        <w:tblW w:w="0" w:type="auto"/>
        <w:tblLook w:val="01E0" w:firstRow="1" w:lastRow="1" w:firstColumn="1" w:lastColumn="1" w:noHBand="0" w:noVBand="0"/>
        <w:tblDescription w:val="Table 3.4: Length of stay and adjusted length of stay excluding those discharged to hospital or death for all Transition Care recipients"/>
      </w:tblPr>
      <w:tblGrid>
        <w:gridCol w:w="2660"/>
        <w:gridCol w:w="850"/>
        <w:gridCol w:w="1276"/>
        <w:gridCol w:w="1501"/>
        <w:gridCol w:w="1663"/>
        <w:gridCol w:w="1622"/>
      </w:tblGrid>
      <w:tr w:rsidR="008B0470" w:rsidRPr="008B0470" w14:paraId="4EFE6AA9" w14:textId="77777777" w:rsidTr="00D83B72">
        <w:trPr>
          <w:tblHeader/>
        </w:trPr>
        <w:tc>
          <w:tcPr>
            <w:tcW w:w="2660" w:type="dxa"/>
            <w:vAlign w:val="center"/>
          </w:tcPr>
          <w:p w14:paraId="225C3E45" w14:textId="3D612414" w:rsidR="008B0470" w:rsidRPr="00D83B72" w:rsidRDefault="00D83B72" w:rsidP="00D83B72">
            <w:pPr>
              <w:pStyle w:val="Table"/>
              <w:ind w:right="-3"/>
              <w:jc w:val="center"/>
              <w:rPr>
                <w:b/>
              </w:rPr>
            </w:pPr>
            <w:r w:rsidRPr="00D83B72">
              <w:rPr>
                <w:b/>
              </w:rPr>
              <w:t>State / Territory</w:t>
            </w:r>
          </w:p>
        </w:tc>
        <w:tc>
          <w:tcPr>
            <w:tcW w:w="850" w:type="dxa"/>
            <w:vAlign w:val="center"/>
          </w:tcPr>
          <w:p w14:paraId="47CD9E2E" w14:textId="77777777" w:rsidR="008B0470" w:rsidRPr="00D83B72" w:rsidRDefault="008B0470" w:rsidP="00D83B72">
            <w:pPr>
              <w:pStyle w:val="Table"/>
              <w:ind w:right="-3"/>
              <w:jc w:val="center"/>
              <w:rPr>
                <w:b/>
              </w:rPr>
            </w:pPr>
            <w:r w:rsidRPr="00D83B72">
              <w:rPr>
                <w:b/>
              </w:rPr>
              <w:t>n</w:t>
            </w:r>
          </w:p>
        </w:tc>
        <w:tc>
          <w:tcPr>
            <w:tcW w:w="1276" w:type="dxa"/>
            <w:vAlign w:val="center"/>
          </w:tcPr>
          <w:p w14:paraId="363A1EA2" w14:textId="4073FF88" w:rsidR="008B0470" w:rsidRPr="00D83B72" w:rsidRDefault="00D83B72" w:rsidP="00D83B72">
            <w:pPr>
              <w:pStyle w:val="Table"/>
              <w:ind w:right="-3"/>
              <w:jc w:val="center"/>
              <w:rPr>
                <w:b/>
              </w:rPr>
            </w:pPr>
            <w:r w:rsidRPr="00D83B72">
              <w:rPr>
                <w:b/>
              </w:rPr>
              <w:t xml:space="preserve">Length of Stay - </w:t>
            </w:r>
            <w:r w:rsidR="008B0470" w:rsidRPr="00D83B72">
              <w:rPr>
                <w:b/>
              </w:rPr>
              <w:t>Median</w:t>
            </w:r>
          </w:p>
        </w:tc>
        <w:tc>
          <w:tcPr>
            <w:tcW w:w="1501" w:type="dxa"/>
            <w:vAlign w:val="center"/>
          </w:tcPr>
          <w:p w14:paraId="6EB5F11C" w14:textId="425C9899" w:rsidR="008B0470" w:rsidRPr="00D83B72" w:rsidRDefault="00D83B72" w:rsidP="00D83B72">
            <w:pPr>
              <w:pStyle w:val="Table"/>
              <w:ind w:right="-3"/>
              <w:jc w:val="center"/>
              <w:rPr>
                <w:b/>
              </w:rPr>
            </w:pPr>
            <w:r w:rsidRPr="00D83B72">
              <w:rPr>
                <w:b/>
              </w:rPr>
              <w:t xml:space="preserve">Length of Stay - </w:t>
            </w:r>
            <w:r w:rsidR="008B0470" w:rsidRPr="00D83B72">
              <w:rPr>
                <w:b/>
              </w:rPr>
              <w:t>IQR</w:t>
            </w:r>
          </w:p>
        </w:tc>
        <w:tc>
          <w:tcPr>
            <w:tcW w:w="1663" w:type="dxa"/>
            <w:vAlign w:val="center"/>
          </w:tcPr>
          <w:p w14:paraId="54EFAB38" w14:textId="0A9CD341" w:rsidR="008B0470" w:rsidRPr="00D83B72" w:rsidRDefault="00D83B72" w:rsidP="00D83B72">
            <w:pPr>
              <w:pStyle w:val="Table"/>
              <w:ind w:right="-3"/>
              <w:jc w:val="center"/>
              <w:rPr>
                <w:b/>
              </w:rPr>
            </w:pPr>
            <w:r w:rsidRPr="00D83B72">
              <w:rPr>
                <w:b/>
              </w:rPr>
              <w:t xml:space="preserve">Adjusted Length of Stay - </w:t>
            </w:r>
            <w:r w:rsidR="008B0470" w:rsidRPr="00D83B72">
              <w:rPr>
                <w:b/>
              </w:rPr>
              <w:t>Median</w:t>
            </w:r>
          </w:p>
        </w:tc>
        <w:tc>
          <w:tcPr>
            <w:tcW w:w="1622" w:type="dxa"/>
            <w:vAlign w:val="center"/>
          </w:tcPr>
          <w:p w14:paraId="09885A57" w14:textId="4274819A" w:rsidR="008B0470" w:rsidRPr="00D83B72" w:rsidRDefault="00D83B72" w:rsidP="00D83B72">
            <w:pPr>
              <w:pStyle w:val="Table"/>
              <w:ind w:right="-3"/>
              <w:jc w:val="center"/>
              <w:rPr>
                <w:b/>
              </w:rPr>
            </w:pPr>
            <w:r w:rsidRPr="00D83B72">
              <w:rPr>
                <w:b/>
              </w:rPr>
              <w:t xml:space="preserve">Adjusted Length of Stay  - </w:t>
            </w:r>
            <w:r w:rsidR="008B0470" w:rsidRPr="00D83B72">
              <w:rPr>
                <w:b/>
              </w:rPr>
              <w:t>IQR</w:t>
            </w:r>
          </w:p>
        </w:tc>
      </w:tr>
      <w:tr w:rsidR="008B0470" w:rsidRPr="008B0470" w14:paraId="20B68EE9" w14:textId="77777777" w:rsidTr="00D83B72">
        <w:tc>
          <w:tcPr>
            <w:tcW w:w="2660" w:type="dxa"/>
          </w:tcPr>
          <w:p w14:paraId="55AC628F" w14:textId="1BD61843" w:rsidR="008B0470" w:rsidRPr="008B0470" w:rsidRDefault="00D83B72" w:rsidP="00CA0D72">
            <w:pPr>
              <w:pStyle w:val="Table"/>
              <w:ind w:right="-3"/>
            </w:pPr>
            <w:r w:rsidRPr="008B0470">
              <w:t>ACT</w:t>
            </w:r>
            <w:r>
              <w:t xml:space="preserve"> - </w:t>
            </w:r>
            <w:r w:rsidR="008B0470" w:rsidRPr="008B0470">
              <w:t>Community</w:t>
            </w:r>
          </w:p>
        </w:tc>
        <w:tc>
          <w:tcPr>
            <w:tcW w:w="850" w:type="dxa"/>
          </w:tcPr>
          <w:p w14:paraId="514DE9E1" w14:textId="77777777" w:rsidR="008B0470" w:rsidRPr="008B0470" w:rsidRDefault="008B0470" w:rsidP="00CA0D72">
            <w:pPr>
              <w:pStyle w:val="Table"/>
              <w:ind w:right="-3"/>
            </w:pPr>
            <w:r w:rsidRPr="008B0470">
              <w:t>24</w:t>
            </w:r>
          </w:p>
        </w:tc>
        <w:tc>
          <w:tcPr>
            <w:tcW w:w="1276" w:type="dxa"/>
          </w:tcPr>
          <w:p w14:paraId="35124617" w14:textId="77777777" w:rsidR="008B0470" w:rsidRPr="008B0470" w:rsidRDefault="008B0470" w:rsidP="00CA0D72">
            <w:pPr>
              <w:pStyle w:val="Table"/>
              <w:ind w:right="-3"/>
            </w:pPr>
            <w:r w:rsidRPr="008B0470">
              <w:t>79</w:t>
            </w:r>
          </w:p>
        </w:tc>
        <w:tc>
          <w:tcPr>
            <w:tcW w:w="1501" w:type="dxa"/>
          </w:tcPr>
          <w:p w14:paraId="1917A2AB" w14:textId="77777777" w:rsidR="008B0470" w:rsidRPr="008B0470" w:rsidRDefault="008B0470" w:rsidP="00CA0D72">
            <w:pPr>
              <w:pStyle w:val="Table"/>
              <w:ind w:right="-3"/>
            </w:pPr>
            <w:r w:rsidRPr="008B0470">
              <w:t>54.5 – 84</w:t>
            </w:r>
          </w:p>
        </w:tc>
        <w:tc>
          <w:tcPr>
            <w:tcW w:w="1663" w:type="dxa"/>
          </w:tcPr>
          <w:p w14:paraId="3AC84A72" w14:textId="77777777" w:rsidR="008B0470" w:rsidRPr="008B0470" w:rsidRDefault="008B0470" w:rsidP="00CA0D72">
            <w:pPr>
              <w:pStyle w:val="Table"/>
              <w:ind w:right="-3"/>
            </w:pPr>
            <w:r w:rsidRPr="008B0470">
              <w:t>81</w:t>
            </w:r>
          </w:p>
        </w:tc>
        <w:tc>
          <w:tcPr>
            <w:tcW w:w="1622" w:type="dxa"/>
          </w:tcPr>
          <w:p w14:paraId="30DCC677" w14:textId="77777777" w:rsidR="008B0470" w:rsidRPr="008B0470" w:rsidRDefault="008B0470" w:rsidP="00CA0D72">
            <w:pPr>
              <w:pStyle w:val="Table"/>
              <w:ind w:right="-3"/>
            </w:pPr>
            <w:r w:rsidRPr="008B0470">
              <w:t>57 – 84</w:t>
            </w:r>
          </w:p>
        </w:tc>
      </w:tr>
      <w:tr w:rsidR="008B0470" w:rsidRPr="008B0470" w14:paraId="6A8FBBEA" w14:textId="77777777" w:rsidTr="00D83B72">
        <w:tc>
          <w:tcPr>
            <w:tcW w:w="2660" w:type="dxa"/>
          </w:tcPr>
          <w:p w14:paraId="169545A8" w14:textId="25B7EB99" w:rsidR="008B0470" w:rsidRPr="008B0470" w:rsidRDefault="00D83B72" w:rsidP="00CA0D72">
            <w:pPr>
              <w:pStyle w:val="Table"/>
              <w:ind w:right="-3"/>
            </w:pPr>
            <w:r w:rsidRPr="008B0470">
              <w:t>ACT</w:t>
            </w:r>
            <w:r>
              <w:t xml:space="preserve"> - </w:t>
            </w:r>
            <w:r w:rsidR="008B0470" w:rsidRPr="008B0470">
              <w:t>Residential</w:t>
            </w:r>
          </w:p>
        </w:tc>
        <w:tc>
          <w:tcPr>
            <w:tcW w:w="850" w:type="dxa"/>
          </w:tcPr>
          <w:p w14:paraId="779DFCAB" w14:textId="77777777" w:rsidR="008B0470" w:rsidRPr="008B0470" w:rsidRDefault="008B0470" w:rsidP="00CA0D72">
            <w:pPr>
              <w:pStyle w:val="Table"/>
              <w:ind w:right="-3"/>
            </w:pPr>
            <w:r w:rsidRPr="008B0470">
              <w:t>16</w:t>
            </w:r>
          </w:p>
        </w:tc>
        <w:tc>
          <w:tcPr>
            <w:tcW w:w="1276" w:type="dxa"/>
          </w:tcPr>
          <w:p w14:paraId="02F326A2" w14:textId="77777777" w:rsidR="008B0470" w:rsidRPr="008B0470" w:rsidRDefault="008B0470" w:rsidP="00CA0D72">
            <w:pPr>
              <w:pStyle w:val="Table"/>
              <w:ind w:right="-3"/>
            </w:pPr>
            <w:r w:rsidRPr="008B0470">
              <w:t>28.5</w:t>
            </w:r>
          </w:p>
        </w:tc>
        <w:tc>
          <w:tcPr>
            <w:tcW w:w="1501" w:type="dxa"/>
          </w:tcPr>
          <w:p w14:paraId="451DC7BA" w14:textId="77777777" w:rsidR="008B0470" w:rsidRPr="008B0470" w:rsidRDefault="008B0470" w:rsidP="00CA0D72">
            <w:pPr>
              <w:pStyle w:val="Table"/>
              <w:ind w:right="-3"/>
            </w:pPr>
            <w:r w:rsidRPr="008B0470">
              <w:t>9.5 – 41</w:t>
            </w:r>
          </w:p>
        </w:tc>
        <w:tc>
          <w:tcPr>
            <w:tcW w:w="1663" w:type="dxa"/>
          </w:tcPr>
          <w:p w14:paraId="2284113A" w14:textId="77777777" w:rsidR="008B0470" w:rsidRPr="008B0470" w:rsidRDefault="008B0470" w:rsidP="00CA0D72">
            <w:pPr>
              <w:pStyle w:val="Table"/>
              <w:ind w:right="-3"/>
            </w:pPr>
            <w:r w:rsidRPr="008B0470">
              <w:t>32</w:t>
            </w:r>
          </w:p>
        </w:tc>
        <w:tc>
          <w:tcPr>
            <w:tcW w:w="1622" w:type="dxa"/>
          </w:tcPr>
          <w:p w14:paraId="3F95A2B4" w14:textId="77777777" w:rsidR="008B0470" w:rsidRPr="008B0470" w:rsidRDefault="008B0470" w:rsidP="00CA0D72">
            <w:pPr>
              <w:pStyle w:val="Table"/>
              <w:ind w:right="-3"/>
            </w:pPr>
            <w:r w:rsidRPr="008B0470">
              <w:t>12.5 – 44</w:t>
            </w:r>
          </w:p>
        </w:tc>
      </w:tr>
      <w:tr w:rsidR="008B0470" w:rsidRPr="008B0470" w14:paraId="76AEFD2C" w14:textId="77777777" w:rsidTr="00D83B72">
        <w:tc>
          <w:tcPr>
            <w:tcW w:w="2660" w:type="dxa"/>
          </w:tcPr>
          <w:p w14:paraId="2728E8C2" w14:textId="68732DFB" w:rsidR="008B0470" w:rsidRPr="008B0470" w:rsidRDefault="00D83B72" w:rsidP="00CA0D72">
            <w:pPr>
              <w:pStyle w:val="Table"/>
              <w:ind w:right="-3"/>
            </w:pPr>
            <w:r w:rsidRPr="008B0470">
              <w:t>ACT</w:t>
            </w:r>
            <w:r>
              <w:t xml:space="preserve"> - </w:t>
            </w:r>
            <w:r w:rsidR="008B0470" w:rsidRPr="008B0470">
              <w:t>Combination</w:t>
            </w:r>
          </w:p>
        </w:tc>
        <w:tc>
          <w:tcPr>
            <w:tcW w:w="850" w:type="dxa"/>
          </w:tcPr>
          <w:p w14:paraId="677631C4" w14:textId="77777777" w:rsidR="008B0470" w:rsidRPr="008B0470" w:rsidRDefault="008B0470" w:rsidP="00CA0D72">
            <w:pPr>
              <w:pStyle w:val="Table"/>
              <w:ind w:right="-3"/>
            </w:pPr>
            <w:r w:rsidRPr="008B0470">
              <w:t>29</w:t>
            </w:r>
          </w:p>
        </w:tc>
        <w:tc>
          <w:tcPr>
            <w:tcW w:w="1276" w:type="dxa"/>
          </w:tcPr>
          <w:p w14:paraId="3C601D7F" w14:textId="77777777" w:rsidR="008B0470" w:rsidRPr="008B0470" w:rsidRDefault="008B0470" w:rsidP="00CA0D72">
            <w:pPr>
              <w:pStyle w:val="Table"/>
              <w:ind w:right="-3"/>
            </w:pPr>
            <w:r w:rsidRPr="008B0470">
              <w:t>60</w:t>
            </w:r>
          </w:p>
        </w:tc>
        <w:tc>
          <w:tcPr>
            <w:tcW w:w="1501" w:type="dxa"/>
          </w:tcPr>
          <w:p w14:paraId="4E585D30" w14:textId="77777777" w:rsidR="008B0470" w:rsidRPr="008B0470" w:rsidRDefault="008B0470" w:rsidP="00CA0D72">
            <w:pPr>
              <w:pStyle w:val="Table"/>
              <w:ind w:right="-3"/>
            </w:pPr>
            <w:r w:rsidRPr="008B0470">
              <w:t>47 – 84</w:t>
            </w:r>
          </w:p>
        </w:tc>
        <w:tc>
          <w:tcPr>
            <w:tcW w:w="1663" w:type="dxa"/>
          </w:tcPr>
          <w:p w14:paraId="2EFBE24A" w14:textId="77777777" w:rsidR="008B0470" w:rsidRPr="008B0470" w:rsidRDefault="008B0470" w:rsidP="00CA0D72">
            <w:pPr>
              <w:pStyle w:val="Table"/>
              <w:ind w:right="-3"/>
            </w:pPr>
            <w:r w:rsidRPr="008B0470">
              <w:t>59</w:t>
            </w:r>
          </w:p>
        </w:tc>
        <w:tc>
          <w:tcPr>
            <w:tcW w:w="1622" w:type="dxa"/>
          </w:tcPr>
          <w:p w14:paraId="10250149" w14:textId="77777777" w:rsidR="008B0470" w:rsidRPr="008B0470" w:rsidRDefault="008B0470" w:rsidP="00CA0D72">
            <w:pPr>
              <w:pStyle w:val="Table"/>
              <w:ind w:right="-3"/>
            </w:pPr>
            <w:r w:rsidRPr="008B0470">
              <w:t>45.3 – 84</w:t>
            </w:r>
          </w:p>
        </w:tc>
      </w:tr>
      <w:tr w:rsidR="008B0470" w:rsidRPr="008B0470" w14:paraId="7C3D4E31" w14:textId="77777777" w:rsidTr="00D83B72">
        <w:tc>
          <w:tcPr>
            <w:tcW w:w="2660" w:type="dxa"/>
          </w:tcPr>
          <w:p w14:paraId="1877D577" w14:textId="0E5B87BE" w:rsidR="008B0470" w:rsidRPr="008B0470" w:rsidRDefault="00D83B72" w:rsidP="00CA0D72">
            <w:pPr>
              <w:pStyle w:val="Table"/>
              <w:ind w:right="-3"/>
            </w:pPr>
            <w:r w:rsidRPr="008B0470">
              <w:t>NSW</w:t>
            </w:r>
            <w:r>
              <w:t xml:space="preserve"> - </w:t>
            </w:r>
            <w:r w:rsidR="008B0470" w:rsidRPr="008B0470">
              <w:t>Community</w:t>
            </w:r>
          </w:p>
        </w:tc>
        <w:tc>
          <w:tcPr>
            <w:tcW w:w="850" w:type="dxa"/>
          </w:tcPr>
          <w:p w14:paraId="4845013C" w14:textId="77777777" w:rsidR="008B0470" w:rsidRPr="008B0470" w:rsidRDefault="008B0470" w:rsidP="00CA0D72">
            <w:pPr>
              <w:pStyle w:val="Table"/>
              <w:ind w:right="-3"/>
            </w:pPr>
            <w:r w:rsidRPr="008B0470">
              <w:t>531</w:t>
            </w:r>
          </w:p>
        </w:tc>
        <w:tc>
          <w:tcPr>
            <w:tcW w:w="1276" w:type="dxa"/>
          </w:tcPr>
          <w:p w14:paraId="1A4D2DD2" w14:textId="77777777" w:rsidR="008B0470" w:rsidRPr="008B0470" w:rsidRDefault="008B0470" w:rsidP="00CA0D72">
            <w:pPr>
              <w:pStyle w:val="Table"/>
              <w:ind w:right="-3"/>
            </w:pPr>
            <w:r w:rsidRPr="008B0470">
              <w:t>56</w:t>
            </w:r>
          </w:p>
        </w:tc>
        <w:tc>
          <w:tcPr>
            <w:tcW w:w="1501" w:type="dxa"/>
          </w:tcPr>
          <w:p w14:paraId="1DE38EA8" w14:textId="77777777" w:rsidR="008B0470" w:rsidRPr="008B0470" w:rsidRDefault="008B0470" w:rsidP="00CA0D72">
            <w:pPr>
              <w:pStyle w:val="Table"/>
              <w:ind w:right="-3"/>
            </w:pPr>
            <w:r w:rsidRPr="008B0470">
              <w:t>35 – 72.6</w:t>
            </w:r>
          </w:p>
        </w:tc>
        <w:tc>
          <w:tcPr>
            <w:tcW w:w="1663" w:type="dxa"/>
          </w:tcPr>
          <w:p w14:paraId="3DE493CE" w14:textId="77777777" w:rsidR="008B0470" w:rsidRPr="008B0470" w:rsidRDefault="008B0470" w:rsidP="00CA0D72">
            <w:pPr>
              <w:pStyle w:val="Table"/>
              <w:ind w:right="-3"/>
            </w:pPr>
            <w:r w:rsidRPr="008B0470">
              <w:t>58</w:t>
            </w:r>
          </w:p>
        </w:tc>
        <w:tc>
          <w:tcPr>
            <w:tcW w:w="1622" w:type="dxa"/>
          </w:tcPr>
          <w:p w14:paraId="05071856" w14:textId="77777777" w:rsidR="008B0470" w:rsidRPr="008B0470" w:rsidRDefault="008B0470" w:rsidP="00CA0D72">
            <w:pPr>
              <w:pStyle w:val="Table"/>
              <w:ind w:right="-3"/>
            </w:pPr>
            <w:r w:rsidRPr="008B0470">
              <w:t>43 – 78</w:t>
            </w:r>
          </w:p>
        </w:tc>
      </w:tr>
      <w:tr w:rsidR="008B0470" w:rsidRPr="008B0470" w14:paraId="053AF2F3" w14:textId="77777777" w:rsidTr="00D83B72">
        <w:tc>
          <w:tcPr>
            <w:tcW w:w="2660" w:type="dxa"/>
          </w:tcPr>
          <w:p w14:paraId="56ED9B6B" w14:textId="419B0C83" w:rsidR="008B0470" w:rsidRPr="008B0470" w:rsidRDefault="00D83B72" w:rsidP="00CA0D72">
            <w:pPr>
              <w:pStyle w:val="Table"/>
              <w:ind w:right="-3"/>
            </w:pPr>
            <w:r w:rsidRPr="008B0470">
              <w:t>NSW</w:t>
            </w:r>
            <w:r>
              <w:t xml:space="preserve"> - </w:t>
            </w:r>
            <w:r w:rsidR="008B0470" w:rsidRPr="008B0470">
              <w:t>Residential</w:t>
            </w:r>
          </w:p>
        </w:tc>
        <w:tc>
          <w:tcPr>
            <w:tcW w:w="850" w:type="dxa"/>
          </w:tcPr>
          <w:p w14:paraId="74704E2E" w14:textId="77777777" w:rsidR="008B0470" w:rsidRPr="008B0470" w:rsidRDefault="008B0470" w:rsidP="00CA0D72">
            <w:pPr>
              <w:pStyle w:val="Table"/>
              <w:ind w:right="-3"/>
            </w:pPr>
            <w:r w:rsidRPr="008B0470">
              <w:t>94</w:t>
            </w:r>
          </w:p>
        </w:tc>
        <w:tc>
          <w:tcPr>
            <w:tcW w:w="1276" w:type="dxa"/>
          </w:tcPr>
          <w:p w14:paraId="137433A6" w14:textId="77777777" w:rsidR="008B0470" w:rsidRPr="008B0470" w:rsidRDefault="008B0470" w:rsidP="00CA0D72">
            <w:pPr>
              <w:pStyle w:val="Table"/>
              <w:ind w:right="-3"/>
            </w:pPr>
            <w:r w:rsidRPr="008B0470">
              <w:t>47</w:t>
            </w:r>
          </w:p>
        </w:tc>
        <w:tc>
          <w:tcPr>
            <w:tcW w:w="1501" w:type="dxa"/>
          </w:tcPr>
          <w:p w14:paraId="6BEE2139" w14:textId="77777777" w:rsidR="008B0470" w:rsidRPr="008B0470" w:rsidRDefault="008B0470" w:rsidP="00CA0D72">
            <w:pPr>
              <w:pStyle w:val="Table"/>
              <w:ind w:right="-3"/>
            </w:pPr>
            <w:r w:rsidRPr="008B0470">
              <w:t>28 – 65</w:t>
            </w:r>
          </w:p>
        </w:tc>
        <w:tc>
          <w:tcPr>
            <w:tcW w:w="1663" w:type="dxa"/>
          </w:tcPr>
          <w:p w14:paraId="297D7135" w14:textId="77777777" w:rsidR="008B0470" w:rsidRPr="008B0470" w:rsidRDefault="008B0470" w:rsidP="00CA0D72">
            <w:pPr>
              <w:pStyle w:val="Table"/>
              <w:ind w:right="-3"/>
            </w:pPr>
            <w:r w:rsidRPr="008B0470">
              <w:t>49</w:t>
            </w:r>
          </w:p>
        </w:tc>
        <w:tc>
          <w:tcPr>
            <w:tcW w:w="1622" w:type="dxa"/>
          </w:tcPr>
          <w:p w14:paraId="4C6CCE80" w14:textId="77777777" w:rsidR="008B0470" w:rsidRPr="008B0470" w:rsidRDefault="008B0470" w:rsidP="00CA0D72">
            <w:pPr>
              <w:pStyle w:val="Table"/>
              <w:ind w:right="-3"/>
            </w:pPr>
            <w:r w:rsidRPr="008B0470">
              <w:t>29.5 – 66.5</w:t>
            </w:r>
          </w:p>
        </w:tc>
      </w:tr>
      <w:tr w:rsidR="008B0470" w:rsidRPr="008B0470" w14:paraId="1588BD7F" w14:textId="77777777" w:rsidTr="00D83B72">
        <w:tc>
          <w:tcPr>
            <w:tcW w:w="2660" w:type="dxa"/>
          </w:tcPr>
          <w:p w14:paraId="6B5792DB" w14:textId="5F709BE2" w:rsidR="008B0470" w:rsidRPr="008B0470" w:rsidRDefault="00D83B72" w:rsidP="00CA0D72">
            <w:pPr>
              <w:pStyle w:val="Table"/>
              <w:ind w:right="-3"/>
            </w:pPr>
            <w:r w:rsidRPr="008B0470">
              <w:t>NT</w:t>
            </w:r>
            <w:r>
              <w:t xml:space="preserve"> - </w:t>
            </w:r>
            <w:r w:rsidR="008B0470" w:rsidRPr="008B0470">
              <w:t>Residential</w:t>
            </w:r>
          </w:p>
        </w:tc>
        <w:tc>
          <w:tcPr>
            <w:tcW w:w="850" w:type="dxa"/>
          </w:tcPr>
          <w:p w14:paraId="19A9C091" w14:textId="77777777" w:rsidR="008B0470" w:rsidRPr="008B0470" w:rsidRDefault="008B0470" w:rsidP="00CA0D72">
            <w:pPr>
              <w:pStyle w:val="Table"/>
              <w:ind w:right="-3"/>
            </w:pPr>
            <w:r w:rsidRPr="008B0470">
              <w:t>12</w:t>
            </w:r>
          </w:p>
        </w:tc>
        <w:tc>
          <w:tcPr>
            <w:tcW w:w="1276" w:type="dxa"/>
          </w:tcPr>
          <w:p w14:paraId="204D2876" w14:textId="77777777" w:rsidR="008B0470" w:rsidRPr="008B0470" w:rsidRDefault="008B0470" w:rsidP="00CA0D72">
            <w:pPr>
              <w:pStyle w:val="Table"/>
              <w:ind w:right="-3"/>
            </w:pPr>
            <w:r w:rsidRPr="008B0470">
              <w:t>45.5</w:t>
            </w:r>
          </w:p>
        </w:tc>
        <w:tc>
          <w:tcPr>
            <w:tcW w:w="1501" w:type="dxa"/>
          </w:tcPr>
          <w:p w14:paraId="4B15E9AB" w14:textId="77777777" w:rsidR="008B0470" w:rsidRPr="008B0470" w:rsidRDefault="008B0470" w:rsidP="00CA0D72">
            <w:pPr>
              <w:pStyle w:val="Table"/>
              <w:ind w:right="-3"/>
            </w:pPr>
            <w:r w:rsidRPr="008B0470">
              <w:t>23.6 – 57.5</w:t>
            </w:r>
          </w:p>
        </w:tc>
        <w:tc>
          <w:tcPr>
            <w:tcW w:w="1663" w:type="dxa"/>
          </w:tcPr>
          <w:p w14:paraId="22B224CE" w14:textId="77777777" w:rsidR="008B0470" w:rsidRPr="008B0470" w:rsidRDefault="008B0470" w:rsidP="00CA0D72">
            <w:pPr>
              <w:pStyle w:val="Table"/>
              <w:ind w:right="-3"/>
            </w:pPr>
            <w:r w:rsidRPr="008B0470">
              <w:t>45.5</w:t>
            </w:r>
          </w:p>
        </w:tc>
        <w:tc>
          <w:tcPr>
            <w:tcW w:w="1622" w:type="dxa"/>
          </w:tcPr>
          <w:p w14:paraId="273ACAF4" w14:textId="77777777" w:rsidR="008B0470" w:rsidRPr="008B0470" w:rsidRDefault="008B0470" w:rsidP="00CA0D72">
            <w:pPr>
              <w:pStyle w:val="Table"/>
              <w:ind w:right="-3"/>
            </w:pPr>
            <w:r w:rsidRPr="008B0470">
              <w:t>18.3 – 58.3</w:t>
            </w:r>
          </w:p>
        </w:tc>
      </w:tr>
      <w:tr w:rsidR="008B0470" w:rsidRPr="008B0470" w14:paraId="02087BD3" w14:textId="77777777" w:rsidTr="00D83B72">
        <w:tc>
          <w:tcPr>
            <w:tcW w:w="2660" w:type="dxa"/>
          </w:tcPr>
          <w:p w14:paraId="58CA9E36" w14:textId="7459C1F1" w:rsidR="008B0470" w:rsidRPr="008B0470" w:rsidRDefault="00D83B72" w:rsidP="00CA0D72">
            <w:pPr>
              <w:pStyle w:val="Table"/>
              <w:ind w:right="-3"/>
            </w:pPr>
            <w:r w:rsidRPr="008B0470">
              <w:t>QLD</w:t>
            </w:r>
            <w:r>
              <w:t xml:space="preserve"> - </w:t>
            </w:r>
            <w:r w:rsidR="008B0470" w:rsidRPr="008B0470">
              <w:t>Community*</w:t>
            </w:r>
          </w:p>
        </w:tc>
        <w:tc>
          <w:tcPr>
            <w:tcW w:w="850" w:type="dxa"/>
          </w:tcPr>
          <w:p w14:paraId="702475A6" w14:textId="77777777" w:rsidR="008B0470" w:rsidRPr="008B0470" w:rsidRDefault="008B0470" w:rsidP="00CA0D72">
            <w:pPr>
              <w:pStyle w:val="Table"/>
              <w:ind w:right="-3"/>
            </w:pPr>
            <w:r w:rsidRPr="008B0470">
              <w:t>265</w:t>
            </w:r>
          </w:p>
        </w:tc>
        <w:tc>
          <w:tcPr>
            <w:tcW w:w="1276" w:type="dxa"/>
          </w:tcPr>
          <w:p w14:paraId="41C2610F" w14:textId="77777777" w:rsidR="008B0470" w:rsidRPr="008B0470" w:rsidRDefault="008B0470" w:rsidP="00CA0D72">
            <w:pPr>
              <w:pStyle w:val="Table"/>
              <w:ind w:right="-3"/>
            </w:pPr>
            <w:r w:rsidRPr="008B0470">
              <w:t>57.0</w:t>
            </w:r>
          </w:p>
        </w:tc>
        <w:tc>
          <w:tcPr>
            <w:tcW w:w="1501" w:type="dxa"/>
          </w:tcPr>
          <w:p w14:paraId="59124AC0" w14:textId="77777777" w:rsidR="008B0470" w:rsidRPr="008B0470" w:rsidRDefault="008B0470" w:rsidP="00CA0D72">
            <w:pPr>
              <w:pStyle w:val="Table"/>
              <w:ind w:right="-3"/>
            </w:pPr>
            <w:r w:rsidRPr="008B0470">
              <w:t>41 – 78</w:t>
            </w:r>
          </w:p>
        </w:tc>
        <w:tc>
          <w:tcPr>
            <w:tcW w:w="1663" w:type="dxa"/>
          </w:tcPr>
          <w:p w14:paraId="2DCA7A79" w14:textId="77777777" w:rsidR="008B0470" w:rsidRPr="008B0470" w:rsidRDefault="008B0470" w:rsidP="00CA0D72">
            <w:pPr>
              <w:pStyle w:val="Table"/>
              <w:ind w:right="-3"/>
            </w:pPr>
            <w:r w:rsidRPr="008B0470">
              <w:t>62</w:t>
            </w:r>
          </w:p>
        </w:tc>
        <w:tc>
          <w:tcPr>
            <w:tcW w:w="1622" w:type="dxa"/>
          </w:tcPr>
          <w:p w14:paraId="4BC93BD0" w14:textId="77777777" w:rsidR="008B0470" w:rsidRPr="008B0470" w:rsidRDefault="008B0470" w:rsidP="00CA0D72">
            <w:pPr>
              <w:pStyle w:val="Table"/>
              <w:ind w:right="-3"/>
            </w:pPr>
            <w:r w:rsidRPr="008B0470">
              <w:t>45.3 – 79.8</w:t>
            </w:r>
          </w:p>
        </w:tc>
      </w:tr>
      <w:tr w:rsidR="008B0470" w:rsidRPr="008B0470" w14:paraId="3729625A" w14:textId="77777777" w:rsidTr="00D83B72">
        <w:tc>
          <w:tcPr>
            <w:tcW w:w="2660" w:type="dxa"/>
          </w:tcPr>
          <w:p w14:paraId="06F3DB57" w14:textId="3DB21844" w:rsidR="008B0470" w:rsidRPr="008B0470" w:rsidRDefault="00D83B72" w:rsidP="00CA0D72">
            <w:pPr>
              <w:pStyle w:val="Table"/>
              <w:ind w:right="-3"/>
            </w:pPr>
            <w:r w:rsidRPr="008B0470">
              <w:t>SA</w:t>
            </w:r>
            <w:r>
              <w:t xml:space="preserve"> - </w:t>
            </w:r>
            <w:r w:rsidR="008B0470" w:rsidRPr="008B0470">
              <w:t>Community</w:t>
            </w:r>
          </w:p>
        </w:tc>
        <w:tc>
          <w:tcPr>
            <w:tcW w:w="850" w:type="dxa"/>
          </w:tcPr>
          <w:p w14:paraId="54323F58" w14:textId="77777777" w:rsidR="008B0470" w:rsidRPr="008B0470" w:rsidRDefault="008B0470" w:rsidP="00CA0D72">
            <w:pPr>
              <w:pStyle w:val="Table"/>
              <w:ind w:right="-3"/>
            </w:pPr>
            <w:r w:rsidRPr="008B0470">
              <w:t>110</w:t>
            </w:r>
          </w:p>
        </w:tc>
        <w:tc>
          <w:tcPr>
            <w:tcW w:w="1276" w:type="dxa"/>
          </w:tcPr>
          <w:p w14:paraId="26B4E94A" w14:textId="77777777" w:rsidR="008B0470" w:rsidRPr="008B0470" w:rsidRDefault="008B0470" w:rsidP="00CA0D72">
            <w:pPr>
              <w:pStyle w:val="Table"/>
              <w:ind w:right="-3"/>
            </w:pPr>
            <w:r w:rsidRPr="008B0470">
              <w:t>50.2</w:t>
            </w:r>
          </w:p>
        </w:tc>
        <w:tc>
          <w:tcPr>
            <w:tcW w:w="1501" w:type="dxa"/>
          </w:tcPr>
          <w:p w14:paraId="056678F4" w14:textId="77777777" w:rsidR="008B0470" w:rsidRPr="008B0470" w:rsidRDefault="008B0470" w:rsidP="00CA0D72">
            <w:pPr>
              <w:pStyle w:val="Table"/>
              <w:ind w:right="-3"/>
            </w:pPr>
            <w:r w:rsidRPr="008B0470">
              <w:t>29 – 80.2</w:t>
            </w:r>
          </w:p>
        </w:tc>
        <w:tc>
          <w:tcPr>
            <w:tcW w:w="1663" w:type="dxa"/>
          </w:tcPr>
          <w:p w14:paraId="473ADD8A" w14:textId="77777777" w:rsidR="008B0470" w:rsidRPr="008B0470" w:rsidRDefault="008B0470" w:rsidP="00CA0D72">
            <w:pPr>
              <w:pStyle w:val="Table"/>
              <w:ind w:right="-3"/>
            </w:pPr>
            <w:r w:rsidRPr="008B0470">
              <w:t>68</w:t>
            </w:r>
          </w:p>
        </w:tc>
        <w:tc>
          <w:tcPr>
            <w:tcW w:w="1622" w:type="dxa"/>
          </w:tcPr>
          <w:p w14:paraId="3851DA1D" w14:textId="77777777" w:rsidR="008B0470" w:rsidRPr="008B0470" w:rsidRDefault="008B0470" w:rsidP="00CA0D72">
            <w:pPr>
              <w:pStyle w:val="Table"/>
              <w:ind w:right="-3"/>
            </w:pPr>
            <w:r w:rsidRPr="008B0470">
              <w:t>37 – 82.2</w:t>
            </w:r>
          </w:p>
        </w:tc>
      </w:tr>
      <w:tr w:rsidR="008B0470" w:rsidRPr="008B0470" w14:paraId="4BA7CC5B" w14:textId="77777777" w:rsidTr="00D83B72">
        <w:tc>
          <w:tcPr>
            <w:tcW w:w="2660" w:type="dxa"/>
          </w:tcPr>
          <w:p w14:paraId="49AEEC0A" w14:textId="6361E599" w:rsidR="008B0470" w:rsidRPr="008B0470" w:rsidRDefault="00D83B72" w:rsidP="00CA0D72">
            <w:pPr>
              <w:pStyle w:val="Table"/>
              <w:ind w:right="-3"/>
            </w:pPr>
            <w:r w:rsidRPr="008B0470">
              <w:t>SA</w:t>
            </w:r>
            <w:r>
              <w:t xml:space="preserve"> - </w:t>
            </w:r>
            <w:r w:rsidR="008B0470" w:rsidRPr="008B0470">
              <w:t>Residential</w:t>
            </w:r>
          </w:p>
        </w:tc>
        <w:tc>
          <w:tcPr>
            <w:tcW w:w="850" w:type="dxa"/>
          </w:tcPr>
          <w:p w14:paraId="56A21133" w14:textId="77777777" w:rsidR="008B0470" w:rsidRPr="008B0470" w:rsidRDefault="008B0470" w:rsidP="00CA0D72">
            <w:pPr>
              <w:pStyle w:val="Table"/>
              <w:ind w:right="-3"/>
            </w:pPr>
            <w:r w:rsidRPr="008B0470">
              <w:t>140</w:t>
            </w:r>
          </w:p>
        </w:tc>
        <w:tc>
          <w:tcPr>
            <w:tcW w:w="1276" w:type="dxa"/>
          </w:tcPr>
          <w:p w14:paraId="227ABC01" w14:textId="77777777" w:rsidR="008B0470" w:rsidRPr="008B0470" w:rsidRDefault="008B0470" w:rsidP="00CA0D72">
            <w:pPr>
              <w:pStyle w:val="Table"/>
              <w:ind w:right="-3"/>
            </w:pPr>
            <w:r w:rsidRPr="008B0470">
              <w:t>51.5</w:t>
            </w:r>
          </w:p>
        </w:tc>
        <w:tc>
          <w:tcPr>
            <w:tcW w:w="1501" w:type="dxa"/>
          </w:tcPr>
          <w:p w14:paraId="598B2A1C" w14:textId="77777777" w:rsidR="008B0470" w:rsidRPr="008B0470" w:rsidRDefault="008B0470" w:rsidP="00CA0D72">
            <w:pPr>
              <w:pStyle w:val="Table"/>
              <w:ind w:right="-3"/>
            </w:pPr>
            <w:r w:rsidRPr="008B0470">
              <w:t>30.6 – 72.6</w:t>
            </w:r>
          </w:p>
        </w:tc>
        <w:tc>
          <w:tcPr>
            <w:tcW w:w="1663" w:type="dxa"/>
          </w:tcPr>
          <w:p w14:paraId="4ADB5368" w14:textId="77777777" w:rsidR="008B0470" w:rsidRPr="008B0470" w:rsidRDefault="008B0470" w:rsidP="00CA0D72">
            <w:pPr>
              <w:pStyle w:val="Table"/>
              <w:ind w:right="-3"/>
            </w:pPr>
            <w:r w:rsidRPr="008B0470">
              <w:t>56</w:t>
            </w:r>
          </w:p>
        </w:tc>
        <w:tc>
          <w:tcPr>
            <w:tcW w:w="1622" w:type="dxa"/>
          </w:tcPr>
          <w:p w14:paraId="5B1B9173" w14:textId="77777777" w:rsidR="008B0470" w:rsidRPr="008B0470" w:rsidRDefault="008B0470" w:rsidP="00CA0D72">
            <w:pPr>
              <w:pStyle w:val="Table"/>
              <w:ind w:right="-3"/>
            </w:pPr>
            <w:r w:rsidRPr="008B0470">
              <w:t>36.5 – 76.1</w:t>
            </w:r>
          </w:p>
        </w:tc>
      </w:tr>
      <w:tr w:rsidR="008B0470" w:rsidRPr="008B0470" w14:paraId="15588DBE" w14:textId="77777777" w:rsidTr="00D83B72">
        <w:tc>
          <w:tcPr>
            <w:tcW w:w="2660" w:type="dxa"/>
          </w:tcPr>
          <w:p w14:paraId="7F57A841" w14:textId="39894D29" w:rsidR="008B0470" w:rsidRPr="008B0470" w:rsidRDefault="00D83B72" w:rsidP="00CA0D72">
            <w:pPr>
              <w:pStyle w:val="Table"/>
              <w:ind w:right="-3"/>
            </w:pPr>
            <w:r w:rsidRPr="008B0470">
              <w:t>SA</w:t>
            </w:r>
            <w:r>
              <w:t xml:space="preserve"> - </w:t>
            </w:r>
            <w:r w:rsidR="008B0470" w:rsidRPr="008B0470">
              <w:t>Combination</w:t>
            </w:r>
          </w:p>
        </w:tc>
        <w:tc>
          <w:tcPr>
            <w:tcW w:w="850" w:type="dxa"/>
          </w:tcPr>
          <w:p w14:paraId="60DEC6B7" w14:textId="77777777" w:rsidR="008B0470" w:rsidRPr="008B0470" w:rsidRDefault="008B0470" w:rsidP="00CA0D72">
            <w:pPr>
              <w:pStyle w:val="Table"/>
              <w:ind w:right="-3"/>
            </w:pPr>
            <w:r w:rsidRPr="008B0470">
              <w:t>39</w:t>
            </w:r>
          </w:p>
        </w:tc>
        <w:tc>
          <w:tcPr>
            <w:tcW w:w="1276" w:type="dxa"/>
          </w:tcPr>
          <w:p w14:paraId="5D7A331F" w14:textId="77777777" w:rsidR="008B0470" w:rsidRPr="008B0470" w:rsidRDefault="008B0470" w:rsidP="00CA0D72">
            <w:pPr>
              <w:pStyle w:val="Table"/>
              <w:ind w:right="-3"/>
            </w:pPr>
            <w:r w:rsidRPr="008B0470">
              <w:t>66</w:t>
            </w:r>
          </w:p>
        </w:tc>
        <w:tc>
          <w:tcPr>
            <w:tcW w:w="1501" w:type="dxa"/>
          </w:tcPr>
          <w:p w14:paraId="34080188" w14:textId="77777777" w:rsidR="008B0470" w:rsidRPr="008B0470" w:rsidRDefault="008B0470" w:rsidP="00CA0D72">
            <w:pPr>
              <w:pStyle w:val="Table"/>
              <w:ind w:right="-3"/>
            </w:pPr>
            <w:r w:rsidRPr="008B0470">
              <w:t>53.5 – 80.7</w:t>
            </w:r>
          </w:p>
        </w:tc>
        <w:tc>
          <w:tcPr>
            <w:tcW w:w="1663" w:type="dxa"/>
          </w:tcPr>
          <w:p w14:paraId="322F8D02" w14:textId="77777777" w:rsidR="008B0470" w:rsidRPr="008B0470" w:rsidRDefault="008B0470" w:rsidP="00CA0D72">
            <w:pPr>
              <w:pStyle w:val="Table"/>
              <w:ind w:right="-3"/>
            </w:pPr>
            <w:r w:rsidRPr="008B0470">
              <w:t>70</w:t>
            </w:r>
          </w:p>
        </w:tc>
        <w:tc>
          <w:tcPr>
            <w:tcW w:w="1622" w:type="dxa"/>
          </w:tcPr>
          <w:p w14:paraId="65414DF5" w14:textId="77777777" w:rsidR="008B0470" w:rsidRPr="008B0470" w:rsidRDefault="008B0470" w:rsidP="00CA0D72">
            <w:pPr>
              <w:pStyle w:val="Table"/>
              <w:ind w:right="-3"/>
            </w:pPr>
            <w:r w:rsidRPr="008B0470">
              <w:t>53.5 – 84.1</w:t>
            </w:r>
          </w:p>
        </w:tc>
      </w:tr>
      <w:tr w:rsidR="008B0470" w:rsidRPr="008B0470" w14:paraId="7C1E12F6" w14:textId="77777777" w:rsidTr="00D83B72">
        <w:tc>
          <w:tcPr>
            <w:tcW w:w="2660" w:type="dxa"/>
          </w:tcPr>
          <w:p w14:paraId="12BFF195" w14:textId="48EFFB52" w:rsidR="008B0470" w:rsidRPr="008B0470" w:rsidRDefault="00D83B72" w:rsidP="00CA0D72">
            <w:pPr>
              <w:pStyle w:val="Table"/>
              <w:ind w:right="-3"/>
            </w:pPr>
            <w:r w:rsidRPr="008B0470">
              <w:t>TAS</w:t>
            </w:r>
            <w:r>
              <w:t xml:space="preserve"> - </w:t>
            </w:r>
            <w:r w:rsidR="008B0470" w:rsidRPr="008B0470">
              <w:t>Community</w:t>
            </w:r>
          </w:p>
        </w:tc>
        <w:tc>
          <w:tcPr>
            <w:tcW w:w="850" w:type="dxa"/>
          </w:tcPr>
          <w:p w14:paraId="68A3AB75" w14:textId="77777777" w:rsidR="008B0470" w:rsidRPr="008B0470" w:rsidRDefault="008B0470" w:rsidP="00CA0D72">
            <w:pPr>
              <w:pStyle w:val="Table"/>
              <w:ind w:right="-3"/>
            </w:pPr>
            <w:r w:rsidRPr="008B0470">
              <w:t>34</w:t>
            </w:r>
          </w:p>
        </w:tc>
        <w:tc>
          <w:tcPr>
            <w:tcW w:w="1276" w:type="dxa"/>
          </w:tcPr>
          <w:p w14:paraId="69F58889" w14:textId="77777777" w:rsidR="008B0470" w:rsidRPr="008B0470" w:rsidRDefault="008B0470" w:rsidP="00CA0D72">
            <w:pPr>
              <w:pStyle w:val="Table"/>
              <w:ind w:right="-3"/>
            </w:pPr>
            <w:r w:rsidRPr="008B0470">
              <w:t>78.5</w:t>
            </w:r>
          </w:p>
        </w:tc>
        <w:tc>
          <w:tcPr>
            <w:tcW w:w="1501" w:type="dxa"/>
          </w:tcPr>
          <w:p w14:paraId="0B83D23B" w14:textId="77777777" w:rsidR="008B0470" w:rsidRPr="008B0470" w:rsidRDefault="008B0470" w:rsidP="00CA0D72">
            <w:pPr>
              <w:pStyle w:val="Table"/>
              <w:ind w:right="-3"/>
            </w:pPr>
            <w:r w:rsidRPr="008B0470">
              <w:t>41.2 – 84</w:t>
            </w:r>
          </w:p>
        </w:tc>
        <w:tc>
          <w:tcPr>
            <w:tcW w:w="1663" w:type="dxa"/>
          </w:tcPr>
          <w:p w14:paraId="5B24C878" w14:textId="77777777" w:rsidR="008B0470" w:rsidRPr="008B0470" w:rsidRDefault="008B0470" w:rsidP="00CA0D72">
            <w:pPr>
              <w:pStyle w:val="Table"/>
              <w:ind w:right="-3"/>
            </w:pPr>
            <w:r w:rsidRPr="008B0470">
              <w:t>80</w:t>
            </w:r>
          </w:p>
        </w:tc>
        <w:tc>
          <w:tcPr>
            <w:tcW w:w="1622" w:type="dxa"/>
          </w:tcPr>
          <w:p w14:paraId="2D2B95C9" w14:textId="77777777" w:rsidR="008B0470" w:rsidRPr="008B0470" w:rsidRDefault="008B0470" w:rsidP="00CA0D72">
            <w:pPr>
              <w:pStyle w:val="Table"/>
              <w:ind w:right="-3"/>
            </w:pPr>
            <w:r w:rsidRPr="008B0470">
              <w:t>64 – 85</w:t>
            </w:r>
          </w:p>
        </w:tc>
      </w:tr>
      <w:tr w:rsidR="008B0470" w:rsidRPr="008B0470" w14:paraId="02C10B88" w14:textId="77777777" w:rsidTr="00D83B72">
        <w:tc>
          <w:tcPr>
            <w:tcW w:w="2660" w:type="dxa"/>
          </w:tcPr>
          <w:p w14:paraId="28CA6A7E" w14:textId="3E471B52" w:rsidR="008B0470" w:rsidRPr="008B0470" w:rsidRDefault="00D83B72" w:rsidP="00CA0D72">
            <w:pPr>
              <w:pStyle w:val="Table"/>
              <w:ind w:right="-3"/>
            </w:pPr>
            <w:r w:rsidRPr="008B0470">
              <w:t>TAS</w:t>
            </w:r>
            <w:r>
              <w:t xml:space="preserve"> - </w:t>
            </w:r>
            <w:r w:rsidR="008B0470" w:rsidRPr="008B0470">
              <w:t>Residential</w:t>
            </w:r>
          </w:p>
        </w:tc>
        <w:tc>
          <w:tcPr>
            <w:tcW w:w="850" w:type="dxa"/>
          </w:tcPr>
          <w:p w14:paraId="786438AA" w14:textId="77777777" w:rsidR="008B0470" w:rsidRPr="008B0470" w:rsidRDefault="008B0470" w:rsidP="00CA0D72">
            <w:pPr>
              <w:pStyle w:val="Table"/>
              <w:ind w:right="-3"/>
            </w:pPr>
            <w:r w:rsidRPr="008B0470">
              <w:t>58</w:t>
            </w:r>
          </w:p>
        </w:tc>
        <w:tc>
          <w:tcPr>
            <w:tcW w:w="1276" w:type="dxa"/>
          </w:tcPr>
          <w:p w14:paraId="37DECA3E" w14:textId="77777777" w:rsidR="008B0470" w:rsidRPr="008B0470" w:rsidRDefault="008B0470" w:rsidP="00CA0D72">
            <w:pPr>
              <w:pStyle w:val="Table"/>
              <w:ind w:right="-3"/>
            </w:pPr>
            <w:r w:rsidRPr="008B0470">
              <w:t>53</w:t>
            </w:r>
          </w:p>
        </w:tc>
        <w:tc>
          <w:tcPr>
            <w:tcW w:w="1501" w:type="dxa"/>
          </w:tcPr>
          <w:p w14:paraId="7901895B" w14:textId="77777777" w:rsidR="008B0470" w:rsidRPr="008B0470" w:rsidRDefault="008B0470" w:rsidP="00CA0D72">
            <w:pPr>
              <w:pStyle w:val="Table"/>
              <w:ind w:right="-3"/>
            </w:pPr>
            <w:r w:rsidRPr="008B0470">
              <w:t>28 – 80</w:t>
            </w:r>
          </w:p>
        </w:tc>
        <w:tc>
          <w:tcPr>
            <w:tcW w:w="1663" w:type="dxa"/>
          </w:tcPr>
          <w:p w14:paraId="4AFF6A49" w14:textId="77777777" w:rsidR="008B0470" w:rsidRPr="008B0470" w:rsidRDefault="008B0470" w:rsidP="00CA0D72">
            <w:pPr>
              <w:pStyle w:val="Table"/>
              <w:ind w:right="-3"/>
            </w:pPr>
            <w:r w:rsidRPr="008B0470">
              <w:t>59</w:t>
            </w:r>
          </w:p>
        </w:tc>
        <w:tc>
          <w:tcPr>
            <w:tcW w:w="1622" w:type="dxa"/>
          </w:tcPr>
          <w:p w14:paraId="439D4085" w14:textId="77777777" w:rsidR="008B0470" w:rsidRPr="008B0470" w:rsidRDefault="008B0470" w:rsidP="00CA0D72">
            <w:pPr>
              <w:pStyle w:val="Table"/>
              <w:ind w:right="-3"/>
            </w:pPr>
            <w:r w:rsidRPr="008B0470">
              <w:t>34 – 82</w:t>
            </w:r>
          </w:p>
        </w:tc>
      </w:tr>
      <w:tr w:rsidR="008B0470" w:rsidRPr="008B0470" w14:paraId="45EDDC82" w14:textId="77777777" w:rsidTr="00D83B72">
        <w:tc>
          <w:tcPr>
            <w:tcW w:w="2660" w:type="dxa"/>
          </w:tcPr>
          <w:p w14:paraId="42E41262" w14:textId="573F9BC1" w:rsidR="008B0470" w:rsidRPr="008B0470" w:rsidRDefault="00D83B72" w:rsidP="00CA0D72">
            <w:pPr>
              <w:pStyle w:val="Table"/>
              <w:ind w:right="-3"/>
            </w:pPr>
            <w:r w:rsidRPr="008B0470">
              <w:t>TAS</w:t>
            </w:r>
            <w:r>
              <w:t xml:space="preserve"> - </w:t>
            </w:r>
            <w:r w:rsidR="008B0470" w:rsidRPr="008B0470">
              <w:t>Combination</w:t>
            </w:r>
          </w:p>
        </w:tc>
        <w:tc>
          <w:tcPr>
            <w:tcW w:w="850" w:type="dxa"/>
          </w:tcPr>
          <w:p w14:paraId="42A2195D" w14:textId="77777777" w:rsidR="008B0470" w:rsidRPr="008B0470" w:rsidRDefault="008B0470" w:rsidP="00CA0D72">
            <w:pPr>
              <w:pStyle w:val="Table"/>
              <w:ind w:right="-3"/>
            </w:pPr>
            <w:r w:rsidRPr="008B0470">
              <w:t>6</w:t>
            </w:r>
          </w:p>
        </w:tc>
        <w:tc>
          <w:tcPr>
            <w:tcW w:w="1276" w:type="dxa"/>
          </w:tcPr>
          <w:p w14:paraId="5FB3D482" w14:textId="77777777" w:rsidR="008B0470" w:rsidRPr="008B0470" w:rsidRDefault="008B0470" w:rsidP="00CA0D72">
            <w:pPr>
              <w:pStyle w:val="Table"/>
              <w:ind w:right="-3"/>
            </w:pPr>
            <w:r w:rsidRPr="008B0470">
              <w:t>80.5</w:t>
            </w:r>
          </w:p>
        </w:tc>
        <w:tc>
          <w:tcPr>
            <w:tcW w:w="1501" w:type="dxa"/>
          </w:tcPr>
          <w:p w14:paraId="10EC6342" w14:textId="77777777" w:rsidR="008B0470" w:rsidRPr="008B0470" w:rsidRDefault="008B0470" w:rsidP="00CA0D72">
            <w:pPr>
              <w:pStyle w:val="Table"/>
              <w:ind w:right="-3"/>
            </w:pPr>
            <w:r w:rsidRPr="008B0470">
              <w:t>54 – 85</w:t>
            </w:r>
          </w:p>
        </w:tc>
        <w:tc>
          <w:tcPr>
            <w:tcW w:w="1663" w:type="dxa"/>
          </w:tcPr>
          <w:p w14:paraId="57A8A142" w14:textId="77777777" w:rsidR="008B0470" w:rsidRPr="008B0470" w:rsidRDefault="008B0470" w:rsidP="00CA0D72">
            <w:pPr>
              <w:pStyle w:val="Table"/>
              <w:ind w:right="-3"/>
            </w:pPr>
            <w:r w:rsidRPr="008B0470">
              <w:t>80.5</w:t>
            </w:r>
          </w:p>
        </w:tc>
        <w:tc>
          <w:tcPr>
            <w:tcW w:w="1622" w:type="dxa"/>
          </w:tcPr>
          <w:p w14:paraId="7B3F4959" w14:textId="77777777" w:rsidR="008B0470" w:rsidRPr="008B0470" w:rsidRDefault="008B0470" w:rsidP="00CA0D72">
            <w:pPr>
              <w:pStyle w:val="Table"/>
              <w:ind w:right="-3"/>
            </w:pPr>
            <w:r w:rsidRPr="008B0470">
              <w:t>46 – 86.1</w:t>
            </w:r>
          </w:p>
        </w:tc>
      </w:tr>
      <w:tr w:rsidR="008B0470" w:rsidRPr="008B0470" w14:paraId="57406190" w14:textId="77777777" w:rsidTr="00D83B72">
        <w:tc>
          <w:tcPr>
            <w:tcW w:w="2660" w:type="dxa"/>
          </w:tcPr>
          <w:p w14:paraId="403618F5" w14:textId="606D2C0B" w:rsidR="008B0470" w:rsidRPr="008B0470" w:rsidRDefault="00D83B72" w:rsidP="00CA0D72">
            <w:pPr>
              <w:pStyle w:val="Table"/>
              <w:ind w:right="-3"/>
            </w:pPr>
            <w:r w:rsidRPr="008B0470">
              <w:t>VIC</w:t>
            </w:r>
            <w:r>
              <w:t xml:space="preserve"> - </w:t>
            </w:r>
            <w:r w:rsidR="008B0470" w:rsidRPr="008B0470">
              <w:t>Community</w:t>
            </w:r>
          </w:p>
        </w:tc>
        <w:tc>
          <w:tcPr>
            <w:tcW w:w="850" w:type="dxa"/>
          </w:tcPr>
          <w:p w14:paraId="766840C0" w14:textId="77777777" w:rsidR="008B0470" w:rsidRPr="008B0470" w:rsidRDefault="008B0470" w:rsidP="00CA0D72">
            <w:pPr>
              <w:pStyle w:val="Table"/>
              <w:ind w:right="-3"/>
            </w:pPr>
            <w:r w:rsidRPr="008B0470">
              <w:t>205</w:t>
            </w:r>
          </w:p>
        </w:tc>
        <w:tc>
          <w:tcPr>
            <w:tcW w:w="1276" w:type="dxa"/>
          </w:tcPr>
          <w:p w14:paraId="1888FD1D" w14:textId="77777777" w:rsidR="008B0470" w:rsidRPr="008B0470" w:rsidRDefault="008B0470" w:rsidP="00CA0D72">
            <w:pPr>
              <w:pStyle w:val="Table"/>
              <w:ind w:right="-3"/>
            </w:pPr>
            <w:r w:rsidRPr="008B0470">
              <w:t>70</w:t>
            </w:r>
          </w:p>
        </w:tc>
        <w:tc>
          <w:tcPr>
            <w:tcW w:w="1501" w:type="dxa"/>
          </w:tcPr>
          <w:p w14:paraId="5A6302A6" w14:textId="77777777" w:rsidR="008B0470" w:rsidRPr="008B0470" w:rsidRDefault="008B0470" w:rsidP="00CA0D72">
            <w:pPr>
              <w:pStyle w:val="Table"/>
              <w:ind w:right="-3"/>
            </w:pPr>
            <w:r w:rsidRPr="008B0470">
              <w:t>38 – 80</w:t>
            </w:r>
          </w:p>
        </w:tc>
        <w:tc>
          <w:tcPr>
            <w:tcW w:w="1663" w:type="dxa"/>
          </w:tcPr>
          <w:p w14:paraId="23696E3A" w14:textId="77777777" w:rsidR="008B0470" w:rsidRPr="008B0470" w:rsidRDefault="008B0470" w:rsidP="00CA0D72">
            <w:pPr>
              <w:pStyle w:val="Table"/>
              <w:ind w:right="-3"/>
            </w:pPr>
            <w:r w:rsidRPr="008B0470">
              <w:t>74</w:t>
            </w:r>
          </w:p>
        </w:tc>
        <w:tc>
          <w:tcPr>
            <w:tcW w:w="1622" w:type="dxa"/>
          </w:tcPr>
          <w:p w14:paraId="1EB66B55" w14:textId="77777777" w:rsidR="008B0470" w:rsidRPr="008B0470" w:rsidRDefault="008B0470" w:rsidP="00CA0D72">
            <w:pPr>
              <w:pStyle w:val="Table"/>
              <w:ind w:right="-3"/>
            </w:pPr>
            <w:r w:rsidRPr="008B0470">
              <w:t>52 – 82</w:t>
            </w:r>
          </w:p>
        </w:tc>
      </w:tr>
      <w:tr w:rsidR="008B0470" w:rsidRPr="008B0470" w14:paraId="5E613963" w14:textId="77777777" w:rsidTr="00D83B72">
        <w:tc>
          <w:tcPr>
            <w:tcW w:w="2660" w:type="dxa"/>
          </w:tcPr>
          <w:p w14:paraId="5BEBA84E" w14:textId="24801332" w:rsidR="008B0470" w:rsidRPr="008B0470" w:rsidRDefault="00D83B72" w:rsidP="00CA0D72">
            <w:pPr>
              <w:pStyle w:val="Table"/>
              <w:ind w:right="-3"/>
            </w:pPr>
            <w:r w:rsidRPr="008B0470">
              <w:t>VIC</w:t>
            </w:r>
            <w:r>
              <w:t xml:space="preserve"> - </w:t>
            </w:r>
            <w:r w:rsidR="008B0470" w:rsidRPr="008B0470">
              <w:t>Residential</w:t>
            </w:r>
          </w:p>
        </w:tc>
        <w:tc>
          <w:tcPr>
            <w:tcW w:w="850" w:type="dxa"/>
          </w:tcPr>
          <w:p w14:paraId="7AA48DC0" w14:textId="77777777" w:rsidR="008B0470" w:rsidRPr="008B0470" w:rsidRDefault="008B0470" w:rsidP="00CA0D72">
            <w:pPr>
              <w:pStyle w:val="Table"/>
              <w:ind w:right="-3"/>
            </w:pPr>
            <w:r w:rsidRPr="008B0470">
              <w:t>646</w:t>
            </w:r>
          </w:p>
        </w:tc>
        <w:tc>
          <w:tcPr>
            <w:tcW w:w="1276" w:type="dxa"/>
          </w:tcPr>
          <w:p w14:paraId="15DF01A7" w14:textId="77777777" w:rsidR="008B0470" w:rsidRPr="008B0470" w:rsidRDefault="008B0470" w:rsidP="00CA0D72">
            <w:pPr>
              <w:pStyle w:val="Table"/>
              <w:ind w:right="-3"/>
            </w:pPr>
            <w:r w:rsidRPr="008B0470">
              <w:t>32</w:t>
            </w:r>
          </w:p>
        </w:tc>
        <w:tc>
          <w:tcPr>
            <w:tcW w:w="1501" w:type="dxa"/>
          </w:tcPr>
          <w:p w14:paraId="274F23BC" w14:textId="77777777" w:rsidR="008B0470" w:rsidRPr="008B0470" w:rsidRDefault="008B0470" w:rsidP="00CA0D72">
            <w:pPr>
              <w:pStyle w:val="Table"/>
              <w:ind w:right="-3"/>
            </w:pPr>
            <w:r w:rsidRPr="008B0470">
              <w:t>16 – 56</w:t>
            </w:r>
          </w:p>
        </w:tc>
        <w:tc>
          <w:tcPr>
            <w:tcW w:w="1663" w:type="dxa"/>
          </w:tcPr>
          <w:p w14:paraId="221AA263" w14:textId="77777777" w:rsidR="008B0470" w:rsidRPr="008B0470" w:rsidRDefault="008B0470" w:rsidP="00CA0D72">
            <w:pPr>
              <w:pStyle w:val="Table"/>
              <w:ind w:right="-3"/>
            </w:pPr>
            <w:r w:rsidRPr="008B0470">
              <w:t>74.035.0</w:t>
            </w:r>
          </w:p>
        </w:tc>
        <w:tc>
          <w:tcPr>
            <w:tcW w:w="1622" w:type="dxa"/>
          </w:tcPr>
          <w:p w14:paraId="72D4878E" w14:textId="77777777" w:rsidR="008B0470" w:rsidRPr="008B0470" w:rsidRDefault="008B0470" w:rsidP="00CA0D72">
            <w:pPr>
              <w:pStyle w:val="Table"/>
              <w:ind w:right="-3"/>
            </w:pPr>
            <w:r w:rsidRPr="008B0470">
              <w:t>18 – 58</w:t>
            </w:r>
          </w:p>
        </w:tc>
      </w:tr>
      <w:tr w:rsidR="008B0470" w:rsidRPr="008B0470" w14:paraId="7D02A13E" w14:textId="77777777" w:rsidTr="00D83B72">
        <w:tc>
          <w:tcPr>
            <w:tcW w:w="2660" w:type="dxa"/>
          </w:tcPr>
          <w:p w14:paraId="52E36CE5" w14:textId="262CECAB" w:rsidR="008B0470" w:rsidRPr="008B0470" w:rsidRDefault="00D83B72" w:rsidP="00CA0D72">
            <w:pPr>
              <w:pStyle w:val="Table"/>
              <w:ind w:right="-3"/>
            </w:pPr>
            <w:r w:rsidRPr="008B0470">
              <w:t>VIC</w:t>
            </w:r>
            <w:r>
              <w:t xml:space="preserve"> - </w:t>
            </w:r>
            <w:r w:rsidR="008B0470" w:rsidRPr="008B0470">
              <w:t>Combination</w:t>
            </w:r>
          </w:p>
        </w:tc>
        <w:tc>
          <w:tcPr>
            <w:tcW w:w="850" w:type="dxa"/>
          </w:tcPr>
          <w:p w14:paraId="79D5768A" w14:textId="77777777" w:rsidR="008B0470" w:rsidRPr="008B0470" w:rsidRDefault="008B0470" w:rsidP="00CA0D72">
            <w:pPr>
              <w:pStyle w:val="Table"/>
              <w:ind w:right="-3"/>
            </w:pPr>
            <w:r w:rsidRPr="008B0470">
              <w:t>83</w:t>
            </w:r>
          </w:p>
        </w:tc>
        <w:tc>
          <w:tcPr>
            <w:tcW w:w="1276" w:type="dxa"/>
          </w:tcPr>
          <w:p w14:paraId="0D3174D0" w14:textId="77777777" w:rsidR="008B0470" w:rsidRPr="008B0470" w:rsidRDefault="008B0470" w:rsidP="00CA0D72">
            <w:pPr>
              <w:pStyle w:val="Table"/>
              <w:ind w:right="-3"/>
            </w:pPr>
            <w:r w:rsidRPr="008B0470">
              <w:t>69</w:t>
            </w:r>
          </w:p>
        </w:tc>
        <w:tc>
          <w:tcPr>
            <w:tcW w:w="1501" w:type="dxa"/>
          </w:tcPr>
          <w:p w14:paraId="3D5AF999" w14:textId="77777777" w:rsidR="008B0470" w:rsidRPr="008B0470" w:rsidRDefault="008B0470" w:rsidP="00CA0D72">
            <w:pPr>
              <w:pStyle w:val="Table"/>
              <w:ind w:right="-3"/>
            </w:pPr>
            <w:r w:rsidRPr="008B0470">
              <w:t>45 – 81.1</w:t>
            </w:r>
          </w:p>
        </w:tc>
        <w:tc>
          <w:tcPr>
            <w:tcW w:w="1663" w:type="dxa"/>
          </w:tcPr>
          <w:p w14:paraId="66263899" w14:textId="77777777" w:rsidR="008B0470" w:rsidRPr="008B0470" w:rsidRDefault="008B0470" w:rsidP="00CA0D72">
            <w:pPr>
              <w:pStyle w:val="Table"/>
              <w:ind w:right="-3"/>
            </w:pPr>
            <w:r w:rsidRPr="008B0470">
              <w:t>74.13</w:t>
            </w:r>
          </w:p>
        </w:tc>
        <w:tc>
          <w:tcPr>
            <w:tcW w:w="1622" w:type="dxa"/>
          </w:tcPr>
          <w:p w14:paraId="63563380" w14:textId="77777777" w:rsidR="008B0470" w:rsidRPr="008B0470" w:rsidRDefault="008B0470" w:rsidP="00CA0D72">
            <w:pPr>
              <w:pStyle w:val="Table"/>
              <w:ind w:right="-3"/>
            </w:pPr>
            <w:r w:rsidRPr="008B0470">
              <w:t>50.5 – 84</w:t>
            </w:r>
          </w:p>
        </w:tc>
      </w:tr>
      <w:tr w:rsidR="008B0470" w:rsidRPr="008B0470" w14:paraId="272FC122" w14:textId="77777777" w:rsidTr="00D83B72">
        <w:tc>
          <w:tcPr>
            <w:tcW w:w="2660" w:type="dxa"/>
          </w:tcPr>
          <w:p w14:paraId="4DA69BF9" w14:textId="5B1DED7E" w:rsidR="008B0470" w:rsidRPr="008B0470" w:rsidRDefault="00D83B72" w:rsidP="00CA0D72">
            <w:pPr>
              <w:pStyle w:val="Table"/>
              <w:ind w:right="-3"/>
            </w:pPr>
            <w:r w:rsidRPr="008B0470">
              <w:t>WA</w:t>
            </w:r>
            <w:r>
              <w:t xml:space="preserve"> - </w:t>
            </w:r>
            <w:r w:rsidR="008B0470" w:rsidRPr="008B0470">
              <w:t>Community</w:t>
            </w:r>
          </w:p>
        </w:tc>
        <w:tc>
          <w:tcPr>
            <w:tcW w:w="850" w:type="dxa"/>
          </w:tcPr>
          <w:p w14:paraId="0BBA8CB5" w14:textId="77777777" w:rsidR="008B0470" w:rsidRPr="008B0470" w:rsidRDefault="008B0470" w:rsidP="00CA0D72">
            <w:pPr>
              <w:pStyle w:val="Table"/>
              <w:ind w:right="-3"/>
            </w:pPr>
            <w:r w:rsidRPr="008B0470">
              <w:t>34</w:t>
            </w:r>
          </w:p>
        </w:tc>
        <w:tc>
          <w:tcPr>
            <w:tcW w:w="1276" w:type="dxa"/>
          </w:tcPr>
          <w:p w14:paraId="0EB4A8CA" w14:textId="77777777" w:rsidR="008B0470" w:rsidRPr="008B0470" w:rsidRDefault="008B0470" w:rsidP="00CA0D72">
            <w:pPr>
              <w:pStyle w:val="Table"/>
              <w:ind w:right="-3"/>
            </w:pPr>
            <w:r w:rsidRPr="008B0470">
              <w:t>75.2</w:t>
            </w:r>
          </w:p>
        </w:tc>
        <w:tc>
          <w:tcPr>
            <w:tcW w:w="1501" w:type="dxa"/>
          </w:tcPr>
          <w:p w14:paraId="43BC073A" w14:textId="77777777" w:rsidR="008B0470" w:rsidRPr="008B0470" w:rsidRDefault="008B0470" w:rsidP="00CA0D72">
            <w:pPr>
              <w:pStyle w:val="Table"/>
              <w:ind w:right="-3"/>
            </w:pPr>
            <w:r w:rsidRPr="008B0470">
              <w:t>46 – 84</w:t>
            </w:r>
          </w:p>
        </w:tc>
        <w:tc>
          <w:tcPr>
            <w:tcW w:w="1663" w:type="dxa"/>
          </w:tcPr>
          <w:p w14:paraId="1F6E1E9A" w14:textId="77777777" w:rsidR="008B0470" w:rsidRPr="008B0470" w:rsidRDefault="008B0470" w:rsidP="00CA0D72">
            <w:pPr>
              <w:pStyle w:val="Table"/>
              <w:ind w:right="-3"/>
            </w:pPr>
            <w:r w:rsidRPr="008B0470">
              <w:t>80</w:t>
            </w:r>
          </w:p>
        </w:tc>
        <w:tc>
          <w:tcPr>
            <w:tcW w:w="1622" w:type="dxa"/>
          </w:tcPr>
          <w:p w14:paraId="5E98CE50" w14:textId="77777777" w:rsidR="008B0470" w:rsidRPr="008B0470" w:rsidRDefault="008B0470" w:rsidP="00CA0D72">
            <w:pPr>
              <w:pStyle w:val="Table"/>
              <w:ind w:right="-3"/>
            </w:pPr>
            <w:r w:rsidRPr="008B0470">
              <w:t>59.6 – 84.5</w:t>
            </w:r>
          </w:p>
        </w:tc>
      </w:tr>
      <w:tr w:rsidR="008B0470" w:rsidRPr="008B0470" w14:paraId="6ADDF4F6" w14:textId="77777777" w:rsidTr="00D83B72">
        <w:tc>
          <w:tcPr>
            <w:tcW w:w="2660" w:type="dxa"/>
          </w:tcPr>
          <w:p w14:paraId="6E1108AB" w14:textId="2199812B" w:rsidR="008B0470" w:rsidRPr="008B0470" w:rsidRDefault="00D83B72" w:rsidP="00CA0D72">
            <w:pPr>
              <w:pStyle w:val="Table"/>
              <w:ind w:right="-3"/>
            </w:pPr>
            <w:r w:rsidRPr="008B0470">
              <w:t>WA</w:t>
            </w:r>
            <w:r>
              <w:t xml:space="preserve"> -</w:t>
            </w:r>
            <w:r w:rsidR="008B0470" w:rsidRPr="008B0470">
              <w:t xml:space="preserve"> Residential</w:t>
            </w:r>
          </w:p>
        </w:tc>
        <w:tc>
          <w:tcPr>
            <w:tcW w:w="850" w:type="dxa"/>
          </w:tcPr>
          <w:p w14:paraId="1E8687BA" w14:textId="77777777" w:rsidR="008B0470" w:rsidRPr="008B0470" w:rsidRDefault="008B0470" w:rsidP="00CA0D72">
            <w:pPr>
              <w:pStyle w:val="Table"/>
              <w:ind w:right="-3"/>
            </w:pPr>
            <w:r w:rsidRPr="008B0470">
              <w:t>57</w:t>
            </w:r>
          </w:p>
        </w:tc>
        <w:tc>
          <w:tcPr>
            <w:tcW w:w="1276" w:type="dxa"/>
          </w:tcPr>
          <w:p w14:paraId="2A11AAEF" w14:textId="77777777" w:rsidR="008B0470" w:rsidRPr="008B0470" w:rsidRDefault="008B0470" w:rsidP="00CA0D72">
            <w:pPr>
              <w:pStyle w:val="Table"/>
              <w:ind w:right="-3"/>
            </w:pPr>
            <w:r w:rsidRPr="008B0470">
              <w:t>52</w:t>
            </w:r>
          </w:p>
        </w:tc>
        <w:tc>
          <w:tcPr>
            <w:tcW w:w="1501" w:type="dxa"/>
          </w:tcPr>
          <w:p w14:paraId="02D76DCB" w14:textId="77777777" w:rsidR="008B0470" w:rsidRPr="008B0470" w:rsidRDefault="008B0470" w:rsidP="00CA0D72">
            <w:pPr>
              <w:pStyle w:val="Table"/>
              <w:ind w:right="-3"/>
            </w:pPr>
            <w:r w:rsidRPr="008B0470">
              <w:t>30.2 – 72.2</w:t>
            </w:r>
          </w:p>
        </w:tc>
        <w:tc>
          <w:tcPr>
            <w:tcW w:w="1663" w:type="dxa"/>
          </w:tcPr>
          <w:p w14:paraId="1D9BA57E" w14:textId="77777777" w:rsidR="008B0470" w:rsidRPr="008B0470" w:rsidRDefault="008B0470" w:rsidP="00CA0D72">
            <w:pPr>
              <w:pStyle w:val="Table"/>
              <w:ind w:right="-3"/>
            </w:pPr>
            <w:r w:rsidRPr="008B0470">
              <w:t>59</w:t>
            </w:r>
          </w:p>
        </w:tc>
        <w:tc>
          <w:tcPr>
            <w:tcW w:w="1622" w:type="dxa"/>
          </w:tcPr>
          <w:p w14:paraId="772894B6" w14:textId="77777777" w:rsidR="008B0470" w:rsidRPr="008B0470" w:rsidRDefault="008B0470" w:rsidP="00CA0D72">
            <w:pPr>
              <w:pStyle w:val="Table"/>
              <w:ind w:right="-3"/>
            </w:pPr>
            <w:r w:rsidRPr="008B0470">
              <w:t>31.6 – 78.6</w:t>
            </w:r>
          </w:p>
        </w:tc>
      </w:tr>
      <w:tr w:rsidR="008B0470" w:rsidRPr="008B0470" w14:paraId="264913F5" w14:textId="77777777" w:rsidTr="00D83B72">
        <w:tc>
          <w:tcPr>
            <w:tcW w:w="2660" w:type="dxa"/>
          </w:tcPr>
          <w:p w14:paraId="600B8251" w14:textId="0988AB3D" w:rsidR="008B0470" w:rsidRPr="008B0470" w:rsidRDefault="00D83B72" w:rsidP="00CA0D72">
            <w:pPr>
              <w:pStyle w:val="Table"/>
              <w:ind w:right="-3"/>
            </w:pPr>
            <w:r w:rsidRPr="008B0470">
              <w:t>WA</w:t>
            </w:r>
            <w:r>
              <w:t xml:space="preserve"> - </w:t>
            </w:r>
            <w:r w:rsidR="008B0470" w:rsidRPr="008B0470">
              <w:t>Combination</w:t>
            </w:r>
          </w:p>
        </w:tc>
        <w:tc>
          <w:tcPr>
            <w:tcW w:w="850" w:type="dxa"/>
          </w:tcPr>
          <w:p w14:paraId="34934E7E" w14:textId="77777777" w:rsidR="008B0470" w:rsidRPr="008B0470" w:rsidRDefault="008B0470" w:rsidP="00CA0D72">
            <w:pPr>
              <w:pStyle w:val="Table"/>
              <w:ind w:right="-3"/>
            </w:pPr>
            <w:r w:rsidRPr="008B0470">
              <w:t>46</w:t>
            </w:r>
          </w:p>
        </w:tc>
        <w:tc>
          <w:tcPr>
            <w:tcW w:w="1276" w:type="dxa"/>
          </w:tcPr>
          <w:p w14:paraId="12371549" w14:textId="77777777" w:rsidR="008B0470" w:rsidRPr="008B0470" w:rsidRDefault="008B0470" w:rsidP="00CA0D72">
            <w:pPr>
              <w:pStyle w:val="Table"/>
              <w:ind w:right="-3"/>
            </w:pPr>
            <w:r w:rsidRPr="008B0470">
              <w:t>83</w:t>
            </w:r>
          </w:p>
        </w:tc>
        <w:tc>
          <w:tcPr>
            <w:tcW w:w="1501" w:type="dxa"/>
          </w:tcPr>
          <w:p w14:paraId="66385F5E" w14:textId="77777777" w:rsidR="008B0470" w:rsidRPr="008B0470" w:rsidRDefault="008B0470" w:rsidP="00CA0D72">
            <w:pPr>
              <w:pStyle w:val="Table"/>
              <w:ind w:right="-3"/>
            </w:pPr>
            <w:r w:rsidRPr="008B0470">
              <w:t>69.2 – 84</w:t>
            </w:r>
          </w:p>
        </w:tc>
        <w:tc>
          <w:tcPr>
            <w:tcW w:w="1663" w:type="dxa"/>
          </w:tcPr>
          <w:p w14:paraId="1BAF8ECA" w14:textId="77777777" w:rsidR="008B0470" w:rsidRPr="008B0470" w:rsidRDefault="008B0470" w:rsidP="00CA0D72">
            <w:pPr>
              <w:pStyle w:val="Table"/>
              <w:ind w:right="-3"/>
            </w:pPr>
            <w:r w:rsidRPr="008B0470">
              <w:t>83</w:t>
            </w:r>
          </w:p>
        </w:tc>
        <w:tc>
          <w:tcPr>
            <w:tcW w:w="1622" w:type="dxa"/>
          </w:tcPr>
          <w:p w14:paraId="3905959A" w14:textId="77777777" w:rsidR="008B0470" w:rsidRPr="008B0470" w:rsidRDefault="008B0470" w:rsidP="00CA0D72">
            <w:pPr>
              <w:pStyle w:val="Table"/>
              <w:ind w:right="-3"/>
            </w:pPr>
            <w:r w:rsidRPr="008B0470">
              <w:t>68 – 84</w:t>
            </w:r>
          </w:p>
        </w:tc>
      </w:tr>
      <w:tr w:rsidR="008B0470" w:rsidRPr="008B0470" w14:paraId="7B62F6FC" w14:textId="77777777" w:rsidTr="00D83B72">
        <w:tc>
          <w:tcPr>
            <w:tcW w:w="2660" w:type="dxa"/>
          </w:tcPr>
          <w:p w14:paraId="26E5C723" w14:textId="2B48C636" w:rsidR="008B0470" w:rsidRPr="008B0470" w:rsidRDefault="00D83B72" w:rsidP="00CA0D72">
            <w:pPr>
              <w:pStyle w:val="Table"/>
              <w:ind w:right="-3"/>
            </w:pPr>
            <w:r w:rsidRPr="008B0470">
              <w:t>National</w:t>
            </w:r>
            <w:r>
              <w:t xml:space="preserve"> - </w:t>
            </w:r>
            <w:r w:rsidR="008B0470" w:rsidRPr="008B0470">
              <w:t>Community</w:t>
            </w:r>
          </w:p>
        </w:tc>
        <w:tc>
          <w:tcPr>
            <w:tcW w:w="850" w:type="dxa"/>
          </w:tcPr>
          <w:p w14:paraId="581547E7" w14:textId="77777777" w:rsidR="008B0470" w:rsidRPr="008B0470" w:rsidRDefault="008B0470" w:rsidP="00CA0D72">
            <w:pPr>
              <w:pStyle w:val="Table"/>
              <w:ind w:right="-3"/>
            </w:pPr>
            <w:r w:rsidRPr="008B0470">
              <w:t>1,204</w:t>
            </w:r>
          </w:p>
        </w:tc>
        <w:tc>
          <w:tcPr>
            <w:tcW w:w="1276" w:type="dxa"/>
          </w:tcPr>
          <w:p w14:paraId="43745FFB" w14:textId="77777777" w:rsidR="008B0470" w:rsidRPr="008B0470" w:rsidRDefault="008B0470" w:rsidP="00CA0D72">
            <w:pPr>
              <w:pStyle w:val="Table"/>
              <w:ind w:right="-3"/>
            </w:pPr>
            <w:r w:rsidRPr="008B0470">
              <w:t>58</w:t>
            </w:r>
          </w:p>
        </w:tc>
        <w:tc>
          <w:tcPr>
            <w:tcW w:w="1501" w:type="dxa"/>
          </w:tcPr>
          <w:p w14:paraId="6292EBB6" w14:textId="77777777" w:rsidR="008B0470" w:rsidRPr="008B0470" w:rsidRDefault="008B0470" w:rsidP="00CA0D72">
            <w:pPr>
              <w:pStyle w:val="Table"/>
              <w:ind w:right="-3"/>
            </w:pPr>
            <w:r w:rsidRPr="008B0470">
              <w:t>37 – 78.25</w:t>
            </w:r>
          </w:p>
        </w:tc>
        <w:tc>
          <w:tcPr>
            <w:tcW w:w="1663" w:type="dxa"/>
          </w:tcPr>
          <w:p w14:paraId="3969828E" w14:textId="77777777" w:rsidR="008B0470" w:rsidRPr="008B0470" w:rsidRDefault="008B0470" w:rsidP="00CA0D72">
            <w:pPr>
              <w:pStyle w:val="Table"/>
              <w:ind w:right="-3"/>
            </w:pPr>
            <w:r w:rsidRPr="008B0470">
              <w:t>65</w:t>
            </w:r>
          </w:p>
        </w:tc>
        <w:tc>
          <w:tcPr>
            <w:tcW w:w="1622" w:type="dxa"/>
          </w:tcPr>
          <w:p w14:paraId="1FC24878" w14:textId="77777777" w:rsidR="008B0470" w:rsidRPr="008B0470" w:rsidRDefault="008B0470" w:rsidP="00CA0D72">
            <w:pPr>
              <w:pStyle w:val="Table"/>
              <w:ind w:right="-3"/>
            </w:pPr>
            <w:r w:rsidRPr="008B0470">
              <w:t>46 – 81</w:t>
            </w:r>
          </w:p>
        </w:tc>
      </w:tr>
      <w:tr w:rsidR="008B0470" w:rsidRPr="008B0470" w14:paraId="6BBA0F46" w14:textId="77777777" w:rsidTr="00D83B72">
        <w:tc>
          <w:tcPr>
            <w:tcW w:w="2660" w:type="dxa"/>
          </w:tcPr>
          <w:p w14:paraId="1EAA281F" w14:textId="21E8D844" w:rsidR="008B0470" w:rsidRPr="008B0470" w:rsidRDefault="00D83B72" w:rsidP="00CA0D72">
            <w:pPr>
              <w:pStyle w:val="Table"/>
              <w:ind w:right="-3"/>
            </w:pPr>
            <w:r w:rsidRPr="008B0470">
              <w:t>National</w:t>
            </w:r>
            <w:r>
              <w:t xml:space="preserve"> - </w:t>
            </w:r>
            <w:r w:rsidR="008B0470" w:rsidRPr="008B0470">
              <w:t>Residential</w:t>
            </w:r>
          </w:p>
        </w:tc>
        <w:tc>
          <w:tcPr>
            <w:tcW w:w="850" w:type="dxa"/>
          </w:tcPr>
          <w:p w14:paraId="00D1E96F" w14:textId="77777777" w:rsidR="008B0470" w:rsidRPr="008B0470" w:rsidRDefault="008B0470" w:rsidP="00CA0D72">
            <w:pPr>
              <w:pStyle w:val="Table"/>
              <w:ind w:right="-3"/>
            </w:pPr>
            <w:r w:rsidRPr="008B0470">
              <w:t>1,026</w:t>
            </w:r>
          </w:p>
        </w:tc>
        <w:tc>
          <w:tcPr>
            <w:tcW w:w="1276" w:type="dxa"/>
          </w:tcPr>
          <w:p w14:paraId="0FF4F555" w14:textId="77777777" w:rsidR="008B0470" w:rsidRPr="008B0470" w:rsidRDefault="008B0470" w:rsidP="00CA0D72">
            <w:pPr>
              <w:pStyle w:val="Table"/>
              <w:ind w:right="-3"/>
            </w:pPr>
            <w:r w:rsidRPr="008B0470">
              <w:t>38</w:t>
            </w:r>
          </w:p>
        </w:tc>
        <w:tc>
          <w:tcPr>
            <w:tcW w:w="1501" w:type="dxa"/>
          </w:tcPr>
          <w:p w14:paraId="43748596" w14:textId="77777777" w:rsidR="008B0470" w:rsidRPr="008B0470" w:rsidRDefault="008B0470" w:rsidP="00CA0D72">
            <w:pPr>
              <w:pStyle w:val="Table"/>
              <w:ind w:right="-3"/>
            </w:pPr>
            <w:r w:rsidRPr="008B0470">
              <w:t>19 – 62.3</w:t>
            </w:r>
          </w:p>
        </w:tc>
        <w:tc>
          <w:tcPr>
            <w:tcW w:w="1663" w:type="dxa"/>
          </w:tcPr>
          <w:p w14:paraId="6835AA50" w14:textId="77777777" w:rsidR="008B0470" w:rsidRPr="008B0470" w:rsidRDefault="008B0470" w:rsidP="00CA0D72">
            <w:pPr>
              <w:pStyle w:val="Table"/>
              <w:ind w:right="-3"/>
            </w:pPr>
            <w:r w:rsidRPr="008B0470">
              <w:t>41</w:t>
            </w:r>
          </w:p>
        </w:tc>
        <w:tc>
          <w:tcPr>
            <w:tcW w:w="1622" w:type="dxa"/>
          </w:tcPr>
          <w:p w14:paraId="6DD3A6FC" w14:textId="77777777" w:rsidR="008B0470" w:rsidRPr="008B0470" w:rsidRDefault="008B0470" w:rsidP="00CA0D72">
            <w:pPr>
              <w:pStyle w:val="Table"/>
              <w:ind w:right="-3"/>
            </w:pPr>
            <w:r w:rsidRPr="008B0470">
              <w:t>22 – 66</w:t>
            </w:r>
          </w:p>
        </w:tc>
      </w:tr>
      <w:tr w:rsidR="008B0470" w:rsidRPr="008B0470" w14:paraId="5A8152E5" w14:textId="77777777" w:rsidTr="00D83B72">
        <w:tc>
          <w:tcPr>
            <w:tcW w:w="2660" w:type="dxa"/>
          </w:tcPr>
          <w:p w14:paraId="5BE8E8B0" w14:textId="7CBD6996" w:rsidR="008B0470" w:rsidRPr="008B0470" w:rsidRDefault="00D83B72" w:rsidP="00CA0D72">
            <w:pPr>
              <w:pStyle w:val="Table"/>
              <w:ind w:right="-3"/>
            </w:pPr>
            <w:r w:rsidRPr="008B0470">
              <w:t>National</w:t>
            </w:r>
            <w:r>
              <w:t xml:space="preserve"> - </w:t>
            </w:r>
            <w:r w:rsidR="008B0470" w:rsidRPr="008B0470">
              <w:t>Combination</w:t>
            </w:r>
          </w:p>
        </w:tc>
        <w:tc>
          <w:tcPr>
            <w:tcW w:w="850" w:type="dxa"/>
          </w:tcPr>
          <w:p w14:paraId="1133964F" w14:textId="77777777" w:rsidR="008B0470" w:rsidRPr="008B0470" w:rsidRDefault="008B0470" w:rsidP="00CA0D72">
            <w:pPr>
              <w:pStyle w:val="Table"/>
              <w:ind w:right="-3"/>
            </w:pPr>
            <w:r w:rsidRPr="008B0470">
              <w:t>213</w:t>
            </w:r>
          </w:p>
        </w:tc>
        <w:tc>
          <w:tcPr>
            <w:tcW w:w="1276" w:type="dxa"/>
          </w:tcPr>
          <w:p w14:paraId="031A1D89" w14:textId="77777777" w:rsidR="008B0470" w:rsidRPr="008B0470" w:rsidRDefault="008B0470" w:rsidP="00CA0D72">
            <w:pPr>
              <w:pStyle w:val="Table"/>
              <w:ind w:right="-3"/>
            </w:pPr>
            <w:r w:rsidRPr="008B0470">
              <w:t>71.3</w:t>
            </w:r>
          </w:p>
        </w:tc>
        <w:tc>
          <w:tcPr>
            <w:tcW w:w="1501" w:type="dxa"/>
          </w:tcPr>
          <w:p w14:paraId="1BEBB32A" w14:textId="77777777" w:rsidR="008B0470" w:rsidRPr="008B0470" w:rsidRDefault="008B0470" w:rsidP="00CA0D72">
            <w:pPr>
              <w:pStyle w:val="Table"/>
              <w:ind w:right="-3"/>
            </w:pPr>
            <w:r w:rsidRPr="008B0470">
              <w:t>48 – 83.1</w:t>
            </w:r>
          </w:p>
        </w:tc>
        <w:tc>
          <w:tcPr>
            <w:tcW w:w="1663" w:type="dxa"/>
          </w:tcPr>
          <w:p w14:paraId="3C45140C" w14:textId="77777777" w:rsidR="008B0470" w:rsidRPr="008B0470" w:rsidRDefault="008B0470" w:rsidP="00CA0D72">
            <w:pPr>
              <w:pStyle w:val="Table"/>
              <w:ind w:right="-3"/>
            </w:pPr>
            <w:r w:rsidRPr="008B0470">
              <w:t>76.6</w:t>
            </w:r>
          </w:p>
        </w:tc>
        <w:tc>
          <w:tcPr>
            <w:tcW w:w="1622" w:type="dxa"/>
          </w:tcPr>
          <w:p w14:paraId="411EED45" w14:textId="77777777" w:rsidR="008B0470" w:rsidRPr="008B0470" w:rsidRDefault="008B0470" w:rsidP="00CA0D72">
            <w:pPr>
              <w:pStyle w:val="Table"/>
              <w:ind w:right="-3"/>
            </w:pPr>
            <w:r w:rsidRPr="008B0470">
              <w:t>51.3 – 84</w:t>
            </w:r>
          </w:p>
        </w:tc>
      </w:tr>
    </w:tbl>
    <w:p w14:paraId="2E560B6F" w14:textId="77777777" w:rsidR="00FE2D3B" w:rsidRDefault="005A456D" w:rsidP="00CA0D72">
      <w:pPr>
        <w:pStyle w:val="Note"/>
        <w:ind w:right="-3"/>
        <w:rPr>
          <w:b/>
        </w:rPr>
      </w:pPr>
      <w:r>
        <w:br/>
        <w:t>* 265 of the 273 TC recipients in Queensland received community based services and therefore only results for this group are presented for this state.</w:t>
      </w:r>
    </w:p>
    <w:p w14:paraId="1F7492AB" w14:textId="77777777" w:rsidR="005D7ABA" w:rsidRDefault="005A456D" w:rsidP="00CA0D72">
      <w:pPr>
        <w:pStyle w:val="Heading2"/>
        <w:ind w:right="-3"/>
      </w:pPr>
      <w:r>
        <w:br w:type="page"/>
      </w:r>
      <w:bookmarkStart w:id="58" w:name="_Toc402348905"/>
      <w:r w:rsidR="00E021E5" w:rsidRPr="00E021E5">
        <w:lastRenderedPageBreak/>
        <w:t xml:space="preserve">3.4. Modified </w:t>
      </w:r>
      <w:proofErr w:type="spellStart"/>
      <w:r w:rsidR="00E021E5" w:rsidRPr="00E021E5">
        <w:t>Barthel</w:t>
      </w:r>
      <w:proofErr w:type="spellEnd"/>
      <w:r w:rsidR="00E021E5" w:rsidRPr="00E021E5">
        <w:t xml:space="preserve"> Index Efficiency</w:t>
      </w:r>
      <w:bookmarkEnd w:id="58"/>
    </w:p>
    <w:p w14:paraId="5D333465" w14:textId="77777777" w:rsidR="005D7ABA" w:rsidRDefault="00E021E5" w:rsidP="00CA0D72">
      <w:pPr>
        <w:ind w:right="-3"/>
      </w:pPr>
      <w:r w:rsidRPr="00E021E5">
        <w:t>MBI efficiencies (i.e. change in function per day of stay) for the 2006/07 financial year were calculated in each jurisdiction according to type of care (Community, Residential or Combination), and this is shown in Figure 3.1. These data were drawn from the TCP COGNOS database maintained by the Department of Health and Ageing.</w:t>
      </w:r>
    </w:p>
    <w:p w14:paraId="1502F163" w14:textId="562B7BA4" w:rsidR="00FE2D3B" w:rsidRDefault="00E021E5" w:rsidP="00CA0D72">
      <w:pPr>
        <w:ind w:right="-3"/>
      </w:pPr>
      <w:r w:rsidRPr="00E021E5">
        <w:t>In terms of MBI efficiency, the overall figures for TC in the community and residential setting were 0.15 (i.e. change of 9.2 units in 61.1 days) and 0.24 (i.e. change of 10.3 units in 42.3 days), respectively.  As Figure 3.1 demonstrates, TC delivered only in a residential setting had greater MBI efficiency for the majority of jurisdictions, with the exception of Victoria.  The combination of community-based and residential-based TC also appears to be more efficient in terms of functional gain per day than TC only in a community setting.</w:t>
      </w:r>
    </w:p>
    <w:p w14:paraId="2CF31DA3" w14:textId="77777777" w:rsidR="00D92642" w:rsidRDefault="00D92642" w:rsidP="00CA0D72">
      <w:pPr>
        <w:ind w:right="-3"/>
      </w:pPr>
    </w:p>
    <w:p w14:paraId="05C4B250" w14:textId="77777777" w:rsidR="00FE2D3B" w:rsidRDefault="00D92642" w:rsidP="00D83B72">
      <w:pPr>
        <w:pStyle w:val="Heading3"/>
      </w:pPr>
      <w:bookmarkStart w:id="59" w:name="_Toc402348906"/>
      <w:r w:rsidRPr="00D92642">
        <w:t xml:space="preserve">Figure 3.1: Modified </w:t>
      </w:r>
      <w:proofErr w:type="spellStart"/>
      <w:r w:rsidRPr="00D92642">
        <w:t>Barthel</w:t>
      </w:r>
      <w:proofErr w:type="spellEnd"/>
      <w:r w:rsidRPr="00D92642">
        <w:t xml:space="preserve"> Index efficiencies by type of Transition Care per jurisdiction</w:t>
      </w:r>
      <w:bookmarkEnd w:id="59"/>
    </w:p>
    <w:p w14:paraId="65F94E19" w14:textId="77777777" w:rsidR="00E272A9" w:rsidRPr="00E272A9" w:rsidRDefault="00CA0D72" w:rsidP="00CA0D72">
      <w:pPr>
        <w:ind w:right="-3"/>
        <w:rPr>
          <w:b/>
        </w:rPr>
      </w:pPr>
      <w:bookmarkStart w:id="60" w:name="_GoBack"/>
      <w:r>
        <w:rPr>
          <w:b/>
          <w:noProof/>
        </w:rPr>
        <w:drawing>
          <wp:inline distT="0" distB="0" distL="0" distR="0" wp14:anchorId="02A0EFA7" wp14:editId="731686C6">
            <wp:extent cx="5057140" cy="3117215"/>
            <wp:effectExtent l="0" t="0" r="0" b="0"/>
            <wp:docPr id="42" name="Picture 42" descr="Graph showing efficiences by type of transition care by jurisdiction.&#10;&#10;ACT - community approx 0.2, residential approx 0.375, combination approx. 0.3&#10;NSW - community approx 0.158, residential approx 0.40, combination approx. 0.2&#10;NT - residential approx 0.33&#10;QLD - community approx 0.18&#10;SA - community approx 0.09,residential approx 0.3, combination approx. 0.23&#10;TAS - community approx 0.19, residential approx 0.425, combination approx. 0.25&#10;VIC - community approx 0.112, residential approx 0.118, combination approx. 0.17&#10;WA - community approx 0.055, residential approx 0.2, combination approx. 0.19&#10;&#10;NOTE: Figures are approximate based on image of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raph showing efficiences by type of transition care by jurisdiction.&#10;&#10;ACT - community approx 0.2, residential approx 0.375, combination approx. 0.3&#10;NSW - community approx 0.158, residential approx 0.40, combination approx. 0.2&#10;NT - residential approx 0.33&#10;QLD - community approx 0.18&#10;SA - community approx 0.09,residential approx 0.3, combination approx. 0.23&#10;TAS - community approx 0.19, residential approx 0.425, combination approx. 0.25&#10;VIC - community approx 0.112, residential approx 0.118, combination approx. 0.17&#10;WA - community approx 0.055, residential approx 0.2, combination approx. 0.19&#10;&#10;NOTE: Figures are approximate based on image of grap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140" cy="3117215"/>
                    </a:xfrm>
                    <a:prstGeom prst="rect">
                      <a:avLst/>
                    </a:prstGeom>
                    <a:noFill/>
                    <a:ln>
                      <a:noFill/>
                    </a:ln>
                  </pic:spPr>
                </pic:pic>
              </a:graphicData>
            </a:graphic>
          </wp:inline>
        </w:drawing>
      </w:r>
      <w:bookmarkEnd w:id="60"/>
    </w:p>
    <w:p w14:paraId="28360746" w14:textId="77777777" w:rsidR="00E272A9" w:rsidRDefault="00E272A9" w:rsidP="00CA0D72">
      <w:pPr>
        <w:ind w:right="-3"/>
        <w:rPr>
          <w:b/>
        </w:rPr>
      </w:pPr>
    </w:p>
    <w:p w14:paraId="61CA38E5" w14:textId="77777777" w:rsidR="005D7ABA" w:rsidRDefault="00E272A9" w:rsidP="00CA0D72">
      <w:pPr>
        <w:pStyle w:val="Heading2"/>
        <w:ind w:right="-3"/>
      </w:pPr>
      <w:bookmarkStart w:id="61" w:name="_Toc402348907"/>
      <w:r w:rsidRPr="00E272A9">
        <w:t>3.5. The Transition Care experience</w:t>
      </w:r>
      <w:bookmarkEnd w:id="61"/>
    </w:p>
    <w:p w14:paraId="1709CEA4" w14:textId="106DDD29" w:rsidR="00E272A9" w:rsidRDefault="00E272A9" w:rsidP="00CA0D72">
      <w:pPr>
        <w:ind w:right="-3"/>
      </w:pPr>
      <w:r w:rsidRPr="00E272A9">
        <w:t xml:space="preserve">Telephone interviews with 630 TC recipients and 386 carers three months post-discharge from TC (National Evaluation of the Transition Care Program 2007b) showed that overall 93% of recipients (or their </w:t>
      </w:r>
      <w:proofErr w:type="gramStart"/>
      <w:r w:rsidRPr="00E272A9">
        <w:t>proxy) were</w:t>
      </w:r>
      <w:proofErr w:type="gramEnd"/>
      <w:r w:rsidRPr="00E272A9">
        <w:t xml:space="preserve"> satisfied or very satisfied with TC.  Furthermore, 93% of carers were satisfied or very satisfied with the TC their relative/friend received.  However, there was an issue concerning the lack of information provided to potential TC recipients so that they knew what to expect from TC.  As noted in the Recipient Snapshot Study Report (National Evaluation of the Transition Care Program 2007b), it is unclear whether this reflected a lack of communication with the recipient or their proxy from the acute hospital service or from the TC services.</w:t>
      </w:r>
    </w:p>
    <w:p w14:paraId="5B6AC521" w14:textId="77777777" w:rsidR="005D7ABA" w:rsidRDefault="00E272A9" w:rsidP="00CA0D72">
      <w:pPr>
        <w:ind w:right="-3"/>
      </w:pPr>
      <w:r>
        <w:t xml:space="preserve">The quality of the transition to TC was measured in the Recipient Snapshot Study using the CTM-3; (Coleman, Mahoney et al. 2005).  The CTM-3 includes three major domains that have been deemed as critically important to an individual's experience of a change in care setting, namely how well recipients understood their own responsibilities in managing their health, the </w:t>
      </w:r>
      <w:r>
        <w:lastRenderedPageBreak/>
        <w:t>purpose for each of their medications, and whether family/carer preferences were taken into account.  The CTM-3 is scored between 0 and 100, with higher scores indicating a better transition.  Scores around 66.67 indicate TC recipients strongly agreed with two of the three domains.  The Recipient Snapshot Study (National Evaluation of the Transition Care Program 2007b) showed the average CTM-3 score at three month follow-up was 68.6 (SD 13.8) and this was similar to the average reported by Coleman et al. (Coleman, Mahoney et al. 2005) in their US-based study of the quality of care transitions.  The greatest difficulty that was reported by recipients was in understanding the purpose of each of their medications, and 32% of the respondents in this study did not know the purpose for taking all of their medications.</w:t>
      </w:r>
    </w:p>
    <w:p w14:paraId="2E6EF01F" w14:textId="77777777" w:rsidR="005D7ABA" w:rsidRDefault="00E272A9" w:rsidP="00CA0D72">
      <w:pPr>
        <w:ind w:right="-3"/>
      </w:pPr>
      <w:r>
        <w:t>The Recipient Snapshot Study also highlighted the differences between jurisdictions, noting a significantly lower average CTM-score among the Victorian TC recipients than in other states or territories.  This appears to correlate with the lower average MBI scores at admission to TC in Victoria than in other parts of Australia.</w:t>
      </w:r>
    </w:p>
    <w:p w14:paraId="757C2B05" w14:textId="77777777" w:rsidR="005D7ABA" w:rsidRDefault="00E272A9" w:rsidP="00CA0D72">
      <w:pPr>
        <w:pStyle w:val="Heading2"/>
        <w:ind w:right="-3"/>
      </w:pPr>
      <w:bookmarkStart w:id="62" w:name="_Toc402348908"/>
      <w:r>
        <w:t>3.6. Hospital readmissions</w:t>
      </w:r>
      <w:bookmarkEnd w:id="62"/>
    </w:p>
    <w:p w14:paraId="2128DAFA" w14:textId="70FEAE93" w:rsidR="00BC0ABE" w:rsidRDefault="00E272A9" w:rsidP="00CA0D72">
      <w:pPr>
        <w:ind w:right="-3"/>
        <w:sectPr w:rsidR="00BC0ABE" w:rsidSect="00CA0D72">
          <w:pgSz w:w="11904" w:h="17340"/>
          <w:pgMar w:top="1134" w:right="1272" w:bottom="1134" w:left="1276" w:header="720" w:footer="720" w:gutter="0"/>
          <w:cols w:space="720"/>
          <w:noEndnote/>
        </w:sectPr>
      </w:pPr>
      <w:r>
        <w:t xml:space="preserve">In terms of hospital readmissions, the Final Report of the Controlled Comparison Study and Costs and Effects Study (National Evaluation of the Transition Care Program 2008) showed that 37% of TC recipients overall were readmitted one or more times during the three months post ACAT approval.  The readmission rate was slightly higher among the recipients of TC only in a community setting (39%) than among either recipients of TC only in a residential setting or those who received a combination of community-based and residential-based TC services (35% in each).  The Models of Transition Care Report (National Evaluation of the Transition Care Program 2007a) reported that overall 22% of TC recipients were discharged from the TCP to hospital in 2006/07.  It is noteworthy that the discharge to hospital rate was somewhat higher in New South Wales and Queensland, which have a large component of community-based TC places (exclusively community in Queensland at the time of writing this report).  A breakdown of discharge reason by jurisdiction and type of </w:t>
      </w:r>
      <w:r w:rsidR="00BC0ABE">
        <w:t>care is presented in Table 3.5.</w:t>
      </w:r>
    </w:p>
    <w:p w14:paraId="4B88E324" w14:textId="77777777" w:rsidR="00E272A9" w:rsidRDefault="00E272A9" w:rsidP="00F53196">
      <w:pPr>
        <w:pStyle w:val="Heading3"/>
      </w:pPr>
      <w:bookmarkStart w:id="63" w:name="_Toc402348909"/>
      <w:r w:rsidRPr="00D005EC">
        <w:lastRenderedPageBreak/>
        <w:t>Table 3.5: Discharge destination by jurisdiction and type of care</w:t>
      </w:r>
      <w:bookmarkEnd w:id="63"/>
    </w:p>
    <w:tbl>
      <w:tblPr>
        <w:tblStyle w:val="TableGrid"/>
        <w:tblW w:w="15276" w:type="dxa"/>
        <w:tblLayout w:type="fixed"/>
        <w:tblLook w:val="0000" w:firstRow="0" w:lastRow="0" w:firstColumn="0" w:lastColumn="0" w:noHBand="0" w:noVBand="0"/>
        <w:tblDescription w:val="Table 3.5: Discharge destination by jurisdiction and type of care"/>
      </w:tblPr>
      <w:tblGrid>
        <w:gridCol w:w="1175"/>
        <w:gridCol w:w="1343"/>
        <w:gridCol w:w="1007"/>
        <w:gridCol w:w="1175"/>
        <w:gridCol w:w="1175"/>
        <w:gridCol w:w="1175"/>
        <w:gridCol w:w="1175"/>
        <w:gridCol w:w="1175"/>
        <w:gridCol w:w="1175"/>
        <w:gridCol w:w="1175"/>
        <w:gridCol w:w="1175"/>
        <w:gridCol w:w="1175"/>
        <w:gridCol w:w="1176"/>
      </w:tblGrid>
      <w:tr w:rsidR="00BC0ABE" w:rsidRPr="00F81A2E" w14:paraId="027ED0F0" w14:textId="77777777" w:rsidTr="00F53196">
        <w:trPr>
          <w:trHeight w:val="227"/>
          <w:tblHeader/>
        </w:trPr>
        <w:tc>
          <w:tcPr>
            <w:tcW w:w="1175" w:type="dxa"/>
          </w:tcPr>
          <w:p w14:paraId="353C2CB2" w14:textId="45752570" w:rsidR="00BC0ABE" w:rsidRPr="00F53196" w:rsidRDefault="00F53196" w:rsidP="00CA0D72">
            <w:pPr>
              <w:pStyle w:val="Table"/>
              <w:ind w:right="-3"/>
              <w:rPr>
                <w:b/>
              </w:rPr>
            </w:pPr>
            <w:r>
              <w:rPr>
                <w:b/>
              </w:rPr>
              <w:t>Jurisdiction</w:t>
            </w:r>
          </w:p>
        </w:tc>
        <w:tc>
          <w:tcPr>
            <w:tcW w:w="1343" w:type="dxa"/>
          </w:tcPr>
          <w:p w14:paraId="608B711E" w14:textId="04050AC3" w:rsidR="00BC0ABE" w:rsidRPr="00F53196" w:rsidRDefault="00BC0ABE" w:rsidP="00CA0D72">
            <w:pPr>
              <w:pStyle w:val="Table"/>
              <w:ind w:right="-3"/>
              <w:rPr>
                <w:b/>
              </w:rPr>
            </w:pPr>
            <w:r w:rsidRPr="00F53196">
              <w:rPr>
                <w:b/>
              </w:rPr>
              <w:t>Type of Care</w:t>
            </w:r>
          </w:p>
        </w:tc>
        <w:tc>
          <w:tcPr>
            <w:tcW w:w="1007" w:type="dxa"/>
          </w:tcPr>
          <w:p w14:paraId="607F7E89" w14:textId="507A9AAE" w:rsidR="00BC0ABE" w:rsidRPr="00F53196" w:rsidRDefault="00BC0ABE" w:rsidP="00CA0D72">
            <w:pPr>
              <w:pStyle w:val="Table"/>
              <w:ind w:right="-3"/>
              <w:rPr>
                <w:b/>
              </w:rPr>
            </w:pPr>
            <w:r w:rsidRPr="00F53196">
              <w:rPr>
                <w:b/>
              </w:rPr>
              <w:t>Death</w:t>
            </w:r>
          </w:p>
        </w:tc>
        <w:tc>
          <w:tcPr>
            <w:tcW w:w="1175" w:type="dxa"/>
          </w:tcPr>
          <w:p w14:paraId="16264A87" w14:textId="0A8CD5C3" w:rsidR="00BC0ABE" w:rsidRPr="00F53196" w:rsidRDefault="00BC0ABE" w:rsidP="00CA0D72">
            <w:pPr>
              <w:pStyle w:val="Table"/>
              <w:ind w:right="-3"/>
              <w:rPr>
                <w:b/>
              </w:rPr>
            </w:pPr>
            <w:r w:rsidRPr="00F53196">
              <w:rPr>
                <w:b/>
              </w:rPr>
              <w:t>Hospital</w:t>
            </w:r>
          </w:p>
        </w:tc>
        <w:tc>
          <w:tcPr>
            <w:tcW w:w="1175" w:type="dxa"/>
          </w:tcPr>
          <w:p w14:paraId="5605E114" w14:textId="57F1576E" w:rsidR="00BC0ABE" w:rsidRPr="00F53196" w:rsidRDefault="00BC0ABE" w:rsidP="00CA0D72">
            <w:pPr>
              <w:pStyle w:val="Table"/>
              <w:ind w:right="-3"/>
              <w:rPr>
                <w:b/>
              </w:rPr>
            </w:pPr>
            <w:r w:rsidRPr="00F53196">
              <w:rPr>
                <w:b/>
              </w:rPr>
              <w:t>Nursing Home</w:t>
            </w:r>
          </w:p>
        </w:tc>
        <w:tc>
          <w:tcPr>
            <w:tcW w:w="1175" w:type="dxa"/>
          </w:tcPr>
          <w:p w14:paraId="3A989368" w14:textId="60B3FCA3" w:rsidR="00BC0ABE" w:rsidRPr="00F53196" w:rsidRDefault="00BC0ABE" w:rsidP="00CA0D72">
            <w:pPr>
              <w:pStyle w:val="Table"/>
              <w:ind w:right="-3"/>
              <w:rPr>
                <w:b/>
              </w:rPr>
            </w:pPr>
            <w:r w:rsidRPr="00F53196">
              <w:rPr>
                <w:b/>
              </w:rPr>
              <w:t>Hostel</w:t>
            </w:r>
          </w:p>
        </w:tc>
        <w:tc>
          <w:tcPr>
            <w:tcW w:w="1175" w:type="dxa"/>
          </w:tcPr>
          <w:p w14:paraId="0A5BE024" w14:textId="73EFE5B5" w:rsidR="00BC0ABE" w:rsidRPr="00F53196" w:rsidRDefault="00BC0ABE" w:rsidP="00CA0D72">
            <w:pPr>
              <w:pStyle w:val="Table"/>
              <w:ind w:right="-3"/>
              <w:rPr>
                <w:b/>
              </w:rPr>
            </w:pPr>
            <w:r w:rsidRPr="00F53196">
              <w:rPr>
                <w:b/>
              </w:rPr>
              <w:t>Other</w:t>
            </w:r>
          </w:p>
        </w:tc>
        <w:tc>
          <w:tcPr>
            <w:tcW w:w="1175" w:type="dxa"/>
          </w:tcPr>
          <w:p w14:paraId="01B27303" w14:textId="0A8C470A" w:rsidR="00BC0ABE" w:rsidRPr="00F53196" w:rsidRDefault="00BC0ABE" w:rsidP="00CA0D72">
            <w:pPr>
              <w:pStyle w:val="Table"/>
              <w:ind w:right="-3"/>
              <w:rPr>
                <w:b/>
              </w:rPr>
            </w:pPr>
            <w:r w:rsidRPr="00F53196">
              <w:rPr>
                <w:b/>
              </w:rPr>
              <w:t>To the Community - With no support</w:t>
            </w:r>
          </w:p>
        </w:tc>
        <w:tc>
          <w:tcPr>
            <w:tcW w:w="1175" w:type="dxa"/>
          </w:tcPr>
          <w:p w14:paraId="35F2FAD4" w14:textId="428DF81D" w:rsidR="00BC0ABE" w:rsidRPr="00F53196" w:rsidRDefault="00BC0ABE" w:rsidP="00CA0D72">
            <w:pPr>
              <w:pStyle w:val="Table"/>
              <w:ind w:right="-3"/>
              <w:rPr>
                <w:b/>
              </w:rPr>
            </w:pPr>
            <w:r w:rsidRPr="00F53196">
              <w:rPr>
                <w:b/>
              </w:rPr>
              <w:t>To the Community - HACC</w:t>
            </w:r>
          </w:p>
        </w:tc>
        <w:tc>
          <w:tcPr>
            <w:tcW w:w="1175" w:type="dxa"/>
          </w:tcPr>
          <w:p w14:paraId="458D6E76" w14:textId="5B745430" w:rsidR="00BC0ABE" w:rsidRPr="00F53196" w:rsidRDefault="00BC0ABE" w:rsidP="00CA0D72">
            <w:pPr>
              <w:pStyle w:val="Table"/>
              <w:ind w:right="-3"/>
              <w:rPr>
                <w:b/>
              </w:rPr>
            </w:pPr>
            <w:r w:rsidRPr="00F53196">
              <w:rPr>
                <w:b/>
              </w:rPr>
              <w:t>To the Community - CACP</w:t>
            </w:r>
          </w:p>
        </w:tc>
        <w:tc>
          <w:tcPr>
            <w:tcW w:w="1175" w:type="dxa"/>
          </w:tcPr>
          <w:p w14:paraId="5DD36E5F" w14:textId="18CEA59C" w:rsidR="00BC0ABE" w:rsidRPr="00F53196" w:rsidRDefault="00BC0ABE" w:rsidP="00CA0D72">
            <w:pPr>
              <w:pStyle w:val="Table"/>
              <w:ind w:right="-3"/>
              <w:rPr>
                <w:b/>
              </w:rPr>
            </w:pPr>
            <w:r w:rsidRPr="00F53196">
              <w:rPr>
                <w:b/>
              </w:rPr>
              <w:t>To the Community - EACH</w:t>
            </w:r>
          </w:p>
        </w:tc>
        <w:tc>
          <w:tcPr>
            <w:tcW w:w="1175" w:type="dxa"/>
          </w:tcPr>
          <w:p w14:paraId="133E139F" w14:textId="295884D5" w:rsidR="00BC0ABE" w:rsidRPr="00F53196" w:rsidRDefault="00BC0ABE" w:rsidP="00CA0D72">
            <w:pPr>
              <w:pStyle w:val="Table"/>
              <w:ind w:right="-3"/>
              <w:rPr>
                <w:b/>
              </w:rPr>
            </w:pPr>
            <w:r w:rsidRPr="00F53196">
              <w:rPr>
                <w:b/>
              </w:rPr>
              <w:t>Move to other TC service</w:t>
            </w:r>
          </w:p>
        </w:tc>
        <w:tc>
          <w:tcPr>
            <w:tcW w:w="1176" w:type="dxa"/>
          </w:tcPr>
          <w:p w14:paraId="4F837DD2" w14:textId="43ECAD3B" w:rsidR="00BC0ABE" w:rsidRPr="00F53196" w:rsidRDefault="00BC0ABE" w:rsidP="00CA0D72">
            <w:pPr>
              <w:pStyle w:val="Table"/>
              <w:ind w:right="-3"/>
              <w:rPr>
                <w:b/>
              </w:rPr>
            </w:pPr>
            <w:r w:rsidRPr="00F53196">
              <w:rPr>
                <w:b/>
              </w:rPr>
              <w:t>Total</w:t>
            </w:r>
          </w:p>
        </w:tc>
      </w:tr>
      <w:tr w:rsidR="00F81A2E" w:rsidRPr="00F81A2E" w14:paraId="7FDD67BD" w14:textId="77777777" w:rsidTr="00F53196">
        <w:trPr>
          <w:trHeight w:val="227"/>
        </w:trPr>
        <w:tc>
          <w:tcPr>
            <w:tcW w:w="1175" w:type="dxa"/>
          </w:tcPr>
          <w:p w14:paraId="2451949B" w14:textId="77777777" w:rsidR="00F81A2E" w:rsidRPr="00F81A2E" w:rsidRDefault="00F81A2E" w:rsidP="00CA0D72">
            <w:pPr>
              <w:pStyle w:val="Table"/>
              <w:ind w:right="-3"/>
            </w:pPr>
            <w:r w:rsidRPr="00F81A2E">
              <w:t>ACT</w:t>
            </w:r>
          </w:p>
        </w:tc>
        <w:tc>
          <w:tcPr>
            <w:tcW w:w="1343" w:type="dxa"/>
          </w:tcPr>
          <w:p w14:paraId="68BED599" w14:textId="77777777" w:rsidR="00F81A2E" w:rsidRPr="00F81A2E" w:rsidRDefault="00F81A2E" w:rsidP="00CA0D72">
            <w:pPr>
              <w:pStyle w:val="Table"/>
              <w:ind w:right="-3"/>
            </w:pPr>
            <w:r w:rsidRPr="00F81A2E">
              <w:t>Community Only</w:t>
            </w:r>
          </w:p>
        </w:tc>
        <w:tc>
          <w:tcPr>
            <w:tcW w:w="1007" w:type="dxa"/>
          </w:tcPr>
          <w:p w14:paraId="7C153FDF" w14:textId="77777777" w:rsidR="00F81A2E" w:rsidRPr="00F81A2E" w:rsidRDefault="00F81A2E" w:rsidP="00CA0D72">
            <w:pPr>
              <w:pStyle w:val="Table"/>
              <w:ind w:right="-3"/>
            </w:pPr>
            <w:r w:rsidRPr="00F81A2E">
              <w:t>0</w:t>
            </w:r>
          </w:p>
        </w:tc>
        <w:tc>
          <w:tcPr>
            <w:tcW w:w="1175" w:type="dxa"/>
          </w:tcPr>
          <w:p w14:paraId="5640406D" w14:textId="77777777" w:rsidR="00F81A2E" w:rsidRPr="00F81A2E" w:rsidRDefault="00F81A2E" w:rsidP="00CA0D72">
            <w:pPr>
              <w:pStyle w:val="Table"/>
              <w:ind w:right="-3"/>
            </w:pPr>
            <w:r w:rsidRPr="00F81A2E">
              <w:t>8</w:t>
            </w:r>
          </w:p>
        </w:tc>
        <w:tc>
          <w:tcPr>
            <w:tcW w:w="1175" w:type="dxa"/>
          </w:tcPr>
          <w:p w14:paraId="79F47D85" w14:textId="77777777" w:rsidR="00F81A2E" w:rsidRPr="00F81A2E" w:rsidRDefault="00F81A2E" w:rsidP="00CA0D72">
            <w:pPr>
              <w:pStyle w:val="Table"/>
              <w:ind w:right="-3"/>
            </w:pPr>
            <w:r w:rsidRPr="00F81A2E">
              <w:t>0</w:t>
            </w:r>
          </w:p>
        </w:tc>
        <w:tc>
          <w:tcPr>
            <w:tcW w:w="1175" w:type="dxa"/>
          </w:tcPr>
          <w:p w14:paraId="3380550C" w14:textId="77777777" w:rsidR="00F81A2E" w:rsidRPr="00F81A2E" w:rsidRDefault="00F81A2E" w:rsidP="00CA0D72">
            <w:pPr>
              <w:pStyle w:val="Table"/>
              <w:ind w:right="-3"/>
            </w:pPr>
            <w:r w:rsidRPr="00F81A2E">
              <w:t>1</w:t>
            </w:r>
          </w:p>
        </w:tc>
        <w:tc>
          <w:tcPr>
            <w:tcW w:w="1175" w:type="dxa"/>
          </w:tcPr>
          <w:p w14:paraId="5D4B7F41" w14:textId="77777777" w:rsidR="00F81A2E" w:rsidRPr="00F81A2E" w:rsidRDefault="00F81A2E" w:rsidP="00CA0D72">
            <w:pPr>
              <w:pStyle w:val="Table"/>
              <w:ind w:right="-3"/>
            </w:pPr>
            <w:r w:rsidRPr="00F81A2E">
              <w:t>2</w:t>
            </w:r>
          </w:p>
        </w:tc>
        <w:tc>
          <w:tcPr>
            <w:tcW w:w="1175" w:type="dxa"/>
          </w:tcPr>
          <w:p w14:paraId="345DCEE9" w14:textId="77777777" w:rsidR="00F81A2E" w:rsidRPr="00F81A2E" w:rsidRDefault="00F81A2E" w:rsidP="00CA0D72">
            <w:pPr>
              <w:pStyle w:val="Table"/>
              <w:ind w:right="-3"/>
            </w:pPr>
            <w:r w:rsidRPr="00F81A2E">
              <w:t>17</w:t>
            </w:r>
          </w:p>
        </w:tc>
        <w:tc>
          <w:tcPr>
            <w:tcW w:w="1175" w:type="dxa"/>
          </w:tcPr>
          <w:p w14:paraId="0DD78283" w14:textId="77777777" w:rsidR="00F81A2E" w:rsidRPr="00F81A2E" w:rsidRDefault="00F81A2E" w:rsidP="00CA0D72">
            <w:pPr>
              <w:pStyle w:val="Table"/>
              <w:ind w:right="-3"/>
            </w:pPr>
            <w:r w:rsidRPr="00F81A2E">
              <w:t>9</w:t>
            </w:r>
          </w:p>
        </w:tc>
        <w:tc>
          <w:tcPr>
            <w:tcW w:w="1175" w:type="dxa"/>
          </w:tcPr>
          <w:p w14:paraId="1FB6821B" w14:textId="77777777" w:rsidR="00F81A2E" w:rsidRPr="00F81A2E" w:rsidRDefault="00F81A2E" w:rsidP="00CA0D72">
            <w:pPr>
              <w:pStyle w:val="Table"/>
              <w:ind w:right="-3"/>
            </w:pPr>
            <w:r w:rsidRPr="00F81A2E">
              <w:t>6</w:t>
            </w:r>
          </w:p>
        </w:tc>
        <w:tc>
          <w:tcPr>
            <w:tcW w:w="1175" w:type="dxa"/>
          </w:tcPr>
          <w:p w14:paraId="37AA0739" w14:textId="77777777" w:rsidR="00F81A2E" w:rsidRPr="00F81A2E" w:rsidRDefault="00F81A2E" w:rsidP="00CA0D72">
            <w:pPr>
              <w:pStyle w:val="Table"/>
              <w:ind w:right="-3"/>
            </w:pPr>
            <w:r w:rsidRPr="00F81A2E">
              <w:t>2</w:t>
            </w:r>
          </w:p>
        </w:tc>
        <w:tc>
          <w:tcPr>
            <w:tcW w:w="1175" w:type="dxa"/>
          </w:tcPr>
          <w:p w14:paraId="10E3DF24" w14:textId="77777777" w:rsidR="00F81A2E" w:rsidRPr="00F81A2E" w:rsidRDefault="00F81A2E" w:rsidP="00CA0D72">
            <w:pPr>
              <w:pStyle w:val="Table"/>
              <w:ind w:right="-3"/>
            </w:pPr>
            <w:r w:rsidRPr="00F81A2E">
              <w:t>0</w:t>
            </w:r>
          </w:p>
        </w:tc>
        <w:tc>
          <w:tcPr>
            <w:tcW w:w="1176" w:type="dxa"/>
          </w:tcPr>
          <w:p w14:paraId="10F41BDB" w14:textId="77777777" w:rsidR="00F81A2E" w:rsidRPr="00F81A2E" w:rsidRDefault="00F81A2E" w:rsidP="00CA0D72">
            <w:pPr>
              <w:pStyle w:val="Table"/>
              <w:ind w:right="-3"/>
            </w:pPr>
            <w:r w:rsidRPr="00F81A2E">
              <w:t>45</w:t>
            </w:r>
          </w:p>
        </w:tc>
      </w:tr>
      <w:tr w:rsidR="00F81A2E" w:rsidRPr="00F81A2E" w14:paraId="65E2B229" w14:textId="77777777" w:rsidTr="00F53196">
        <w:trPr>
          <w:trHeight w:val="227"/>
        </w:trPr>
        <w:tc>
          <w:tcPr>
            <w:tcW w:w="1175" w:type="dxa"/>
          </w:tcPr>
          <w:p w14:paraId="6BE1ACED" w14:textId="7927F570" w:rsidR="00F81A2E" w:rsidRPr="00F81A2E" w:rsidRDefault="00BC0ABE" w:rsidP="00CA0D72">
            <w:pPr>
              <w:pStyle w:val="Table"/>
              <w:ind w:right="-3"/>
            </w:pPr>
            <w:r w:rsidRPr="00F81A2E">
              <w:t>ACT</w:t>
            </w:r>
          </w:p>
        </w:tc>
        <w:tc>
          <w:tcPr>
            <w:tcW w:w="1343" w:type="dxa"/>
          </w:tcPr>
          <w:p w14:paraId="4BB3F642" w14:textId="77777777" w:rsidR="00F81A2E" w:rsidRPr="00F81A2E" w:rsidRDefault="00F81A2E" w:rsidP="00CA0D72">
            <w:pPr>
              <w:pStyle w:val="Table"/>
              <w:ind w:right="-3"/>
            </w:pPr>
            <w:r w:rsidRPr="00F81A2E">
              <w:t>%</w:t>
            </w:r>
          </w:p>
        </w:tc>
        <w:tc>
          <w:tcPr>
            <w:tcW w:w="1007" w:type="dxa"/>
          </w:tcPr>
          <w:p w14:paraId="51FB2D0C" w14:textId="77777777" w:rsidR="00F81A2E" w:rsidRPr="00F81A2E" w:rsidRDefault="00F81A2E" w:rsidP="00CA0D72">
            <w:pPr>
              <w:pStyle w:val="Table"/>
              <w:ind w:right="-3"/>
            </w:pPr>
            <w:r w:rsidRPr="00F81A2E">
              <w:t>0</w:t>
            </w:r>
          </w:p>
        </w:tc>
        <w:tc>
          <w:tcPr>
            <w:tcW w:w="1175" w:type="dxa"/>
          </w:tcPr>
          <w:p w14:paraId="2BFC14DB" w14:textId="77777777" w:rsidR="00F81A2E" w:rsidRPr="00F81A2E" w:rsidRDefault="00F81A2E" w:rsidP="00CA0D72">
            <w:pPr>
              <w:pStyle w:val="Table"/>
              <w:ind w:right="-3"/>
            </w:pPr>
            <w:r w:rsidRPr="00F81A2E">
              <w:t>17.8</w:t>
            </w:r>
          </w:p>
        </w:tc>
        <w:tc>
          <w:tcPr>
            <w:tcW w:w="1175" w:type="dxa"/>
          </w:tcPr>
          <w:p w14:paraId="00B8D3D4" w14:textId="77777777" w:rsidR="00F81A2E" w:rsidRPr="00F81A2E" w:rsidRDefault="00F81A2E" w:rsidP="00CA0D72">
            <w:pPr>
              <w:pStyle w:val="Table"/>
              <w:ind w:right="-3"/>
            </w:pPr>
            <w:r w:rsidRPr="00F81A2E">
              <w:t>0</w:t>
            </w:r>
          </w:p>
        </w:tc>
        <w:tc>
          <w:tcPr>
            <w:tcW w:w="1175" w:type="dxa"/>
          </w:tcPr>
          <w:p w14:paraId="4DA31D51" w14:textId="77777777" w:rsidR="00F81A2E" w:rsidRPr="00F81A2E" w:rsidRDefault="00F81A2E" w:rsidP="00CA0D72">
            <w:pPr>
              <w:pStyle w:val="Table"/>
              <w:ind w:right="-3"/>
            </w:pPr>
            <w:r w:rsidRPr="00F81A2E">
              <w:t>2.2</w:t>
            </w:r>
          </w:p>
        </w:tc>
        <w:tc>
          <w:tcPr>
            <w:tcW w:w="1175" w:type="dxa"/>
          </w:tcPr>
          <w:p w14:paraId="05A89A33" w14:textId="77777777" w:rsidR="00F81A2E" w:rsidRPr="00F81A2E" w:rsidRDefault="00F81A2E" w:rsidP="00CA0D72">
            <w:pPr>
              <w:pStyle w:val="Table"/>
              <w:ind w:right="-3"/>
            </w:pPr>
            <w:r w:rsidRPr="00F81A2E">
              <w:t>4.4</w:t>
            </w:r>
          </w:p>
        </w:tc>
        <w:tc>
          <w:tcPr>
            <w:tcW w:w="1175" w:type="dxa"/>
          </w:tcPr>
          <w:p w14:paraId="30305971" w14:textId="77777777" w:rsidR="00F81A2E" w:rsidRPr="00F81A2E" w:rsidRDefault="00F81A2E" w:rsidP="00CA0D72">
            <w:pPr>
              <w:pStyle w:val="Table"/>
              <w:ind w:right="-3"/>
            </w:pPr>
            <w:r w:rsidRPr="00F81A2E">
              <w:t>37.8</w:t>
            </w:r>
          </w:p>
        </w:tc>
        <w:tc>
          <w:tcPr>
            <w:tcW w:w="1175" w:type="dxa"/>
          </w:tcPr>
          <w:p w14:paraId="49E3FF65" w14:textId="77777777" w:rsidR="00F81A2E" w:rsidRPr="00F81A2E" w:rsidRDefault="00F81A2E" w:rsidP="00CA0D72">
            <w:pPr>
              <w:pStyle w:val="Table"/>
              <w:ind w:right="-3"/>
            </w:pPr>
            <w:r w:rsidRPr="00F81A2E">
              <w:t>20</w:t>
            </w:r>
          </w:p>
        </w:tc>
        <w:tc>
          <w:tcPr>
            <w:tcW w:w="1175" w:type="dxa"/>
          </w:tcPr>
          <w:p w14:paraId="4AC99A23" w14:textId="77777777" w:rsidR="00F81A2E" w:rsidRPr="00F81A2E" w:rsidRDefault="00F81A2E" w:rsidP="00CA0D72">
            <w:pPr>
              <w:pStyle w:val="Table"/>
              <w:ind w:right="-3"/>
            </w:pPr>
            <w:r w:rsidRPr="00F81A2E">
              <w:t>13.3</w:t>
            </w:r>
          </w:p>
        </w:tc>
        <w:tc>
          <w:tcPr>
            <w:tcW w:w="1175" w:type="dxa"/>
          </w:tcPr>
          <w:p w14:paraId="332AFF64" w14:textId="77777777" w:rsidR="00F81A2E" w:rsidRPr="00F81A2E" w:rsidRDefault="00F81A2E" w:rsidP="00CA0D72">
            <w:pPr>
              <w:pStyle w:val="Table"/>
              <w:ind w:right="-3"/>
            </w:pPr>
            <w:r w:rsidRPr="00F81A2E">
              <w:t>4.4</w:t>
            </w:r>
          </w:p>
        </w:tc>
        <w:tc>
          <w:tcPr>
            <w:tcW w:w="1175" w:type="dxa"/>
          </w:tcPr>
          <w:p w14:paraId="13946E88" w14:textId="77777777" w:rsidR="00F81A2E" w:rsidRPr="00F81A2E" w:rsidRDefault="00F81A2E" w:rsidP="00CA0D72">
            <w:pPr>
              <w:pStyle w:val="Table"/>
              <w:ind w:right="-3"/>
            </w:pPr>
            <w:r w:rsidRPr="00F81A2E">
              <w:t>0</w:t>
            </w:r>
          </w:p>
        </w:tc>
        <w:tc>
          <w:tcPr>
            <w:tcW w:w="1176" w:type="dxa"/>
          </w:tcPr>
          <w:p w14:paraId="40610AA8" w14:textId="77777777" w:rsidR="00F81A2E" w:rsidRPr="00F81A2E" w:rsidRDefault="00F81A2E" w:rsidP="00CA0D72">
            <w:pPr>
              <w:pStyle w:val="Table"/>
              <w:ind w:right="-3"/>
            </w:pPr>
            <w:r w:rsidRPr="00F81A2E">
              <w:t> </w:t>
            </w:r>
          </w:p>
        </w:tc>
      </w:tr>
      <w:tr w:rsidR="00F81A2E" w:rsidRPr="00F81A2E" w14:paraId="49D65F83" w14:textId="77777777" w:rsidTr="00F53196">
        <w:trPr>
          <w:trHeight w:val="227"/>
        </w:trPr>
        <w:tc>
          <w:tcPr>
            <w:tcW w:w="1175" w:type="dxa"/>
          </w:tcPr>
          <w:p w14:paraId="44D9B4A6" w14:textId="4DA30DF9" w:rsidR="00F81A2E" w:rsidRPr="00F81A2E" w:rsidRDefault="00BC0ABE" w:rsidP="00CA0D72">
            <w:pPr>
              <w:pStyle w:val="Table"/>
              <w:ind w:right="-3"/>
            </w:pPr>
            <w:r w:rsidRPr="00F81A2E">
              <w:t>ACT</w:t>
            </w:r>
          </w:p>
        </w:tc>
        <w:tc>
          <w:tcPr>
            <w:tcW w:w="1343" w:type="dxa"/>
          </w:tcPr>
          <w:p w14:paraId="6EF41167" w14:textId="77777777" w:rsidR="00F81A2E" w:rsidRPr="00F81A2E" w:rsidRDefault="00F81A2E" w:rsidP="00CA0D72">
            <w:pPr>
              <w:pStyle w:val="Table"/>
              <w:ind w:right="-3"/>
            </w:pPr>
            <w:r w:rsidRPr="00F81A2E">
              <w:t>Residential Only</w:t>
            </w:r>
          </w:p>
        </w:tc>
        <w:tc>
          <w:tcPr>
            <w:tcW w:w="1007" w:type="dxa"/>
          </w:tcPr>
          <w:p w14:paraId="244C991A" w14:textId="77777777" w:rsidR="00F81A2E" w:rsidRPr="00F81A2E" w:rsidRDefault="00F81A2E" w:rsidP="00CA0D72">
            <w:pPr>
              <w:pStyle w:val="Table"/>
              <w:ind w:right="-3"/>
            </w:pPr>
            <w:r w:rsidRPr="00F81A2E">
              <w:t>0</w:t>
            </w:r>
          </w:p>
        </w:tc>
        <w:tc>
          <w:tcPr>
            <w:tcW w:w="1175" w:type="dxa"/>
          </w:tcPr>
          <w:p w14:paraId="299A3783" w14:textId="77777777" w:rsidR="00F81A2E" w:rsidRPr="00F81A2E" w:rsidRDefault="00F81A2E" w:rsidP="00CA0D72">
            <w:pPr>
              <w:pStyle w:val="Table"/>
              <w:ind w:right="-3"/>
            </w:pPr>
            <w:r w:rsidRPr="00F81A2E">
              <w:t>14</w:t>
            </w:r>
          </w:p>
        </w:tc>
        <w:tc>
          <w:tcPr>
            <w:tcW w:w="1175" w:type="dxa"/>
          </w:tcPr>
          <w:p w14:paraId="1C5077DB" w14:textId="77777777" w:rsidR="00F81A2E" w:rsidRPr="00F81A2E" w:rsidRDefault="00F81A2E" w:rsidP="00CA0D72">
            <w:pPr>
              <w:pStyle w:val="Table"/>
              <w:ind w:right="-3"/>
            </w:pPr>
            <w:r w:rsidRPr="00F81A2E">
              <w:t>1</w:t>
            </w:r>
          </w:p>
        </w:tc>
        <w:tc>
          <w:tcPr>
            <w:tcW w:w="1175" w:type="dxa"/>
          </w:tcPr>
          <w:p w14:paraId="5612C92D" w14:textId="77777777" w:rsidR="00F81A2E" w:rsidRPr="00F81A2E" w:rsidRDefault="00F81A2E" w:rsidP="00CA0D72">
            <w:pPr>
              <w:pStyle w:val="Table"/>
              <w:ind w:right="-3"/>
            </w:pPr>
            <w:r w:rsidRPr="00F81A2E">
              <w:t>6</w:t>
            </w:r>
          </w:p>
        </w:tc>
        <w:tc>
          <w:tcPr>
            <w:tcW w:w="1175" w:type="dxa"/>
          </w:tcPr>
          <w:p w14:paraId="29BC9B2A" w14:textId="77777777" w:rsidR="00F81A2E" w:rsidRPr="00F81A2E" w:rsidRDefault="00F81A2E" w:rsidP="00CA0D72">
            <w:pPr>
              <w:pStyle w:val="Table"/>
              <w:ind w:right="-3"/>
            </w:pPr>
            <w:r w:rsidRPr="00F81A2E">
              <w:t>4</w:t>
            </w:r>
          </w:p>
        </w:tc>
        <w:tc>
          <w:tcPr>
            <w:tcW w:w="1175" w:type="dxa"/>
          </w:tcPr>
          <w:p w14:paraId="43996F9A" w14:textId="77777777" w:rsidR="00F81A2E" w:rsidRPr="00F81A2E" w:rsidRDefault="00F81A2E" w:rsidP="00CA0D72">
            <w:pPr>
              <w:pStyle w:val="Table"/>
              <w:ind w:right="-3"/>
            </w:pPr>
            <w:r w:rsidRPr="00F81A2E">
              <w:t>17</w:t>
            </w:r>
          </w:p>
        </w:tc>
        <w:tc>
          <w:tcPr>
            <w:tcW w:w="1175" w:type="dxa"/>
          </w:tcPr>
          <w:p w14:paraId="705B3C83" w14:textId="77777777" w:rsidR="00F81A2E" w:rsidRPr="00F81A2E" w:rsidRDefault="00F81A2E" w:rsidP="00CA0D72">
            <w:pPr>
              <w:pStyle w:val="Table"/>
              <w:ind w:right="-3"/>
            </w:pPr>
            <w:r w:rsidRPr="00F81A2E">
              <w:t>1</w:t>
            </w:r>
          </w:p>
        </w:tc>
        <w:tc>
          <w:tcPr>
            <w:tcW w:w="1175" w:type="dxa"/>
          </w:tcPr>
          <w:p w14:paraId="772D580F" w14:textId="77777777" w:rsidR="00F81A2E" w:rsidRPr="00F81A2E" w:rsidRDefault="00F81A2E" w:rsidP="00CA0D72">
            <w:pPr>
              <w:pStyle w:val="Table"/>
              <w:ind w:right="-3"/>
            </w:pPr>
            <w:r w:rsidRPr="00F81A2E">
              <w:t>6</w:t>
            </w:r>
          </w:p>
        </w:tc>
        <w:tc>
          <w:tcPr>
            <w:tcW w:w="1175" w:type="dxa"/>
          </w:tcPr>
          <w:p w14:paraId="21983C00" w14:textId="77777777" w:rsidR="00F81A2E" w:rsidRPr="00F81A2E" w:rsidRDefault="00F81A2E" w:rsidP="00CA0D72">
            <w:pPr>
              <w:pStyle w:val="Table"/>
              <w:ind w:right="-3"/>
            </w:pPr>
            <w:r w:rsidRPr="00F81A2E">
              <w:t>0</w:t>
            </w:r>
          </w:p>
        </w:tc>
        <w:tc>
          <w:tcPr>
            <w:tcW w:w="1175" w:type="dxa"/>
          </w:tcPr>
          <w:p w14:paraId="68428BE9" w14:textId="77777777" w:rsidR="00F81A2E" w:rsidRPr="00F81A2E" w:rsidRDefault="00F81A2E" w:rsidP="00CA0D72">
            <w:pPr>
              <w:pStyle w:val="Table"/>
              <w:ind w:right="-3"/>
            </w:pPr>
            <w:r w:rsidRPr="00F81A2E">
              <w:t>1</w:t>
            </w:r>
          </w:p>
        </w:tc>
        <w:tc>
          <w:tcPr>
            <w:tcW w:w="1176" w:type="dxa"/>
          </w:tcPr>
          <w:p w14:paraId="5BFE6786" w14:textId="77777777" w:rsidR="00F81A2E" w:rsidRPr="00F81A2E" w:rsidRDefault="00F81A2E" w:rsidP="00CA0D72">
            <w:pPr>
              <w:pStyle w:val="Table"/>
              <w:ind w:right="-3"/>
            </w:pPr>
            <w:r w:rsidRPr="00F81A2E">
              <w:t>50</w:t>
            </w:r>
          </w:p>
        </w:tc>
      </w:tr>
      <w:tr w:rsidR="00F81A2E" w:rsidRPr="00F81A2E" w14:paraId="34C17D57" w14:textId="77777777" w:rsidTr="00F53196">
        <w:trPr>
          <w:trHeight w:val="227"/>
        </w:trPr>
        <w:tc>
          <w:tcPr>
            <w:tcW w:w="1175" w:type="dxa"/>
          </w:tcPr>
          <w:p w14:paraId="401B0AA4" w14:textId="75D59BAB" w:rsidR="00F81A2E" w:rsidRPr="00F81A2E" w:rsidRDefault="00BC0ABE" w:rsidP="00CA0D72">
            <w:pPr>
              <w:pStyle w:val="Table"/>
              <w:ind w:right="-3"/>
            </w:pPr>
            <w:r w:rsidRPr="00F81A2E">
              <w:t>ACT</w:t>
            </w:r>
          </w:p>
        </w:tc>
        <w:tc>
          <w:tcPr>
            <w:tcW w:w="1343" w:type="dxa"/>
          </w:tcPr>
          <w:p w14:paraId="68741E8D" w14:textId="77777777" w:rsidR="00F81A2E" w:rsidRPr="00F81A2E" w:rsidRDefault="00F81A2E" w:rsidP="00CA0D72">
            <w:pPr>
              <w:pStyle w:val="Table"/>
              <w:ind w:right="-3"/>
            </w:pPr>
            <w:r w:rsidRPr="00F81A2E">
              <w:t>%</w:t>
            </w:r>
          </w:p>
        </w:tc>
        <w:tc>
          <w:tcPr>
            <w:tcW w:w="1007" w:type="dxa"/>
          </w:tcPr>
          <w:p w14:paraId="49C4F36B" w14:textId="77777777" w:rsidR="00F81A2E" w:rsidRPr="00F81A2E" w:rsidRDefault="00F81A2E" w:rsidP="00CA0D72">
            <w:pPr>
              <w:pStyle w:val="Table"/>
              <w:ind w:right="-3"/>
            </w:pPr>
            <w:r w:rsidRPr="00F81A2E">
              <w:t>0</w:t>
            </w:r>
          </w:p>
        </w:tc>
        <w:tc>
          <w:tcPr>
            <w:tcW w:w="1175" w:type="dxa"/>
          </w:tcPr>
          <w:p w14:paraId="23BB34CD" w14:textId="77777777" w:rsidR="00F81A2E" w:rsidRPr="00F81A2E" w:rsidRDefault="00F81A2E" w:rsidP="00CA0D72">
            <w:pPr>
              <w:pStyle w:val="Table"/>
              <w:ind w:right="-3"/>
            </w:pPr>
            <w:r w:rsidRPr="00F81A2E">
              <w:t>28</w:t>
            </w:r>
          </w:p>
        </w:tc>
        <w:tc>
          <w:tcPr>
            <w:tcW w:w="1175" w:type="dxa"/>
          </w:tcPr>
          <w:p w14:paraId="5FE569A6" w14:textId="77777777" w:rsidR="00F81A2E" w:rsidRPr="00F81A2E" w:rsidRDefault="00F81A2E" w:rsidP="00CA0D72">
            <w:pPr>
              <w:pStyle w:val="Table"/>
              <w:ind w:right="-3"/>
            </w:pPr>
            <w:r w:rsidRPr="00F81A2E">
              <w:t>2</w:t>
            </w:r>
          </w:p>
        </w:tc>
        <w:tc>
          <w:tcPr>
            <w:tcW w:w="1175" w:type="dxa"/>
          </w:tcPr>
          <w:p w14:paraId="7F12E296" w14:textId="77777777" w:rsidR="00F81A2E" w:rsidRPr="00F81A2E" w:rsidRDefault="00F81A2E" w:rsidP="00CA0D72">
            <w:pPr>
              <w:pStyle w:val="Table"/>
              <w:ind w:right="-3"/>
            </w:pPr>
            <w:r w:rsidRPr="00F81A2E">
              <w:t>12</w:t>
            </w:r>
          </w:p>
        </w:tc>
        <w:tc>
          <w:tcPr>
            <w:tcW w:w="1175" w:type="dxa"/>
          </w:tcPr>
          <w:p w14:paraId="128B9A2B" w14:textId="77777777" w:rsidR="00F81A2E" w:rsidRPr="00F81A2E" w:rsidRDefault="00F81A2E" w:rsidP="00CA0D72">
            <w:pPr>
              <w:pStyle w:val="Table"/>
              <w:ind w:right="-3"/>
            </w:pPr>
            <w:r w:rsidRPr="00F81A2E">
              <w:t>8</w:t>
            </w:r>
          </w:p>
        </w:tc>
        <w:tc>
          <w:tcPr>
            <w:tcW w:w="1175" w:type="dxa"/>
          </w:tcPr>
          <w:p w14:paraId="10A618E6" w14:textId="77777777" w:rsidR="00F81A2E" w:rsidRPr="00F81A2E" w:rsidRDefault="00F81A2E" w:rsidP="00CA0D72">
            <w:pPr>
              <w:pStyle w:val="Table"/>
              <w:ind w:right="-3"/>
            </w:pPr>
            <w:r w:rsidRPr="00F81A2E">
              <w:t>34</w:t>
            </w:r>
          </w:p>
        </w:tc>
        <w:tc>
          <w:tcPr>
            <w:tcW w:w="1175" w:type="dxa"/>
          </w:tcPr>
          <w:p w14:paraId="4F15E8A6" w14:textId="77777777" w:rsidR="00F81A2E" w:rsidRPr="00F81A2E" w:rsidRDefault="00F81A2E" w:rsidP="00CA0D72">
            <w:pPr>
              <w:pStyle w:val="Table"/>
              <w:ind w:right="-3"/>
            </w:pPr>
            <w:r w:rsidRPr="00F81A2E">
              <w:t>2</w:t>
            </w:r>
          </w:p>
        </w:tc>
        <w:tc>
          <w:tcPr>
            <w:tcW w:w="1175" w:type="dxa"/>
          </w:tcPr>
          <w:p w14:paraId="168B11E2" w14:textId="77777777" w:rsidR="00F81A2E" w:rsidRPr="00F81A2E" w:rsidRDefault="00F81A2E" w:rsidP="00CA0D72">
            <w:pPr>
              <w:pStyle w:val="Table"/>
              <w:ind w:right="-3"/>
            </w:pPr>
            <w:r w:rsidRPr="00F81A2E">
              <w:t>12</w:t>
            </w:r>
          </w:p>
        </w:tc>
        <w:tc>
          <w:tcPr>
            <w:tcW w:w="1175" w:type="dxa"/>
          </w:tcPr>
          <w:p w14:paraId="7039BBF4" w14:textId="77777777" w:rsidR="00F81A2E" w:rsidRPr="00F81A2E" w:rsidRDefault="00F81A2E" w:rsidP="00CA0D72">
            <w:pPr>
              <w:pStyle w:val="Table"/>
              <w:ind w:right="-3"/>
            </w:pPr>
            <w:r w:rsidRPr="00F81A2E">
              <w:t>0</w:t>
            </w:r>
          </w:p>
        </w:tc>
        <w:tc>
          <w:tcPr>
            <w:tcW w:w="1175" w:type="dxa"/>
          </w:tcPr>
          <w:p w14:paraId="71EC69F6" w14:textId="77777777" w:rsidR="00F81A2E" w:rsidRPr="00F81A2E" w:rsidRDefault="00F81A2E" w:rsidP="00CA0D72">
            <w:pPr>
              <w:pStyle w:val="Table"/>
              <w:ind w:right="-3"/>
            </w:pPr>
            <w:r w:rsidRPr="00F81A2E">
              <w:t>2</w:t>
            </w:r>
          </w:p>
        </w:tc>
        <w:tc>
          <w:tcPr>
            <w:tcW w:w="1176" w:type="dxa"/>
          </w:tcPr>
          <w:p w14:paraId="15A9F8FB" w14:textId="77777777" w:rsidR="00F81A2E" w:rsidRPr="00F81A2E" w:rsidRDefault="00F81A2E" w:rsidP="00CA0D72">
            <w:pPr>
              <w:pStyle w:val="Table"/>
              <w:ind w:right="-3"/>
            </w:pPr>
            <w:r w:rsidRPr="00F81A2E">
              <w:t> </w:t>
            </w:r>
          </w:p>
        </w:tc>
      </w:tr>
      <w:tr w:rsidR="00F81A2E" w:rsidRPr="00F81A2E" w14:paraId="385A7837" w14:textId="77777777" w:rsidTr="00F53196">
        <w:trPr>
          <w:trHeight w:val="227"/>
        </w:trPr>
        <w:tc>
          <w:tcPr>
            <w:tcW w:w="1175" w:type="dxa"/>
          </w:tcPr>
          <w:p w14:paraId="7DF2495E" w14:textId="0FB6C3F5" w:rsidR="00F81A2E" w:rsidRPr="00F81A2E" w:rsidRDefault="00BC0ABE" w:rsidP="00CA0D72">
            <w:pPr>
              <w:pStyle w:val="Table"/>
              <w:ind w:right="-3"/>
            </w:pPr>
            <w:r w:rsidRPr="00F81A2E">
              <w:t>ACT</w:t>
            </w:r>
          </w:p>
        </w:tc>
        <w:tc>
          <w:tcPr>
            <w:tcW w:w="1343" w:type="dxa"/>
          </w:tcPr>
          <w:p w14:paraId="52F5A863" w14:textId="77777777" w:rsidR="00F81A2E" w:rsidRPr="00F81A2E" w:rsidRDefault="00F81A2E" w:rsidP="00CA0D72">
            <w:pPr>
              <w:pStyle w:val="Table"/>
              <w:ind w:right="-3"/>
            </w:pPr>
            <w:r w:rsidRPr="00F81A2E">
              <w:t>Combination</w:t>
            </w:r>
          </w:p>
        </w:tc>
        <w:tc>
          <w:tcPr>
            <w:tcW w:w="1007" w:type="dxa"/>
          </w:tcPr>
          <w:p w14:paraId="3549C6F1" w14:textId="77777777" w:rsidR="00F81A2E" w:rsidRPr="00F81A2E" w:rsidRDefault="00F81A2E" w:rsidP="00CA0D72">
            <w:pPr>
              <w:pStyle w:val="Table"/>
              <w:ind w:right="-3"/>
            </w:pPr>
            <w:r w:rsidRPr="00F81A2E">
              <w:t>0</w:t>
            </w:r>
          </w:p>
        </w:tc>
        <w:tc>
          <w:tcPr>
            <w:tcW w:w="1175" w:type="dxa"/>
          </w:tcPr>
          <w:p w14:paraId="6A61D162" w14:textId="77777777" w:rsidR="00F81A2E" w:rsidRPr="00F81A2E" w:rsidRDefault="00F81A2E" w:rsidP="00CA0D72">
            <w:pPr>
              <w:pStyle w:val="Table"/>
              <w:ind w:right="-3"/>
            </w:pPr>
            <w:r w:rsidRPr="00F81A2E">
              <w:t>7</w:t>
            </w:r>
          </w:p>
        </w:tc>
        <w:tc>
          <w:tcPr>
            <w:tcW w:w="1175" w:type="dxa"/>
          </w:tcPr>
          <w:p w14:paraId="45AA8188" w14:textId="77777777" w:rsidR="00F81A2E" w:rsidRPr="00F81A2E" w:rsidRDefault="00F81A2E" w:rsidP="00CA0D72">
            <w:pPr>
              <w:pStyle w:val="Table"/>
              <w:ind w:right="-3"/>
            </w:pPr>
            <w:r w:rsidRPr="00F81A2E">
              <w:t>5</w:t>
            </w:r>
          </w:p>
        </w:tc>
        <w:tc>
          <w:tcPr>
            <w:tcW w:w="1175" w:type="dxa"/>
          </w:tcPr>
          <w:p w14:paraId="39380B95" w14:textId="77777777" w:rsidR="00F81A2E" w:rsidRPr="00F81A2E" w:rsidRDefault="00F81A2E" w:rsidP="00CA0D72">
            <w:pPr>
              <w:pStyle w:val="Table"/>
              <w:ind w:right="-3"/>
            </w:pPr>
            <w:r w:rsidRPr="00F81A2E">
              <w:t>3</w:t>
            </w:r>
          </w:p>
        </w:tc>
        <w:tc>
          <w:tcPr>
            <w:tcW w:w="1175" w:type="dxa"/>
          </w:tcPr>
          <w:p w14:paraId="3621306A" w14:textId="77777777" w:rsidR="00F81A2E" w:rsidRPr="00F81A2E" w:rsidRDefault="00F81A2E" w:rsidP="00CA0D72">
            <w:pPr>
              <w:pStyle w:val="Table"/>
              <w:ind w:right="-3"/>
            </w:pPr>
            <w:r w:rsidRPr="00F81A2E">
              <w:t>7</w:t>
            </w:r>
          </w:p>
        </w:tc>
        <w:tc>
          <w:tcPr>
            <w:tcW w:w="1175" w:type="dxa"/>
          </w:tcPr>
          <w:p w14:paraId="324B31D1" w14:textId="77777777" w:rsidR="00F81A2E" w:rsidRPr="00F81A2E" w:rsidRDefault="00F81A2E" w:rsidP="00CA0D72">
            <w:pPr>
              <w:pStyle w:val="Table"/>
              <w:ind w:right="-3"/>
            </w:pPr>
            <w:r w:rsidRPr="00F81A2E">
              <w:t>22</w:t>
            </w:r>
          </w:p>
        </w:tc>
        <w:tc>
          <w:tcPr>
            <w:tcW w:w="1175" w:type="dxa"/>
          </w:tcPr>
          <w:p w14:paraId="09C2FA91" w14:textId="77777777" w:rsidR="00F81A2E" w:rsidRPr="00F81A2E" w:rsidRDefault="00F81A2E" w:rsidP="00CA0D72">
            <w:pPr>
              <w:pStyle w:val="Table"/>
              <w:ind w:right="-3"/>
            </w:pPr>
            <w:r w:rsidRPr="00F81A2E">
              <w:t>9</w:t>
            </w:r>
          </w:p>
        </w:tc>
        <w:tc>
          <w:tcPr>
            <w:tcW w:w="1175" w:type="dxa"/>
          </w:tcPr>
          <w:p w14:paraId="181345C6" w14:textId="77777777" w:rsidR="00F81A2E" w:rsidRPr="00F81A2E" w:rsidRDefault="00F81A2E" w:rsidP="00CA0D72">
            <w:pPr>
              <w:pStyle w:val="Table"/>
              <w:ind w:right="-3"/>
            </w:pPr>
            <w:r w:rsidRPr="00F81A2E">
              <w:t>16</w:t>
            </w:r>
          </w:p>
        </w:tc>
        <w:tc>
          <w:tcPr>
            <w:tcW w:w="1175" w:type="dxa"/>
          </w:tcPr>
          <w:p w14:paraId="36688024" w14:textId="77777777" w:rsidR="00F81A2E" w:rsidRPr="00F81A2E" w:rsidRDefault="00F81A2E" w:rsidP="00CA0D72">
            <w:pPr>
              <w:pStyle w:val="Table"/>
              <w:ind w:right="-3"/>
            </w:pPr>
            <w:r w:rsidRPr="00F81A2E">
              <w:t>1</w:t>
            </w:r>
          </w:p>
        </w:tc>
        <w:tc>
          <w:tcPr>
            <w:tcW w:w="1175" w:type="dxa"/>
          </w:tcPr>
          <w:p w14:paraId="6208BC4B" w14:textId="77777777" w:rsidR="00F81A2E" w:rsidRPr="00F81A2E" w:rsidRDefault="00F81A2E" w:rsidP="00CA0D72">
            <w:pPr>
              <w:pStyle w:val="Table"/>
              <w:ind w:right="-3"/>
            </w:pPr>
            <w:r w:rsidRPr="00F81A2E">
              <w:t>0</w:t>
            </w:r>
          </w:p>
        </w:tc>
        <w:tc>
          <w:tcPr>
            <w:tcW w:w="1176" w:type="dxa"/>
          </w:tcPr>
          <w:p w14:paraId="042C7393" w14:textId="77777777" w:rsidR="00F81A2E" w:rsidRPr="00F81A2E" w:rsidRDefault="00F81A2E" w:rsidP="00CA0D72">
            <w:pPr>
              <w:pStyle w:val="Table"/>
              <w:ind w:right="-3"/>
            </w:pPr>
            <w:r w:rsidRPr="00F81A2E">
              <w:t>70</w:t>
            </w:r>
          </w:p>
        </w:tc>
      </w:tr>
      <w:tr w:rsidR="00F81A2E" w:rsidRPr="00F81A2E" w14:paraId="4EDC7088" w14:textId="77777777" w:rsidTr="00F53196">
        <w:trPr>
          <w:trHeight w:val="227"/>
        </w:trPr>
        <w:tc>
          <w:tcPr>
            <w:tcW w:w="1175" w:type="dxa"/>
          </w:tcPr>
          <w:p w14:paraId="01C29719" w14:textId="16781880" w:rsidR="00F81A2E" w:rsidRPr="00F81A2E" w:rsidRDefault="00BC0ABE" w:rsidP="00CA0D72">
            <w:pPr>
              <w:pStyle w:val="Table"/>
              <w:ind w:right="-3"/>
            </w:pPr>
            <w:r w:rsidRPr="00F81A2E">
              <w:t>ACT</w:t>
            </w:r>
          </w:p>
        </w:tc>
        <w:tc>
          <w:tcPr>
            <w:tcW w:w="1343" w:type="dxa"/>
          </w:tcPr>
          <w:p w14:paraId="212B47A4" w14:textId="77777777" w:rsidR="00F81A2E" w:rsidRPr="00F81A2E" w:rsidRDefault="00F81A2E" w:rsidP="00CA0D72">
            <w:pPr>
              <w:pStyle w:val="Table"/>
              <w:ind w:right="-3"/>
            </w:pPr>
            <w:r w:rsidRPr="00F81A2E">
              <w:t>%</w:t>
            </w:r>
          </w:p>
        </w:tc>
        <w:tc>
          <w:tcPr>
            <w:tcW w:w="1007" w:type="dxa"/>
          </w:tcPr>
          <w:p w14:paraId="146822D8" w14:textId="77777777" w:rsidR="00F81A2E" w:rsidRPr="00F81A2E" w:rsidRDefault="00F81A2E" w:rsidP="00CA0D72">
            <w:pPr>
              <w:pStyle w:val="Table"/>
              <w:ind w:right="-3"/>
            </w:pPr>
            <w:r w:rsidRPr="00F81A2E">
              <w:t>0</w:t>
            </w:r>
          </w:p>
        </w:tc>
        <w:tc>
          <w:tcPr>
            <w:tcW w:w="1175" w:type="dxa"/>
          </w:tcPr>
          <w:p w14:paraId="7A0D6ECA" w14:textId="77777777" w:rsidR="00F81A2E" w:rsidRPr="00F81A2E" w:rsidRDefault="00F81A2E" w:rsidP="00CA0D72">
            <w:pPr>
              <w:pStyle w:val="Table"/>
              <w:ind w:right="-3"/>
            </w:pPr>
            <w:r w:rsidRPr="00F81A2E">
              <w:t>10</w:t>
            </w:r>
          </w:p>
        </w:tc>
        <w:tc>
          <w:tcPr>
            <w:tcW w:w="1175" w:type="dxa"/>
          </w:tcPr>
          <w:p w14:paraId="70602FAB" w14:textId="77777777" w:rsidR="00F81A2E" w:rsidRPr="00F81A2E" w:rsidRDefault="00F81A2E" w:rsidP="00CA0D72">
            <w:pPr>
              <w:pStyle w:val="Table"/>
              <w:ind w:right="-3"/>
            </w:pPr>
            <w:r w:rsidRPr="00F81A2E">
              <w:t>7.1</w:t>
            </w:r>
          </w:p>
        </w:tc>
        <w:tc>
          <w:tcPr>
            <w:tcW w:w="1175" w:type="dxa"/>
          </w:tcPr>
          <w:p w14:paraId="3511AFBA" w14:textId="77777777" w:rsidR="00F81A2E" w:rsidRPr="00F81A2E" w:rsidRDefault="00F81A2E" w:rsidP="00CA0D72">
            <w:pPr>
              <w:pStyle w:val="Table"/>
              <w:ind w:right="-3"/>
            </w:pPr>
            <w:r w:rsidRPr="00F81A2E">
              <w:t>4.3</w:t>
            </w:r>
          </w:p>
        </w:tc>
        <w:tc>
          <w:tcPr>
            <w:tcW w:w="1175" w:type="dxa"/>
          </w:tcPr>
          <w:p w14:paraId="028F4F1C" w14:textId="77777777" w:rsidR="00F81A2E" w:rsidRPr="00F81A2E" w:rsidRDefault="00F81A2E" w:rsidP="00CA0D72">
            <w:pPr>
              <w:pStyle w:val="Table"/>
              <w:ind w:right="-3"/>
            </w:pPr>
            <w:r w:rsidRPr="00F81A2E">
              <w:t>10</w:t>
            </w:r>
          </w:p>
        </w:tc>
        <w:tc>
          <w:tcPr>
            <w:tcW w:w="1175" w:type="dxa"/>
          </w:tcPr>
          <w:p w14:paraId="4EDAA529" w14:textId="77777777" w:rsidR="00F81A2E" w:rsidRPr="00F81A2E" w:rsidRDefault="00F81A2E" w:rsidP="00CA0D72">
            <w:pPr>
              <w:pStyle w:val="Table"/>
              <w:ind w:right="-3"/>
            </w:pPr>
            <w:r w:rsidRPr="00F81A2E">
              <w:t>31.4</w:t>
            </w:r>
          </w:p>
        </w:tc>
        <w:tc>
          <w:tcPr>
            <w:tcW w:w="1175" w:type="dxa"/>
          </w:tcPr>
          <w:p w14:paraId="34FEF462" w14:textId="77777777" w:rsidR="00F81A2E" w:rsidRPr="00F81A2E" w:rsidRDefault="00F81A2E" w:rsidP="00CA0D72">
            <w:pPr>
              <w:pStyle w:val="Table"/>
              <w:ind w:right="-3"/>
            </w:pPr>
            <w:r w:rsidRPr="00F81A2E">
              <w:t>12.9</w:t>
            </w:r>
          </w:p>
        </w:tc>
        <w:tc>
          <w:tcPr>
            <w:tcW w:w="1175" w:type="dxa"/>
          </w:tcPr>
          <w:p w14:paraId="33F21FF4" w14:textId="77777777" w:rsidR="00F81A2E" w:rsidRPr="00F81A2E" w:rsidRDefault="00F81A2E" w:rsidP="00CA0D72">
            <w:pPr>
              <w:pStyle w:val="Table"/>
              <w:ind w:right="-3"/>
            </w:pPr>
            <w:r w:rsidRPr="00F81A2E">
              <w:t>22.9</w:t>
            </w:r>
          </w:p>
        </w:tc>
        <w:tc>
          <w:tcPr>
            <w:tcW w:w="1175" w:type="dxa"/>
          </w:tcPr>
          <w:p w14:paraId="6AC0B100" w14:textId="77777777" w:rsidR="00F81A2E" w:rsidRPr="00F81A2E" w:rsidRDefault="00F81A2E" w:rsidP="00CA0D72">
            <w:pPr>
              <w:pStyle w:val="Table"/>
              <w:ind w:right="-3"/>
            </w:pPr>
            <w:r w:rsidRPr="00F81A2E">
              <w:t>1.4</w:t>
            </w:r>
          </w:p>
        </w:tc>
        <w:tc>
          <w:tcPr>
            <w:tcW w:w="1175" w:type="dxa"/>
          </w:tcPr>
          <w:p w14:paraId="7D533346" w14:textId="77777777" w:rsidR="00F81A2E" w:rsidRPr="00F81A2E" w:rsidRDefault="00F81A2E" w:rsidP="00CA0D72">
            <w:pPr>
              <w:pStyle w:val="Table"/>
              <w:ind w:right="-3"/>
            </w:pPr>
            <w:r w:rsidRPr="00F81A2E">
              <w:t>0</w:t>
            </w:r>
          </w:p>
        </w:tc>
        <w:tc>
          <w:tcPr>
            <w:tcW w:w="1176" w:type="dxa"/>
          </w:tcPr>
          <w:p w14:paraId="7BE3024E" w14:textId="77777777" w:rsidR="00F81A2E" w:rsidRPr="00F81A2E" w:rsidRDefault="00F81A2E" w:rsidP="00CA0D72">
            <w:pPr>
              <w:pStyle w:val="Table"/>
              <w:ind w:right="-3"/>
            </w:pPr>
            <w:r w:rsidRPr="00F81A2E">
              <w:t> </w:t>
            </w:r>
          </w:p>
        </w:tc>
      </w:tr>
      <w:tr w:rsidR="00F81A2E" w:rsidRPr="00F81A2E" w14:paraId="72A173FD" w14:textId="77777777" w:rsidTr="00F53196">
        <w:trPr>
          <w:trHeight w:val="227"/>
        </w:trPr>
        <w:tc>
          <w:tcPr>
            <w:tcW w:w="1175" w:type="dxa"/>
          </w:tcPr>
          <w:p w14:paraId="79D5F788" w14:textId="6957C4A9" w:rsidR="00F81A2E" w:rsidRPr="00F81A2E" w:rsidRDefault="00BC0ABE" w:rsidP="00CA0D72">
            <w:pPr>
              <w:pStyle w:val="Table"/>
              <w:ind w:right="-3"/>
            </w:pPr>
            <w:r w:rsidRPr="00F81A2E">
              <w:t>ACT</w:t>
            </w:r>
          </w:p>
        </w:tc>
        <w:tc>
          <w:tcPr>
            <w:tcW w:w="1343" w:type="dxa"/>
          </w:tcPr>
          <w:p w14:paraId="20860C5A" w14:textId="77777777" w:rsidR="00F81A2E" w:rsidRPr="00F81A2E" w:rsidRDefault="00F81A2E" w:rsidP="00CA0D72">
            <w:pPr>
              <w:pStyle w:val="Table"/>
              <w:ind w:right="-3"/>
            </w:pPr>
            <w:r w:rsidRPr="00F81A2E">
              <w:t>Total</w:t>
            </w:r>
          </w:p>
        </w:tc>
        <w:tc>
          <w:tcPr>
            <w:tcW w:w="1007" w:type="dxa"/>
          </w:tcPr>
          <w:p w14:paraId="51949A68" w14:textId="77777777" w:rsidR="00F81A2E" w:rsidRPr="00F81A2E" w:rsidRDefault="00F81A2E" w:rsidP="00CA0D72">
            <w:pPr>
              <w:pStyle w:val="Table"/>
              <w:ind w:right="-3"/>
            </w:pPr>
            <w:r w:rsidRPr="00F81A2E">
              <w:t>0</w:t>
            </w:r>
          </w:p>
        </w:tc>
        <w:tc>
          <w:tcPr>
            <w:tcW w:w="1175" w:type="dxa"/>
          </w:tcPr>
          <w:p w14:paraId="4CF46D15" w14:textId="77777777" w:rsidR="00F81A2E" w:rsidRPr="00F81A2E" w:rsidRDefault="00F81A2E" w:rsidP="00CA0D72">
            <w:pPr>
              <w:pStyle w:val="Table"/>
              <w:ind w:right="-3"/>
            </w:pPr>
            <w:r w:rsidRPr="00F81A2E">
              <w:t>29</w:t>
            </w:r>
          </w:p>
        </w:tc>
        <w:tc>
          <w:tcPr>
            <w:tcW w:w="1175" w:type="dxa"/>
          </w:tcPr>
          <w:p w14:paraId="5809AEA5" w14:textId="77777777" w:rsidR="00F81A2E" w:rsidRPr="00F81A2E" w:rsidRDefault="00F81A2E" w:rsidP="00CA0D72">
            <w:pPr>
              <w:pStyle w:val="Table"/>
              <w:ind w:right="-3"/>
            </w:pPr>
            <w:r w:rsidRPr="00F81A2E">
              <w:t>6</w:t>
            </w:r>
          </w:p>
        </w:tc>
        <w:tc>
          <w:tcPr>
            <w:tcW w:w="1175" w:type="dxa"/>
          </w:tcPr>
          <w:p w14:paraId="067DDEFD" w14:textId="77777777" w:rsidR="00F81A2E" w:rsidRPr="00F81A2E" w:rsidRDefault="00F81A2E" w:rsidP="00CA0D72">
            <w:pPr>
              <w:pStyle w:val="Table"/>
              <w:ind w:right="-3"/>
            </w:pPr>
            <w:r w:rsidRPr="00F81A2E">
              <w:t>10</w:t>
            </w:r>
          </w:p>
        </w:tc>
        <w:tc>
          <w:tcPr>
            <w:tcW w:w="1175" w:type="dxa"/>
          </w:tcPr>
          <w:p w14:paraId="25E04ABB" w14:textId="77777777" w:rsidR="00F81A2E" w:rsidRPr="00F81A2E" w:rsidRDefault="00F81A2E" w:rsidP="00CA0D72">
            <w:pPr>
              <w:pStyle w:val="Table"/>
              <w:ind w:right="-3"/>
            </w:pPr>
            <w:r w:rsidRPr="00F81A2E">
              <w:t>13</w:t>
            </w:r>
          </w:p>
        </w:tc>
        <w:tc>
          <w:tcPr>
            <w:tcW w:w="1175" w:type="dxa"/>
          </w:tcPr>
          <w:p w14:paraId="289FB1F7" w14:textId="77777777" w:rsidR="00F81A2E" w:rsidRPr="00F81A2E" w:rsidRDefault="00F81A2E" w:rsidP="00CA0D72">
            <w:pPr>
              <w:pStyle w:val="Table"/>
              <w:ind w:right="-3"/>
            </w:pPr>
            <w:r w:rsidRPr="00F81A2E">
              <w:t>56</w:t>
            </w:r>
          </w:p>
        </w:tc>
        <w:tc>
          <w:tcPr>
            <w:tcW w:w="1175" w:type="dxa"/>
          </w:tcPr>
          <w:p w14:paraId="117B15E4" w14:textId="77777777" w:rsidR="00F81A2E" w:rsidRPr="00F81A2E" w:rsidRDefault="00F81A2E" w:rsidP="00CA0D72">
            <w:pPr>
              <w:pStyle w:val="Table"/>
              <w:ind w:right="-3"/>
            </w:pPr>
            <w:r w:rsidRPr="00F81A2E">
              <w:t>19</w:t>
            </w:r>
          </w:p>
        </w:tc>
        <w:tc>
          <w:tcPr>
            <w:tcW w:w="1175" w:type="dxa"/>
          </w:tcPr>
          <w:p w14:paraId="3A039868" w14:textId="77777777" w:rsidR="00F81A2E" w:rsidRPr="00F81A2E" w:rsidRDefault="00F81A2E" w:rsidP="00CA0D72">
            <w:pPr>
              <w:pStyle w:val="Table"/>
              <w:ind w:right="-3"/>
            </w:pPr>
            <w:r w:rsidRPr="00F81A2E">
              <w:t>28</w:t>
            </w:r>
          </w:p>
        </w:tc>
        <w:tc>
          <w:tcPr>
            <w:tcW w:w="1175" w:type="dxa"/>
          </w:tcPr>
          <w:p w14:paraId="36FA99AF" w14:textId="77777777" w:rsidR="00F81A2E" w:rsidRPr="00F81A2E" w:rsidRDefault="00F81A2E" w:rsidP="00CA0D72">
            <w:pPr>
              <w:pStyle w:val="Table"/>
              <w:ind w:right="-3"/>
            </w:pPr>
            <w:r w:rsidRPr="00F81A2E">
              <w:t>3</w:t>
            </w:r>
          </w:p>
        </w:tc>
        <w:tc>
          <w:tcPr>
            <w:tcW w:w="1175" w:type="dxa"/>
          </w:tcPr>
          <w:p w14:paraId="46E6A87D" w14:textId="77777777" w:rsidR="00F81A2E" w:rsidRPr="00F81A2E" w:rsidRDefault="00F81A2E" w:rsidP="00CA0D72">
            <w:pPr>
              <w:pStyle w:val="Table"/>
              <w:ind w:right="-3"/>
            </w:pPr>
            <w:r w:rsidRPr="00F81A2E">
              <w:t>1</w:t>
            </w:r>
          </w:p>
        </w:tc>
        <w:tc>
          <w:tcPr>
            <w:tcW w:w="1176" w:type="dxa"/>
          </w:tcPr>
          <w:p w14:paraId="19DA9C0E" w14:textId="77777777" w:rsidR="00F81A2E" w:rsidRPr="00F81A2E" w:rsidRDefault="00F81A2E" w:rsidP="00CA0D72">
            <w:pPr>
              <w:pStyle w:val="Table"/>
              <w:ind w:right="-3"/>
            </w:pPr>
            <w:r w:rsidRPr="00F81A2E">
              <w:t>165</w:t>
            </w:r>
          </w:p>
        </w:tc>
      </w:tr>
      <w:tr w:rsidR="00F81A2E" w:rsidRPr="00F81A2E" w14:paraId="7649F053" w14:textId="77777777" w:rsidTr="00F53196">
        <w:trPr>
          <w:trHeight w:val="227"/>
        </w:trPr>
        <w:tc>
          <w:tcPr>
            <w:tcW w:w="1175" w:type="dxa"/>
          </w:tcPr>
          <w:p w14:paraId="36EBA5E0" w14:textId="6255B46A" w:rsidR="00F81A2E" w:rsidRPr="00F81A2E" w:rsidRDefault="00BC0ABE" w:rsidP="00CA0D72">
            <w:pPr>
              <w:pStyle w:val="Table"/>
              <w:ind w:right="-3"/>
            </w:pPr>
            <w:r w:rsidRPr="00F81A2E">
              <w:t>ACT</w:t>
            </w:r>
          </w:p>
        </w:tc>
        <w:tc>
          <w:tcPr>
            <w:tcW w:w="1343" w:type="dxa"/>
          </w:tcPr>
          <w:p w14:paraId="09474AAF" w14:textId="77777777" w:rsidR="00F81A2E" w:rsidRPr="00F81A2E" w:rsidRDefault="00F81A2E" w:rsidP="00CA0D72">
            <w:pPr>
              <w:pStyle w:val="Table"/>
              <w:ind w:right="-3"/>
            </w:pPr>
            <w:r w:rsidRPr="00F81A2E">
              <w:t>%</w:t>
            </w:r>
          </w:p>
        </w:tc>
        <w:tc>
          <w:tcPr>
            <w:tcW w:w="1007" w:type="dxa"/>
          </w:tcPr>
          <w:p w14:paraId="0F08D9EB" w14:textId="77777777" w:rsidR="00F81A2E" w:rsidRPr="00F81A2E" w:rsidRDefault="00F81A2E" w:rsidP="00CA0D72">
            <w:pPr>
              <w:pStyle w:val="Table"/>
              <w:ind w:right="-3"/>
            </w:pPr>
            <w:r w:rsidRPr="00F81A2E">
              <w:t>0</w:t>
            </w:r>
          </w:p>
        </w:tc>
        <w:tc>
          <w:tcPr>
            <w:tcW w:w="1175" w:type="dxa"/>
          </w:tcPr>
          <w:p w14:paraId="619CC4A4" w14:textId="77777777" w:rsidR="00F81A2E" w:rsidRPr="00F81A2E" w:rsidRDefault="00F81A2E" w:rsidP="00CA0D72">
            <w:pPr>
              <w:pStyle w:val="Table"/>
              <w:ind w:right="-3"/>
            </w:pPr>
            <w:r w:rsidRPr="00F81A2E">
              <w:t>17.6</w:t>
            </w:r>
          </w:p>
        </w:tc>
        <w:tc>
          <w:tcPr>
            <w:tcW w:w="1175" w:type="dxa"/>
          </w:tcPr>
          <w:p w14:paraId="5630B13A" w14:textId="77777777" w:rsidR="00F81A2E" w:rsidRPr="00F81A2E" w:rsidRDefault="00F81A2E" w:rsidP="00CA0D72">
            <w:pPr>
              <w:pStyle w:val="Table"/>
              <w:ind w:right="-3"/>
            </w:pPr>
            <w:r w:rsidRPr="00F81A2E">
              <w:t>3.6</w:t>
            </w:r>
          </w:p>
        </w:tc>
        <w:tc>
          <w:tcPr>
            <w:tcW w:w="1175" w:type="dxa"/>
          </w:tcPr>
          <w:p w14:paraId="250BDC42" w14:textId="77777777" w:rsidR="00F81A2E" w:rsidRPr="00F81A2E" w:rsidRDefault="00F81A2E" w:rsidP="00CA0D72">
            <w:pPr>
              <w:pStyle w:val="Table"/>
              <w:ind w:right="-3"/>
            </w:pPr>
            <w:r w:rsidRPr="00F81A2E">
              <w:t>6.1</w:t>
            </w:r>
          </w:p>
        </w:tc>
        <w:tc>
          <w:tcPr>
            <w:tcW w:w="1175" w:type="dxa"/>
          </w:tcPr>
          <w:p w14:paraId="530D8FD1" w14:textId="77777777" w:rsidR="00F81A2E" w:rsidRPr="00F81A2E" w:rsidRDefault="00F81A2E" w:rsidP="00CA0D72">
            <w:pPr>
              <w:pStyle w:val="Table"/>
              <w:ind w:right="-3"/>
            </w:pPr>
            <w:r w:rsidRPr="00F81A2E">
              <w:t>7.9</w:t>
            </w:r>
          </w:p>
        </w:tc>
        <w:tc>
          <w:tcPr>
            <w:tcW w:w="1175" w:type="dxa"/>
          </w:tcPr>
          <w:p w14:paraId="4A531579" w14:textId="77777777" w:rsidR="00F81A2E" w:rsidRPr="00F81A2E" w:rsidRDefault="00F81A2E" w:rsidP="00CA0D72">
            <w:pPr>
              <w:pStyle w:val="Table"/>
              <w:ind w:right="-3"/>
            </w:pPr>
            <w:r w:rsidRPr="00F81A2E">
              <w:t>33.9</w:t>
            </w:r>
          </w:p>
        </w:tc>
        <w:tc>
          <w:tcPr>
            <w:tcW w:w="1175" w:type="dxa"/>
          </w:tcPr>
          <w:p w14:paraId="706BA6E9" w14:textId="77777777" w:rsidR="00F81A2E" w:rsidRPr="00F81A2E" w:rsidRDefault="00F81A2E" w:rsidP="00CA0D72">
            <w:pPr>
              <w:pStyle w:val="Table"/>
              <w:ind w:right="-3"/>
            </w:pPr>
            <w:r w:rsidRPr="00F81A2E">
              <w:t>11.5</w:t>
            </w:r>
          </w:p>
        </w:tc>
        <w:tc>
          <w:tcPr>
            <w:tcW w:w="1175" w:type="dxa"/>
          </w:tcPr>
          <w:p w14:paraId="6CEF1E52" w14:textId="77777777" w:rsidR="00F81A2E" w:rsidRPr="00F81A2E" w:rsidRDefault="00F81A2E" w:rsidP="00CA0D72">
            <w:pPr>
              <w:pStyle w:val="Table"/>
              <w:ind w:right="-3"/>
            </w:pPr>
            <w:r w:rsidRPr="00F81A2E">
              <w:t>17</w:t>
            </w:r>
          </w:p>
        </w:tc>
        <w:tc>
          <w:tcPr>
            <w:tcW w:w="1175" w:type="dxa"/>
          </w:tcPr>
          <w:p w14:paraId="2C6B1C5D" w14:textId="77777777" w:rsidR="00F81A2E" w:rsidRPr="00F81A2E" w:rsidRDefault="00F81A2E" w:rsidP="00CA0D72">
            <w:pPr>
              <w:pStyle w:val="Table"/>
              <w:ind w:right="-3"/>
            </w:pPr>
            <w:r w:rsidRPr="00F81A2E">
              <w:t>1.8</w:t>
            </w:r>
          </w:p>
        </w:tc>
        <w:tc>
          <w:tcPr>
            <w:tcW w:w="1175" w:type="dxa"/>
          </w:tcPr>
          <w:p w14:paraId="242BD6E8" w14:textId="77777777" w:rsidR="00F81A2E" w:rsidRPr="00F81A2E" w:rsidRDefault="00F81A2E" w:rsidP="00CA0D72">
            <w:pPr>
              <w:pStyle w:val="Table"/>
              <w:ind w:right="-3"/>
            </w:pPr>
            <w:r w:rsidRPr="00F81A2E">
              <w:t>0.6</w:t>
            </w:r>
          </w:p>
        </w:tc>
        <w:tc>
          <w:tcPr>
            <w:tcW w:w="1176" w:type="dxa"/>
          </w:tcPr>
          <w:p w14:paraId="40E041D2" w14:textId="77777777" w:rsidR="00F81A2E" w:rsidRPr="00F81A2E" w:rsidRDefault="00F81A2E" w:rsidP="00CA0D72">
            <w:pPr>
              <w:pStyle w:val="Table"/>
              <w:ind w:right="-3"/>
            </w:pPr>
            <w:r w:rsidRPr="00F81A2E">
              <w:t> </w:t>
            </w:r>
          </w:p>
        </w:tc>
      </w:tr>
      <w:tr w:rsidR="00F81A2E" w:rsidRPr="00F81A2E" w14:paraId="2454309B" w14:textId="77777777" w:rsidTr="00F53196">
        <w:trPr>
          <w:trHeight w:val="227"/>
        </w:trPr>
        <w:tc>
          <w:tcPr>
            <w:tcW w:w="1175" w:type="dxa"/>
          </w:tcPr>
          <w:p w14:paraId="0D959498" w14:textId="77777777" w:rsidR="00F81A2E" w:rsidRPr="00F81A2E" w:rsidRDefault="00F81A2E" w:rsidP="00CA0D72">
            <w:pPr>
              <w:pStyle w:val="Table"/>
              <w:ind w:right="-3"/>
            </w:pPr>
            <w:r w:rsidRPr="00F81A2E">
              <w:t>NSW</w:t>
            </w:r>
          </w:p>
        </w:tc>
        <w:tc>
          <w:tcPr>
            <w:tcW w:w="1343" w:type="dxa"/>
          </w:tcPr>
          <w:p w14:paraId="3E724909" w14:textId="77777777" w:rsidR="00F81A2E" w:rsidRPr="00F81A2E" w:rsidRDefault="00F81A2E" w:rsidP="00CA0D72">
            <w:pPr>
              <w:pStyle w:val="Table"/>
              <w:ind w:right="-3"/>
            </w:pPr>
            <w:r w:rsidRPr="00F81A2E">
              <w:t>Community</w:t>
            </w:r>
          </w:p>
        </w:tc>
        <w:tc>
          <w:tcPr>
            <w:tcW w:w="1007" w:type="dxa"/>
          </w:tcPr>
          <w:p w14:paraId="4168B27D" w14:textId="77777777" w:rsidR="00F81A2E" w:rsidRPr="00F81A2E" w:rsidRDefault="00F81A2E" w:rsidP="00CA0D72">
            <w:pPr>
              <w:pStyle w:val="Table"/>
              <w:ind w:right="-3"/>
            </w:pPr>
            <w:r w:rsidRPr="00F81A2E">
              <w:t>14</w:t>
            </w:r>
          </w:p>
        </w:tc>
        <w:tc>
          <w:tcPr>
            <w:tcW w:w="1175" w:type="dxa"/>
          </w:tcPr>
          <w:p w14:paraId="6894458A" w14:textId="77777777" w:rsidR="00F81A2E" w:rsidRPr="00F81A2E" w:rsidRDefault="00F81A2E" w:rsidP="00CA0D72">
            <w:pPr>
              <w:pStyle w:val="Table"/>
              <w:ind w:right="-3"/>
            </w:pPr>
            <w:r w:rsidRPr="00F81A2E">
              <w:t>458</w:t>
            </w:r>
          </w:p>
        </w:tc>
        <w:tc>
          <w:tcPr>
            <w:tcW w:w="1175" w:type="dxa"/>
          </w:tcPr>
          <w:p w14:paraId="1B3CC110" w14:textId="77777777" w:rsidR="00F81A2E" w:rsidRPr="00F81A2E" w:rsidRDefault="00F81A2E" w:rsidP="00CA0D72">
            <w:pPr>
              <w:pStyle w:val="Table"/>
              <w:ind w:right="-3"/>
            </w:pPr>
            <w:r w:rsidRPr="00F81A2E">
              <w:t>18</w:t>
            </w:r>
          </w:p>
        </w:tc>
        <w:tc>
          <w:tcPr>
            <w:tcW w:w="1175" w:type="dxa"/>
          </w:tcPr>
          <w:p w14:paraId="04C734F2" w14:textId="77777777" w:rsidR="00F81A2E" w:rsidRPr="00F81A2E" w:rsidRDefault="00F81A2E" w:rsidP="00CA0D72">
            <w:pPr>
              <w:pStyle w:val="Table"/>
              <w:ind w:right="-3"/>
            </w:pPr>
            <w:r w:rsidRPr="00F81A2E">
              <w:t>26</w:t>
            </w:r>
          </w:p>
        </w:tc>
        <w:tc>
          <w:tcPr>
            <w:tcW w:w="1175" w:type="dxa"/>
          </w:tcPr>
          <w:p w14:paraId="6946C8E1" w14:textId="77777777" w:rsidR="00F81A2E" w:rsidRPr="00F81A2E" w:rsidRDefault="00F81A2E" w:rsidP="00CA0D72">
            <w:pPr>
              <w:pStyle w:val="Table"/>
              <w:ind w:right="-3"/>
            </w:pPr>
            <w:r w:rsidRPr="00F81A2E">
              <w:t>162</w:t>
            </w:r>
          </w:p>
        </w:tc>
        <w:tc>
          <w:tcPr>
            <w:tcW w:w="1175" w:type="dxa"/>
          </w:tcPr>
          <w:p w14:paraId="5B955CF1" w14:textId="77777777" w:rsidR="00F81A2E" w:rsidRPr="00F81A2E" w:rsidRDefault="00F81A2E" w:rsidP="00CA0D72">
            <w:pPr>
              <w:pStyle w:val="Table"/>
              <w:ind w:right="-3"/>
            </w:pPr>
            <w:r w:rsidRPr="00F81A2E">
              <w:t>472</w:t>
            </w:r>
          </w:p>
        </w:tc>
        <w:tc>
          <w:tcPr>
            <w:tcW w:w="1175" w:type="dxa"/>
          </w:tcPr>
          <w:p w14:paraId="0C1B7766" w14:textId="77777777" w:rsidR="00F81A2E" w:rsidRPr="00F81A2E" w:rsidRDefault="00F81A2E" w:rsidP="00CA0D72">
            <w:pPr>
              <w:pStyle w:val="Table"/>
              <w:ind w:right="-3"/>
            </w:pPr>
            <w:r w:rsidRPr="00F81A2E">
              <w:t>487</w:t>
            </w:r>
          </w:p>
        </w:tc>
        <w:tc>
          <w:tcPr>
            <w:tcW w:w="1175" w:type="dxa"/>
          </w:tcPr>
          <w:p w14:paraId="14C04279" w14:textId="77777777" w:rsidR="00F81A2E" w:rsidRPr="00F81A2E" w:rsidRDefault="00F81A2E" w:rsidP="00CA0D72">
            <w:pPr>
              <w:pStyle w:val="Table"/>
              <w:ind w:right="-3"/>
            </w:pPr>
            <w:r w:rsidRPr="00F81A2E">
              <w:t>244</w:t>
            </w:r>
          </w:p>
        </w:tc>
        <w:tc>
          <w:tcPr>
            <w:tcW w:w="1175" w:type="dxa"/>
          </w:tcPr>
          <w:p w14:paraId="2EC2DB33" w14:textId="77777777" w:rsidR="00F81A2E" w:rsidRPr="00F81A2E" w:rsidRDefault="00F81A2E" w:rsidP="00CA0D72">
            <w:pPr>
              <w:pStyle w:val="Table"/>
              <w:ind w:right="-3"/>
            </w:pPr>
            <w:r w:rsidRPr="00F81A2E">
              <w:t>29</w:t>
            </w:r>
          </w:p>
        </w:tc>
        <w:tc>
          <w:tcPr>
            <w:tcW w:w="1175" w:type="dxa"/>
          </w:tcPr>
          <w:p w14:paraId="045FF2B2" w14:textId="77777777" w:rsidR="00F81A2E" w:rsidRPr="00F81A2E" w:rsidRDefault="00F81A2E" w:rsidP="00CA0D72">
            <w:pPr>
              <w:pStyle w:val="Table"/>
              <w:ind w:right="-3"/>
            </w:pPr>
            <w:r w:rsidRPr="00F81A2E">
              <w:t>6</w:t>
            </w:r>
          </w:p>
        </w:tc>
        <w:tc>
          <w:tcPr>
            <w:tcW w:w="1176" w:type="dxa"/>
          </w:tcPr>
          <w:p w14:paraId="6FEE4EDC" w14:textId="77777777" w:rsidR="00F81A2E" w:rsidRPr="00F81A2E" w:rsidRDefault="00F81A2E" w:rsidP="00CA0D72">
            <w:pPr>
              <w:pStyle w:val="Table"/>
              <w:ind w:right="-3"/>
            </w:pPr>
            <w:r w:rsidRPr="00F81A2E">
              <w:t>1,916</w:t>
            </w:r>
          </w:p>
        </w:tc>
      </w:tr>
      <w:tr w:rsidR="00F81A2E" w:rsidRPr="00F81A2E" w14:paraId="488CE1CF" w14:textId="77777777" w:rsidTr="00F53196">
        <w:trPr>
          <w:trHeight w:val="227"/>
        </w:trPr>
        <w:tc>
          <w:tcPr>
            <w:tcW w:w="1175" w:type="dxa"/>
          </w:tcPr>
          <w:p w14:paraId="4CD96653" w14:textId="0AD2A63A" w:rsidR="00F81A2E" w:rsidRPr="00F81A2E" w:rsidRDefault="00BC0ABE" w:rsidP="00CA0D72">
            <w:pPr>
              <w:pStyle w:val="Table"/>
              <w:ind w:right="-3"/>
            </w:pPr>
            <w:r w:rsidRPr="00F81A2E">
              <w:t>NSW</w:t>
            </w:r>
          </w:p>
        </w:tc>
        <w:tc>
          <w:tcPr>
            <w:tcW w:w="1343" w:type="dxa"/>
          </w:tcPr>
          <w:p w14:paraId="4B376AF3" w14:textId="77777777" w:rsidR="00F81A2E" w:rsidRPr="00F81A2E" w:rsidRDefault="00F81A2E" w:rsidP="00CA0D72">
            <w:pPr>
              <w:pStyle w:val="Table"/>
              <w:ind w:right="-3"/>
            </w:pPr>
            <w:r w:rsidRPr="00F81A2E">
              <w:t>%</w:t>
            </w:r>
          </w:p>
        </w:tc>
        <w:tc>
          <w:tcPr>
            <w:tcW w:w="1007" w:type="dxa"/>
          </w:tcPr>
          <w:p w14:paraId="280EBC3A" w14:textId="77777777" w:rsidR="00F81A2E" w:rsidRPr="00F81A2E" w:rsidRDefault="00F81A2E" w:rsidP="00CA0D72">
            <w:pPr>
              <w:pStyle w:val="Table"/>
              <w:ind w:right="-3"/>
            </w:pPr>
            <w:r w:rsidRPr="00F81A2E">
              <w:t>0.7</w:t>
            </w:r>
          </w:p>
        </w:tc>
        <w:tc>
          <w:tcPr>
            <w:tcW w:w="1175" w:type="dxa"/>
          </w:tcPr>
          <w:p w14:paraId="5857CFA4" w14:textId="77777777" w:rsidR="00F81A2E" w:rsidRPr="00F81A2E" w:rsidRDefault="00F81A2E" w:rsidP="00CA0D72">
            <w:pPr>
              <w:pStyle w:val="Table"/>
              <w:ind w:right="-3"/>
            </w:pPr>
            <w:r w:rsidRPr="00F81A2E">
              <w:t>23.9</w:t>
            </w:r>
          </w:p>
        </w:tc>
        <w:tc>
          <w:tcPr>
            <w:tcW w:w="1175" w:type="dxa"/>
          </w:tcPr>
          <w:p w14:paraId="3BC5A6DD" w14:textId="77777777" w:rsidR="00F81A2E" w:rsidRPr="00F81A2E" w:rsidRDefault="00F81A2E" w:rsidP="00CA0D72">
            <w:pPr>
              <w:pStyle w:val="Table"/>
              <w:ind w:right="-3"/>
            </w:pPr>
            <w:r w:rsidRPr="00F81A2E">
              <w:t>0.9</w:t>
            </w:r>
          </w:p>
        </w:tc>
        <w:tc>
          <w:tcPr>
            <w:tcW w:w="1175" w:type="dxa"/>
          </w:tcPr>
          <w:p w14:paraId="289F2F6C" w14:textId="77777777" w:rsidR="00F81A2E" w:rsidRPr="00F81A2E" w:rsidRDefault="00F81A2E" w:rsidP="00CA0D72">
            <w:pPr>
              <w:pStyle w:val="Table"/>
              <w:ind w:right="-3"/>
            </w:pPr>
            <w:r w:rsidRPr="00F81A2E">
              <w:t>1.4</w:t>
            </w:r>
          </w:p>
        </w:tc>
        <w:tc>
          <w:tcPr>
            <w:tcW w:w="1175" w:type="dxa"/>
          </w:tcPr>
          <w:p w14:paraId="7DEB127B" w14:textId="77777777" w:rsidR="00F81A2E" w:rsidRPr="00F81A2E" w:rsidRDefault="00F81A2E" w:rsidP="00CA0D72">
            <w:pPr>
              <w:pStyle w:val="Table"/>
              <w:ind w:right="-3"/>
            </w:pPr>
            <w:r w:rsidRPr="00F81A2E">
              <w:t>8.5</w:t>
            </w:r>
          </w:p>
        </w:tc>
        <w:tc>
          <w:tcPr>
            <w:tcW w:w="1175" w:type="dxa"/>
          </w:tcPr>
          <w:p w14:paraId="3E30E721" w14:textId="77777777" w:rsidR="00F81A2E" w:rsidRPr="00F81A2E" w:rsidRDefault="00F81A2E" w:rsidP="00CA0D72">
            <w:pPr>
              <w:pStyle w:val="Table"/>
              <w:ind w:right="-3"/>
            </w:pPr>
            <w:r w:rsidRPr="00F81A2E">
              <w:t>24.6</w:t>
            </w:r>
          </w:p>
        </w:tc>
        <w:tc>
          <w:tcPr>
            <w:tcW w:w="1175" w:type="dxa"/>
          </w:tcPr>
          <w:p w14:paraId="751FACC9" w14:textId="77777777" w:rsidR="00F81A2E" w:rsidRPr="00F81A2E" w:rsidRDefault="00F81A2E" w:rsidP="00CA0D72">
            <w:pPr>
              <w:pStyle w:val="Table"/>
              <w:ind w:right="-3"/>
            </w:pPr>
            <w:r w:rsidRPr="00F81A2E">
              <w:t>25.4</w:t>
            </w:r>
          </w:p>
        </w:tc>
        <w:tc>
          <w:tcPr>
            <w:tcW w:w="1175" w:type="dxa"/>
          </w:tcPr>
          <w:p w14:paraId="5B348604" w14:textId="77777777" w:rsidR="00F81A2E" w:rsidRPr="00F81A2E" w:rsidRDefault="00F81A2E" w:rsidP="00CA0D72">
            <w:pPr>
              <w:pStyle w:val="Table"/>
              <w:ind w:right="-3"/>
            </w:pPr>
            <w:r w:rsidRPr="00F81A2E">
              <w:t>12.7</w:t>
            </w:r>
          </w:p>
        </w:tc>
        <w:tc>
          <w:tcPr>
            <w:tcW w:w="1175" w:type="dxa"/>
          </w:tcPr>
          <w:p w14:paraId="09062FFB" w14:textId="77777777" w:rsidR="00F81A2E" w:rsidRPr="00F81A2E" w:rsidRDefault="00F81A2E" w:rsidP="00CA0D72">
            <w:pPr>
              <w:pStyle w:val="Table"/>
              <w:ind w:right="-3"/>
            </w:pPr>
            <w:r w:rsidRPr="00F81A2E">
              <w:t>1.5</w:t>
            </w:r>
          </w:p>
        </w:tc>
        <w:tc>
          <w:tcPr>
            <w:tcW w:w="1175" w:type="dxa"/>
          </w:tcPr>
          <w:p w14:paraId="4D6B7292" w14:textId="77777777" w:rsidR="00F81A2E" w:rsidRPr="00F81A2E" w:rsidRDefault="00F81A2E" w:rsidP="00CA0D72">
            <w:pPr>
              <w:pStyle w:val="Table"/>
              <w:ind w:right="-3"/>
            </w:pPr>
            <w:r w:rsidRPr="00F81A2E">
              <w:t>0.3</w:t>
            </w:r>
          </w:p>
        </w:tc>
        <w:tc>
          <w:tcPr>
            <w:tcW w:w="1176" w:type="dxa"/>
          </w:tcPr>
          <w:p w14:paraId="2E172255" w14:textId="77777777" w:rsidR="00F81A2E" w:rsidRPr="00F81A2E" w:rsidRDefault="00F81A2E" w:rsidP="00CA0D72">
            <w:pPr>
              <w:pStyle w:val="Table"/>
              <w:ind w:right="-3"/>
            </w:pPr>
            <w:r w:rsidRPr="00F81A2E">
              <w:t> </w:t>
            </w:r>
          </w:p>
        </w:tc>
      </w:tr>
      <w:tr w:rsidR="00F81A2E" w:rsidRPr="00F81A2E" w14:paraId="75F901F2" w14:textId="77777777" w:rsidTr="00F53196">
        <w:trPr>
          <w:trHeight w:val="227"/>
        </w:trPr>
        <w:tc>
          <w:tcPr>
            <w:tcW w:w="1175" w:type="dxa"/>
          </w:tcPr>
          <w:p w14:paraId="5FBF8E40" w14:textId="7F43B8E9" w:rsidR="00F81A2E" w:rsidRPr="00F81A2E" w:rsidRDefault="00BC0ABE" w:rsidP="00CA0D72">
            <w:pPr>
              <w:pStyle w:val="Table"/>
              <w:ind w:right="-3"/>
            </w:pPr>
            <w:r w:rsidRPr="00F81A2E">
              <w:t>NSW</w:t>
            </w:r>
          </w:p>
        </w:tc>
        <w:tc>
          <w:tcPr>
            <w:tcW w:w="1343" w:type="dxa"/>
          </w:tcPr>
          <w:p w14:paraId="52C1151A" w14:textId="77777777" w:rsidR="00F81A2E" w:rsidRPr="00F81A2E" w:rsidRDefault="00F81A2E" w:rsidP="00CA0D72">
            <w:pPr>
              <w:pStyle w:val="Table"/>
              <w:ind w:right="-3"/>
            </w:pPr>
            <w:r w:rsidRPr="00F81A2E">
              <w:t>Residential Only</w:t>
            </w:r>
          </w:p>
        </w:tc>
        <w:tc>
          <w:tcPr>
            <w:tcW w:w="1007" w:type="dxa"/>
          </w:tcPr>
          <w:p w14:paraId="545356D8" w14:textId="77777777" w:rsidR="00F81A2E" w:rsidRPr="00F81A2E" w:rsidRDefault="00F81A2E" w:rsidP="00CA0D72">
            <w:pPr>
              <w:pStyle w:val="Table"/>
              <w:ind w:right="-3"/>
            </w:pPr>
            <w:r w:rsidRPr="00F81A2E">
              <w:t>2</w:t>
            </w:r>
          </w:p>
        </w:tc>
        <w:tc>
          <w:tcPr>
            <w:tcW w:w="1175" w:type="dxa"/>
          </w:tcPr>
          <w:p w14:paraId="1C37727D" w14:textId="77777777" w:rsidR="00F81A2E" w:rsidRPr="00F81A2E" w:rsidRDefault="00F81A2E" w:rsidP="00CA0D72">
            <w:pPr>
              <w:pStyle w:val="Table"/>
              <w:ind w:right="-3"/>
            </w:pPr>
            <w:r w:rsidRPr="00F81A2E">
              <w:t>74</w:t>
            </w:r>
          </w:p>
        </w:tc>
        <w:tc>
          <w:tcPr>
            <w:tcW w:w="1175" w:type="dxa"/>
          </w:tcPr>
          <w:p w14:paraId="162FECF8" w14:textId="77777777" w:rsidR="00F81A2E" w:rsidRPr="00F81A2E" w:rsidRDefault="00F81A2E" w:rsidP="00CA0D72">
            <w:pPr>
              <w:pStyle w:val="Table"/>
              <w:ind w:right="-3"/>
            </w:pPr>
            <w:r w:rsidRPr="00F81A2E">
              <w:t>14</w:t>
            </w:r>
          </w:p>
        </w:tc>
        <w:tc>
          <w:tcPr>
            <w:tcW w:w="1175" w:type="dxa"/>
          </w:tcPr>
          <w:p w14:paraId="47A2AB7A" w14:textId="77777777" w:rsidR="00F81A2E" w:rsidRPr="00F81A2E" w:rsidRDefault="00F81A2E" w:rsidP="00CA0D72">
            <w:pPr>
              <w:pStyle w:val="Table"/>
              <w:ind w:right="-3"/>
            </w:pPr>
            <w:r w:rsidRPr="00F81A2E">
              <w:t>61</w:t>
            </w:r>
          </w:p>
        </w:tc>
        <w:tc>
          <w:tcPr>
            <w:tcW w:w="1175" w:type="dxa"/>
          </w:tcPr>
          <w:p w14:paraId="469948CD" w14:textId="77777777" w:rsidR="00F81A2E" w:rsidRPr="00F81A2E" w:rsidRDefault="00F81A2E" w:rsidP="00CA0D72">
            <w:pPr>
              <w:pStyle w:val="Table"/>
              <w:ind w:right="-3"/>
            </w:pPr>
            <w:r w:rsidRPr="00F81A2E">
              <w:t>25</w:t>
            </w:r>
          </w:p>
        </w:tc>
        <w:tc>
          <w:tcPr>
            <w:tcW w:w="1175" w:type="dxa"/>
          </w:tcPr>
          <w:p w14:paraId="018AC661" w14:textId="77777777" w:rsidR="00F81A2E" w:rsidRPr="00F81A2E" w:rsidRDefault="00F81A2E" w:rsidP="00CA0D72">
            <w:pPr>
              <w:pStyle w:val="Table"/>
              <w:ind w:right="-3"/>
            </w:pPr>
            <w:r w:rsidRPr="00F81A2E">
              <w:t>22</w:t>
            </w:r>
          </w:p>
        </w:tc>
        <w:tc>
          <w:tcPr>
            <w:tcW w:w="1175" w:type="dxa"/>
          </w:tcPr>
          <w:p w14:paraId="43E92BEA" w14:textId="77777777" w:rsidR="00F81A2E" w:rsidRPr="00F81A2E" w:rsidRDefault="00F81A2E" w:rsidP="00CA0D72">
            <w:pPr>
              <w:pStyle w:val="Table"/>
              <w:ind w:right="-3"/>
            </w:pPr>
            <w:r w:rsidRPr="00F81A2E">
              <w:t>67</w:t>
            </w:r>
          </w:p>
        </w:tc>
        <w:tc>
          <w:tcPr>
            <w:tcW w:w="1175" w:type="dxa"/>
          </w:tcPr>
          <w:p w14:paraId="63467E15" w14:textId="77777777" w:rsidR="00F81A2E" w:rsidRPr="00F81A2E" w:rsidRDefault="00F81A2E" w:rsidP="00CA0D72">
            <w:pPr>
              <w:pStyle w:val="Table"/>
              <w:ind w:right="-3"/>
            </w:pPr>
            <w:r w:rsidRPr="00F81A2E">
              <w:t>25</w:t>
            </w:r>
          </w:p>
        </w:tc>
        <w:tc>
          <w:tcPr>
            <w:tcW w:w="1175" w:type="dxa"/>
          </w:tcPr>
          <w:p w14:paraId="225FDB46" w14:textId="77777777" w:rsidR="00F81A2E" w:rsidRPr="00F81A2E" w:rsidRDefault="00F81A2E" w:rsidP="00CA0D72">
            <w:pPr>
              <w:pStyle w:val="Table"/>
              <w:ind w:right="-3"/>
            </w:pPr>
            <w:r w:rsidRPr="00F81A2E">
              <w:t>3</w:t>
            </w:r>
          </w:p>
        </w:tc>
        <w:tc>
          <w:tcPr>
            <w:tcW w:w="1175" w:type="dxa"/>
          </w:tcPr>
          <w:p w14:paraId="526BD8A2" w14:textId="77777777" w:rsidR="00F81A2E" w:rsidRPr="00F81A2E" w:rsidRDefault="00F81A2E" w:rsidP="00CA0D72">
            <w:pPr>
              <w:pStyle w:val="Table"/>
              <w:ind w:right="-3"/>
            </w:pPr>
            <w:r w:rsidRPr="00F81A2E">
              <w:t>9</w:t>
            </w:r>
          </w:p>
        </w:tc>
        <w:tc>
          <w:tcPr>
            <w:tcW w:w="1176" w:type="dxa"/>
          </w:tcPr>
          <w:p w14:paraId="0E628E47" w14:textId="77777777" w:rsidR="00F81A2E" w:rsidRPr="00F81A2E" w:rsidRDefault="00F81A2E" w:rsidP="00CA0D72">
            <w:pPr>
              <w:pStyle w:val="Table"/>
              <w:ind w:right="-3"/>
            </w:pPr>
            <w:r w:rsidRPr="00F81A2E">
              <w:t>302</w:t>
            </w:r>
          </w:p>
        </w:tc>
      </w:tr>
      <w:tr w:rsidR="00F81A2E" w:rsidRPr="00F81A2E" w14:paraId="36816202" w14:textId="77777777" w:rsidTr="00F53196">
        <w:trPr>
          <w:trHeight w:val="227"/>
        </w:trPr>
        <w:tc>
          <w:tcPr>
            <w:tcW w:w="1175" w:type="dxa"/>
          </w:tcPr>
          <w:p w14:paraId="6CCC9E0B" w14:textId="4D90D6C4" w:rsidR="00F81A2E" w:rsidRPr="00F81A2E" w:rsidRDefault="00BC0ABE" w:rsidP="00CA0D72">
            <w:pPr>
              <w:pStyle w:val="Table"/>
              <w:ind w:right="-3"/>
            </w:pPr>
            <w:r w:rsidRPr="00F81A2E">
              <w:t>NSW</w:t>
            </w:r>
          </w:p>
        </w:tc>
        <w:tc>
          <w:tcPr>
            <w:tcW w:w="1343" w:type="dxa"/>
          </w:tcPr>
          <w:p w14:paraId="00D7F2E0" w14:textId="77777777" w:rsidR="00F81A2E" w:rsidRPr="00F81A2E" w:rsidRDefault="00F81A2E" w:rsidP="00CA0D72">
            <w:pPr>
              <w:pStyle w:val="Table"/>
              <w:ind w:right="-3"/>
            </w:pPr>
            <w:r w:rsidRPr="00F81A2E">
              <w:t>%</w:t>
            </w:r>
          </w:p>
        </w:tc>
        <w:tc>
          <w:tcPr>
            <w:tcW w:w="1007" w:type="dxa"/>
          </w:tcPr>
          <w:p w14:paraId="778D3DFC" w14:textId="77777777" w:rsidR="00F81A2E" w:rsidRPr="00F81A2E" w:rsidRDefault="00F81A2E" w:rsidP="00CA0D72">
            <w:pPr>
              <w:pStyle w:val="Table"/>
              <w:ind w:right="-3"/>
            </w:pPr>
            <w:r w:rsidRPr="00F81A2E">
              <w:t>0.7</w:t>
            </w:r>
          </w:p>
        </w:tc>
        <w:tc>
          <w:tcPr>
            <w:tcW w:w="1175" w:type="dxa"/>
          </w:tcPr>
          <w:p w14:paraId="008FD8C0" w14:textId="77777777" w:rsidR="00F81A2E" w:rsidRPr="00F81A2E" w:rsidRDefault="00F81A2E" w:rsidP="00CA0D72">
            <w:pPr>
              <w:pStyle w:val="Table"/>
              <w:ind w:right="-3"/>
            </w:pPr>
            <w:r w:rsidRPr="00F81A2E">
              <w:t>24.5</w:t>
            </w:r>
          </w:p>
        </w:tc>
        <w:tc>
          <w:tcPr>
            <w:tcW w:w="1175" w:type="dxa"/>
          </w:tcPr>
          <w:p w14:paraId="297AE17E" w14:textId="77777777" w:rsidR="00F81A2E" w:rsidRPr="00F81A2E" w:rsidRDefault="00F81A2E" w:rsidP="00CA0D72">
            <w:pPr>
              <w:pStyle w:val="Table"/>
              <w:ind w:right="-3"/>
            </w:pPr>
            <w:r w:rsidRPr="00F81A2E">
              <w:t>4.6</w:t>
            </w:r>
          </w:p>
        </w:tc>
        <w:tc>
          <w:tcPr>
            <w:tcW w:w="1175" w:type="dxa"/>
          </w:tcPr>
          <w:p w14:paraId="6A296AE6" w14:textId="77777777" w:rsidR="00F81A2E" w:rsidRPr="00F81A2E" w:rsidRDefault="00F81A2E" w:rsidP="00CA0D72">
            <w:pPr>
              <w:pStyle w:val="Table"/>
              <w:ind w:right="-3"/>
            </w:pPr>
            <w:r w:rsidRPr="00F81A2E">
              <w:t>20.2</w:t>
            </w:r>
          </w:p>
        </w:tc>
        <w:tc>
          <w:tcPr>
            <w:tcW w:w="1175" w:type="dxa"/>
          </w:tcPr>
          <w:p w14:paraId="51F6F3E0" w14:textId="77777777" w:rsidR="00F81A2E" w:rsidRPr="00F81A2E" w:rsidRDefault="00F81A2E" w:rsidP="00CA0D72">
            <w:pPr>
              <w:pStyle w:val="Table"/>
              <w:ind w:right="-3"/>
            </w:pPr>
            <w:r w:rsidRPr="00F81A2E">
              <w:t>8.3</w:t>
            </w:r>
          </w:p>
        </w:tc>
        <w:tc>
          <w:tcPr>
            <w:tcW w:w="1175" w:type="dxa"/>
          </w:tcPr>
          <w:p w14:paraId="09F6B357" w14:textId="77777777" w:rsidR="00F81A2E" w:rsidRPr="00F81A2E" w:rsidRDefault="00F81A2E" w:rsidP="00CA0D72">
            <w:pPr>
              <w:pStyle w:val="Table"/>
              <w:ind w:right="-3"/>
            </w:pPr>
            <w:r w:rsidRPr="00F81A2E">
              <w:t>7.3</w:t>
            </w:r>
          </w:p>
        </w:tc>
        <w:tc>
          <w:tcPr>
            <w:tcW w:w="1175" w:type="dxa"/>
          </w:tcPr>
          <w:p w14:paraId="584AD7B6" w14:textId="77777777" w:rsidR="00F81A2E" w:rsidRPr="00F81A2E" w:rsidRDefault="00F81A2E" w:rsidP="00CA0D72">
            <w:pPr>
              <w:pStyle w:val="Table"/>
              <w:ind w:right="-3"/>
            </w:pPr>
            <w:r w:rsidRPr="00F81A2E">
              <w:t>22.2</w:t>
            </w:r>
          </w:p>
        </w:tc>
        <w:tc>
          <w:tcPr>
            <w:tcW w:w="1175" w:type="dxa"/>
          </w:tcPr>
          <w:p w14:paraId="4A42496B" w14:textId="77777777" w:rsidR="00F81A2E" w:rsidRPr="00F81A2E" w:rsidRDefault="00F81A2E" w:rsidP="00CA0D72">
            <w:pPr>
              <w:pStyle w:val="Table"/>
              <w:ind w:right="-3"/>
            </w:pPr>
            <w:r w:rsidRPr="00F81A2E">
              <w:t>8.3</w:t>
            </w:r>
          </w:p>
        </w:tc>
        <w:tc>
          <w:tcPr>
            <w:tcW w:w="1175" w:type="dxa"/>
          </w:tcPr>
          <w:p w14:paraId="6C0761B7" w14:textId="77777777" w:rsidR="00F81A2E" w:rsidRPr="00F81A2E" w:rsidRDefault="00F81A2E" w:rsidP="00CA0D72">
            <w:pPr>
              <w:pStyle w:val="Table"/>
              <w:ind w:right="-3"/>
            </w:pPr>
            <w:r w:rsidRPr="00F81A2E">
              <w:t>1</w:t>
            </w:r>
          </w:p>
        </w:tc>
        <w:tc>
          <w:tcPr>
            <w:tcW w:w="1175" w:type="dxa"/>
          </w:tcPr>
          <w:p w14:paraId="723C8D22" w14:textId="77777777" w:rsidR="00F81A2E" w:rsidRPr="00F81A2E" w:rsidRDefault="00F81A2E" w:rsidP="00CA0D72">
            <w:pPr>
              <w:pStyle w:val="Table"/>
              <w:ind w:right="-3"/>
            </w:pPr>
            <w:r w:rsidRPr="00F81A2E">
              <w:t>3</w:t>
            </w:r>
          </w:p>
        </w:tc>
        <w:tc>
          <w:tcPr>
            <w:tcW w:w="1176" w:type="dxa"/>
          </w:tcPr>
          <w:p w14:paraId="17FF4186" w14:textId="77777777" w:rsidR="00F81A2E" w:rsidRPr="00F81A2E" w:rsidRDefault="00F81A2E" w:rsidP="00CA0D72">
            <w:pPr>
              <w:pStyle w:val="Table"/>
              <w:ind w:right="-3"/>
            </w:pPr>
            <w:r w:rsidRPr="00F81A2E">
              <w:t> </w:t>
            </w:r>
          </w:p>
        </w:tc>
      </w:tr>
      <w:tr w:rsidR="00F81A2E" w:rsidRPr="00F81A2E" w14:paraId="31249A7B" w14:textId="77777777" w:rsidTr="00F53196">
        <w:trPr>
          <w:trHeight w:val="227"/>
        </w:trPr>
        <w:tc>
          <w:tcPr>
            <w:tcW w:w="1175" w:type="dxa"/>
          </w:tcPr>
          <w:p w14:paraId="1C99C6A3" w14:textId="4014EA30" w:rsidR="00F81A2E" w:rsidRPr="00F81A2E" w:rsidRDefault="00BC0ABE" w:rsidP="00CA0D72">
            <w:pPr>
              <w:pStyle w:val="Table"/>
              <w:ind w:right="-3"/>
            </w:pPr>
            <w:r w:rsidRPr="00F81A2E">
              <w:t>NSW</w:t>
            </w:r>
          </w:p>
        </w:tc>
        <w:tc>
          <w:tcPr>
            <w:tcW w:w="1343" w:type="dxa"/>
          </w:tcPr>
          <w:p w14:paraId="526621DF" w14:textId="77777777" w:rsidR="00F81A2E" w:rsidRPr="00F81A2E" w:rsidRDefault="00F81A2E" w:rsidP="00CA0D72">
            <w:pPr>
              <w:pStyle w:val="Table"/>
              <w:ind w:right="-3"/>
            </w:pPr>
            <w:r w:rsidRPr="00F81A2E">
              <w:t>Combination</w:t>
            </w:r>
          </w:p>
        </w:tc>
        <w:tc>
          <w:tcPr>
            <w:tcW w:w="1007" w:type="dxa"/>
          </w:tcPr>
          <w:p w14:paraId="332E4CDE" w14:textId="77777777" w:rsidR="00F81A2E" w:rsidRPr="00F81A2E" w:rsidRDefault="00F81A2E" w:rsidP="00CA0D72">
            <w:pPr>
              <w:pStyle w:val="Table"/>
              <w:ind w:right="-3"/>
            </w:pPr>
            <w:r w:rsidRPr="00F81A2E">
              <w:t>1</w:t>
            </w:r>
          </w:p>
        </w:tc>
        <w:tc>
          <w:tcPr>
            <w:tcW w:w="1175" w:type="dxa"/>
          </w:tcPr>
          <w:p w14:paraId="1247A6DC" w14:textId="77777777" w:rsidR="00F81A2E" w:rsidRPr="00F81A2E" w:rsidRDefault="00F81A2E" w:rsidP="00CA0D72">
            <w:pPr>
              <w:pStyle w:val="Table"/>
              <w:ind w:right="-3"/>
            </w:pPr>
            <w:r w:rsidRPr="00F81A2E">
              <w:t>8</w:t>
            </w:r>
          </w:p>
        </w:tc>
        <w:tc>
          <w:tcPr>
            <w:tcW w:w="1175" w:type="dxa"/>
          </w:tcPr>
          <w:p w14:paraId="61D900F7" w14:textId="77777777" w:rsidR="00F81A2E" w:rsidRPr="00F81A2E" w:rsidRDefault="00F81A2E" w:rsidP="00CA0D72">
            <w:pPr>
              <w:pStyle w:val="Table"/>
              <w:ind w:right="-3"/>
            </w:pPr>
            <w:r w:rsidRPr="00F81A2E">
              <w:t>2</w:t>
            </w:r>
          </w:p>
        </w:tc>
        <w:tc>
          <w:tcPr>
            <w:tcW w:w="1175" w:type="dxa"/>
          </w:tcPr>
          <w:p w14:paraId="5D06E2AA" w14:textId="77777777" w:rsidR="00F81A2E" w:rsidRPr="00F81A2E" w:rsidRDefault="00F81A2E" w:rsidP="00CA0D72">
            <w:pPr>
              <w:pStyle w:val="Table"/>
              <w:ind w:right="-3"/>
            </w:pPr>
            <w:r w:rsidRPr="00F81A2E">
              <w:t>4</w:t>
            </w:r>
          </w:p>
        </w:tc>
        <w:tc>
          <w:tcPr>
            <w:tcW w:w="1175" w:type="dxa"/>
          </w:tcPr>
          <w:p w14:paraId="6C3272EA" w14:textId="77777777" w:rsidR="00F81A2E" w:rsidRPr="00F81A2E" w:rsidRDefault="00F81A2E" w:rsidP="00CA0D72">
            <w:pPr>
              <w:pStyle w:val="Table"/>
              <w:ind w:right="-3"/>
            </w:pPr>
            <w:r w:rsidRPr="00F81A2E">
              <w:t>3</w:t>
            </w:r>
          </w:p>
        </w:tc>
        <w:tc>
          <w:tcPr>
            <w:tcW w:w="1175" w:type="dxa"/>
          </w:tcPr>
          <w:p w14:paraId="666F6F12" w14:textId="77777777" w:rsidR="00F81A2E" w:rsidRPr="00F81A2E" w:rsidRDefault="00F81A2E" w:rsidP="00CA0D72">
            <w:pPr>
              <w:pStyle w:val="Table"/>
              <w:ind w:right="-3"/>
            </w:pPr>
            <w:r w:rsidRPr="00F81A2E">
              <w:t>3</w:t>
            </w:r>
          </w:p>
        </w:tc>
        <w:tc>
          <w:tcPr>
            <w:tcW w:w="1175" w:type="dxa"/>
          </w:tcPr>
          <w:p w14:paraId="5C04ED50" w14:textId="77777777" w:rsidR="00F81A2E" w:rsidRPr="00F81A2E" w:rsidRDefault="00F81A2E" w:rsidP="00CA0D72">
            <w:pPr>
              <w:pStyle w:val="Table"/>
              <w:ind w:right="-3"/>
            </w:pPr>
            <w:r w:rsidRPr="00F81A2E">
              <w:t>2</w:t>
            </w:r>
          </w:p>
        </w:tc>
        <w:tc>
          <w:tcPr>
            <w:tcW w:w="1175" w:type="dxa"/>
          </w:tcPr>
          <w:p w14:paraId="441105DB" w14:textId="77777777" w:rsidR="00F81A2E" w:rsidRPr="00F81A2E" w:rsidRDefault="00F81A2E" w:rsidP="00CA0D72">
            <w:pPr>
              <w:pStyle w:val="Table"/>
              <w:ind w:right="-3"/>
            </w:pPr>
            <w:r w:rsidRPr="00F81A2E">
              <w:t>4</w:t>
            </w:r>
          </w:p>
        </w:tc>
        <w:tc>
          <w:tcPr>
            <w:tcW w:w="1175" w:type="dxa"/>
          </w:tcPr>
          <w:p w14:paraId="5C1A7CB2" w14:textId="77777777" w:rsidR="00F81A2E" w:rsidRPr="00F81A2E" w:rsidRDefault="00F81A2E" w:rsidP="00CA0D72">
            <w:pPr>
              <w:pStyle w:val="Table"/>
              <w:ind w:right="-3"/>
            </w:pPr>
            <w:r w:rsidRPr="00F81A2E">
              <w:t>0</w:t>
            </w:r>
          </w:p>
        </w:tc>
        <w:tc>
          <w:tcPr>
            <w:tcW w:w="1175" w:type="dxa"/>
          </w:tcPr>
          <w:p w14:paraId="7F2EA635" w14:textId="77777777" w:rsidR="00F81A2E" w:rsidRPr="00F81A2E" w:rsidRDefault="00F81A2E" w:rsidP="00CA0D72">
            <w:pPr>
              <w:pStyle w:val="Table"/>
              <w:ind w:right="-3"/>
            </w:pPr>
            <w:r w:rsidRPr="00F81A2E">
              <w:t>1</w:t>
            </w:r>
          </w:p>
        </w:tc>
        <w:tc>
          <w:tcPr>
            <w:tcW w:w="1176" w:type="dxa"/>
          </w:tcPr>
          <w:p w14:paraId="3BAB2E86" w14:textId="77777777" w:rsidR="00F81A2E" w:rsidRPr="00F81A2E" w:rsidRDefault="00F81A2E" w:rsidP="00CA0D72">
            <w:pPr>
              <w:pStyle w:val="Table"/>
              <w:ind w:right="-3"/>
            </w:pPr>
            <w:r w:rsidRPr="00F81A2E">
              <w:t>28</w:t>
            </w:r>
          </w:p>
        </w:tc>
      </w:tr>
      <w:tr w:rsidR="00F81A2E" w:rsidRPr="00F81A2E" w14:paraId="1B3B64C0" w14:textId="77777777" w:rsidTr="00F53196">
        <w:trPr>
          <w:trHeight w:val="227"/>
        </w:trPr>
        <w:tc>
          <w:tcPr>
            <w:tcW w:w="1175" w:type="dxa"/>
          </w:tcPr>
          <w:p w14:paraId="64472551" w14:textId="4448B648" w:rsidR="00F81A2E" w:rsidRPr="00F81A2E" w:rsidRDefault="00BC0ABE" w:rsidP="00CA0D72">
            <w:pPr>
              <w:pStyle w:val="Table"/>
              <w:ind w:right="-3"/>
            </w:pPr>
            <w:r w:rsidRPr="00F81A2E">
              <w:t>NSW</w:t>
            </w:r>
          </w:p>
        </w:tc>
        <w:tc>
          <w:tcPr>
            <w:tcW w:w="1343" w:type="dxa"/>
          </w:tcPr>
          <w:p w14:paraId="186F7CF4" w14:textId="77777777" w:rsidR="00F81A2E" w:rsidRPr="00F81A2E" w:rsidRDefault="00F81A2E" w:rsidP="00CA0D72">
            <w:pPr>
              <w:pStyle w:val="Table"/>
              <w:ind w:right="-3"/>
            </w:pPr>
            <w:r w:rsidRPr="00F81A2E">
              <w:t>%</w:t>
            </w:r>
          </w:p>
        </w:tc>
        <w:tc>
          <w:tcPr>
            <w:tcW w:w="1007" w:type="dxa"/>
          </w:tcPr>
          <w:p w14:paraId="08195F08" w14:textId="77777777" w:rsidR="00F81A2E" w:rsidRPr="00F81A2E" w:rsidRDefault="00F81A2E" w:rsidP="00CA0D72">
            <w:pPr>
              <w:pStyle w:val="Table"/>
              <w:ind w:right="-3"/>
            </w:pPr>
            <w:r w:rsidRPr="00F81A2E">
              <w:t>3.6</w:t>
            </w:r>
          </w:p>
        </w:tc>
        <w:tc>
          <w:tcPr>
            <w:tcW w:w="1175" w:type="dxa"/>
          </w:tcPr>
          <w:p w14:paraId="505F66D5" w14:textId="77777777" w:rsidR="00F81A2E" w:rsidRPr="00F81A2E" w:rsidRDefault="00F81A2E" w:rsidP="00CA0D72">
            <w:pPr>
              <w:pStyle w:val="Table"/>
              <w:ind w:right="-3"/>
            </w:pPr>
            <w:r w:rsidRPr="00F81A2E">
              <w:t>28.6</w:t>
            </w:r>
          </w:p>
        </w:tc>
        <w:tc>
          <w:tcPr>
            <w:tcW w:w="1175" w:type="dxa"/>
          </w:tcPr>
          <w:p w14:paraId="76F8EAAB" w14:textId="77777777" w:rsidR="00F81A2E" w:rsidRPr="00F81A2E" w:rsidRDefault="00F81A2E" w:rsidP="00CA0D72">
            <w:pPr>
              <w:pStyle w:val="Table"/>
              <w:ind w:right="-3"/>
            </w:pPr>
            <w:r w:rsidRPr="00F81A2E">
              <w:t>7.1</w:t>
            </w:r>
          </w:p>
        </w:tc>
        <w:tc>
          <w:tcPr>
            <w:tcW w:w="1175" w:type="dxa"/>
          </w:tcPr>
          <w:p w14:paraId="464F9489" w14:textId="77777777" w:rsidR="00F81A2E" w:rsidRPr="00F81A2E" w:rsidRDefault="00F81A2E" w:rsidP="00CA0D72">
            <w:pPr>
              <w:pStyle w:val="Table"/>
              <w:ind w:right="-3"/>
            </w:pPr>
            <w:r w:rsidRPr="00F81A2E">
              <w:t>14.3</w:t>
            </w:r>
          </w:p>
        </w:tc>
        <w:tc>
          <w:tcPr>
            <w:tcW w:w="1175" w:type="dxa"/>
          </w:tcPr>
          <w:p w14:paraId="760233B1" w14:textId="77777777" w:rsidR="00F81A2E" w:rsidRPr="00F81A2E" w:rsidRDefault="00F81A2E" w:rsidP="00CA0D72">
            <w:pPr>
              <w:pStyle w:val="Table"/>
              <w:ind w:right="-3"/>
            </w:pPr>
            <w:r w:rsidRPr="00F81A2E">
              <w:t>10.7</w:t>
            </w:r>
          </w:p>
        </w:tc>
        <w:tc>
          <w:tcPr>
            <w:tcW w:w="1175" w:type="dxa"/>
          </w:tcPr>
          <w:p w14:paraId="4D860B08" w14:textId="77777777" w:rsidR="00F81A2E" w:rsidRPr="00F81A2E" w:rsidRDefault="00F81A2E" w:rsidP="00CA0D72">
            <w:pPr>
              <w:pStyle w:val="Table"/>
              <w:ind w:right="-3"/>
            </w:pPr>
            <w:r w:rsidRPr="00F81A2E">
              <w:t>10.7</w:t>
            </w:r>
          </w:p>
        </w:tc>
        <w:tc>
          <w:tcPr>
            <w:tcW w:w="1175" w:type="dxa"/>
          </w:tcPr>
          <w:p w14:paraId="2A6203CE" w14:textId="77777777" w:rsidR="00F81A2E" w:rsidRPr="00F81A2E" w:rsidRDefault="00F81A2E" w:rsidP="00CA0D72">
            <w:pPr>
              <w:pStyle w:val="Table"/>
              <w:ind w:right="-3"/>
            </w:pPr>
            <w:r w:rsidRPr="00F81A2E">
              <w:t>7.1</w:t>
            </w:r>
          </w:p>
        </w:tc>
        <w:tc>
          <w:tcPr>
            <w:tcW w:w="1175" w:type="dxa"/>
          </w:tcPr>
          <w:p w14:paraId="0D38BDC5" w14:textId="77777777" w:rsidR="00F81A2E" w:rsidRPr="00F81A2E" w:rsidRDefault="00F81A2E" w:rsidP="00CA0D72">
            <w:pPr>
              <w:pStyle w:val="Table"/>
              <w:ind w:right="-3"/>
            </w:pPr>
            <w:r w:rsidRPr="00F81A2E">
              <w:t>14.3</w:t>
            </w:r>
          </w:p>
        </w:tc>
        <w:tc>
          <w:tcPr>
            <w:tcW w:w="1175" w:type="dxa"/>
          </w:tcPr>
          <w:p w14:paraId="54D4F06D" w14:textId="77777777" w:rsidR="00F81A2E" w:rsidRPr="00F81A2E" w:rsidRDefault="00F81A2E" w:rsidP="00CA0D72">
            <w:pPr>
              <w:pStyle w:val="Table"/>
              <w:ind w:right="-3"/>
            </w:pPr>
            <w:r w:rsidRPr="00F81A2E">
              <w:t>0</w:t>
            </w:r>
          </w:p>
        </w:tc>
        <w:tc>
          <w:tcPr>
            <w:tcW w:w="1175" w:type="dxa"/>
          </w:tcPr>
          <w:p w14:paraId="081878D7" w14:textId="77777777" w:rsidR="00F81A2E" w:rsidRPr="00F81A2E" w:rsidRDefault="00F81A2E" w:rsidP="00CA0D72">
            <w:pPr>
              <w:pStyle w:val="Table"/>
              <w:ind w:right="-3"/>
            </w:pPr>
            <w:r w:rsidRPr="00F81A2E">
              <w:t>3.6</w:t>
            </w:r>
          </w:p>
        </w:tc>
        <w:tc>
          <w:tcPr>
            <w:tcW w:w="1176" w:type="dxa"/>
          </w:tcPr>
          <w:p w14:paraId="2DE09185" w14:textId="77777777" w:rsidR="00F81A2E" w:rsidRPr="00F81A2E" w:rsidRDefault="00F81A2E" w:rsidP="00CA0D72">
            <w:pPr>
              <w:pStyle w:val="Table"/>
              <w:ind w:right="-3"/>
            </w:pPr>
            <w:r w:rsidRPr="00F81A2E">
              <w:t> </w:t>
            </w:r>
          </w:p>
        </w:tc>
      </w:tr>
      <w:tr w:rsidR="00F81A2E" w:rsidRPr="00F81A2E" w14:paraId="36A9A02D" w14:textId="77777777" w:rsidTr="00F53196">
        <w:trPr>
          <w:trHeight w:val="227"/>
        </w:trPr>
        <w:tc>
          <w:tcPr>
            <w:tcW w:w="1175" w:type="dxa"/>
          </w:tcPr>
          <w:p w14:paraId="5094CD86" w14:textId="09E06BC7" w:rsidR="00F81A2E" w:rsidRPr="00F81A2E" w:rsidRDefault="00BC0ABE" w:rsidP="00CA0D72">
            <w:pPr>
              <w:pStyle w:val="Table"/>
              <w:ind w:right="-3"/>
            </w:pPr>
            <w:r w:rsidRPr="00F81A2E">
              <w:t>NSW</w:t>
            </w:r>
          </w:p>
        </w:tc>
        <w:tc>
          <w:tcPr>
            <w:tcW w:w="1343" w:type="dxa"/>
          </w:tcPr>
          <w:p w14:paraId="779D7B39" w14:textId="77777777" w:rsidR="00F81A2E" w:rsidRPr="00F81A2E" w:rsidRDefault="00F81A2E" w:rsidP="00CA0D72">
            <w:pPr>
              <w:pStyle w:val="Table"/>
              <w:ind w:right="-3"/>
            </w:pPr>
            <w:r w:rsidRPr="00F81A2E">
              <w:t>Total</w:t>
            </w:r>
          </w:p>
        </w:tc>
        <w:tc>
          <w:tcPr>
            <w:tcW w:w="1007" w:type="dxa"/>
          </w:tcPr>
          <w:p w14:paraId="6F8D28F9" w14:textId="77777777" w:rsidR="00F81A2E" w:rsidRPr="00F81A2E" w:rsidRDefault="00F81A2E" w:rsidP="00CA0D72">
            <w:pPr>
              <w:pStyle w:val="Table"/>
              <w:ind w:right="-3"/>
            </w:pPr>
            <w:r w:rsidRPr="00F81A2E">
              <w:t>17</w:t>
            </w:r>
          </w:p>
        </w:tc>
        <w:tc>
          <w:tcPr>
            <w:tcW w:w="1175" w:type="dxa"/>
          </w:tcPr>
          <w:p w14:paraId="1569CE9F" w14:textId="77777777" w:rsidR="00F81A2E" w:rsidRPr="00F81A2E" w:rsidRDefault="00F81A2E" w:rsidP="00CA0D72">
            <w:pPr>
              <w:pStyle w:val="Table"/>
              <w:ind w:right="-3"/>
            </w:pPr>
            <w:r w:rsidRPr="00F81A2E">
              <w:t>540</w:t>
            </w:r>
          </w:p>
        </w:tc>
        <w:tc>
          <w:tcPr>
            <w:tcW w:w="1175" w:type="dxa"/>
          </w:tcPr>
          <w:p w14:paraId="17286E79" w14:textId="77777777" w:rsidR="00F81A2E" w:rsidRPr="00F81A2E" w:rsidRDefault="00F81A2E" w:rsidP="00CA0D72">
            <w:pPr>
              <w:pStyle w:val="Table"/>
              <w:ind w:right="-3"/>
            </w:pPr>
            <w:r w:rsidRPr="00F81A2E">
              <w:t>34</w:t>
            </w:r>
          </w:p>
        </w:tc>
        <w:tc>
          <w:tcPr>
            <w:tcW w:w="1175" w:type="dxa"/>
          </w:tcPr>
          <w:p w14:paraId="0522E117" w14:textId="77777777" w:rsidR="00F81A2E" w:rsidRPr="00F81A2E" w:rsidRDefault="00F81A2E" w:rsidP="00CA0D72">
            <w:pPr>
              <w:pStyle w:val="Table"/>
              <w:ind w:right="-3"/>
            </w:pPr>
            <w:r w:rsidRPr="00F81A2E">
              <w:t>91</w:t>
            </w:r>
          </w:p>
        </w:tc>
        <w:tc>
          <w:tcPr>
            <w:tcW w:w="1175" w:type="dxa"/>
          </w:tcPr>
          <w:p w14:paraId="2621ED9F" w14:textId="77777777" w:rsidR="00F81A2E" w:rsidRPr="00F81A2E" w:rsidRDefault="00F81A2E" w:rsidP="00CA0D72">
            <w:pPr>
              <w:pStyle w:val="Table"/>
              <w:ind w:right="-3"/>
            </w:pPr>
            <w:r w:rsidRPr="00F81A2E">
              <w:t>190</w:t>
            </w:r>
          </w:p>
        </w:tc>
        <w:tc>
          <w:tcPr>
            <w:tcW w:w="1175" w:type="dxa"/>
          </w:tcPr>
          <w:p w14:paraId="7EA5C46D" w14:textId="77777777" w:rsidR="00F81A2E" w:rsidRPr="00F81A2E" w:rsidRDefault="00F81A2E" w:rsidP="00CA0D72">
            <w:pPr>
              <w:pStyle w:val="Table"/>
              <w:ind w:right="-3"/>
            </w:pPr>
            <w:r w:rsidRPr="00F81A2E">
              <w:t>497</w:t>
            </w:r>
          </w:p>
        </w:tc>
        <w:tc>
          <w:tcPr>
            <w:tcW w:w="1175" w:type="dxa"/>
          </w:tcPr>
          <w:p w14:paraId="386D775E" w14:textId="77777777" w:rsidR="00F81A2E" w:rsidRPr="00F81A2E" w:rsidRDefault="00F81A2E" w:rsidP="00CA0D72">
            <w:pPr>
              <w:pStyle w:val="Table"/>
              <w:ind w:right="-3"/>
            </w:pPr>
            <w:r w:rsidRPr="00F81A2E">
              <w:t>556</w:t>
            </w:r>
          </w:p>
        </w:tc>
        <w:tc>
          <w:tcPr>
            <w:tcW w:w="1175" w:type="dxa"/>
          </w:tcPr>
          <w:p w14:paraId="5A892F08" w14:textId="77777777" w:rsidR="00F81A2E" w:rsidRPr="00F81A2E" w:rsidRDefault="00F81A2E" w:rsidP="00CA0D72">
            <w:pPr>
              <w:pStyle w:val="Table"/>
              <w:ind w:right="-3"/>
            </w:pPr>
            <w:r w:rsidRPr="00F81A2E">
              <w:t>273</w:t>
            </w:r>
          </w:p>
        </w:tc>
        <w:tc>
          <w:tcPr>
            <w:tcW w:w="1175" w:type="dxa"/>
          </w:tcPr>
          <w:p w14:paraId="5BDE3699" w14:textId="77777777" w:rsidR="00F81A2E" w:rsidRPr="00F81A2E" w:rsidRDefault="00F81A2E" w:rsidP="00CA0D72">
            <w:pPr>
              <w:pStyle w:val="Table"/>
              <w:ind w:right="-3"/>
            </w:pPr>
            <w:r w:rsidRPr="00F81A2E">
              <w:t>32</w:t>
            </w:r>
          </w:p>
        </w:tc>
        <w:tc>
          <w:tcPr>
            <w:tcW w:w="1175" w:type="dxa"/>
          </w:tcPr>
          <w:p w14:paraId="76E16C9C" w14:textId="77777777" w:rsidR="00F81A2E" w:rsidRPr="00F81A2E" w:rsidRDefault="00F81A2E" w:rsidP="00CA0D72">
            <w:pPr>
              <w:pStyle w:val="Table"/>
              <w:ind w:right="-3"/>
            </w:pPr>
            <w:r w:rsidRPr="00F81A2E">
              <w:t>16</w:t>
            </w:r>
          </w:p>
        </w:tc>
        <w:tc>
          <w:tcPr>
            <w:tcW w:w="1176" w:type="dxa"/>
          </w:tcPr>
          <w:p w14:paraId="4110A57E" w14:textId="77777777" w:rsidR="00F81A2E" w:rsidRPr="00F81A2E" w:rsidRDefault="00F81A2E" w:rsidP="00CA0D72">
            <w:pPr>
              <w:pStyle w:val="Table"/>
              <w:ind w:right="-3"/>
            </w:pPr>
            <w:r w:rsidRPr="00F81A2E">
              <w:t>2,246</w:t>
            </w:r>
          </w:p>
        </w:tc>
      </w:tr>
      <w:tr w:rsidR="00F81A2E" w:rsidRPr="00F81A2E" w14:paraId="3E1C6845" w14:textId="77777777" w:rsidTr="00F53196">
        <w:trPr>
          <w:trHeight w:val="227"/>
        </w:trPr>
        <w:tc>
          <w:tcPr>
            <w:tcW w:w="1175" w:type="dxa"/>
          </w:tcPr>
          <w:p w14:paraId="2472AA2D" w14:textId="109E9372" w:rsidR="00F81A2E" w:rsidRPr="00F81A2E" w:rsidRDefault="00BC0ABE" w:rsidP="00CA0D72">
            <w:pPr>
              <w:pStyle w:val="Table"/>
              <w:ind w:right="-3"/>
            </w:pPr>
            <w:r w:rsidRPr="00F81A2E">
              <w:t>NSW</w:t>
            </w:r>
          </w:p>
        </w:tc>
        <w:tc>
          <w:tcPr>
            <w:tcW w:w="1343" w:type="dxa"/>
          </w:tcPr>
          <w:p w14:paraId="5DF7534B" w14:textId="77777777" w:rsidR="00F81A2E" w:rsidRPr="00F81A2E" w:rsidRDefault="00F81A2E" w:rsidP="00CA0D72">
            <w:pPr>
              <w:pStyle w:val="Table"/>
              <w:ind w:right="-3"/>
            </w:pPr>
            <w:r w:rsidRPr="00F81A2E">
              <w:t>%</w:t>
            </w:r>
          </w:p>
        </w:tc>
        <w:tc>
          <w:tcPr>
            <w:tcW w:w="1007" w:type="dxa"/>
          </w:tcPr>
          <w:p w14:paraId="74434101" w14:textId="77777777" w:rsidR="00F81A2E" w:rsidRPr="00F81A2E" w:rsidRDefault="00F81A2E" w:rsidP="00CA0D72">
            <w:pPr>
              <w:pStyle w:val="Table"/>
              <w:ind w:right="-3"/>
            </w:pPr>
            <w:r w:rsidRPr="00F81A2E">
              <w:t>0.8</w:t>
            </w:r>
          </w:p>
        </w:tc>
        <w:tc>
          <w:tcPr>
            <w:tcW w:w="1175" w:type="dxa"/>
          </w:tcPr>
          <w:p w14:paraId="5321BE9F" w14:textId="77777777" w:rsidR="00F81A2E" w:rsidRPr="00F81A2E" w:rsidRDefault="00F81A2E" w:rsidP="00CA0D72">
            <w:pPr>
              <w:pStyle w:val="Table"/>
              <w:ind w:right="-3"/>
            </w:pPr>
            <w:r w:rsidRPr="00F81A2E">
              <w:t>24</w:t>
            </w:r>
          </w:p>
        </w:tc>
        <w:tc>
          <w:tcPr>
            <w:tcW w:w="1175" w:type="dxa"/>
          </w:tcPr>
          <w:p w14:paraId="509AABF5" w14:textId="77777777" w:rsidR="00F81A2E" w:rsidRPr="00F81A2E" w:rsidRDefault="00F81A2E" w:rsidP="00CA0D72">
            <w:pPr>
              <w:pStyle w:val="Table"/>
              <w:ind w:right="-3"/>
            </w:pPr>
            <w:r w:rsidRPr="00F81A2E">
              <w:t>1.5</w:t>
            </w:r>
          </w:p>
        </w:tc>
        <w:tc>
          <w:tcPr>
            <w:tcW w:w="1175" w:type="dxa"/>
          </w:tcPr>
          <w:p w14:paraId="58C3B9CF" w14:textId="77777777" w:rsidR="00F81A2E" w:rsidRPr="00F81A2E" w:rsidRDefault="00F81A2E" w:rsidP="00CA0D72">
            <w:pPr>
              <w:pStyle w:val="Table"/>
              <w:ind w:right="-3"/>
            </w:pPr>
            <w:r w:rsidRPr="00F81A2E">
              <w:t>4.1</w:t>
            </w:r>
          </w:p>
        </w:tc>
        <w:tc>
          <w:tcPr>
            <w:tcW w:w="1175" w:type="dxa"/>
          </w:tcPr>
          <w:p w14:paraId="67BC11F0" w14:textId="77777777" w:rsidR="00F81A2E" w:rsidRPr="00F81A2E" w:rsidRDefault="00F81A2E" w:rsidP="00CA0D72">
            <w:pPr>
              <w:pStyle w:val="Table"/>
              <w:ind w:right="-3"/>
            </w:pPr>
            <w:r w:rsidRPr="00F81A2E">
              <w:t>8.5</w:t>
            </w:r>
          </w:p>
        </w:tc>
        <w:tc>
          <w:tcPr>
            <w:tcW w:w="1175" w:type="dxa"/>
          </w:tcPr>
          <w:p w14:paraId="350918ED" w14:textId="77777777" w:rsidR="00F81A2E" w:rsidRPr="00F81A2E" w:rsidRDefault="00F81A2E" w:rsidP="00CA0D72">
            <w:pPr>
              <w:pStyle w:val="Table"/>
              <w:ind w:right="-3"/>
            </w:pPr>
            <w:r w:rsidRPr="00F81A2E">
              <w:t>22.1</w:t>
            </w:r>
          </w:p>
        </w:tc>
        <w:tc>
          <w:tcPr>
            <w:tcW w:w="1175" w:type="dxa"/>
          </w:tcPr>
          <w:p w14:paraId="390E15CA" w14:textId="77777777" w:rsidR="00F81A2E" w:rsidRPr="00F81A2E" w:rsidRDefault="00F81A2E" w:rsidP="00CA0D72">
            <w:pPr>
              <w:pStyle w:val="Table"/>
              <w:ind w:right="-3"/>
            </w:pPr>
            <w:r w:rsidRPr="00F81A2E">
              <w:t>24.8</w:t>
            </w:r>
          </w:p>
        </w:tc>
        <w:tc>
          <w:tcPr>
            <w:tcW w:w="1175" w:type="dxa"/>
          </w:tcPr>
          <w:p w14:paraId="6C66AA1E" w14:textId="77777777" w:rsidR="00F81A2E" w:rsidRPr="00F81A2E" w:rsidRDefault="00F81A2E" w:rsidP="00CA0D72">
            <w:pPr>
              <w:pStyle w:val="Table"/>
              <w:ind w:right="-3"/>
            </w:pPr>
            <w:r w:rsidRPr="00F81A2E">
              <w:t>12.2</w:t>
            </w:r>
          </w:p>
        </w:tc>
        <w:tc>
          <w:tcPr>
            <w:tcW w:w="1175" w:type="dxa"/>
          </w:tcPr>
          <w:p w14:paraId="39992288" w14:textId="77777777" w:rsidR="00F81A2E" w:rsidRPr="00F81A2E" w:rsidRDefault="00F81A2E" w:rsidP="00CA0D72">
            <w:pPr>
              <w:pStyle w:val="Table"/>
              <w:ind w:right="-3"/>
            </w:pPr>
            <w:r w:rsidRPr="00F81A2E">
              <w:t>1.4</w:t>
            </w:r>
          </w:p>
        </w:tc>
        <w:tc>
          <w:tcPr>
            <w:tcW w:w="1175" w:type="dxa"/>
          </w:tcPr>
          <w:p w14:paraId="42CE88F5" w14:textId="77777777" w:rsidR="00F81A2E" w:rsidRPr="00F81A2E" w:rsidRDefault="00F81A2E" w:rsidP="00CA0D72">
            <w:pPr>
              <w:pStyle w:val="Table"/>
              <w:ind w:right="-3"/>
            </w:pPr>
            <w:r w:rsidRPr="00F81A2E">
              <w:t>0.7</w:t>
            </w:r>
          </w:p>
        </w:tc>
        <w:tc>
          <w:tcPr>
            <w:tcW w:w="1176" w:type="dxa"/>
          </w:tcPr>
          <w:p w14:paraId="0868F8C6" w14:textId="77777777" w:rsidR="00F81A2E" w:rsidRPr="00F81A2E" w:rsidRDefault="00F81A2E" w:rsidP="00CA0D72">
            <w:pPr>
              <w:pStyle w:val="Table"/>
              <w:ind w:right="-3"/>
            </w:pPr>
            <w:r w:rsidRPr="00F81A2E">
              <w:t> </w:t>
            </w:r>
          </w:p>
        </w:tc>
      </w:tr>
      <w:tr w:rsidR="00F81A2E" w:rsidRPr="00F81A2E" w14:paraId="49AC0FCC" w14:textId="77777777" w:rsidTr="00F53196">
        <w:trPr>
          <w:trHeight w:val="227"/>
        </w:trPr>
        <w:tc>
          <w:tcPr>
            <w:tcW w:w="1175" w:type="dxa"/>
          </w:tcPr>
          <w:p w14:paraId="62D8FC93" w14:textId="77777777" w:rsidR="00F81A2E" w:rsidRPr="00F81A2E" w:rsidRDefault="00F81A2E" w:rsidP="00CA0D72">
            <w:pPr>
              <w:pStyle w:val="Table"/>
              <w:ind w:right="-3"/>
            </w:pPr>
            <w:r w:rsidRPr="00F81A2E">
              <w:lastRenderedPageBreak/>
              <w:t>NT</w:t>
            </w:r>
          </w:p>
        </w:tc>
        <w:tc>
          <w:tcPr>
            <w:tcW w:w="1343" w:type="dxa"/>
          </w:tcPr>
          <w:p w14:paraId="395E879E" w14:textId="77777777" w:rsidR="00F81A2E" w:rsidRPr="00F81A2E" w:rsidRDefault="00F81A2E" w:rsidP="00CA0D72">
            <w:pPr>
              <w:pStyle w:val="Table"/>
              <w:ind w:right="-3"/>
            </w:pPr>
            <w:r w:rsidRPr="00F81A2E">
              <w:t>Community</w:t>
            </w:r>
          </w:p>
        </w:tc>
        <w:tc>
          <w:tcPr>
            <w:tcW w:w="1007" w:type="dxa"/>
          </w:tcPr>
          <w:p w14:paraId="7A8587AB" w14:textId="77777777" w:rsidR="00F81A2E" w:rsidRPr="00F81A2E" w:rsidRDefault="00F81A2E" w:rsidP="00CA0D72">
            <w:pPr>
              <w:pStyle w:val="Table"/>
              <w:ind w:right="-3"/>
            </w:pPr>
            <w:r w:rsidRPr="00F81A2E">
              <w:t>0</w:t>
            </w:r>
          </w:p>
        </w:tc>
        <w:tc>
          <w:tcPr>
            <w:tcW w:w="1175" w:type="dxa"/>
          </w:tcPr>
          <w:p w14:paraId="6FB2B210" w14:textId="77777777" w:rsidR="00F81A2E" w:rsidRPr="00F81A2E" w:rsidRDefault="00F81A2E" w:rsidP="00CA0D72">
            <w:pPr>
              <w:pStyle w:val="Table"/>
              <w:ind w:right="-3"/>
            </w:pPr>
            <w:r w:rsidRPr="00F81A2E">
              <w:t>0</w:t>
            </w:r>
          </w:p>
        </w:tc>
        <w:tc>
          <w:tcPr>
            <w:tcW w:w="1175" w:type="dxa"/>
          </w:tcPr>
          <w:p w14:paraId="35661543" w14:textId="77777777" w:rsidR="00F81A2E" w:rsidRPr="00F81A2E" w:rsidRDefault="00F81A2E" w:rsidP="00CA0D72">
            <w:pPr>
              <w:pStyle w:val="Table"/>
              <w:ind w:right="-3"/>
            </w:pPr>
            <w:r w:rsidRPr="00F81A2E">
              <w:t>0</w:t>
            </w:r>
          </w:p>
        </w:tc>
        <w:tc>
          <w:tcPr>
            <w:tcW w:w="1175" w:type="dxa"/>
          </w:tcPr>
          <w:p w14:paraId="284A7226" w14:textId="77777777" w:rsidR="00F81A2E" w:rsidRPr="00F81A2E" w:rsidRDefault="00F81A2E" w:rsidP="00CA0D72">
            <w:pPr>
              <w:pStyle w:val="Table"/>
              <w:ind w:right="-3"/>
            </w:pPr>
            <w:r w:rsidRPr="00F81A2E">
              <w:t>0</w:t>
            </w:r>
          </w:p>
        </w:tc>
        <w:tc>
          <w:tcPr>
            <w:tcW w:w="1175" w:type="dxa"/>
          </w:tcPr>
          <w:p w14:paraId="4B09E83B" w14:textId="77777777" w:rsidR="00F81A2E" w:rsidRPr="00F81A2E" w:rsidRDefault="00F81A2E" w:rsidP="00CA0D72">
            <w:pPr>
              <w:pStyle w:val="Table"/>
              <w:ind w:right="-3"/>
            </w:pPr>
            <w:r w:rsidRPr="00F81A2E">
              <w:t>0</w:t>
            </w:r>
          </w:p>
        </w:tc>
        <w:tc>
          <w:tcPr>
            <w:tcW w:w="1175" w:type="dxa"/>
          </w:tcPr>
          <w:p w14:paraId="561F03C3" w14:textId="77777777" w:rsidR="00F81A2E" w:rsidRPr="00F81A2E" w:rsidRDefault="00F81A2E" w:rsidP="00CA0D72">
            <w:pPr>
              <w:pStyle w:val="Table"/>
              <w:ind w:right="-3"/>
            </w:pPr>
            <w:r w:rsidRPr="00F81A2E">
              <w:t>0</w:t>
            </w:r>
          </w:p>
        </w:tc>
        <w:tc>
          <w:tcPr>
            <w:tcW w:w="1175" w:type="dxa"/>
          </w:tcPr>
          <w:p w14:paraId="7EE031FE" w14:textId="77777777" w:rsidR="00F81A2E" w:rsidRPr="00F81A2E" w:rsidRDefault="00F81A2E" w:rsidP="00CA0D72">
            <w:pPr>
              <w:pStyle w:val="Table"/>
              <w:ind w:right="-3"/>
            </w:pPr>
            <w:r w:rsidRPr="00F81A2E">
              <w:t>0</w:t>
            </w:r>
          </w:p>
        </w:tc>
        <w:tc>
          <w:tcPr>
            <w:tcW w:w="1175" w:type="dxa"/>
          </w:tcPr>
          <w:p w14:paraId="79EADB86" w14:textId="77777777" w:rsidR="00F81A2E" w:rsidRPr="00F81A2E" w:rsidRDefault="00F81A2E" w:rsidP="00CA0D72">
            <w:pPr>
              <w:pStyle w:val="Table"/>
              <w:ind w:right="-3"/>
            </w:pPr>
            <w:r w:rsidRPr="00F81A2E">
              <w:t>0</w:t>
            </w:r>
          </w:p>
        </w:tc>
        <w:tc>
          <w:tcPr>
            <w:tcW w:w="1175" w:type="dxa"/>
          </w:tcPr>
          <w:p w14:paraId="41F4A66E" w14:textId="77777777" w:rsidR="00F81A2E" w:rsidRPr="00F81A2E" w:rsidRDefault="00F81A2E" w:rsidP="00CA0D72">
            <w:pPr>
              <w:pStyle w:val="Table"/>
              <w:ind w:right="-3"/>
            </w:pPr>
            <w:r w:rsidRPr="00F81A2E">
              <w:t>0</w:t>
            </w:r>
          </w:p>
        </w:tc>
        <w:tc>
          <w:tcPr>
            <w:tcW w:w="1175" w:type="dxa"/>
          </w:tcPr>
          <w:p w14:paraId="61A1A273" w14:textId="77777777" w:rsidR="00F81A2E" w:rsidRPr="00F81A2E" w:rsidRDefault="00F81A2E" w:rsidP="00CA0D72">
            <w:pPr>
              <w:pStyle w:val="Table"/>
              <w:ind w:right="-3"/>
            </w:pPr>
            <w:r w:rsidRPr="00F81A2E">
              <w:t>0</w:t>
            </w:r>
          </w:p>
        </w:tc>
        <w:tc>
          <w:tcPr>
            <w:tcW w:w="1176" w:type="dxa"/>
          </w:tcPr>
          <w:p w14:paraId="10E2037A" w14:textId="77777777" w:rsidR="00F81A2E" w:rsidRPr="00F81A2E" w:rsidRDefault="00F81A2E" w:rsidP="00CA0D72">
            <w:pPr>
              <w:pStyle w:val="Table"/>
              <w:ind w:right="-3"/>
            </w:pPr>
            <w:r w:rsidRPr="00F81A2E">
              <w:t>0</w:t>
            </w:r>
          </w:p>
        </w:tc>
      </w:tr>
      <w:tr w:rsidR="00F81A2E" w:rsidRPr="00F81A2E" w14:paraId="2C58D2F8" w14:textId="77777777" w:rsidTr="00F53196">
        <w:trPr>
          <w:trHeight w:val="227"/>
        </w:trPr>
        <w:tc>
          <w:tcPr>
            <w:tcW w:w="1175" w:type="dxa"/>
          </w:tcPr>
          <w:p w14:paraId="68E6F2F4" w14:textId="3C6F8063" w:rsidR="00F81A2E" w:rsidRPr="00F81A2E" w:rsidRDefault="00BC0ABE" w:rsidP="00CA0D72">
            <w:pPr>
              <w:pStyle w:val="Table"/>
              <w:ind w:right="-3"/>
            </w:pPr>
            <w:r w:rsidRPr="00F81A2E">
              <w:t>NT</w:t>
            </w:r>
          </w:p>
        </w:tc>
        <w:tc>
          <w:tcPr>
            <w:tcW w:w="1343" w:type="dxa"/>
          </w:tcPr>
          <w:p w14:paraId="7F035F6A" w14:textId="77777777" w:rsidR="00F81A2E" w:rsidRPr="00F81A2E" w:rsidRDefault="00F81A2E" w:rsidP="00CA0D72">
            <w:pPr>
              <w:pStyle w:val="Table"/>
              <w:ind w:right="-3"/>
            </w:pPr>
            <w:r w:rsidRPr="00F81A2E">
              <w:t>%</w:t>
            </w:r>
          </w:p>
        </w:tc>
        <w:tc>
          <w:tcPr>
            <w:tcW w:w="1007" w:type="dxa"/>
          </w:tcPr>
          <w:p w14:paraId="3F707179" w14:textId="77777777" w:rsidR="00F81A2E" w:rsidRPr="00F81A2E" w:rsidRDefault="00F81A2E" w:rsidP="00CA0D72">
            <w:pPr>
              <w:pStyle w:val="Table"/>
              <w:ind w:right="-3"/>
            </w:pPr>
            <w:r w:rsidRPr="00F81A2E">
              <w:t> </w:t>
            </w:r>
          </w:p>
        </w:tc>
        <w:tc>
          <w:tcPr>
            <w:tcW w:w="1175" w:type="dxa"/>
          </w:tcPr>
          <w:p w14:paraId="57BE147C" w14:textId="77777777" w:rsidR="00F81A2E" w:rsidRPr="00F81A2E" w:rsidRDefault="00F81A2E" w:rsidP="00CA0D72">
            <w:pPr>
              <w:pStyle w:val="Table"/>
              <w:ind w:right="-3"/>
            </w:pPr>
            <w:r w:rsidRPr="00F81A2E">
              <w:t> </w:t>
            </w:r>
          </w:p>
        </w:tc>
        <w:tc>
          <w:tcPr>
            <w:tcW w:w="1175" w:type="dxa"/>
          </w:tcPr>
          <w:p w14:paraId="3224B79C" w14:textId="77777777" w:rsidR="00F81A2E" w:rsidRPr="00F81A2E" w:rsidRDefault="00F81A2E" w:rsidP="00CA0D72">
            <w:pPr>
              <w:pStyle w:val="Table"/>
              <w:ind w:right="-3"/>
            </w:pPr>
            <w:r w:rsidRPr="00F81A2E">
              <w:t> </w:t>
            </w:r>
          </w:p>
        </w:tc>
        <w:tc>
          <w:tcPr>
            <w:tcW w:w="1175" w:type="dxa"/>
          </w:tcPr>
          <w:p w14:paraId="45A497FD" w14:textId="77777777" w:rsidR="00F81A2E" w:rsidRPr="00F81A2E" w:rsidRDefault="00F81A2E" w:rsidP="00CA0D72">
            <w:pPr>
              <w:pStyle w:val="Table"/>
              <w:ind w:right="-3"/>
            </w:pPr>
            <w:r w:rsidRPr="00F81A2E">
              <w:t> </w:t>
            </w:r>
          </w:p>
        </w:tc>
        <w:tc>
          <w:tcPr>
            <w:tcW w:w="1175" w:type="dxa"/>
          </w:tcPr>
          <w:p w14:paraId="5667A737" w14:textId="77777777" w:rsidR="00F81A2E" w:rsidRPr="00F81A2E" w:rsidRDefault="00F81A2E" w:rsidP="00CA0D72">
            <w:pPr>
              <w:pStyle w:val="Table"/>
              <w:ind w:right="-3"/>
            </w:pPr>
            <w:r w:rsidRPr="00F81A2E">
              <w:t> </w:t>
            </w:r>
          </w:p>
        </w:tc>
        <w:tc>
          <w:tcPr>
            <w:tcW w:w="1175" w:type="dxa"/>
          </w:tcPr>
          <w:p w14:paraId="6186CECE" w14:textId="77777777" w:rsidR="00F81A2E" w:rsidRPr="00F81A2E" w:rsidRDefault="00F81A2E" w:rsidP="00CA0D72">
            <w:pPr>
              <w:pStyle w:val="Table"/>
              <w:ind w:right="-3"/>
            </w:pPr>
            <w:r w:rsidRPr="00F81A2E">
              <w:t> </w:t>
            </w:r>
          </w:p>
        </w:tc>
        <w:tc>
          <w:tcPr>
            <w:tcW w:w="1175" w:type="dxa"/>
          </w:tcPr>
          <w:p w14:paraId="0BB8AF46" w14:textId="77777777" w:rsidR="00F81A2E" w:rsidRPr="00F81A2E" w:rsidRDefault="00F81A2E" w:rsidP="00CA0D72">
            <w:pPr>
              <w:pStyle w:val="Table"/>
              <w:ind w:right="-3"/>
            </w:pPr>
            <w:r w:rsidRPr="00F81A2E">
              <w:t> </w:t>
            </w:r>
          </w:p>
        </w:tc>
        <w:tc>
          <w:tcPr>
            <w:tcW w:w="1175" w:type="dxa"/>
          </w:tcPr>
          <w:p w14:paraId="4728BC43" w14:textId="77777777" w:rsidR="00F81A2E" w:rsidRPr="00F81A2E" w:rsidRDefault="00F81A2E" w:rsidP="00CA0D72">
            <w:pPr>
              <w:pStyle w:val="Table"/>
              <w:ind w:right="-3"/>
            </w:pPr>
            <w:r w:rsidRPr="00F81A2E">
              <w:t> </w:t>
            </w:r>
          </w:p>
        </w:tc>
        <w:tc>
          <w:tcPr>
            <w:tcW w:w="1175" w:type="dxa"/>
          </w:tcPr>
          <w:p w14:paraId="00CB3A26" w14:textId="77777777" w:rsidR="00F81A2E" w:rsidRPr="00F81A2E" w:rsidRDefault="00F81A2E" w:rsidP="00CA0D72">
            <w:pPr>
              <w:pStyle w:val="Table"/>
              <w:ind w:right="-3"/>
            </w:pPr>
            <w:r w:rsidRPr="00F81A2E">
              <w:t> </w:t>
            </w:r>
          </w:p>
        </w:tc>
        <w:tc>
          <w:tcPr>
            <w:tcW w:w="1175" w:type="dxa"/>
          </w:tcPr>
          <w:p w14:paraId="0F827530" w14:textId="77777777" w:rsidR="00F81A2E" w:rsidRPr="00F81A2E" w:rsidRDefault="00F81A2E" w:rsidP="00CA0D72">
            <w:pPr>
              <w:pStyle w:val="Table"/>
              <w:ind w:right="-3"/>
            </w:pPr>
            <w:r w:rsidRPr="00F81A2E">
              <w:t> </w:t>
            </w:r>
          </w:p>
        </w:tc>
        <w:tc>
          <w:tcPr>
            <w:tcW w:w="1176" w:type="dxa"/>
          </w:tcPr>
          <w:p w14:paraId="1AD65A74" w14:textId="77777777" w:rsidR="00F81A2E" w:rsidRPr="00F81A2E" w:rsidRDefault="00F81A2E" w:rsidP="00CA0D72">
            <w:pPr>
              <w:pStyle w:val="Table"/>
              <w:ind w:right="-3"/>
            </w:pPr>
            <w:r w:rsidRPr="00F81A2E">
              <w:t> </w:t>
            </w:r>
          </w:p>
        </w:tc>
      </w:tr>
      <w:tr w:rsidR="00F81A2E" w:rsidRPr="00F81A2E" w14:paraId="44524445" w14:textId="77777777" w:rsidTr="00F53196">
        <w:trPr>
          <w:trHeight w:val="227"/>
        </w:trPr>
        <w:tc>
          <w:tcPr>
            <w:tcW w:w="1175" w:type="dxa"/>
          </w:tcPr>
          <w:p w14:paraId="66A2467A" w14:textId="5357197E" w:rsidR="00F81A2E" w:rsidRPr="00F81A2E" w:rsidRDefault="00BC0ABE" w:rsidP="00CA0D72">
            <w:pPr>
              <w:pStyle w:val="Table"/>
              <w:ind w:right="-3"/>
            </w:pPr>
            <w:r w:rsidRPr="00F81A2E">
              <w:t>NT</w:t>
            </w:r>
          </w:p>
        </w:tc>
        <w:tc>
          <w:tcPr>
            <w:tcW w:w="1343" w:type="dxa"/>
          </w:tcPr>
          <w:p w14:paraId="7A76985C" w14:textId="77777777" w:rsidR="00F81A2E" w:rsidRPr="00F81A2E" w:rsidRDefault="00F81A2E" w:rsidP="00CA0D72">
            <w:pPr>
              <w:pStyle w:val="Table"/>
              <w:ind w:right="-3"/>
            </w:pPr>
            <w:r w:rsidRPr="00F81A2E">
              <w:t>Residential Only</w:t>
            </w:r>
          </w:p>
        </w:tc>
        <w:tc>
          <w:tcPr>
            <w:tcW w:w="1007" w:type="dxa"/>
          </w:tcPr>
          <w:p w14:paraId="32C00872" w14:textId="77777777" w:rsidR="00F81A2E" w:rsidRPr="00F81A2E" w:rsidRDefault="00F81A2E" w:rsidP="00CA0D72">
            <w:pPr>
              <w:pStyle w:val="Table"/>
              <w:ind w:right="-3"/>
            </w:pPr>
            <w:r w:rsidRPr="00F81A2E">
              <w:t>1</w:t>
            </w:r>
          </w:p>
        </w:tc>
        <w:tc>
          <w:tcPr>
            <w:tcW w:w="1175" w:type="dxa"/>
          </w:tcPr>
          <w:p w14:paraId="0C10BD08" w14:textId="77777777" w:rsidR="00F81A2E" w:rsidRPr="00F81A2E" w:rsidRDefault="00F81A2E" w:rsidP="00CA0D72">
            <w:pPr>
              <w:pStyle w:val="Table"/>
              <w:ind w:right="-3"/>
            </w:pPr>
            <w:r w:rsidRPr="00F81A2E">
              <w:t>4</w:t>
            </w:r>
          </w:p>
        </w:tc>
        <w:tc>
          <w:tcPr>
            <w:tcW w:w="1175" w:type="dxa"/>
          </w:tcPr>
          <w:p w14:paraId="7930978C" w14:textId="77777777" w:rsidR="00F81A2E" w:rsidRPr="00F81A2E" w:rsidRDefault="00F81A2E" w:rsidP="00CA0D72">
            <w:pPr>
              <w:pStyle w:val="Table"/>
              <w:ind w:right="-3"/>
            </w:pPr>
            <w:r w:rsidRPr="00F81A2E">
              <w:t>3</w:t>
            </w:r>
          </w:p>
        </w:tc>
        <w:tc>
          <w:tcPr>
            <w:tcW w:w="1175" w:type="dxa"/>
          </w:tcPr>
          <w:p w14:paraId="5832C62D" w14:textId="77777777" w:rsidR="00F81A2E" w:rsidRPr="00F81A2E" w:rsidRDefault="00F81A2E" w:rsidP="00CA0D72">
            <w:pPr>
              <w:pStyle w:val="Table"/>
              <w:ind w:right="-3"/>
            </w:pPr>
            <w:r w:rsidRPr="00F81A2E">
              <w:t>5</w:t>
            </w:r>
          </w:p>
        </w:tc>
        <w:tc>
          <w:tcPr>
            <w:tcW w:w="1175" w:type="dxa"/>
          </w:tcPr>
          <w:p w14:paraId="2EE990FA" w14:textId="77777777" w:rsidR="00F81A2E" w:rsidRPr="00F81A2E" w:rsidRDefault="00F81A2E" w:rsidP="00CA0D72">
            <w:pPr>
              <w:pStyle w:val="Table"/>
              <w:ind w:right="-3"/>
            </w:pPr>
            <w:r w:rsidRPr="00F81A2E">
              <w:t>1</w:t>
            </w:r>
          </w:p>
        </w:tc>
        <w:tc>
          <w:tcPr>
            <w:tcW w:w="1175" w:type="dxa"/>
          </w:tcPr>
          <w:p w14:paraId="516B9E7C" w14:textId="77777777" w:rsidR="00F81A2E" w:rsidRPr="00F81A2E" w:rsidRDefault="00F81A2E" w:rsidP="00CA0D72">
            <w:pPr>
              <w:pStyle w:val="Table"/>
              <w:ind w:right="-3"/>
            </w:pPr>
            <w:r w:rsidRPr="00F81A2E">
              <w:t>0</w:t>
            </w:r>
          </w:p>
        </w:tc>
        <w:tc>
          <w:tcPr>
            <w:tcW w:w="1175" w:type="dxa"/>
          </w:tcPr>
          <w:p w14:paraId="28ABE8D2" w14:textId="77777777" w:rsidR="00F81A2E" w:rsidRPr="00F81A2E" w:rsidRDefault="00F81A2E" w:rsidP="00CA0D72">
            <w:pPr>
              <w:pStyle w:val="Table"/>
              <w:ind w:right="-3"/>
            </w:pPr>
            <w:r w:rsidRPr="00F81A2E">
              <w:t>7</w:t>
            </w:r>
          </w:p>
        </w:tc>
        <w:tc>
          <w:tcPr>
            <w:tcW w:w="1175" w:type="dxa"/>
          </w:tcPr>
          <w:p w14:paraId="660F77BC" w14:textId="77777777" w:rsidR="00F81A2E" w:rsidRPr="00F81A2E" w:rsidRDefault="00F81A2E" w:rsidP="00CA0D72">
            <w:pPr>
              <w:pStyle w:val="Table"/>
              <w:ind w:right="-3"/>
            </w:pPr>
            <w:r w:rsidRPr="00F81A2E">
              <w:t>1</w:t>
            </w:r>
          </w:p>
        </w:tc>
        <w:tc>
          <w:tcPr>
            <w:tcW w:w="1175" w:type="dxa"/>
          </w:tcPr>
          <w:p w14:paraId="7A715104" w14:textId="77777777" w:rsidR="00F81A2E" w:rsidRPr="00F81A2E" w:rsidRDefault="00F81A2E" w:rsidP="00CA0D72">
            <w:pPr>
              <w:pStyle w:val="Table"/>
              <w:ind w:right="-3"/>
            </w:pPr>
            <w:r w:rsidRPr="00F81A2E">
              <w:t>0</w:t>
            </w:r>
          </w:p>
        </w:tc>
        <w:tc>
          <w:tcPr>
            <w:tcW w:w="1175" w:type="dxa"/>
          </w:tcPr>
          <w:p w14:paraId="683E11F8" w14:textId="77777777" w:rsidR="00F81A2E" w:rsidRPr="00F81A2E" w:rsidRDefault="00F81A2E" w:rsidP="00CA0D72">
            <w:pPr>
              <w:pStyle w:val="Table"/>
              <w:ind w:right="-3"/>
            </w:pPr>
            <w:r w:rsidRPr="00F81A2E">
              <w:t>0</w:t>
            </w:r>
          </w:p>
        </w:tc>
        <w:tc>
          <w:tcPr>
            <w:tcW w:w="1176" w:type="dxa"/>
          </w:tcPr>
          <w:p w14:paraId="3044392D" w14:textId="77777777" w:rsidR="00F81A2E" w:rsidRPr="00F81A2E" w:rsidRDefault="00F81A2E" w:rsidP="00CA0D72">
            <w:pPr>
              <w:pStyle w:val="Table"/>
              <w:ind w:right="-3"/>
            </w:pPr>
            <w:r w:rsidRPr="00F81A2E">
              <w:t>22</w:t>
            </w:r>
          </w:p>
        </w:tc>
      </w:tr>
      <w:tr w:rsidR="00F81A2E" w:rsidRPr="00F81A2E" w14:paraId="288EB48B" w14:textId="77777777" w:rsidTr="00F53196">
        <w:trPr>
          <w:trHeight w:val="227"/>
        </w:trPr>
        <w:tc>
          <w:tcPr>
            <w:tcW w:w="1175" w:type="dxa"/>
          </w:tcPr>
          <w:p w14:paraId="2311EB80" w14:textId="10B4D828" w:rsidR="00F81A2E" w:rsidRPr="00F81A2E" w:rsidRDefault="00BC0ABE" w:rsidP="00CA0D72">
            <w:pPr>
              <w:pStyle w:val="Table"/>
              <w:ind w:right="-3"/>
            </w:pPr>
            <w:r w:rsidRPr="00F81A2E">
              <w:t>NT</w:t>
            </w:r>
          </w:p>
        </w:tc>
        <w:tc>
          <w:tcPr>
            <w:tcW w:w="1343" w:type="dxa"/>
          </w:tcPr>
          <w:p w14:paraId="01845E94" w14:textId="77777777" w:rsidR="00F81A2E" w:rsidRPr="00F81A2E" w:rsidRDefault="00F81A2E" w:rsidP="00CA0D72">
            <w:pPr>
              <w:pStyle w:val="Table"/>
              <w:ind w:right="-3"/>
            </w:pPr>
            <w:r w:rsidRPr="00F81A2E">
              <w:t>%</w:t>
            </w:r>
          </w:p>
        </w:tc>
        <w:tc>
          <w:tcPr>
            <w:tcW w:w="1007" w:type="dxa"/>
          </w:tcPr>
          <w:p w14:paraId="4E2CF568" w14:textId="77777777" w:rsidR="00F81A2E" w:rsidRPr="00F81A2E" w:rsidRDefault="00F81A2E" w:rsidP="00CA0D72">
            <w:pPr>
              <w:pStyle w:val="Table"/>
              <w:ind w:right="-3"/>
            </w:pPr>
            <w:r w:rsidRPr="00F81A2E">
              <w:t>4.5</w:t>
            </w:r>
          </w:p>
        </w:tc>
        <w:tc>
          <w:tcPr>
            <w:tcW w:w="1175" w:type="dxa"/>
          </w:tcPr>
          <w:p w14:paraId="2DCF85FA" w14:textId="77777777" w:rsidR="00F81A2E" w:rsidRPr="00F81A2E" w:rsidRDefault="00F81A2E" w:rsidP="00CA0D72">
            <w:pPr>
              <w:pStyle w:val="Table"/>
              <w:ind w:right="-3"/>
            </w:pPr>
            <w:r w:rsidRPr="00F81A2E">
              <w:t>18.2</w:t>
            </w:r>
          </w:p>
        </w:tc>
        <w:tc>
          <w:tcPr>
            <w:tcW w:w="1175" w:type="dxa"/>
          </w:tcPr>
          <w:p w14:paraId="0D539C0B" w14:textId="77777777" w:rsidR="00F81A2E" w:rsidRPr="00F81A2E" w:rsidRDefault="00F81A2E" w:rsidP="00CA0D72">
            <w:pPr>
              <w:pStyle w:val="Table"/>
              <w:ind w:right="-3"/>
            </w:pPr>
            <w:r w:rsidRPr="00F81A2E">
              <w:t>13.6</w:t>
            </w:r>
          </w:p>
        </w:tc>
        <w:tc>
          <w:tcPr>
            <w:tcW w:w="1175" w:type="dxa"/>
          </w:tcPr>
          <w:p w14:paraId="5B960BC4" w14:textId="77777777" w:rsidR="00F81A2E" w:rsidRPr="00F81A2E" w:rsidRDefault="00F81A2E" w:rsidP="00CA0D72">
            <w:pPr>
              <w:pStyle w:val="Table"/>
              <w:ind w:right="-3"/>
            </w:pPr>
            <w:r w:rsidRPr="00F81A2E">
              <w:t>22.7</w:t>
            </w:r>
          </w:p>
        </w:tc>
        <w:tc>
          <w:tcPr>
            <w:tcW w:w="1175" w:type="dxa"/>
          </w:tcPr>
          <w:p w14:paraId="264E39C4" w14:textId="77777777" w:rsidR="00F81A2E" w:rsidRPr="00F81A2E" w:rsidRDefault="00F81A2E" w:rsidP="00CA0D72">
            <w:pPr>
              <w:pStyle w:val="Table"/>
              <w:ind w:right="-3"/>
            </w:pPr>
            <w:r w:rsidRPr="00F81A2E">
              <w:t>4.5</w:t>
            </w:r>
          </w:p>
        </w:tc>
        <w:tc>
          <w:tcPr>
            <w:tcW w:w="1175" w:type="dxa"/>
          </w:tcPr>
          <w:p w14:paraId="220AECB2" w14:textId="77777777" w:rsidR="00F81A2E" w:rsidRPr="00F81A2E" w:rsidRDefault="00F81A2E" w:rsidP="00CA0D72">
            <w:pPr>
              <w:pStyle w:val="Table"/>
              <w:ind w:right="-3"/>
            </w:pPr>
            <w:r w:rsidRPr="00F81A2E">
              <w:t>0</w:t>
            </w:r>
          </w:p>
        </w:tc>
        <w:tc>
          <w:tcPr>
            <w:tcW w:w="1175" w:type="dxa"/>
          </w:tcPr>
          <w:p w14:paraId="18273000" w14:textId="77777777" w:rsidR="00F81A2E" w:rsidRPr="00F81A2E" w:rsidRDefault="00F81A2E" w:rsidP="00CA0D72">
            <w:pPr>
              <w:pStyle w:val="Table"/>
              <w:ind w:right="-3"/>
            </w:pPr>
            <w:r w:rsidRPr="00F81A2E">
              <w:t>31.8</w:t>
            </w:r>
          </w:p>
        </w:tc>
        <w:tc>
          <w:tcPr>
            <w:tcW w:w="1175" w:type="dxa"/>
          </w:tcPr>
          <w:p w14:paraId="3269207B" w14:textId="77777777" w:rsidR="00F81A2E" w:rsidRPr="00F81A2E" w:rsidRDefault="00F81A2E" w:rsidP="00CA0D72">
            <w:pPr>
              <w:pStyle w:val="Table"/>
              <w:ind w:right="-3"/>
            </w:pPr>
            <w:r w:rsidRPr="00F81A2E">
              <w:t>4.5</w:t>
            </w:r>
          </w:p>
        </w:tc>
        <w:tc>
          <w:tcPr>
            <w:tcW w:w="1175" w:type="dxa"/>
          </w:tcPr>
          <w:p w14:paraId="060FD62B" w14:textId="77777777" w:rsidR="00F81A2E" w:rsidRPr="00F81A2E" w:rsidRDefault="00F81A2E" w:rsidP="00CA0D72">
            <w:pPr>
              <w:pStyle w:val="Table"/>
              <w:ind w:right="-3"/>
            </w:pPr>
            <w:r w:rsidRPr="00F81A2E">
              <w:t>0</w:t>
            </w:r>
          </w:p>
        </w:tc>
        <w:tc>
          <w:tcPr>
            <w:tcW w:w="1175" w:type="dxa"/>
          </w:tcPr>
          <w:p w14:paraId="2897EE0A" w14:textId="77777777" w:rsidR="00F81A2E" w:rsidRPr="00F81A2E" w:rsidRDefault="00F81A2E" w:rsidP="00CA0D72">
            <w:pPr>
              <w:pStyle w:val="Table"/>
              <w:ind w:right="-3"/>
            </w:pPr>
            <w:r w:rsidRPr="00F81A2E">
              <w:t>0</w:t>
            </w:r>
          </w:p>
        </w:tc>
        <w:tc>
          <w:tcPr>
            <w:tcW w:w="1176" w:type="dxa"/>
          </w:tcPr>
          <w:p w14:paraId="6793B4DF" w14:textId="77777777" w:rsidR="00F81A2E" w:rsidRPr="00F81A2E" w:rsidRDefault="00F81A2E" w:rsidP="00CA0D72">
            <w:pPr>
              <w:pStyle w:val="Table"/>
              <w:ind w:right="-3"/>
            </w:pPr>
            <w:r w:rsidRPr="00F81A2E">
              <w:t> </w:t>
            </w:r>
          </w:p>
        </w:tc>
      </w:tr>
      <w:tr w:rsidR="00F81A2E" w:rsidRPr="00F81A2E" w14:paraId="2E0232E7" w14:textId="77777777" w:rsidTr="00F53196">
        <w:trPr>
          <w:trHeight w:val="227"/>
        </w:trPr>
        <w:tc>
          <w:tcPr>
            <w:tcW w:w="1175" w:type="dxa"/>
          </w:tcPr>
          <w:p w14:paraId="05B0F0B2" w14:textId="021810A0" w:rsidR="00F81A2E" w:rsidRPr="00F81A2E" w:rsidRDefault="00BC0ABE" w:rsidP="00CA0D72">
            <w:pPr>
              <w:pStyle w:val="Table"/>
              <w:ind w:right="-3"/>
            </w:pPr>
            <w:r w:rsidRPr="00F81A2E">
              <w:t>NT</w:t>
            </w:r>
          </w:p>
        </w:tc>
        <w:tc>
          <w:tcPr>
            <w:tcW w:w="1343" w:type="dxa"/>
          </w:tcPr>
          <w:p w14:paraId="700E98FB" w14:textId="77777777" w:rsidR="00F81A2E" w:rsidRPr="00F81A2E" w:rsidRDefault="00F81A2E" w:rsidP="00CA0D72">
            <w:pPr>
              <w:pStyle w:val="Table"/>
              <w:ind w:right="-3"/>
            </w:pPr>
            <w:r w:rsidRPr="00F81A2E">
              <w:t>Combination</w:t>
            </w:r>
          </w:p>
        </w:tc>
        <w:tc>
          <w:tcPr>
            <w:tcW w:w="1007" w:type="dxa"/>
          </w:tcPr>
          <w:p w14:paraId="7B0FB77C" w14:textId="77777777" w:rsidR="00F81A2E" w:rsidRPr="00F81A2E" w:rsidRDefault="00F81A2E" w:rsidP="00CA0D72">
            <w:pPr>
              <w:pStyle w:val="Table"/>
              <w:ind w:right="-3"/>
            </w:pPr>
            <w:r w:rsidRPr="00F81A2E">
              <w:t>0</w:t>
            </w:r>
          </w:p>
        </w:tc>
        <w:tc>
          <w:tcPr>
            <w:tcW w:w="1175" w:type="dxa"/>
          </w:tcPr>
          <w:p w14:paraId="24FF1C3D" w14:textId="77777777" w:rsidR="00F81A2E" w:rsidRPr="00F81A2E" w:rsidRDefault="00F81A2E" w:rsidP="00CA0D72">
            <w:pPr>
              <w:pStyle w:val="Table"/>
              <w:ind w:right="-3"/>
            </w:pPr>
            <w:r w:rsidRPr="00F81A2E">
              <w:t>0</w:t>
            </w:r>
          </w:p>
        </w:tc>
        <w:tc>
          <w:tcPr>
            <w:tcW w:w="1175" w:type="dxa"/>
          </w:tcPr>
          <w:p w14:paraId="69EB244D" w14:textId="77777777" w:rsidR="00F81A2E" w:rsidRPr="00F81A2E" w:rsidRDefault="00F81A2E" w:rsidP="00CA0D72">
            <w:pPr>
              <w:pStyle w:val="Table"/>
              <w:ind w:right="-3"/>
            </w:pPr>
            <w:r w:rsidRPr="00F81A2E">
              <w:t>0</w:t>
            </w:r>
          </w:p>
        </w:tc>
        <w:tc>
          <w:tcPr>
            <w:tcW w:w="1175" w:type="dxa"/>
          </w:tcPr>
          <w:p w14:paraId="7CDC9D7F" w14:textId="77777777" w:rsidR="00F81A2E" w:rsidRPr="00F81A2E" w:rsidRDefault="00F81A2E" w:rsidP="00CA0D72">
            <w:pPr>
              <w:pStyle w:val="Table"/>
              <w:ind w:right="-3"/>
            </w:pPr>
            <w:r w:rsidRPr="00F81A2E">
              <w:t>0</w:t>
            </w:r>
          </w:p>
        </w:tc>
        <w:tc>
          <w:tcPr>
            <w:tcW w:w="1175" w:type="dxa"/>
          </w:tcPr>
          <w:p w14:paraId="3693172F" w14:textId="77777777" w:rsidR="00F81A2E" w:rsidRPr="00F81A2E" w:rsidRDefault="00F81A2E" w:rsidP="00CA0D72">
            <w:pPr>
              <w:pStyle w:val="Table"/>
              <w:ind w:right="-3"/>
            </w:pPr>
            <w:r w:rsidRPr="00F81A2E">
              <w:t>0</w:t>
            </w:r>
          </w:p>
        </w:tc>
        <w:tc>
          <w:tcPr>
            <w:tcW w:w="1175" w:type="dxa"/>
          </w:tcPr>
          <w:p w14:paraId="43ED3E44" w14:textId="77777777" w:rsidR="00F81A2E" w:rsidRPr="00F81A2E" w:rsidRDefault="00F81A2E" w:rsidP="00CA0D72">
            <w:pPr>
              <w:pStyle w:val="Table"/>
              <w:ind w:right="-3"/>
            </w:pPr>
            <w:r w:rsidRPr="00F81A2E">
              <w:t>0</w:t>
            </w:r>
          </w:p>
        </w:tc>
        <w:tc>
          <w:tcPr>
            <w:tcW w:w="1175" w:type="dxa"/>
          </w:tcPr>
          <w:p w14:paraId="7F7A8885" w14:textId="77777777" w:rsidR="00F81A2E" w:rsidRPr="00F81A2E" w:rsidRDefault="00F81A2E" w:rsidP="00CA0D72">
            <w:pPr>
              <w:pStyle w:val="Table"/>
              <w:ind w:right="-3"/>
            </w:pPr>
            <w:r w:rsidRPr="00F81A2E">
              <w:t>0</w:t>
            </w:r>
          </w:p>
        </w:tc>
        <w:tc>
          <w:tcPr>
            <w:tcW w:w="1175" w:type="dxa"/>
          </w:tcPr>
          <w:p w14:paraId="1AD46402" w14:textId="77777777" w:rsidR="00F81A2E" w:rsidRPr="00F81A2E" w:rsidRDefault="00F81A2E" w:rsidP="00CA0D72">
            <w:pPr>
              <w:pStyle w:val="Table"/>
              <w:ind w:right="-3"/>
            </w:pPr>
            <w:r w:rsidRPr="00F81A2E">
              <w:t>0</w:t>
            </w:r>
          </w:p>
        </w:tc>
        <w:tc>
          <w:tcPr>
            <w:tcW w:w="1175" w:type="dxa"/>
          </w:tcPr>
          <w:p w14:paraId="610D66C8" w14:textId="77777777" w:rsidR="00F81A2E" w:rsidRPr="00F81A2E" w:rsidRDefault="00F81A2E" w:rsidP="00CA0D72">
            <w:pPr>
              <w:pStyle w:val="Table"/>
              <w:ind w:right="-3"/>
            </w:pPr>
            <w:r w:rsidRPr="00F81A2E">
              <w:t>0</w:t>
            </w:r>
          </w:p>
        </w:tc>
        <w:tc>
          <w:tcPr>
            <w:tcW w:w="1175" w:type="dxa"/>
          </w:tcPr>
          <w:p w14:paraId="5A2D007D" w14:textId="77777777" w:rsidR="00F81A2E" w:rsidRPr="00F81A2E" w:rsidRDefault="00F81A2E" w:rsidP="00CA0D72">
            <w:pPr>
              <w:pStyle w:val="Table"/>
              <w:ind w:right="-3"/>
            </w:pPr>
            <w:r w:rsidRPr="00F81A2E">
              <w:t>0</w:t>
            </w:r>
          </w:p>
        </w:tc>
        <w:tc>
          <w:tcPr>
            <w:tcW w:w="1176" w:type="dxa"/>
          </w:tcPr>
          <w:p w14:paraId="0B78A297" w14:textId="77777777" w:rsidR="00F81A2E" w:rsidRPr="00F81A2E" w:rsidRDefault="00F81A2E" w:rsidP="00CA0D72">
            <w:pPr>
              <w:pStyle w:val="Table"/>
              <w:ind w:right="-3"/>
            </w:pPr>
            <w:r w:rsidRPr="00F81A2E">
              <w:t>0</w:t>
            </w:r>
          </w:p>
        </w:tc>
      </w:tr>
      <w:tr w:rsidR="00F81A2E" w:rsidRPr="00F81A2E" w14:paraId="2A09BF65" w14:textId="77777777" w:rsidTr="00F53196">
        <w:trPr>
          <w:trHeight w:val="227"/>
        </w:trPr>
        <w:tc>
          <w:tcPr>
            <w:tcW w:w="1175" w:type="dxa"/>
          </w:tcPr>
          <w:p w14:paraId="25679CAA" w14:textId="412CD661" w:rsidR="00F81A2E" w:rsidRPr="00F81A2E" w:rsidRDefault="00BC0ABE" w:rsidP="00CA0D72">
            <w:pPr>
              <w:pStyle w:val="Table"/>
              <w:ind w:right="-3"/>
            </w:pPr>
            <w:r w:rsidRPr="00F81A2E">
              <w:t>NT</w:t>
            </w:r>
          </w:p>
        </w:tc>
        <w:tc>
          <w:tcPr>
            <w:tcW w:w="1343" w:type="dxa"/>
          </w:tcPr>
          <w:p w14:paraId="12F1E9F2" w14:textId="77777777" w:rsidR="00F81A2E" w:rsidRPr="00F81A2E" w:rsidRDefault="00F81A2E" w:rsidP="00CA0D72">
            <w:pPr>
              <w:pStyle w:val="Table"/>
              <w:ind w:right="-3"/>
            </w:pPr>
            <w:r w:rsidRPr="00F81A2E">
              <w:t>%</w:t>
            </w:r>
          </w:p>
        </w:tc>
        <w:tc>
          <w:tcPr>
            <w:tcW w:w="1007" w:type="dxa"/>
          </w:tcPr>
          <w:p w14:paraId="65A8A7A1" w14:textId="77777777" w:rsidR="00F81A2E" w:rsidRPr="00F81A2E" w:rsidRDefault="00F81A2E" w:rsidP="00CA0D72">
            <w:pPr>
              <w:pStyle w:val="Table"/>
              <w:ind w:right="-3"/>
            </w:pPr>
            <w:r w:rsidRPr="00F81A2E">
              <w:t> </w:t>
            </w:r>
          </w:p>
        </w:tc>
        <w:tc>
          <w:tcPr>
            <w:tcW w:w="1175" w:type="dxa"/>
          </w:tcPr>
          <w:p w14:paraId="1233A69B" w14:textId="77777777" w:rsidR="00F81A2E" w:rsidRPr="00F81A2E" w:rsidRDefault="00F81A2E" w:rsidP="00CA0D72">
            <w:pPr>
              <w:pStyle w:val="Table"/>
              <w:ind w:right="-3"/>
            </w:pPr>
            <w:r w:rsidRPr="00F81A2E">
              <w:t> </w:t>
            </w:r>
          </w:p>
        </w:tc>
        <w:tc>
          <w:tcPr>
            <w:tcW w:w="1175" w:type="dxa"/>
          </w:tcPr>
          <w:p w14:paraId="628B36FD" w14:textId="77777777" w:rsidR="00F81A2E" w:rsidRPr="00F81A2E" w:rsidRDefault="00F81A2E" w:rsidP="00CA0D72">
            <w:pPr>
              <w:pStyle w:val="Table"/>
              <w:ind w:right="-3"/>
            </w:pPr>
            <w:r w:rsidRPr="00F81A2E">
              <w:t> </w:t>
            </w:r>
          </w:p>
        </w:tc>
        <w:tc>
          <w:tcPr>
            <w:tcW w:w="1175" w:type="dxa"/>
          </w:tcPr>
          <w:p w14:paraId="11C967F9" w14:textId="77777777" w:rsidR="00F81A2E" w:rsidRPr="00F81A2E" w:rsidRDefault="00F81A2E" w:rsidP="00CA0D72">
            <w:pPr>
              <w:pStyle w:val="Table"/>
              <w:ind w:right="-3"/>
            </w:pPr>
            <w:r w:rsidRPr="00F81A2E">
              <w:t> </w:t>
            </w:r>
          </w:p>
        </w:tc>
        <w:tc>
          <w:tcPr>
            <w:tcW w:w="1175" w:type="dxa"/>
          </w:tcPr>
          <w:p w14:paraId="76A669AF" w14:textId="77777777" w:rsidR="00F81A2E" w:rsidRPr="00F81A2E" w:rsidRDefault="00F81A2E" w:rsidP="00CA0D72">
            <w:pPr>
              <w:pStyle w:val="Table"/>
              <w:ind w:right="-3"/>
            </w:pPr>
            <w:r w:rsidRPr="00F81A2E">
              <w:t> </w:t>
            </w:r>
          </w:p>
        </w:tc>
        <w:tc>
          <w:tcPr>
            <w:tcW w:w="1175" w:type="dxa"/>
          </w:tcPr>
          <w:p w14:paraId="6931618C" w14:textId="77777777" w:rsidR="00F81A2E" w:rsidRPr="00F81A2E" w:rsidRDefault="00F81A2E" w:rsidP="00CA0D72">
            <w:pPr>
              <w:pStyle w:val="Table"/>
              <w:ind w:right="-3"/>
            </w:pPr>
            <w:r w:rsidRPr="00F81A2E">
              <w:t> </w:t>
            </w:r>
          </w:p>
        </w:tc>
        <w:tc>
          <w:tcPr>
            <w:tcW w:w="1175" w:type="dxa"/>
          </w:tcPr>
          <w:p w14:paraId="2678252E" w14:textId="77777777" w:rsidR="00F81A2E" w:rsidRPr="00F81A2E" w:rsidRDefault="00F81A2E" w:rsidP="00CA0D72">
            <w:pPr>
              <w:pStyle w:val="Table"/>
              <w:ind w:right="-3"/>
            </w:pPr>
            <w:r w:rsidRPr="00F81A2E">
              <w:t> </w:t>
            </w:r>
          </w:p>
        </w:tc>
        <w:tc>
          <w:tcPr>
            <w:tcW w:w="1175" w:type="dxa"/>
          </w:tcPr>
          <w:p w14:paraId="6A373012" w14:textId="77777777" w:rsidR="00F81A2E" w:rsidRPr="00F81A2E" w:rsidRDefault="00F81A2E" w:rsidP="00CA0D72">
            <w:pPr>
              <w:pStyle w:val="Table"/>
              <w:ind w:right="-3"/>
            </w:pPr>
            <w:r w:rsidRPr="00F81A2E">
              <w:t> </w:t>
            </w:r>
          </w:p>
        </w:tc>
        <w:tc>
          <w:tcPr>
            <w:tcW w:w="1175" w:type="dxa"/>
          </w:tcPr>
          <w:p w14:paraId="623C24FD" w14:textId="77777777" w:rsidR="00F81A2E" w:rsidRPr="00F81A2E" w:rsidRDefault="00F81A2E" w:rsidP="00CA0D72">
            <w:pPr>
              <w:pStyle w:val="Table"/>
              <w:ind w:right="-3"/>
            </w:pPr>
            <w:r w:rsidRPr="00F81A2E">
              <w:t> </w:t>
            </w:r>
          </w:p>
        </w:tc>
        <w:tc>
          <w:tcPr>
            <w:tcW w:w="1175" w:type="dxa"/>
          </w:tcPr>
          <w:p w14:paraId="3863E0D1" w14:textId="77777777" w:rsidR="00F81A2E" w:rsidRPr="00F81A2E" w:rsidRDefault="00F81A2E" w:rsidP="00CA0D72">
            <w:pPr>
              <w:pStyle w:val="Table"/>
              <w:ind w:right="-3"/>
            </w:pPr>
            <w:r w:rsidRPr="00F81A2E">
              <w:t> </w:t>
            </w:r>
          </w:p>
        </w:tc>
        <w:tc>
          <w:tcPr>
            <w:tcW w:w="1176" w:type="dxa"/>
          </w:tcPr>
          <w:p w14:paraId="6AB482C5" w14:textId="77777777" w:rsidR="00F81A2E" w:rsidRPr="00F81A2E" w:rsidRDefault="00F81A2E" w:rsidP="00CA0D72">
            <w:pPr>
              <w:pStyle w:val="Table"/>
              <w:ind w:right="-3"/>
            </w:pPr>
            <w:r w:rsidRPr="00F81A2E">
              <w:t> </w:t>
            </w:r>
          </w:p>
        </w:tc>
      </w:tr>
      <w:tr w:rsidR="00F81A2E" w:rsidRPr="00F81A2E" w14:paraId="1C163B14" w14:textId="77777777" w:rsidTr="00F53196">
        <w:trPr>
          <w:trHeight w:val="227"/>
        </w:trPr>
        <w:tc>
          <w:tcPr>
            <w:tcW w:w="1175" w:type="dxa"/>
          </w:tcPr>
          <w:p w14:paraId="53005AE2" w14:textId="7514CBDE" w:rsidR="00F81A2E" w:rsidRPr="00F81A2E" w:rsidRDefault="00BC0ABE" w:rsidP="00CA0D72">
            <w:pPr>
              <w:pStyle w:val="Table"/>
              <w:ind w:right="-3"/>
            </w:pPr>
            <w:r w:rsidRPr="00F81A2E">
              <w:t>NT</w:t>
            </w:r>
          </w:p>
        </w:tc>
        <w:tc>
          <w:tcPr>
            <w:tcW w:w="1343" w:type="dxa"/>
          </w:tcPr>
          <w:p w14:paraId="4FAB7E18" w14:textId="77777777" w:rsidR="00F81A2E" w:rsidRPr="00F81A2E" w:rsidRDefault="00F81A2E" w:rsidP="00CA0D72">
            <w:pPr>
              <w:pStyle w:val="Table"/>
              <w:ind w:right="-3"/>
            </w:pPr>
            <w:r w:rsidRPr="00F81A2E">
              <w:t>Total</w:t>
            </w:r>
          </w:p>
        </w:tc>
        <w:tc>
          <w:tcPr>
            <w:tcW w:w="1007" w:type="dxa"/>
          </w:tcPr>
          <w:p w14:paraId="01115170" w14:textId="77777777" w:rsidR="00F81A2E" w:rsidRPr="00F81A2E" w:rsidRDefault="00F81A2E" w:rsidP="00CA0D72">
            <w:pPr>
              <w:pStyle w:val="Table"/>
              <w:ind w:right="-3"/>
            </w:pPr>
            <w:r w:rsidRPr="00F81A2E">
              <w:t>1</w:t>
            </w:r>
          </w:p>
        </w:tc>
        <w:tc>
          <w:tcPr>
            <w:tcW w:w="1175" w:type="dxa"/>
          </w:tcPr>
          <w:p w14:paraId="106DECB0" w14:textId="77777777" w:rsidR="00F81A2E" w:rsidRPr="00F81A2E" w:rsidRDefault="00F81A2E" w:rsidP="00CA0D72">
            <w:pPr>
              <w:pStyle w:val="Table"/>
              <w:ind w:right="-3"/>
            </w:pPr>
            <w:r w:rsidRPr="00F81A2E">
              <w:t>4</w:t>
            </w:r>
          </w:p>
        </w:tc>
        <w:tc>
          <w:tcPr>
            <w:tcW w:w="1175" w:type="dxa"/>
          </w:tcPr>
          <w:p w14:paraId="641DDBDA" w14:textId="77777777" w:rsidR="00F81A2E" w:rsidRPr="00F81A2E" w:rsidRDefault="00F81A2E" w:rsidP="00CA0D72">
            <w:pPr>
              <w:pStyle w:val="Table"/>
              <w:ind w:right="-3"/>
            </w:pPr>
            <w:r w:rsidRPr="00F81A2E">
              <w:t>3</w:t>
            </w:r>
          </w:p>
        </w:tc>
        <w:tc>
          <w:tcPr>
            <w:tcW w:w="1175" w:type="dxa"/>
          </w:tcPr>
          <w:p w14:paraId="68881D36" w14:textId="77777777" w:rsidR="00F81A2E" w:rsidRPr="00F81A2E" w:rsidRDefault="00F81A2E" w:rsidP="00CA0D72">
            <w:pPr>
              <w:pStyle w:val="Table"/>
              <w:ind w:right="-3"/>
            </w:pPr>
            <w:r w:rsidRPr="00F81A2E">
              <w:t>5</w:t>
            </w:r>
          </w:p>
        </w:tc>
        <w:tc>
          <w:tcPr>
            <w:tcW w:w="1175" w:type="dxa"/>
          </w:tcPr>
          <w:p w14:paraId="48D58F23" w14:textId="77777777" w:rsidR="00F81A2E" w:rsidRPr="00F81A2E" w:rsidRDefault="00F81A2E" w:rsidP="00CA0D72">
            <w:pPr>
              <w:pStyle w:val="Table"/>
              <w:ind w:right="-3"/>
            </w:pPr>
            <w:r w:rsidRPr="00F81A2E">
              <w:t>1</w:t>
            </w:r>
          </w:p>
        </w:tc>
        <w:tc>
          <w:tcPr>
            <w:tcW w:w="1175" w:type="dxa"/>
          </w:tcPr>
          <w:p w14:paraId="43E1087B" w14:textId="77777777" w:rsidR="00F81A2E" w:rsidRPr="00F81A2E" w:rsidRDefault="00F81A2E" w:rsidP="00CA0D72">
            <w:pPr>
              <w:pStyle w:val="Table"/>
              <w:ind w:right="-3"/>
            </w:pPr>
            <w:r w:rsidRPr="00F81A2E">
              <w:t>0</w:t>
            </w:r>
          </w:p>
        </w:tc>
        <w:tc>
          <w:tcPr>
            <w:tcW w:w="1175" w:type="dxa"/>
          </w:tcPr>
          <w:p w14:paraId="2B0F3D90" w14:textId="77777777" w:rsidR="00F81A2E" w:rsidRPr="00F81A2E" w:rsidRDefault="00F81A2E" w:rsidP="00CA0D72">
            <w:pPr>
              <w:pStyle w:val="Table"/>
              <w:ind w:right="-3"/>
            </w:pPr>
            <w:r w:rsidRPr="00F81A2E">
              <w:t>7</w:t>
            </w:r>
          </w:p>
        </w:tc>
        <w:tc>
          <w:tcPr>
            <w:tcW w:w="1175" w:type="dxa"/>
          </w:tcPr>
          <w:p w14:paraId="02B97FDA" w14:textId="77777777" w:rsidR="00F81A2E" w:rsidRPr="00F81A2E" w:rsidRDefault="00F81A2E" w:rsidP="00CA0D72">
            <w:pPr>
              <w:pStyle w:val="Table"/>
              <w:ind w:right="-3"/>
            </w:pPr>
            <w:r w:rsidRPr="00F81A2E">
              <w:t>1</w:t>
            </w:r>
          </w:p>
        </w:tc>
        <w:tc>
          <w:tcPr>
            <w:tcW w:w="1175" w:type="dxa"/>
          </w:tcPr>
          <w:p w14:paraId="216A8D10" w14:textId="77777777" w:rsidR="00F81A2E" w:rsidRPr="00F81A2E" w:rsidRDefault="00F81A2E" w:rsidP="00CA0D72">
            <w:pPr>
              <w:pStyle w:val="Table"/>
              <w:ind w:right="-3"/>
            </w:pPr>
            <w:r w:rsidRPr="00F81A2E">
              <w:t>0</w:t>
            </w:r>
          </w:p>
        </w:tc>
        <w:tc>
          <w:tcPr>
            <w:tcW w:w="1175" w:type="dxa"/>
          </w:tcPr>
          <w:p w14:paraId="0FB26181" w14:textId="77777777" w:rsidR="00F81A2E" w:rsidRPr="00F81A2E" w:rsidRDefault="00F81A2E" w:rsidP="00CA0D72">
            <w:pPr>
              <w:pStyle w:val="Table"/>
              <w:ind w:right="-3"/>
            </w:pPr>
            <w:r w:rsidRPr="00F81A2E">
              <w:t>0</w:t>
            </w:r>
          </w:p>
        </w:tc>
        <w:tc>
          <w:tcPr>
            <w:tcW w:w="1176" w:type="dxa"/>
          </w:tcPr>
          <w:p w14:paraId="49534F4E" w14:textId="77777777" w:rsidR="00F81A2E" w:rsidRPr="00F81A2E" w:rsidRDefault="00F81A2E" w:rsidP="00CA0D72">
            <w:pPr>
              <w:pStyle w:val="Table"/>
              <w:ind w:right="-3"/>
            </w:pPr>
            <w:r w:rsidRPr="00F81A2E">
              <w:t>22</w:t>
            </w:r>
          </w:p>
        </w:tc>
      </w:tr>
      <w:tr w:rsidR="00F81A2E" w:rsidRPr="00F81A2E" w14:paraId="4F20F522" w14:textId="77777777" w:rsidTr="00F53196">
        <w:trPr>
          <w:trHeight w:val="227"/>
        </w:trPr>
        <w:tc>
          <w:tcPr>
            <w:tcW w:w="1175" w:type="dxa"/>
          </w:tcPr>
          <w:p w14:paraId="1BE53CA5" w14:textId="11138450" w:rsidR="00F81A2E" w:rsidRPr="00F81A2E" w:rsidRDefault="00BC0ABE" w:rsidP="00CA0D72">
            <w:pPr>
              <w:pStyle w:val="Table"/>
              <w:ind w:right="-3"/>
            </w:pPr>
            <w:r w:rsidRPr="00F81A2E">
              <w:t>NT</w:t>
            </w:r>
          </w:p>
        </w:tc>
        <w:tc>
          <w:tcPr>
            <w:tcW w:w="1343" w:type="dxa"/>
          </w:tcPr>
          <w:p w14:paraId="44543944" w14:textId="77777777" w:rsidR="00F81A2E" w:rsidRPr="00F81A2E" w:rsidRDefault="00F81A2E" w:rsidP="00CA0D72">
            <w:pPr>
              <w:pStyle w:val="Table"/>
              <w:ind w:right="-3"/>
            </w:pPr>
            <w:r w:rsidRPr="00F81A2E">
              <w:t>%</w:t>
            </w:r>
          </w:p>
        </w:tc>
        <w:tc>
          <w:tcPr>
            <w:tcW w:w="1007" w:type="dxa"/>
          </w:tcPr>
          <w:p w14:paraId="6E25CFCD" w14:textId="77777777" w:rsidR="00F81A2E" w:rsidRPr="00F81A2E" w:rsidRDefault="00F81A2E" w:rsidP="00CA0D72">
            <w:pPr>
              <w:pStyle w:val="Table"/>
              <w:ind w:right="-3"/>
            </w:pPr>
            <w:r w:rsidRPr="00F81A2E">
              <w:t>4.5</w:t>
            </w:r>
          </w:p>
        </w:tc>
        <w:tc>
          <w:tcPr>
            <w:tcW w:w="1175" w:type="dxa"/>
          </w:tcPr>
          <w:p w14:paraId="3BA1CD1B" w14:textId="77777777" w:rsidR="00F81A2E" w:rsidRPr="00F81A2E" w:rsidRDefault="00F81A2E" w:rsidP="00CA0D72">
            <w:pPr>
              <w:pStyle w:val="Table"/>
              <w:ind w:right="-3"/>
            </w:pPr>
            <w:r w:rsidRPr="00F81A2E">
              <w:t>18.2</w:t>
            </w:r>
          </w:p>
        </w:tc>
        <w:tc>
          <w:tcPr>
            <w:tcW w:w="1175" w:type="dxa"/>
          </w:tcPr>
          <w:p w14:paraId="4946525C" w14:textId="77777777" w:rsidR="00F81A2E" w:rsidRPr="00F81A2E" w:rsidRDefault="00F81A2E" w:rsidP="00CA0D72">
            <w:pPr>
              <w:pStyle w:val="Table"/>
              <w:ind w:right="-3"/>
            </w:pPr>
            <w:r w:rsidRPr="00F81A2E">
              <w:t>13.6</w:t>
            </w:r>
          </w:p>
        </w:tc>
        <w:tc>
          <w:tcPr>
            <w:tcW w:w="1175" w:type="dxa"/>
          </w:tcPr>
          <w:p w14:paraId="29D26D30" w14:textId="77777777" w:rsidR="00F81A2E" w:rsidRPr="00F81A2E" w:rsidRDefault="00F81A2E" w:rsidP="00CA0D72">
            <w:pPr>
              <w:pStyle w:val="Table"/>
              <w:ind w:right="-3"/>
            </w:pPr>
            <w:r w:rsidRPr="00F81A2E">
              <w:t>22.7</w:t>
            </w:r>
          </w:p>
        </w:tc>
        <w:tc>
          <w:tcPr>
            <w:tcW w:w="1175" w:type="dxa"/>
          </w:tcPr>
          <w:p w14:paraId="08B39525" w14:textId="77777777" w:rsidR="00F81A2E" w:rsidRPr="00F81A2E" w:rsidRDefault="00F81A2E" w:rsidP="00CA0D72">
            <w:pPr>
              <w:pStyle w:val="Table"/>
              <w:ind w:right="-3"/>
            </w:pPr>
            <w:r w:rsidRPr="00F81A2E">
              <w:t>4.5</w:t>
            </w:r>
          </w:p>
        </w:tc>
        <w:tc>
          <w:tcPr>
            <w:tcW w:w="1175" w:type="dxa"/>
          </w:tcPr>
          <w:p w14:paraId="6C6D6396" w14:textId="77777777" w:rsidR="00F81A2E" w:rsidRPr="00F81A2E" w:rsidRDefault="00F81A2E" w:rsidP="00CA0D72">
            <w:pPr>
              <w:pStyle w:val="Table"/>
              <w:ind w:right="-3"/>
            </w:pPr>
            <w:r w:rsidRPr="00F81A2E">
              <w:t>0</w:t>
            </w:r>
          </w:p>
        </w:tc>
        <w:tc>
          <w:tcPr>
            <w:tcW w:w="1175" w:type="dxa"/>
          </w:tcPr>
          <w:p w14:paraId="3B9265B5" w14:textId="77777777" w:rsidR="00F81A2E" w:rsidRPr="00F81A2E" w:rsidRDefault="00F81A2E" w:rsidP="00CA0D72">
            <w:pPr>
              <w:pStyle w:val="Table"/>
              <w:ind w:right="-3"/>
            </w:pPr>
            <w:r w:rsidRPr="00F81A2E">
              <w:t>31.8</w:t>
            </w:r>
          </w:p>
        </w:tc>
        <w:tc>
          <w:tcPr>
            <w:tcW w:w="1175" w:type="dxa"/>
          </w:tcPr>
          <w:p w14:paraId="7A54A01A" w14:textId="77777777" w:rsidR="00F81A2E" w:rsidRPr="00F81A2E" w:rsidRDefault="00F81A2E" w:rsidP="00CA0D72">
            <w:pPr>
              <w:pStyle w:val="Table"/>
              <w:ind w:right="-3"/>
            </w:pPr>
            <w:r w:rsidRPr="00F81A2E">
              <w:t>4.5</w:t>
            </w:r>
          </w:p>
        </w:tc>
        <w:tc>
          <w:tcPr>
            <w:tcW w:w="1175" w:type="dxa"/>
          </w:tcPr>
          <w:p w14:paraId="1B8EED00" w14:textId="77777777" w:rsidR="00F81A2E" w:rsidRPr="00F81A2E" w:rsidRDefault="00F81A2E" w:rsidP="00CA0D72">
            <w:pPr>
              <w:pStyle w:val="Table"/>
              <w:ind w:right="-3"/>
            </w:pPr>
            <w:r w:rsidRPr="00F81A2E">
              <w:t>0</w:t>
            </w:r>
          </w:p>
        </w:tc>
        <w:tc>
          <w:tcPr>
            <w:tcW w:w="1175" w:type="dxa"/>
          </w:tcPr>
          <w:p w14:paraId="5526CD86" w14:textId="77777777" w:rsidR="00F81A2E" w:rsidRPr="00F81A2E" w:rsidRDefault="00F81A2E" w:rsidP="00CA0D72">
            <w:pPr>
              <w:pStyle w:val="Table"/>
              <w:ind w:right="-3"/>
            </w:pPr>
            <w:r w:rsidRPr="00F81A2E">
              <w:t>0</w:t>
            </w:r>
          </w:p>
        </w:tc>
        <w:tc>
          <w:tcPr>
            <w:tcW w:w="1176" w:type="dxa"/>
          </w:tcPr>
          <w:p w14:paraId="4CA7742E" w14:textId="77777777" w:rsidR="00F81A2E" w:rsidRPr="00F81A2E" w:rsidRDefault="00F81A2E" w:rsidP="00CA0D72">
            <w:pPr>
              <w:pStyle w:val="Table"/>
              <w:ind w:right="-3"/>
            </w:pPr>
            <w:r w:rsidRPr="00F81A2E">
              <w:t> </w:t>
            </w:r>
          </w:p>
        </w:tc>
      </w:tr>
      <w:tr w:rsidR="00F81A2E" w:rsidRPr="00F81A2E" w14:paraId="379DC22D" w14:textId="77777777" w:rsidTr="00F53196">
        <w:trPr>
          <w:trHeight w:val="227"/>
        </w:trPr>
        <w:tc>
          <w:tcPr>
            <w:tcW w:w="1175" w:type="dxa"/>
          </w:tcPr>
          <w:p w14:paraId="3E68ECD2" w14:textId="77777777" w:rsidR="00F81A2E" w:rsidRPr="00F81A2E" w:rsidRDefault="00F81A2E" w:rsidP="00CA0D72">
            <w:pPr>
              <w:pStyle w:val="Table"/>
              <w:ind w:right="-3"/>
            </w:pPr>
            <w:r w:rsidRPr="00F81A2E">
              <w:t>QLD</w:t>
            </w:r>
          </w:p>
        </w:tc>
        <w:tc>
          <w:tcPr>
            <w:tcW w:w="1343" w:type="dxa"/>
          </w:tcPr>
          <w:p w14:paraId="5A521B77" w14:textId="77777777" w:rsidR="00F81A2E" w:rsidRPr="00F81A2E" w:rsidRDefault="00F81A2E" w:rsidP="00CA0D72">
            <w:pPr>
              <w:pStyle w:val="Table"/>
              <w:ind w:right="-3"/>
            </w:pPr>
            <w:r w:rsidRPr="00F81A2E">
              <w:t>Community Only</w:t>
            </w:r>
          </w:p>
        </w:tc>
        <w:tc>
          <w:tcPr>
            <w:tcW w:w="1007" w:type="dxa"/>
          </w:tcPr>
          <w:p w14:paraId="1AF482A5" w14:textId="77777777" w:rsidR="00F81A2E" w:rsidRPr="00F81A2E" w:rsidRDefault="00F81A2E" w:rsidP="00CA0D72">
            <w:pPr>
              <w:pStyle w:val="Table"/>
              <w:ind w:right="-3"/>
            </w:pPr>
            <w:r w:rsidRPr="00F81A2E">
              <w:t>6</w:t>
            </w:r>
          </w:p>
        </w:tc>
        <w:tc>
          <w:tcPr>
            <w:tcW w:w="1175" w:type="dxa"/>
          </w:tcPr>
          <w:p w14:paraId="3144A253" w14:textId="77777777" w:rsidR="00F81A2E" w:rsidRPr="00F81A2E" w:rsidRDefault="00F81A2E" w:rsidP="00CA0D72">
            <w:pPr>
              <w:pStyle w:val="Table"/>
              <w:ind w:right="-3"/>
            </w:pPr>
            <w:r w:rsidRPr="00F81A2E">
              <w:t>120</w:t>
            </w:r>
          </w:p>
        </w:tc>
        <w:tc>
          <w:tcPr>
            <w:tcW w:w="1175" w:type="dxa"/>
          </w:tcPr>
          <w:p w14:paraId="31140E57" w14:textId="77777777" w:rsidR="00F81A2E" w:rsidRPr="00F81A2E" w:rsidRDefault="00F81A2E" w:rsidP="00CA0D72">
            <w:pPr>
              <w:pStyle w:val="Table"/>
              <w:ind w:right="-3"/>
            </w:pPr>
            <w:r w:rsidRPr="00F81A2E">
              <w:t>4</w:t>
            </w:r>
          </w:p>
        </w:tc>
        <w:tc>
          <w:tcPr>
            <w:tcW w:w="1175" w:type="dxa"/>
          </w:tcPr>
          <w:p w14:paraId="6976DE51" w14:textId="77777777" w:rsidR="00F81A2E" w:rsidRPr="00F81A2E" w:rsidRDefault="00F81A2E" w:rsidP="00CA0D72">
            <w:pPr>
              <w:pStyle w:val="Table"/>
              <w:ind w:right="-3"/>
            </w:pPr>
            <w:r w:rsidRPr="00F81A2E">
              <w:t>3</w:t>
            </w:r>
          </w:p>
        </w:tc>
        <w:tc>
          <w:tcPr>
            <w:tcW w:w="1175" w:type="dxa"/>
          </w:tcPr>
          <w:p w14:paraId="103BCAE8" w14:textId="77777777" w:rsidR="00F81A2E" w:rsidRPr="00F81A2E" w:rsidRDefault="00F81A2E" w:rsidP="00CA0D72">
            <w:pPr>
              <w:pStyle w:val="Table"/>
              <w:ind w:right="-3"/>
            </w:pPr>
            <w:r w:rsidRPr="00F81A2E">
              <w:t>32</w:t>
            </w:r>
          </w:p>
        </w:tc>
        <w:tc>
          <w:tcPr>
            <w:tcW w:w="1175" w:type="dxa"/>
          </w:tcPr>
          <w:p w14:paraId="60E3D4F6" w14:textId="77777777" w:rsidR="00F81A2E" w:rsidRPr="00F81A2E" w:rsidRDefault="00F81A2E" w:rsidP="00CA0D72">
            <w:pPr>
              <w:pStyle w:val="Table"/>
              <w:ind w:right="-3"/>
            </w:pPr>
            <w:r w:rsidRPr="00F81A2E">
              <w:t>94</w:t>
            </w:r>
          </w:p>
        </w:tc>
        <w:tc>
          <w:tcPr>
            <w:tcW w:w="1175" w:type="dxa"/>
          </w:tcPr>
          <w:p w14:paraId="1F6DC16D" w14:textId="77777777" w:rsidR="00F81A2E" w:rsidRPr="00F81A2E" w:rsidRDefault="00F81A2E" w:rsidP="00CA0D72">
            <w:pPr>
              <w:pStyle w:val="Table"/>
              <w:ind w:right="-3"/>
            </w:pPr>
            <w:r w:rsidRPr="00F81A2E">
              <w:t>177</w:t>
            </w:r>
          </w:p>
        </w:tc>
        <w:tc>
          <w:tcPr>
            <w:tcW w:w="1175" w:type="dxa"/>
          </w:tcPr>
          <w:p w14:paraId="50A24731" w14:textId="77777777" w:rsidR="00F81A2E" w:rsidRPr="00F81A2E" w:rsidRDefault="00F81A2E" w:rsidP="00CA0D72">
            <w:pPr>
              <w:pStyle w:val="Table"/>
              <w:ind w:right="-3"/>
            </w:pPr>
            <w:r w:rsidRPr="00F81A2E">
              <w:t>62</w:t>
            </w:r>
          </w:p>
        </w:tc>
        <w:tc>
          <w:tcPr>
            <w:tcW w:w="1175" w:type="dxa"/>
          </w:tcPr>
          <w:p w14:paraId="7C91FF69" w14:textId="77777777" w:rsidR="00F81A2E" w:rsidRPr="00F81A2E" w:rsidRDefault="00F81A2E" w:rsidP="00CA0D72">
            <w:pPr>
              <w:pStyle w:val="Table"/>
              <w:ind w:right="-3"/>
            </w:pPr>
            <w:r w:rsidRPr="00F81A2E">
              <w:t>2</w:t>
            </w:r>
          </w:p>
        </w:tc>
        <w:tc>
          <w:tcPr>
            <w:tcW w:w="1175" w:type="dxa"/>
          </w:tcPr>
          <w:p w14:paraId="08004C78" w14:textId="77777777" w:rsidR="00F81A2E" w:rsidRPr="00F81A2E" w:rsidRDefault="00F81A2E" w:rsidP="00CA0D72">
            <w:pPr>
              <w:pStyle w:val="Table"/>
              <w:ind w:right="-3"/>
            </w:pPr>
            <w:r w:rsidRPr="00F81A2E">
              <w:t>2</w:t>
            </w:r>
          </w:p>
        </w:tc>
        <w:tc>
          <w:tcPr>
            <w:tcW w:w="1176" w:type="dxa"/>
          </w:tcPr>
          <w:p w14:paraId="0E824BAC" w14:textId="77777777" w:rsidR="00F81A2E" w:rsidRPr="00F81A2E" w:rsidRDefault="00F81A2E" w:rsidP="00CA0D72">
            <w:pPr>
              <w:pStyle w:val="Table"/>
              <w:ind w:right="-3"/>
            </w:pPr>
            <w:r w:rsidRPr="00F81A2E">
              <w:t>502</w:t>
            </w:r>
          </w:p>
        </w:tc>
      </w:tr>
      <w:tr w:rsidR="00F81A2E" w:rsidRPr="00F81A2E" w14:paraId="5E29BDF6" w14:textId="77777777" w:rsidTr="00F53196">
        <w:trPr>
          <w:trHeight w:val="227"/>
        </w:trPr>
        <w:tc>
          <w:tcPr>
            <w:tcW w:w="1175" w:type="dxa"/>
          </w:tcPr>
          <w:p w14:paraId="3A2F1722" w14:textId="3420B630" w:rsidR="00F81A2E" w:rsidRPr="00F81A2E" w:rsidRDefault="00BC0ABE" w:rsidP="00CA0D72">
            <w:pPr>
              <w:pStyle w:val="Table"/>
              <w:ind w:right="-3"/>
            </w:pPr>
            <w:r w:rsidRPr="00F81A2E">
              <w:t>QL</w:t>
            </w:r>
          </w:p>
        </w:tc>
        <w:tc>
          <w:tcPr>
            <w:tcW w:w="1343" w:type="dxa"/>
          </w:tcPr>
          <w:p w14:paraId="3B974493" w14:textId="77777777" w:rsidR="00F81A2E" w:rsidRPr="00F81A2E" w:rsidRDefault="00F81A2E" w:rsidP="00CA0D72">
            <w:pPr>
              <w:pStyle w:val="Table"/>
              <w:ind w:right="-3"/>
            </w:pPr>
            <w:r w:rsidRPr="00F81A2E">
              <w:t>%</w:t>
            </w:r>
          </w:p>
        </w:tc>
        <w:tc>
          <w:tcPr>
            <w:tcW w:w="1007" w:type="dxa"/>
          </w:tcPr>
          <w:p w14:paraId="352E9159" w14:textId="77777777" w:rsidR="00F81A2E" w:rsidRPr="00F81A2E" w:rsidRDefault="00F81A2E" w:rsidP="00CA0D72">
            <w:pPr>
              <w:pStyle w:val="Table"/>
              <w:ind w:right="-3"/>
            </w:pPr>
            <w:r w:rsidRPr="00F81A2E">
              <w:t>1.2</w:t>
            </w:r>
          </w:p>
        </w:tc>
        <w:tc>
          <w:tcPr>
            <w:tcW w:w="1175" w:type="dxa"/>
          </w:tcPr>
          <w:p w14:paraId="568AC3EB" w14:textId="77777777" w:rsidR="00F81A2E" w:rsidRPr="00F81A2E" w:rsidRDefault="00F81A2E" w:rsidP="00CA0D72">
            <w:pPr>
              <w:pStyle w:val="Table"/>
              <w:ind w:right="-3"/>
            </w:pPr>
            <w:r w:rsidRPr="00F81A2E">
              <w:t>23.9</w:t>
            </w:r>
          </w:p>
        </w:tc>
        <w:tc>
          <w:tcPr>
            <w:tcW w:w="1175" w:type="dxa"/>
          </w:tcPr>
          <w:p w14:paraId="248AFE3E" w14:textId="77777777" w:rsidR="00F81A2E" w:rsidRPr="00F81A2E" w:rsidRDefault="00F81A2E" w:rsidP="00CA0D72">
            <w:pPr>
              <w:pStyle w:val="Table"/>
              <w:ind w:right="-3"/>
            </w:pPr>
            <w:r w:rsidRPr="00F81A2E">
              <w:t>0.8</w:t>
            </w:r>
          </w:p>
        </w:tc>
        <w:tc>
          <w:tcPr>
            <w:tcW w:w="1175" w:type="dxa"/>
          </w:tcPr>
          <w:p w14:paraId="03484B45" w14:textId="77777777" w:rsidR="00F81A2E" w:rsidRPr="00F81A2E" w:rsidRDefault="00F81A2E" w:rsidP="00CA0D72">
            <w:pPr>
              <w:pStyle w:val="Table"/>
              <w:ind w:right="-3"/>
            </w:pPr>
            <w:r w:rsidRPr="00F81A2E">
              <w:t>0.6</w:t>
            </w:r>
          </w:p>
        </w:tc>
        <w:tc>
          <w:tcPr>
            <w:tcW w:w="1175" w:type="dxa"/>
          </w:tcPr>
          <w:p w14:paraId="077C5922" w14:textId="77777777" w:rsidR="00F81A2E" w:rsidRPr="00F81A2E" w:rsidRDefault="00F81A2E" w:rsidP="00CA0D72">
            <w:pPr>
              <w:pStyle w:val="Table"/>
              <w:ind w:right="-3"/>
            </w:pPr>
            <w:r w:rsidRPr="00F81A2E">
              <w:t>6.4</w:t>
            </w:r>
          </w:p>
        </w:tc>
        <w:tc>
          <w:tcPr>
            <w:tcW w:w="1175" w:type="dxa"/>
          </w:tcPr>
          <w:p w14:paraId="48741045" w14:textId="77777777" w:rsidR="00F81A2E" w:rsidRPr="00F81A2E" w:rsidRDefault="00F81A2E" w:rsidP="00CA0D72">
            <w:pPr>
              <w:pStyle w:val="Table"/>
              <w:ind w:right="-3"/>
            </w:pPr>
            <w:r w:rsidRPr="00F81A2E">
              <w:t>18.7</w:t>
            </w:r>
          </w:p>
        </w:tc>
        <w:tc>
          <w:tcPr>
            <w:tcW w:w="1175" w:type="dxa"/>
          </w:tcPr>
          <w:p w14:paraId="27A10A44" w14:textId="77777777" w:rsidR="00F81A2E" w:rsidRPr="00F81A2E" w:rsidRDefault="00F81A2E" w:rsidP="00CA0D72">
            <w:pPr>
              <w:pStyle w:val="Table"/>
              <w:ind w:right="-3"/>
            </w:pPr>
            <w:r w:rsidRPr="00F81A2E">
              <w:t>35.3</w:t>
            </w:r>
          </w:p>
        </w:tc>
        <w:tc>
          <w:tcPr>
            <w:tcW w:w="1175" w:type="dxa"/>
          </w:tcPr>
          <w:p w14:paraId="681389C6" w14:textId="77777777" w:rsidR="00F81A2E" w:rsidRPr="00F81A2E" w:rsidRDefault="00F81A2E" w:rsidP="00CA0D72">
            <w:pPr>
              <w:pStyle w:val="Table"/>
              <w:ind w:right="-3"/>
            </w:pPr>
            <w:r w:rsidRPr="00F81A2E">
              <w:t>12.4</w:t>
            </w:r>
          </w:p>
        </w:tc>
        <w:tc>
          <w:tcPr>
            <w:tcW w:w="1175" w:type="dxa"/>
          </w:tcPr>
          <w:p w14:paraId="50995E2D" w14:textId="77777777" w:rsidR="00F81A2E" w:rsidRPr="00F81A2E" w:rsidRDefault="00F81A2E" w:rsidP="00CA0D72">
            <w:pPr>
              <w:pStyle w:val="Table"/>
              <w:ind w:right="-3"/>
            </w:pPr>
            <w:r w:rsidRPr="00F81A2E">
              <w:t>0.4</w:t>
            </w:r>
          </w:p>
        </w:tc>
        <w:tc>
          <w:tcPr>
            <w:tcW w:w="1175" w:type="dxa"/>
          </w:tcPr>
          <w:p w14:paraId="26BEB7BF" w14:textId="77777777" w:rsidR="00F81A2E" w:rsidRPr="00F81A2E" w:rsidRDefault="00F81A2E" w:rsidP="00CA0D72">
            <w:pPr>
              <w:pStyle w:val="Table"/>
              <w:ind w:right="-3"/>
            </w:pPr>
            <w:r w:rsidRPr="00F81A2E">
              <w:t>0.4</w:t>
            </w:r>
          </w:p>
        </w:tc>
        <w:tc>
          <w:tcPr>
            <w:tcW w:w="1176" w:type="dxa"/>
          </w:tcPr>
          <w:p w14:paraId="7D9BD43A" w14:textId="77777777" w:rsidR="00F81A2E" w:rsidRPr="00F81A2E" w:rsidRDefault="00F81A2E" w:rsidP="00CA0D72">
            <w:pPr>
              <w:pStyle w:val="Table"/>
              <w:ind w:right="-3"/>
            </w:pPr>
            <w:r w:rsidRPr="00F81A2E">
              <w:t> </w:t>
            </w:r>
          </w:p>
        </w:tc>
      </w:tr>
      <w:tr w:rsidR="00F81A2E" w:rsidRPr="00F81A2E" w14:paraId="6410781B" w14:textId="77777777" w:rsidTr="00F53196">
        <w:trPr>
          <w:trHeight w:val="227"/>
        </w:trPr>
        <w:tc>
          <w:tcPr>
            <w:tcW w:w="1175" w:type="dxa"/>
          </w:tcPr>
          <w:p w14:paraId="0269812E" w14:textId="4584E334" w:rsidR="00F81A2E" w:rsidRPr="00F81A2E" w:rsidRDefault="00BC0ABE" w:rsidP="00CA0D72">
            <w:pPr>
              <w:pStyle w:val="Table"/>
              <w:ind w:right="-3"/>
            </w:pPr>
            <w:r w:rsidRPr="00F81A2E">
              <w:t>QL</w:t>
            </w:r>
          </w:p>
        </w:tc>
        <w:tc>
          <w:tcPr>
            <w:tcW w:w="1343" w:type="dxa"/>
          </w:tcPr>
          <w:p w14:paraId="248D6A06" w14:textId="77777777" w:rsidR="00F81A2E" w:rsidRPr="00F81A2E" w:rsidRDefault="00F81A2E" w:rsidP="00CA0D72">
            <w:pPr>
              <w:pStyle w:val="Table"/>
              <w:ind w:right="-3"/>
            </w:pPr>
            <w:r w:rsidRPr="00F81A2E">
              <w:t>Residential Only</w:t>
            </w:r>
          </w:p>
        </w:tc>
        <w:tc>
          <w:tcPr>
            <w:tcW w:w="1007" w:type="dxa"/>
          </w:tcPr>
          <w:p w14:paraId="60293761" w14:textId="77777777" w:rsidR="00F81A2E" w:rsidRPr="00F81A2E" w:rsidRDefault="00F81A2E" w:rsidP="00CA0D72">
            <w:pPr>
              <w:pStyle w:val="Table"/>
              <w:ind w:right="-3"/>
            </w:pPr>
            <w:r w:rsidRPr="00F81A2E">
              <w:t>1</w:t>
            </w:r>
          </w:p>
        </w:tc>
        <w:tc>
          <w:tcPr>
            <w:tcW w:w="1175" w:type="dxa"/>
          </w:tcPr>
          <w:p w14:paraId="283E74DB" w14:textId="77777777" w:rsidR="00F81A2E" w:rsidRPr="00F81A2E" w:rsidRDefault="00F81A2E" w:rsidP="00CA0D72">
            <w:pPr>
              <w:pStyle w:val="Table"/>
              <w:ind w:right="-3"/>
            </w:pPr>
            <w:r w:rsidRPr="00F81A2E">
              <w:t>7</w:t>
            </w:r>
          </w:p>
        </w:tc>
        <w:tc>
          <w:tcPr>
            <w:tcW w:w="1175" w:type="dxa"/>
          </w:tcPr>
          <w:p w14:paraId="7F15CF9E" w14:textId="77777777" w:rsidR="00F81A2E" w:rsidRPr="00F81A2E" w:rsidRDefault="00F81A2E" w:rsidP="00CA0D72">
            <w:pPr>
              <w:pStyle w:val="Table"/>
              <w:ind w:right="-3"/>
            </w:pPr>
            <w:r w:rsidRPr="00F81A2E">
              <w:t>0</w:t>
            </w:r>
          </w:p>
        </w:tc>
        <w:tc>
          <w:tcPr>
            <w:tcW w:w="1175" w:type="dxa"/>
          </w:tcPr>
          <w:p w14:paraId="02CAED58" w14:textId="77777777" w:rsidR="00F81A2E" w:rsidRPr="00F81A2E" w:rsidRDefault="00F81A2E" w:rsidP="00CA0D72">
            <w:pPr>
              <w:pStyle w:val="Table"/>
              <w:ind w:right="-3"/>
            </w:pPr>
            <w:r w:rsidRPr="00F81A2E">
              <w:t>1</w:t>
            </w:r>
          </w:p>
        </w:tc>
        <w:tc>
          <w:tcPr>
            <w:tcW w:w="1175" w:type="dxa"/>
          </w:tcPr>
          <w:p w14:paraId="3DFFEFB5" w14:textId="77777777" w:rsidR="00F81A2E" w:rsidRPr="00F81A2E" w:rsidRDefault="00F81A2E" w:rsidP="00CA0D72">
            <w:pPr>
              <w:pStyle w:val="Table"/>
              <w:ind w:right="-3"/>
            </w:pPr>
            <w:r w:rsidRPr="00F81A2E">
              <w:t>0</w:t>
            </w:r>
          </w:p>
        </w:tc>
        <w:tc>
          <w:tcPr>
            <w:tcW w:w="1175" w:type="dxa"/>
          </w:tcPr>
          <w:p w14:paraId="1E9BC913" w14:textId="77777777" w:rsidR="00F81A2E" w:rsidRPr="00F81A2E" w:rsidRDefault="00F81A2E" w:rsidP="00CA0D72">
            <w:pPr>
              <w:pStyle w:val="Table"/>
              <w:ind w:right="-3"/>
            </w:pPr>
            <w:r w:rsidRPr="00F81A2E">
              <w:t>1</w:t>
            </w:r>
          </w:p>
        </w:tc>
        <w:tc>
          <w:tcPr>
            <w:tcW w:w="1175" w:type="dxa"/>
          </w:tcPr>
          <w:p w14:paraId="597DB1F8" w14:textId="77777777" w:rsidR="00F81A2E" w:rsidRPr="00F81A2E" w:rsidRDefault="00F81A2E" w:rsidP="00CA0D72">
            <w:pPr>
              <w:pStyle w:val="Table"/>
              <w:ind w:right="-3"/>
            </w:pPr>
            <w:r w:rsidRPr="00F81A2E">
              <w:t>0</w:t>
            </w:r>
          </w:p>
        </w:tc>
        <w:tc>
          <w:tcPr>
            <w:tcW w:w="1175" w:type="dxa"/>
          </w:tcPr>
          <w:p w14:paraId="46216FA7" w14:textId="77777777" w:rsidR="00F81A2E" w:rsidRPr="00F81A2E" w:rsidRDefault="00F81A2E" w:rsidP="00CA0D72">
            <w:pPr>
              <w:pStyle w:val="Table"/>
              <w:ind w:right="-3"/>
            </w:pPr>
            <w:r w:rsidRPr="00F81A2E">
              <w:t>0</w:t>
            </w:r>
          </w:p>
        </w:tc>
        <w:tc>
          <w:tcPr>
            <w:tcW w:w="1175" w:type="dxa"/>
          </w:tcPr>
          <w:p w14:paraId="0BC53D7A" w14:textId="77777777" w:rsidR="00F81A2E" w:rsidRPr="00F81A2E" w:rsidRDefault="00F81A2E" w:rsidP="00CA0D72">
            <w:pPr>
              <w:pStyle w:val="Table"/>
              <w:ind w:right="-3"/>
            </w:pPr>
            <w:r w:rsidRPr="00F81A2E">
              <w:t>0</w:t>
            </w:r>
          </w:p>
        </w:tc>
        <w:tc>
          <w:tcPr>
            <w:tcW w:w="1175" w:type="dxa"/>
          </w:tcPr>
          <w:p w14:paraId="28D422B3" w14:textId="77777777" w:rsidR="00F81A2E" w:rsidRPr="00F81A2E" w:rsidRDefault="00F81A2E" w:rsidP="00CA0D72">
            <w:pPr>
              <w:pStyle w:val="Table"/>
              <w:ind w:right="-3"/>
            </w:pPr>
            <w:r w:rsidRPr="00F81A2E">
              <w:t>0</w:t>
            </w:r>
          </w:p>
        </w:tc>
        <w:tc>
          <w:tcPr>
            <w:tcW w:w="1176" w:type="dxa"/>
          </w:tcPr>
          <w:p w14:paraId="6D43FB66" w14:textId="77777777" w:rsidR="00F81A2E" w:rsidRPr="00F81A2E" w:rsidRDefault="00F81A2E" w:rsidP="00CA0D72">
            <w:pPr>
              <w:pStyle w:val="Table"/>
              <w:ind w:right="-3"/>
            </w:pPr>
            <w:r w:rsidRPr="00F81A2E">
              <w:t>10</w:t>
            </w:r>
          </w:p>
        </w:tc>
      </w:tr>
      <w:tr w:rsidR="00F81A2E" w:rsidRPr="00F81A2E" w14:paraId="42D2A51C" w14:textId="77777777" w:rsidTr="00F53196">
        <w:trPr>
          <w:trHeight w:val="227"/>
        </w:trPr>
        <w:tc>
          <w:tcPr>
            <w:tcW w:w="1175" w:type="dxa"/>
          </w:tcPr>
          <w:p w14:paraId="66DC8DFB" w14:textId="0EEDD21E" w:rsidR="00F81A2E" w:rsidRPr="00F81A2E" w:rsidRDefault="00BC0ABE" w:rsidP="00CA0D72">
            <w:pPr>
              <w:pStyle w:val="Table"/>
              <w:ind w:right="-3"/>
            </w:pPr>
            <w:r w:rsidRPr="00F81A2E">
              <w:t>QL</w:t>
            </w:r>
          </w:p>
        </w:tc>
        <w:tc>
          <w:tcPr>
            <w:tcW w:w="1343" w:type="dxa"/>
          </w:tcPr>
          <w:p w14:paraId="363FBEC9" w14:textId="77777777" w:rsidR="00F81A2E" w:rsidRPr="00F81A2E" w:rsidRDefault="00F81A2E" w:rsidP="00CA0D72">
            <w:pPr>
              <w:pStyle w:val="Table"/>
              <w:ind w:right="-3"/>
            </w:pPr>
            <w:r w:rsidRPr="00F81A2E">
              <w:t>%</w:t>
            </w:r>
          </w:p>
        </w:tc>
        <w:tc>
          <w:tcPr>
            <w:tcW w:w="1007" w:type="dxa"/>
          </w:tcPr>
          <w:p w14:paraId="4686EE60" w14:textId="77777777" w:rsidR="00F81A2E" w:rsidRPr="00F81A2E" w:rsidRDefault="00F81A2E" w:rsidP="00CA0D72">
            <w:pPr>
              <w:pStyle w:val="Table"/>
              <w:ind w:right="-3"/>
            </w:pPr>
            <w:r w:rsidRPr="00F81A2E">
              <w:t>10</w:t>
            </w:r>
          </w:p>
        </w:tc>
        <w:tc>
          <w:tcPr>
            <w:tcW w:w="1175" w:type="dxa"/>
          </w:tcPr>
          <w:p w14:paraId="4173AC0C" w14:textId="77777777" w:rsidR="00F81A2E" w:rsidRPr="00F81A2E" w:rsidRDefault="00F81A2E" w:rsidP="00CA0D72">
            <w:pPr>
              <w:pStyle w:val="Table"/>
              <w:ind w:right="-3"/>
            </w:pPr>
            <w:r w:rsidRPr="00F81A2E">
              <w:t>70</w:t>
            </w:r>
          </w:p>
        </w:tc>
        <w:tc>
          <w:tcPr>
            <w:tcW w:w="1175" w:type="dxa"/>
          </w:tcPr>
          <w:p w14:paraId="0D9C13AA" w14:textId="77777777" w:rsidR="00F81A2E" w:rsidRPr="00F81A2E" w:rsidRDefault="00F81A2E" w:rsidP="00CA0D72">
            <w:pPr>
              <w:pStyle w:val="Table"/>
              <w:ind w:right="-3"/>
            </w:pPr>
            <w:r w:rsidRPr="00F81A2E">
              <w:t>0</w:t>
            </w:r>
          </w:p>
        </w:tc>
        <w:tc>
          <w:tcPr>
            <w:tcW w:w="1175" w:type="dxa"/>
          </w:tcPr>
          <w:p w14:paraId="37AB294A" w14:textId="77777777" w:rsidR="00F81A2E" w:rsidRPr="00F81A2E" w:rsidRDefault="00F81A2E" w:rsidP="00CA0D72">
            <w:pPr>
              <w:pStyle w:val="Table"/>
              <w:ind w:right="-3"/>
            </w:pPr>
            <w:r w:rsidRPr="00F81A2E">
              <w:t>10</w:t>
            </w:r>
          </w:p>
        </w:tc>
        <w:tc>
          <w:tcPr>
            <w:tcW w:w="1175" w:type="dxa"/>
          </w:tcPr>
          <w:p w14:paraId="3C5BCF21" w14:textId="77777777" w:rsidR="00F81A2E" w:rsidRPr="00F81A2E" w:rsidRDefault="00F81A2E" w:rsidP="00CA0D72">
            <w:pPr>
              <w:pStyle w:val="Table"/>
              <w:ind w:right="-3"/>
            </w:pPr>
            <w:r w:rsidRPr="00F81A2E">
              <w:t>0</w:t>
            </w:r>
          </w:p>
        </w:tc>
        <w:tc>
          <w:tcPr>
            <w:tcW w:w="1175" w:type="dxa"/>
          </w:tcPr>
          <w:p w14:paraId="2925F743" w14:textId="77777777" w:rsidR="00F81A2E" w:rsidRPr="00F81A2E" w:rsidRDefault="00F81A2E" w:rsidP="00CA0D72">
            <w:pPr>
              <w:pStyle w:val="Table"/>
              <w:ind w:right="-3"/>
            </w:pPr>
            <w:r w:rsidRPr="00F81A2E">
              <w:t>10</w:t>
            </w:r>
          </w:p>
        </w:tc>
        <w:tc>
          <w:tcPr>
            <w:tcW w:w="1175" w:type="dxa"/>
          </w:tcPr>
          <w:p w14:paraId="308B89C0" w14:textId="77777777" w:rsidR="00F81A2E" w:rsidRPr="00F81A2E" w:rsidRDefault="00F81A2E" w:rsidP="00CA0D72">
            <w:pPr>
              <w:pStyle w:val="Table"/>
              <w:ind w:right="-3"/>
            </w:pPr>
            <w:r w:rsidRPr="00F81A2E">
              <w:t>0</w:t>
            </w:r>
          </w:p>
        </w:tc>
        <w:tc>
          <w:tcPr>
            <w:tcW w:w="1175" w:type="dxa"/>
          </w:tcPr>
          <w:p w14:paraId="74305E5E" w14:textId="77777777" w:rsidR="00F81A2E" w:rsidRPr="00F81A2E" w:rsidRDefault="00F81A2E" w:rsidP="00CA0D72">
            <w:pPr>
              <w:pStyle w:val="Table"/>
              <w:ind w:right="-3"/>
            </w:pPr>
            <w:r w:rsidRPr="00F81A2E">
              <w:t>0</w:t>
            </w:r>
          </w:p>
        </w:tc>
        <w:tc>
          <w:tcPr>
            <w:tcW w:w="1175" w:type="dxa"/>
          </w:tcPr>
          <w:p w14:paraId="7EA13142" w14:textId="77777777" w:rsidR="00F81A2E" w:rsidRPr="00F81A2E" w:rsidRDefault="00F81A2E" w:rsidP="00CA0D72">
            <w:pPr>
              <w:pStyle w:val="Table"/>
              <w:ind w:right="-3"/>
            </w:pPr>
            <w:r w:rsidRPr="00F81A2E">
              <w:t>0</w:t>
            </w:r>
          </w:p>
        </w:tc>
        <w:tc>
          <w:tcPr>
            <w:tcW w:w="1175" w:type="dxa"/>
          </w:tcPr>
          <w:p w14:paraId="08EBAD96" w14:textId="77777777" w:rsidR="00F81A2E" w:rsidRPr="00F81A2E" w:rsidRDefault="00F81A2E" w:rsidP="00CA0D72">
            <w:pPr>
              <w:pStyle w:val="Table"/>
              <w:ind w:right="-3"/>
            </w:pPr>
            <w:r w:rsidRPr="00F81A2E">
              <w:t>0</w:t>
            </w:r>
          </w:p>
        </w:tc>
        <w:tc>
          <w:tcPr>
            <w:tcW w:w="1176" w:type="dxa"/>
          </w:tcPr>
          <w:p w14:paraId="546F09AA" w14:textId="77777777" w:rsidR="00F81A2E" w:rsidRPr="00F81A2E" w:rsidRDefault="00F81A2E" w:rsidP="00CA0D72">
            <w:pPr>
              <w:pStyle w:val="Table"/>
              <w:ind w:right="-3"/>
            </w:pPr>
            <w:r w:rsidRPr="00F81A2E">
              <w:t> </w:t>
            </w:r>
          </w:p>
        </w:tc>
      </w:tr>
      <w:tr w:rsidR="00F81A2E" w:rsidRPr="00F81A2E" w14:paraId="588E3C64" w14:textId="77777777" w:rsidTr="00F53196">
        <w:trPr>
          <w:trHeight w:val="227"/>
        </w:trPr>
        <w:tc>
          <w:tcPr>
            <w:tcW w:w="1175" w:type="dxa"/>
          </w:tcPr>
          <w:p w14:paraId="261501A9" w14:textId="7BB1FC34" w:rsidR="00F81A2E" w:rsidRPr="00F81A2E" w:rsidRDefault="00BC0ABE" w:rsidP="00CA0D72">
            <w:pPr>
              <w:pStyle w:val="Table"/>
              <w:ind w:right="-3"/>
            </w:pPr>
            <w:r w:rsidRPr="00F81A2E">
              <w:t>QL</w:t>
            </w:r>
          </w:p>
        </w:tc>
        <w:tc>
          <w:tcPr>
            <w:tcW w:w="1343" w:type="dxa"/>
          </w:tcPr>
          <w:p w14:paraId="0EED65BF" w14:textId="77777777" w:rsidR="00F81A2E" w:rsidRPr="00F81A2E" w:rsidRDefault="00F81A2E" w:rsidP="00CA0D72">
            <w:pPr>
              <w:pStyle w:val="Table"/>
              <w:ind w:right="-3"/>
            </w:pPr>
            <w:r w:rsidRPr="00F81A2E">
              <w:t>Combination</w:t>
            </w:r>
          </w:p>
        </w:tc>
        <w:tc>
          <w:tcPr>
            <w:tcW w:w="1007" w:type="dxa"/>
          </w:tcPr>
          <w:p w14:paraId="44651073" w14:textId="77777777" w:rsidR="00F81A2E" w:rsidRPr="00F81A2E" w:rsidRDefault="00F81A2E" w:rsidP="00CA0D72">
            <w:pPr>
              <w:pStyle w:val="Table"/>
              <w:ind w:right="-3"/>
            </w:pPr>
            <w:r w:rsidRPr="00F81A2E">
              <w:t>0</w:t>
            </w:r>
          </w:p>
        </w:tc>
        <w:tc>
          <w:tcPr>
            <w:tcW w:w="1175" w:type="dxa"/>
          </w:tcPr>
          <w:p w14:paraId="7434F13A" w14:textId="77777777" w:rsidR="00F81A2E" w:rsidRPr="00F81A2E" w:rsidRDefault="00F81A2E" w:rsidP="00CA0D72">
            <w:pPr>
              <w:pStyle w:val="Table"/>
              <w:ind w:right="-3"/>
            </w:pPr>
            <w:r w:rsidRPr="00F81A2E">
              <w:t>1</w:t>
            </w:r>
          </w:p>
        </w:tc>
        <w:tc>
          <w:tcPr>
            <w:tcW w:w="1175" w:type="dxa"/>
          </w:tcPr>
          <w:p w14:paraId="2E173C07" w14:textId="77777777" w:rsidR="00F81A2E" w:rsidRPr="00F81A2E" w:rsidRDefault="00F81A2E" w:rsidP="00CA0D72">
            <w:pPr>
              <w:pStyle w:val="Table"/>
              <w:ind w:right="-3"/>
            </w:pPr>
            <w:r w:rsidRPr="00F81A2E">
              <w:t>0</w:t>
            </w:r>
          </w:p>
        </w:tc>
        <w:tc>
          <w:tcPr>
            <w:tcW w:w="1175" w:type="dxa"/>
          </w:tcPr>
          <w:p w14:paraId="4C66990E" w14:textId="77777777" w:rsidR="00F81A2E" w:rsidRPr="00F81A2E" w:rsidRDefault="00F81A2E" w:rsidP="00CA0D72">
            <w:pPr>
              <w:pStyle w:val="Table"/>
              <w:ind w:right="-3"/>
            </w:pPr>
            <w:r w:rsidRPr="00F81A2E">
              <w:t>0</w:t>
            </w:r>
          </w:p>
        </w:tc>
        <w:tc>
          <w:tcPr>
            <w:tcW w:w="1175" w:type="dxa"/>
          </w:tcPr>
          <w:p w14:paraId="170A96FD" w14:textId="77777777" w:rsidR="00F81A2E" w:rsidRPr="00F81A2E" w:rsidRDefault="00F81A2E" w:rsidP="00CA0D72">
            <w:pPr>
              <w:pStyle w:val="Table"/>
              <w:ind w:right="-3"/>
            </w:pPr>
            <w:r w:rsidRPr="00F81A2E">
              <w:t>2</w:t>
            </w:r>
          </w:p>
        </w:tc>
        <w:tc>
          <w:tcPr>
            <w:tcW w:w="1175" w:type="dxa"/>
          </w:tcPr>
          <w:p w14:paraId="0C4F26C7" w14:textId="77777777" w:rsidR="00F81A2E" w:rsidRPr="00F81A2E" w:rsidRDefault="00F81A2E" w:rsidP="00CA0D72">
            <w:pPr>
              <w:pStyle w:val="Table"/>
              <w:ind w:right="-3"/>
            </w:pPr>
            <w:r w:rsidRPr="00F81A2E">
              <w:t>2</w:t>
            </w:r>
          </w:p>
        </w:tc>
        <w:tc>
          <w:tcPr>
            <w:tcW w:w="1175" w:type="dxa"/>
          </w:tcPr>
          <w:p w14:paraId="538F62FA" w14:textId="77777777" w:rsidR="00F81A2E" w:rsidRPr="00F81A2E" w:rsidRDefault="00F81A2E" w:rsidP="00CA0D72">
            <w:pPr>
              <w:pStyle w:val="Table"/>
              <w:ind w:right="-3"/>
            </w:pPr>
            <w:r w:rsidRPr="00F81A2E">
              <w:t>4</w:t>
            </w:r>
          </w:p>
        </w:tc>
        <w:tc>
          <w:tcPr>
            <w:tcW w:w="1175" w:type="dxa"/>
          </w:tcPr>
          <w:p w14:paraId="3ED503FC" w14:textId="77777777" w:rsidR="00F81A2E" w:rsidRPr="00F81A2E" w:rsidRDefault="00F81A2E" w:rsidP="00CA0D72">
            <w:pPr>
              <w:pStyle w:val="Table"/>
              <w:ind w:right="-3"/>
            </w:pPr>
            <w:r w:rsidRPr="00F81A2E">
              <w:t>0</w:t>
            </w:r>
          </w:p>
        </w:tc>
        <w:tc>
          <w:tcPr>
            <w:tcW w:w="1175" w:type="dxa"/>
          </w:tcPr>
          <w:p w14:paraId="0D06BB5C" w14:textId="77777777" w:rsidR="00F81A2E" w:rsidRPr="00F81A2E" w:rsidRDefault="00F81A2E" w:rsidP="00CA0D72">
            <w:pPr>
              <w:pStyle w:val="Table"/>
              <w:ind w:right="-3"/>
            </w:pPr>
            <w:r w:rsidRPr="00F81A2E">
              <w:t>0</w:t>
            </w:r>
          </w:p>
        </w:tc>
        <w:tc>
          <w:tcPr>
            <w:tcW w:w="1175" w:type="dxa"/>
          </w:tcPr>
          <w:p w14:paraId="564E5F9C" w14:textId="77777777" w:rsidR="00F81A2E" w:rsidRPr="00F81A2E" w:rsidRDefault="00F81A2E" w:rsidP="00CA0D72">
            <w:pPr>
              <w:pStyle w:val="Table"/>
              <w:ind w:right="-3"/>
            </w:pPr>
            <w:r w:rsidRPr="00F81A2E">
              <w:t>0</w:t>
            </w:r>
          </w:p>
        </w:tc>
        <w:tc>
          <w:tcPr>
            <w:tcW w:w="1176" w:type="dxa"/>
          </w:tcPr>
          <w:p w14:paraId="17B6BD70" w14:textId="77777777" w:rsidR="00F81A2E" w:rsidRPr="00F81A2E" w:rsidRDefault="00F81A2E" w:rsidP="00CA0D72">
            <w:pPr>
              <w:pStyle w:val="Table"/>
              <w:ind w:right="-3"/>
            </w:pPr>
            <w:r w:rsidRPr="00F81A2E">
              <w:t>9</w:t>
            </w:r>
          </w:p>
        </w:tc>
      </w:tr>
      <w:tr w:rsidR="00F81A2E" w:rsidRPr="00F81A2E" w14:paraId="5602B6B4" w14:textId="77777777" w:rsidTr="00F53196">
        <w:trPr>
          <w:trHeight w:val="227"/>
        </w:trPr>
        <w:tc>
          <w:tcPr>
            <w:tcW w:w="1175" w:type="dxa"/>
          </w:tcPr>
          <w:p w14:paraId="63AFA5D6" w14:textId="1068B275" w:rsidR="00F81A2E" w:rsidRPr="00F81A2E" w:rsidRDefault="00BC0ABE" w:rsidP="00CA0D72">
            <w:pPr>
              <w:pStyle w:val="Table"/>
              <w:ind w:right="-3"/>
            </w:pPr>
            <w:r w:rsidRPr="00F81A2E">
              <w:t>QL</w:t>
            </w:r>
          </w:p>
        </w:tc>
        <w:tc>
          <w:tcPr>
            <w:tcW w:w="1343" w:type="dxa"/>
          </w:tcPr>
          <w:p w14:paraId="6479F6F4" w14:textId="77777777" w:rsidR="00F81A2E" w:rsidRPr="00F81A2E" w:rsidRDefault="00F81A2E" w:rsidP="00CA0D72">
            <w:pPr>
              <w:pStyle w:val="Table"/>
              <w:ind w:right="-3"/>
            </w:pPr>
            <w:r w:rsidRPr="00F81A2E">
              <w:t>%</w:t>
            </w:r>
          </w:p>
        </w:tc>
        <w:tc>
          <w:tcPr>
            <w:tcW w:w="1007" w:type="dxa"/>
          </w:tcPr>
          <w:p w14:paraId="3603E447" w14:textId="77777777" w:rsidR="00F81A2E" w:rsidRPr="00F81A2E" w:rsidRDefault="00F81A2E" w:rsidP="00CA0D72">
            <w:pPr>
              <w:pStyle w:val="Table"/>
              <w:ind w:right="-3"/>
            </w:pPr>
            <w:r w:rsidRPr="00F81A2E">
              <w:t>0</w:t>
            </w:r>
          </w:p>
        </w:tc>
        <w:tc>
          <w:tcPr>
            <w:tcW w:w="1175" w:type="dxa"/>
          </w:tcPr>
          <w:p w14:paraId="4E595860" w14:textId="77777777" w:rsidR="00F81A2E" w:rsidRPr="00F81A2E" w:rsidRDefault="00F81A2E" w:rsidP="00CA0D72">
            <w:pPr>
              <w:pStyle w:val="Table"/>
              <w:ind w:right="-3"/>
            </w:pPr>
            <w:r w:rsidRPr="00F81A2E">
              <w:t>11.1</w:t>
            </w:r>
          </w:p>
        </w:tc>
        <w:tc>
          <w:tcPr>
            <w:tcW w:w="1175" w:type="dxa"/>
          </w:tcPr>
          <w:p w14:paraId="54A039E2" w14:textId="77777777" w:rsidR="00F81A2E" w:rsidRPr="00F81A2E" w:rsidRDefault="00F81A2E" w:rsidP="00CA0D72">
            <w:pPr>
              <w:pStyle w:val="Table"/>
              <w:ind w:right="-3"/>
            </w:pPr>
            <w:r w:rsidRPr="00F81A2E">
              <w:t>0</w:t>
            </w:r>
          </w:p>
        </w:tc>
        <w:tc>
          <w:tcPr>
            <w:tcW w:w="1175" w:type="dxa"/>
          </w:tcPr>
          <w:p w14:paraId="21D9793B" w14:textId="77777777" w:rsidR="00F81A2E" w:rsidRPr="00F81A2E" w:rsidRDefault="00F81A2E" w:rsidP="00CA0D72">
            <w:pPr>
              <w:pStyle w:val="Table"/>
              <w:ind w:right="-3"/>
            </w:pPr>
            <w:r w:rsidRPr="00F81A2E">
              <w:t>0</w:t>
            </w:r>
          </w:p>
        </w:tc>
        <w:tc>
          <w:tcPr>
            <w:tcW w:w="1175" w:type="dxa"/>
          </w:tcPr>
          <w:p w14:paraId="2F0C9604" w14:textId="77777777" w:rsidR="00F81A2E" w:rsidRPr="00F81A2E" w:rsidRDefault="00F81A2E" w:rsidP="00CA0D72">
            <w:pPr>
              <w:pStyle w:val="Table"/>
              <w:ind w:right="-3"/>
            </w:pPr>
            <w:r w:rsidRPr="00F81A2E">
              <w:t>22.2</w:t>
            </w:r>
          </w:p>
        </w:tc>
        <w:tc>
          <w:tcPr>
            <w:tcW w:w="1175" w:type="dxa"/>
          </w:tcPr>
          <w:p w14:paraId="10E3D92B" w14:textId="77777777" w:rsidR="00F81A2E" w:rsidRPr="00F81A2E" w:rsidRDefault="00F81A2E" w:rsidP="00CA0D72">
            <w:pPr>
              <w:pStyle w:val="Table"/>
              <w:ind w:right="-3"/>
            </w:pPr>
            <w:r w:rsidRPr="00F81A2E">
              <w:t>22.2</w:t>
            </w:r>
          </w:p>
        </w:tc>
        <w:tc>
          <w:tcPr>
            <w:tcW w:w="1175" w:type="dxa"/>
          </w:tcPr>
          <w:p w14:paraId="100F0590" w14:textId="77777777" w:rsidR="00F81A2E" w:rsidRPr="00F81A2E" w:rsidRDefault="00F81A2E" w:rsidP="00CA0D72">
            <w:pPr>
              <w:pStyle w:val="Table"/>
              <w:ind w:right="-3"/>
            </w:pPr>
            <w:r w:rsidRPr="00F81A2E">
              <w:t>44.4</w:t>
            </w:r>
          </w:p>
        </w:tc>
        <w:tc>
          <w:tcPr>
            <w:tcW w:w="1175" w:type="dxa"/>
          </w:tcPr>
          <w:p w14:paraId="2B552EF8" w14:textId="77777777" w:rsidR="00F81A2E" w:rsidRPr="00F81A2E" w:rsidRDefault="00F81A2E" w:rsidP="00CA0D72">
            <w:pPr>
              <w:pStyle w:val="Table"/>
              <w:ind w:right="-3"/>
            </w:pPr>
            <w:r w:rsidRPr="00F81A2E">
              <w:t>0</w:t>
            </w:r>
          </w:p>
        </w:tc>
        <w:tc>
          <w:tcPr>
            <w:tcW w:w="1175" w:type="dxa"/>
          </w:tcPr>
          <w:p w14:paraId="7DF7A8C5" w14:textId="77777777" w:rsidR="00F81A2E" w:rsidRPr="00F81A2E" w:rsidRDefault="00F81A2E" w:rsidP="00CA0D72">
            <w:pPr>
              <w:pStyle w:val="Table"/>
              <w:ind w:right="-3"/>
            </w:pPr>
            <w:r w:rsidRPr="00F81A2E">
              <w:t>0</w:t>
            </w:r>
          </w:p>
        </w:tc>
        <w:tc>
          <w:tcPr>
            <w:tcW w:w="1175" w:type="dxa"/>
          </w:tcPr>
          <w:p w14:paraId="2112951D" w14:textId="77777777" w:rsidR="00F81A2E" w:rsidRPr="00F81A2E" w:rsidRDefault="00F81A2E" w:rsidP="00CA0D72">
            <w:pPr>
              <w:pStyle w:val="Table"/>
              <w:ind w:right="-3"/>
            </w:pPr>
            <w:r w:rsidRPr="00F81A2E">
              <w:t>0</w:t>
            </w:r>
          </w:p>
        </w:tc>
        <w:tc>
          <w:tcPr>
            <w:tcW w:w="1176" w:type="dxa"/>
          </w:tcPr>
          <w:p w14:paraId="60EF43A3" w14:textId="77777777" w:rsidR="00F81A2E" w:rsidRPr="00F81A2E" w:rsidRDefault="00F81A2E" w:rsidP="00CA0D72">
            <w:pPr>
              <w:pStyle w:val="Table"/>
              <w:ind w:right="-3"/>
            </w:pPr>
            <w:r w:rsidRPr="00F81A2E">
              <w:t> </w:t>
            </w:r>
          </w:p>
        </w:tc>
      </w:tr>
      <w:tr w:rsidR="00F81A2E" w:rsidRPr="00F81A2E" w14:paraId="1A2987EA" w14:textId="77777777" w:rsidTr="00F53196">
        <w:trPr>
          <w:trHeight w:val="227"/>
        </w:trPr>
        <w:tc>
          <w:tcPr>
            <w:tcW w:w="1175" w:type="dxa"/>
          </w:tcPr>
          <w:p w14:paraId="41280636" w14:textId="6CA1EA75" w:rsidR="00F81A2E" w:rsidRPr="00F81A2E" w:rsidRDefault="00BC0ABE" w:rsidP="00CA0D72">
            <w:pPr>
              <w:pStyle w:val="Table"/>
              <w:ind w:right="-3"/>
            </w:pPr>
            <w:r w:rsidRPr="00F81A2E">
              <w:t>QL</w:t>
            </w:r>
          </w:p>
        </w:tc>
        <w:tc>
          <w:tcPr>
            <w:tcW w:w="1343" w:type="dxa"/>
          </w:tcPr>
          <w:p w14:paraId="378311E5" w14:textId="77777777" w:rsidR="00F81A2E" w:rsidRPr="00F81A2E" w:rsidRDefault="00F81A2E" w:rsidP="00CA0D72">
            <w:pPr>
              <w:pStyle w:val="Table"/>
              <w:ind w:right="-3"/>
            </w:pPr>
            <w:r w:rsidRPr="00F81A2E">
              <w:t>Total</w:t>
            </w:r>
          </w:p>
        </w:tc>
        <w:tc>
          <w:tcPr>
            <w:tcW w:w="1007" w:type="dxa"/>
          </w:tcPr>
          <w:p w14:paraId="3A525496" w14:textId="77777777" w:rsidR="00F81A2E" w:rsidRPr="00F81A2E" w:rsidRDefault="00F81A2E" w:rsidP="00CA0D72">
            <w:pPr>
              <w:pStyle w:val="Table"/>
              <w:ind w:right="-3"/>
            </w:pPr>
            <w:r w:rsidRPr="00F81A2E">
              <w:t>7</w:t>
            </w:r>
          </w:p>
        </w:tc>
        <w:tc>
          <w:tcPr>
            <w:tcW w:w="1175" w:type="dxa"/>
          </w:tcPr>
          <w:p w14:paraId="0383C288" w14:textId="77777777" w:rsidR="00F81A2E" w:rsidRPr="00F81A2E" w:rsidRDefault="00F81A2E" w:rsidP="00CA0D72">
            <w:pPr>
              <w:pStyle w:val="Table"/>
              <w:ind w:right="-3"/>
            </w:pPr>
            <w:r w:rsidRPr="00F81A2E">
              <w:t>128</w:t>
            </w:r>
          </w:p>
        </w:tc>
        <w:tc>
          <w:tcPr>
            <w:tcW w:w="1175" w:type="dxa"/>
          </w:tcPr>
          <w:p w14:paraId="70CA8C2F" w14:textId="77777777" w:rsidR="00F81A2E" w:rsidRPr="00F81A2E" w:rsidRDefault="00F81A2E" w:rsidP="00CA0D72">
            <w:pPr>
              <w:pStyle w:val="Table"/>
              <w:ind w:right="-3"/>
            </w:pPr>
            <w:r w:rsidRPr="00F81A2E">
              <w:t>4</w:t>
            </w:r>
          </w:p>
        </w:tc>
        <w:tc>
          <w:tcPr>
            <w:tcW w:w="1175" w:type="dxa"/>
          </w:tcPr>
          <w:p w14:paraId="2570CA6E" w14:textId="77777777" w:rsidR="00F81A2E" w:rsidRPr="00F81A2E" w:rsidRDefault="00F81A2E" w:rsidP="00CA0D72">
            <w:pPr>
              <w:pStyle w:val="Table"/>
              <w:ind w:right="-3"/>
            </w:pPr>
            <w:r w:rsidRPr="00F81A2E">
              <w:t>4</w:t>
            </w:r>
          </w:p>
        </w:tc>
        <w:tc>
          <w:tcPr>
            <w:tcW w:w="1175" w:type="dxa"/>
          </w:tcPr>
          <w:p w14:paraId="7312B241" w14:textId="77777777" w:rsidR="00F81A2E" w:rsidRPr="00F81A2E" w:rsidRDefault="00F81A2E" w:rsidP="00CA0D72">
            <w:pPr>
              <w:pStyle w:val="Table"/>
              <w:ind w:right="-3"/>
            </w:pPr>
            <w:r w:rsidRPr="00F81A2E">
              <w:t>34</w:t>
            </w:r>
          </w:p>
        </w:tc>
        <w:tc>
          <w:tcPr>
            <w:tcW w:w="1175" w:type="dxa"/>
          </w:tcPr>
          <w:p w14:paraId="2F4D4EB7" w14:textId="77777777" w:rsidR="00F81A2E" w:rsidRPr="00F81A2E" w:rsidRDefault="00F81A2E" w:rsidP="00CA0D72">
            <w:pPr>
              <w:pStyle w:val="Table"/>
              <w:ind w:right="-3"/>
            </w:pPr>
            <w:r w:rsidRPr="00F81A2E">
              <w:t>97</w:t>
            </w:r>
          </w:p>
        </w:tc>
        <w:tc>
          <w:tcPr>
            <w:tcW w:w="1175" w:type="dxa"/>
          </w:tcPr>
          <w:p w14:paraId="43D199EC" w14:textId="77777777" w:rsidR="00F81A2E" w:rsidRPr="00F81A2E" w:rsidRDefault="00F81A2E" w:rsidP="00CA0D72">
            <w:pPr>
              <w:pStyle w:val="Table"/>
              <w:ind w:right="-3"/>
            </w:pPr>
            <w:r w:rsidRPr="00F81A2E">
              <w:t>181</w:t>
            </w:r>
          </w:p>
        </w:tc>
        <w:tc>
          <w:tcPr>
            <w:tcW w:w="1175" w:type="dxa"/>
          </w:tcPr>
          <w:p w14:paraId="5B0ACB99" w14:textId="77777777" w:rsidR="00F81A2E" w:rsidRPr="00F81A2E" w:rsidRDefault="00F81A2E" w:rsidP="00CA0D72">
            <w:pPr>
              <w:pStyle w:val="Table"/>
              <w:ind w:right="-3"/>
            </w:pPr>
            <w:r w:rsidRPr="00F81A2E">
              <w:t>62</w:t>
            </w:r>
          </w:p>
        </w:tc>
        <w:tc>
          <w:tcPr>
            <w:tcW w:w="1175" w:type="dxa"/>
          </w:tcPr>
          <w:p w14:paraId="483196C1" w14:textId="77777777" w:rsidR="00F81A2E" w:rsidRPr="00F81A2E" w:rsidRDefault="00F81A2E" w:rsidP="00CA0D72">
            <w:pPr>
              <w:pStyle w:val="Table"/>
              <w:ind w:right="-3"/>
            </w:pPr>
            <w:r w:rsidRPr="00F81A2E">
              <w:t>2</w:t>
            </w:r>
          </w:p>
        </w:tc>
        <w:tc>
          <w:tcPr>
            <w:tcW w:w="1175" w:type="dxa"/>
          </w:tcPr>
          <w:p w14:paraId="317152B7" w14:textId="77777777" w:rsidR="00F81A2E" w:rsidRPr="00F81A2E" w:rsidRDefault="00F81A2E" w:rsidP="00CA0D72">
            <w:pPr>
              <w:pStyle w:val="Table"/>
              <w:ind w:right="-3"/>
            </w:pPr>
            <w:r w:rsidRPr="00F81A2E">
              <w:t>2</w:t>
            </w:r>
          </w:p>
        </w:tc>
        <w:tc>
          <w:tcPr>
            <w:tcW w:w="1176" w:type="dxa"/>
          </w:tcPr>
          <w:p w14:paraId="637EFFD5" w14:textId="77777777" w:rsidR="00F81A2E" w:rsidRPr="00F81A2E" w:rsidRDefault="00F81A2E" w:rsidP="00CA0D72">
            <w:pPr>
              <w:pStyle w:val="Table"/>
              <w:ind w:right="-3"/>
            </w:pPr>
            <w:r w:rsidRPr="00F81A2E">
              <w:t>521</w:t>
            </w:r>
          </w:p>
        </w:tc>
      </w:tr>
      <w:tr w:rsidR="00F81A2E" w:rsidRPr="00F81A2E" w14:paraId="3365398D" w14:textId="77777777" w:rsidTr="00F53196">
        <w:trPr>
          <w:trHeight w:val="227"/>
        </w:trPr>
        <w:tc>
          <w:tcPr>
            <w:tcW w:w="1175" w:type="dxa"/>
          </w:tcPr>
          <w:p w14:paraId="464FE750" w14:textId="672720F3" w:rsidR="00F81A2E" w:rsidRPr="00F81A2E" w:rsidRDefault="00BC0ABE" w:rsidP="00CA0D72">
            <w:pPr>
              <w:pStyle w:val="Table"/>
              <w:ind w:right="-3"/>
            </w:pPr>
            <w:r w:rsidRPr="00F81A2E">
              <w:t>QL</w:t>
            </w:r>
          </w:p>
        </w:tc>
        <w:tc>
          <w:tcPr>
            <w:tcW w:w="1343" w:type="dxa"/>
          </w:tcPr>
          <w:p w14:paraId="0269B099" w14:textId="77777777" w:rsidR="00F81A2E" w:rsidRPr="00F81A2E" w:rsidRDefault="00F81A2E" w:rsidP="00CA0D72">
            <w:pPr>
              <w:pStyle w:val="Table"/>
              <w:ind w:right="-3"/>
            </w:pPr>
            <w:r w:rsidRPr="00F81A2E">
              <w:t>%</w:t>
            </w:r>
          </w:p>
        </w:tc>
        <w:tc>
          <w:tcPr>
            <w:tcW w:w="1007" w:type="dxa"/>
          </w:tcPr>
          <w:p w14:paraId="2BA88A77" w14:textId="77777777" w:rsidR="00F81A2E" w:rsidRPr="00F81A2E" w:rsidRDefault="00F81A2E" w:rsidP="00CA0D72">
            <w:pPr>
              <w:pStyle w:val="Table"/>
              <w:ind w:right="-3"/>
            </w:pPr>
            <w:r w:rsidRPr="00F81A2E">
              <w:t>1.3</w:t>
            </w:r>
          </w:p>
        </w:tc>
        <w:tc>
          <w:tcPr>
            <w:tcW w:w="1175" w:type="dxa"/>
          </w:tcPr>
          <w:p w14:paraId="7BD4C980" w14:textId="77777777" w:rsidR="00F81A2E" w:rsidRPr="00F81A2E" w:rsidRDefault="00F81A2E" w:rsidP="00CA0D72">
            <w:pPr>
              <w:pStyle w:val="Table"/>
              <w:ind w:right="-3"/>
            </w:pPr>
            <w:r w:rsidRPr="00F81A2E">
              <w:t>24.6</w:t>
            </w:r>
          </w:p>
        </w:tc>
        <w:tc>
          <w:tcPr>
            <w:tcW w:w="1175" w:type="dxa"/>
          </w:tcPr>
          <w:p w14:paraId="2D433547" w14:textId="77777777" w:rsidR="00F81A2E" w:rsidRPr="00F81A2E" w:rsidRDefault="00F81A2E" w:rsidP="00CA0D72">
            <w:pPr>
              <w:pStyle w:val="Table"/>
              <w:ind w:right="-3"/>
            </w:pPr>
            <w:r w:rsidRPr="00F81A2E">
              <w:t>0.8</w:t>
            </w:r>
          </w:p>
        </w:tc>
        <w:tc>
          <w:tcPr>
            <w:tcW w:w="1175" w:type="dxa"/>
          </w:tcPr>
          <w:p w14:paraId="065FAF5A" w14:textId="77777777" w:rsidR="00F81A2E" w:rsidRPr="00F81A2E" w:rsidRDefault="00F81A2E" w:rsidP="00CA0D72">
            <w:pPr>
              <w:pStyle w:val="Table"/>
              <w:ind w:right="-3"/>
            </w:pPr>
            <w:r w:rsidRPr="00F81A2E">
              <w:t>0.8</w:t>
            </w:r>
          </w:p>
        </w:tc>
        <w:tc>
          <w:tcPr>
            <w:tcW w:w="1175" w:type="dxa"/>
          </w:tcPr>
          <w:p w14:paraId="1FD6B8E8" w14:textId="77777777" w:rsidR="00F81A2E" w:rsidRPr="00F81A2E" w:rsidRDefault="00F81A2E" w:rsidP="00CA0D72">
            <w:pPr>
              <w:pStyle w:val="Table"/>
              <w:ind w:right="-3"/>
            </w:pPr>
            <w:r w:rsidRPr="00F81A2E">
              <w:t>6.5</w:t>
            </w:r>
          </w:p>
        </w:tc>
        <w:tc>
          <w:tcPr>
            <w:tcW w:w="1175" w:type="dxa"/>
          </w:tcPr>
          <w:p w14:paraId="0B807261" w14:textId="77777777" w:rsidR="00F81A2E" w:rsidRPr="00F81A2E" w:rsidRDefault="00F81A2E" w:rsidP="00CA0D72">
            <w:pPr>
              <w:pStyle w:val="Table"/>
              <w:ind w:right="-3"/>
            </w:pPr>
            <w:r w:rsidRPr="00F81A2E">
              <w:t>18.6</w:t>
            </w:r>
          </w:p>
        </w:tc>
        <w:tc>
          <w:tcPr>
            <w:tcW w:w="1175" w:type="dxa"/>
          </w:tcPr>
          <w:p w14:paraId="59B09B66" w14:textId="77777777" w:rsidR="00F81A2E" w:rsidRPr="00F81A2E" w:rsidRDefault="00F81A2E" w:rsidP="00CA0D72">
            <w:pPr>
              <w:pStyle w:val="Table"/>
              <w:ind w:right="-3"/>
            </w:pPr>
            <w:r w:rsidRPr="00F81A2E">
              <w:t>34.7</w:t>
            </w:r>
          </w:p>
        </w:tc>
        <w:tc>
          <w:tcPr>
            <w:tcW w:w="1175" w:type="dxa"/>
          </w:tcPr>
          <w:p w14:paraId="67467FAE" w14:textId="77777777" w:rsidR="00F81A2E" w:rsidRPr="00F81A2E" w:rsidRDefault="00F81A2E" w:rsidP="00CA0D72">
            <w:pPr>
              <w:pStyle w:val="Table"/>
              <w:ind w:right="-3"/>
            </w:pPr>
            <w:r w:rsidRPr="00F81A2E">
              <w:t>11.9</w:t>
            </w:r>
          </w:p>
        </w:tc>
        <w:tc>
          <w:tcPr>
            <w:tcW w:w="1175" w:type="dxa"/>
          </w:tcPr>
          <w:p w14:paraId="169D1812" w14:textId="77777777" w:rsidR="00F81A2E" w:rsidRPr="00F81A2E" w:rsidRDefault="00F81A2E" w:rsidP="00CA0D72">
            <w:pPr>
              <w:pStyle w:val="Table"/>
              <w:ind w:right="-3"/>
            </w:pPr>
            <w:r w:rsidRPr="00F81A2E">
              <w:t>0.4</w:t>
            </w:r>
          </w:p>
        </w:tc>
        <w:tc>
          <w:tcPr>
            <w:tcW w:w="1175" w:type="dxa"/>
          </w:tcPr>
          <w:p w14:paraId="23B1268F" w14:textId="77777777" w:rsidR="00F81A2E" w:rsidRPr="00F81A2E" w:rsidRDefault="00F81A2E" w:rsidP="00CA0D72">
            <w:pPr>
              <w:pStyle w:val="Table"/>
              <w:ind w:right="-3"/>
            </w:pPr>
            <w:r w:rsidRPr="00F81A2E">
              <w:t>0.4</w:t>
            </w:r>
          </w:p>
        </w:tc>
        <w:tc>
          <w:tcPr>
            <w:tcW w:w="1176" w:type="dxa"/>
          </w:tcPr>
          <w:p w14:paraId="5E210261" w14:textId="77777777" w:rsidR="00F81A2E" w:rsidRPr="00F81A2E" w:rsidRDefault="00F81A2E" w:rsidP="00CA0D72">
            <w:pPr>
              <w:pStyle w:val="Table"/>
              <w:ind w:right="-3"/>
            </w:pPr>
            <w:r w:rsidRPr="00F81A2E">
              <w:t> </w:t>
            </w:r>
          </w:p>
        </w:tc>
      </w:tr>
      <w:tr w:rsidR="00F81A2E" w:rsidRPr="00F81A2E" w14:paraId="53F86C3E" w14:textId="77777777" w:rsidTr="00F53196">
        <w:trPr>
          <w:trHeight w:val="227"/>
        </w:trPr>
        <w:tc>
          <w:tcPr>
            <w:tcW w:w="1175" w:type="dxa"/>
          </w:tcPr>
          <w:p w14:paraId="4D5DA8CB" w14:textId="77777777" w:rsidR="00F81A2E" w:rsidRPr="00F81A2E" w:rsidRDefault="00F81A2E" w:rsidP="00CA0D72">
            <w:pPr>
              <w:pStyle w:val="Table"/>
              <w:ind w:right="-3"/>
            </w:pPr>
            <w:r w:rsidRPr="00F81A2E">
              <w:t>SA</w:t>
            </w:r>
          </w:p>
        </w:tc>
        <w:tc>
          <w:tcPr>
            <w:tcW w:w="1343" w:type="dxa"/>
          </w:tcPr>
          <w:p w14:paraId="1D215408" w14:textId="77777777" w:rsidR="00F81A2E" w:rsidRPr="00F81A2E" w:rsidRDefault="00F81A2E" w:rsidP="00CA0D72">
            <w:pPr>
              <w:pStyle w:val="Table"/>
              <w:ind w:right="-3"/>
            </w:pPr>
            <w:r w:rsidRPr="00F81A2E">
              <w:t>Community Only</w:t>
            </w:r>
          </w:p>
        </w:tc>
        <w:tc>
          <w:tcPr>
            <w:tcW w:w="1007" w:type="dxa"/>
          </w:tcPr>
          <w:p w14:paraId="22A17A0B" w14:textId="77777777" w:rsidR="00F81A2E" w:rsidRPr="00F81A2E" w:rsidRDefault="00F81A2E" w:rsidP="00CA0D72">
            <w:pPr>
              <w:pStyle w:val="Table"/>
              <w:ind w:right="-3"/>
            </w:pPr>
            <w:r w:rsidRPr="00F81A2E">
              <w:t>3</w:t>
            </w:r>
          </w:p>
        </w:tc>
        <w:tc>
          <w:tcPr>
            <w:tcW w:w="1175" w:type="dxa"/>
          </w:tcPr>
          <w:p w14:paraId="27D3C83F" w14:textId="77777777" w:rsidR="00F81A2E" w:rsidRPr="00F81A2E" w:rsidRDefault="00F81A2E" w:rsidP="00CA0D72">
            <w:pPr>
              <w:pStyle w:val="Table"/>
              <w:ind w:right="-3"/>
            </w:pPr>
            <w:r w:rsidRPr="00F81A2E">
              <w:t>66</w:t>
            </w:r>
          </w:p>
        </w:tc>
        <w:tc>
          <w:tcPr>
            <w:tcW w:w="1175" w:type="dxa"/>
          </w:tcPr>
          <w:p w14:paraId="02B5E0F9" w14:textId="77777777" w:rsidR="00F81A2E" w:rsidRPr="00F81A2E" w:rsidRDefault="00F81A2E" w:rsidP="00CA0D72">
            <w:pPr>
              <w:pStyle w:val="Table"/>
              <w:ind w:right="-3"/>
            </w:pPr>
            <w:r w:rsidRPr="00F81A2E">
              <w:t>6</w:t>
            </w:r>
          </w:p>
        </w:tc>
        <w:tc>
          <w:tcPr>
            <w:tcW w:w="1175" w:type="dxa"/>
          </w:tcPr>
          <w:p w14:paraId="168459E5" w14:textId="77777777" w:rsidR="00F81A2E" w:rsidRPr="00F81A2E" w:rsidRDefault="00F81A2E" w:rsidP="00CA0D72">
            <w:pPr>
              <w:pStyle w:val="Table"/>
              <w:ind w:right="-3"/>
            </w:pPr>
            <w:r w:rsidRPr="00F81A2E">
              <w:t>7</w:t>
            </w:r>
          </w:p>
        </w:tc>
        <w:tc>
          <w:tcPr>
            <w:tcW w:w="1175" w:type="dxa"/>
          </w:tcPr>
          <w:p w14:paraId="6E796AD3" w14:textId="77777777" w:rsidR="00F81A2E" w:rsidRPr="00F81A2E" w:rsidRDefault="00F81A2E" w:rsidP="00CA0D72">
            <w:pPr>
              <w:pStyle w:val="Table"/>
              <w:ind w:right="-3"/>
            </w:pPr>
            <w:r w:rsidRPr="00F81A2E">
              <w:t>6</w:t>
            </w:r>
          </w:p>
        </w:tc>
        <w:tc>
          <w:tcPr>
            <w:tcW w:w="1175" w:type="dxa"/>
          </w:tcPr>
          <w:p w14:paraId="4304202E" w14:textId="77777777" w:rsidR="00F81A2E" w:rsidRPr="00F81A2E" w:rsidRDefault="00F81A2E" w:rsidP="00CA0D72">
            <w:pPr>
              <w:pStyle w:val="Table"/>
              <w:ind w:right="-3"/>
            </w:pPr>
            <w:r w:rsidRPr="00F81A2E">
              <w:t>58</w:t>
            </w:r>
          </w:p>
        </w:tc>
        <w:tc>
          <w:tcPr>
            <w:tcW w:w="1175" w:type="dxa"/>
          </w:tcPr>
          <w:p w14:paraId="10536466" w14:textId="77777777" w:rsidR="00F81A2E" w:rsidRPr="00F81A2E" w:rsidRDefault="00F81A2E" w:rsidP="00CA0D72">
            <w:pPr>
              <w:pStyle w:val="Table"/>
              <w:ind w:right="-3"/>
            </w:pPr>
            <w:r w:rsidRPr="00F81A2E">
              <w:t>57</w:t>
            </w:r>
          </w:p>
        </w:tc>
        <w:tc>
          <w:tcPr>
            <w:tcW w:w="1175" w:type="dxa"/>
          </w:tcPr>
          <w:p w14:paraId="6A3F4ECE" w14:textId="77777777" w:rsidR="00F81A2E" w:rsidRPr="00F81A2E" w:rsidRDefault="00F81A2E" w:rsidP="00CA0D72">
            <w:pPr>
              <w:pStyle w:val="Table"/>
              <w:ind w:right="-3"/>
            </w:pPr>
            <w:r w:rsidRPr="00F81A2E">
              <w:t>53</w:t>
            </w:r>
          </w:p>
        </w:tc>
        <w:tc>
          <w:tcPr>
            <w:tcW w:w="1175" w:type="dxa"/>
          </w:tcPr>
          <w:p w14:paraId="19BF260E" w14:textId="77777777" w:rsidR="00F81A2E" w:rsidRPr="00F81A2E" w:rsidRDefault="00F81A2E" w:rsidP="00CA0D72">
            <w:pPr>
              <w:pStyle w:val="Table"/>
              <w:ind w:right="-3"/>
            </w:pPr>
            <w:r w:rsidRPr="00F81A2E">
              <w:t>5</w:t>
            </w:r>
          </w:p>
        </w:tc>
        <w:tc>
          <w:tcPr>
            <w:tcW w:w="1175" w:type="dxa"/>
          </w:tcPr>
          <w:p w14:paraId="5523AC2B" w14:textId="77777777" w:rsidR="00F81A2E" w:rsidRPr="00F81A2E" w:rsidRDefault="00F81A2E" w:rsidP="00CA0D72">
            <w:pPr>
              <w:pStyle w:val="Table"/>
              <w:ind w:right="-3"/>
            </w:pPr>
            <w:r w:rsidRPr="00F81A2E">
              <w:t>2</w:t>
            </w:r>
          </w:p>
        </w:tc>
        <w:tc>
          <w:tcPr>
            <w:tcW w:w="1176" w:type="dxa"/>
          </w:tcPr>
          <w:p w14:paraId="5490D998" w14:textId="77777777" w:rsidR="00F81A2E" w:rsidRPr="00F81A2E" w:rsidRDefault="00F81A2E" w:rsidP="00CA0D72">
            <w:pPr>
              <w:pStyle w:val="Table"/>
              <w:ind w:right="-3"/>
            </w:pPr>
            <w:r w:rsidRPr="00F81A2E">
              <w:t>263</w:t>
            </w:r>
          </w:p>
        </w:tc>
      </w:tr>
      <w:tr w:rsidR="00F81A2E" w:rsidRPr="00F81A2E" w14:paraId="614E71D3" w14:textId="77777777" w:rsidTr="00F53196">
        <w:trPr>
          <w:trHeight w:val="227"/>
        </w:trPr>
        <w:tc>
          <w:tcPr>
            <w:tcW w:w="1175" w:type="dxa"/>
          </w:tcPr>
          <w:p w14:paraId="7C5D600F" w14:textId="1E10F3AC" w:rsidR="00F81A2E" w:rsidRPr="00F81A2E" w:rsidRDefault="00BC0ABE" w:rsidP="00CA0D72">
            <w:pPr>
              <w:pStyle w:val="Table"/>
              <w:ind w:right="-3"/>
            </w:pPr>
            <w:r w:rsidRPr="00F81A2E">
              <w:lastRenderedPageBreak/>
              <w:t>SA</w:t>
            </w:r>
          </w:p>
        </w:tc>
        <w:tc>
          <w:tcPr>
            <w:tcW w:w="1343" w:type="dxa"/>
          </w:tcPr>
          <w:p w14:paraId="253B21FA" w14:textId="77777777" w:rsidR="00F81A2E" w:rsidRPr="00F81A2E" w:rsidRDefault="00F81A2E" w:rsidP="00CA0D72">
            <w:pPr>
              <w:pStyle w:val="Table"/>
              <w:ind w:right="-3"/>
            </w:pPr>
            <w:r w:rsidRPr="00F81A2E">
              <w:t>%</w:t>
            </w:r>
          </w:p>
        </w:tc>
        <w:tc>
          <w:tcPr>
            <w:tcW w:w="1007" w:type="dxa"/>
          </w:tcPr>
          <w:p w14:paraId="68933754" w14:textId="77777777" w:rsidR="00F81A2E" w:rsidRPr="00F81A2E" w:rsidRDefault="00F81A2E" w:rsidP="00CA0D72">
            <w:pPr>
              <w:pStyle w:val="Table"/>
              <w:ind w:right="-3"/>
            </w:pPr>
            <w:r w:rsidRPr="00F81A2E">
              <w:t>1.1</w:t>
            </w:r>
          </w:p>
        </w:tc>
        <w:tc>
          <w:tcPr>
            <w:tcW w:w="1175" w:type="dxa"/>
          </w:tcPr>
          <w:p w14:paraId="72BE849A" w14:textId="77777777" w:rsidR="00F81A2E" w:rsidRPr="00F81A2E" w:rsidRDefault="00F81A2E" w:rsidP="00CA0D72">
            <w:pPr>
              <w:pStyle w:val="Table"/>
              <w:ind w:right="-3"/>
            </w:pPr>
            <w:r w:rsidRPr="00F81A2E">
              <w:t>25.1</w:t>
            </w:r>
          </w:p>
        </w:tc>
        <w:tc>
          <w:tcPr>
            <w:tcW w:w="1175" w:type="dxa"/>
          </w:tcPr>
          <w:p w14:paraId="11F20827" w14:textId="77777777" w:rsidR="00F81A2E" w:rsidRPr="00F81A2E" w:rsidRDefault="00F81A2E" w:rsidP="00CA0D72">
            <w:pPr>
              <w:pStyle w:val="Table"/>
              <w:ind w:right="-3"/>
            </w:pPr>
            <w:r w:rsidRPr="00F81A2E">
              <w:t>2.3</w:t>
            </w:r>
          </w:p>
        </w:tc>
        <w:tc>
          <w:tcPr>
            <w:tcW w:w="1175" w:type="dxa"/>
          </w:tcPr>
          <w:p w14:paraId="0D2F6B8E" w14:textId="77777777" w:rsidR="00F81A2E" w:rsidRPr="00F81A2E" w:rsidRDefault="00F81A2E" w:rsidP="00CA0D72">
            <w:pPr>
              <w:pStyle w:val="Table"/>
              <w:ind w:right="-3"/>
            </w:pPr>
            <w:r w:rsidRPr="00F81A2E">
              <w:t>2.7</w:t>
            </w:r>
          </w:p>
        </w:tc>
        <w:tc>
          <w:tcPr>
            <w:tcW w:w="1175" w:type="dxa"/>
          </w:tcPr>
          <w:p w14:paraId="6F3DE094" w14:textId="77777777" w:rsidR="00F81A2E" w:rsidRPr="00F81A2E" w:rsidRDefault="00F81A2E" w:rsidP="00CA0D72">
            <w:pPr>
              <w:pStyle w:val="Table"/>
              <w:ind w:right="-3"/>
            </w:pPr>
            <w:r w:rsidRPr="00F81A2E">
              <w:t>2.3</w:t>
            </w:r>
          </w:p>
        </w:tc>
        <w:tc>
          <w:tcPr>
            <w:tcW w:w="1175" w:type="dxa"/>
          </w:tcPr>
          <w:p w14:paraId="33DD7E3C" w14:textId="77777777" w:rsidR="00F81A2E" w:rsidRPr="00F81A2E" w:rsidRDefault="00F81A2E" w:rsidP="00CA0D72">
            <w:pPr>
              <w:pStyle w:val="Table"/>
              <w:ind w:right="-3"/>
            </w:pPr>
            <w:r w:rsidRPr="00F81A2E">
              <w:t>22.1</w:t>
            </w:r>
          </w:p>
        </w:tc>
        <w:tc>
          <w:tcPr>
            <w:tcW w:w="1175" w:type="dxa"/>
          </w:tcPr>
          <w:p w14:paraId="53409000" w14:textId="77777777" w:rsidR="00F81A2E" w:rsidRPr="00F81A2E" w:rsidRDefault="00F81A2E" w:rsidP="00CA0D72">
            <w:pPr>
              <w:pStyle w:val="Table"/>
              <w:ind w:right="-3"/>
            </w:pPr>
            <w:r w:rsidRPr="00F81A2E">
              <w:t>21.7</w:t>
            </w:r>
          </w:p>
        </w:tc>
        <w:tc>
          <w:tcPr>
            <w:tcW w:w="1175" w:type="dxa"/>
          </w:tcPr>
          <w:p w14:paraId="6EE11F6C" w14:textId="77777777" w:rsidR="00F81A2E" w:rsidRPr="00F81A2E" w:rsidRDefault="00F81A2E" w:rsidP="00CA0D72">
            <w:pPr>
              <w:pStyle w:val="Table"/>
              <w:ind w:right="-3"/>
            </w:pPr>
            <w:r w:rsidRPr="00F81A2E">
              <w:t>20.2</w:t>
            </w:r>
          </w:p>
        </w:tc>
        <w:tc>
          <w:tcPr>
            <w:tcW w:w="1175" w:type="dxa"/>
          </w:tcPr>
          <w:p w14:paraId="4D7F60C1" w14:textId="77777777" w:rsidR="00F81A2E" w:rsidRPr="00F81A2E" w:rsidRDefault="00F81A2E" w:rsidP="00CA0D72">
            <w:pPr>
              <w:pStyle w:val="Table"/>
              <w:ind w:right="-3"/>
            </w:pPr>
            <w:r w:rsidRPr="00F81A2E">
              <w:t>1.9</w:t>
            </w:r>
          </w:p>
        </w:tc>
        <w:tc>
          <w:tcPr>
            <w:tcW w:w="1175" w:type="dxa"/>
          </w:tcPr>
          <w:p w14:paraId="2AAFA2F5" w14:textId="77777777" w:rsidR="00F81A2E" w:rsidRPr="00F81A2E" w:rsidRDefault="00F81A2E" w:rsidP="00CA0D72">
            <w:pPr>
              <w:pStyle w:val="Table"/>
              <w:ind w:right="-3"/>
            </w:pPr>
            <w:r w:rsidRPr="00F81A2E">
              <w:t>0.8</w:t>
            </w:r>
          </w:p>
        </w:tc>
        <w:tc>
          <w:tcPr>
            <w:tcW w:w="1176" w:type="dxa"/>
          </w:tcPr>
          <w:p w14:paraId="2F0B587D" w14:textId="77777777" w:rsidR="00F81A2E" w:rsidRPr="00F81A2E" w:rsidRDefault="00F81A2E" w:rsidP="00CA0D72">
            <w:pPr>
              <w:pStyle w:val="Table"/>
              <w:ind w:right="-3"/>
            </w:pPr>
            <w:r w:rsidRPr="00F81A2E">
              <w:t> </w:t>
            </w:r>
          </w:p>
        </w:tc>
      </w:tr>
      <w:tr w:rsidR="00F81A2E" w:rsidRPr="00F81A2E" w14:paraId="008B9F41" w14:textId="77777777" w:rsidTr="00F53196">
        <w:trPr>
          <w:trHeight w:val="227"/>
        </w:trPr>
        <w:tc>
          <w:tcPr>
            <w:tcW w:w="1175" w:type="dxa"/>
          </w:tcPr>
          <w:p w14:paraId="19719142" w14:textId="1D1BE968" w:rsidR="00F81A2E" w:rsidRPr="00F81A2E" w:rsidRDefault="00BC0ABE" w:rsidP="00CA0D72">
            <w:pPr>
              <w:pStyle w:val="Table"/>
              <w:ind w:right="-3"/>
            </w:pPr>
            <w:r w:rsidRPr="00F81A2E">
              <w:t>SA</w:t>
            </w:r>
          </w:p>
        </w:tc>
        <w:tc>
          <w:tcPr>
            <w:tcW w:w="1343" w:type="dxa"/>
          </w:tcPr>
          <w:p w14:paraId="34DE5024" w14:textId="77777777" w:rsidR="00F81A2E" w:rsidRPr="00F81A2E" w:rsidRDefault="00F81A2E" w:rsidP="00CA0D72">
            <w:pPr>
              <w:pStyle w:val="Table"/>
              <w:ind w:right="-3"/>
            </w:pPr>
            <w:r w:rsidRPr="00F81A2E">
              <w:t>Residential Only</w:t>
            </w:r>
          </w:p>
        </w:tc>
        <w:tc>
          <w:tcPr>
            <w:tcW w:w="1007" w:type="dxa"/>
          </w:tcPr>
          <w:p w14:paraId="4FB553A3" w14:textId="77777777" w:rsidR="00F81A2E" w:rsidRPr="00F81A2E" w:rsidRDefault="00F81A2E" w:rsidP="00CA0D72">
            <w:pPr>
              <w:pStyle w:val="Table"/>
              <w:ind w:right="-3"/>
            </w:pPr>
            <w:r w:rsidRPr="00F81A2E">
              <w:t>6</w:t>
            </w:r>
          </w:p>
        </w:tc>
        <w:tc>
          <w:tcPr>
            <w:tcW w:w="1175" w:type="dxa"/>
          </w:tcPr>
          <w:p w14:paraId="7A5676E4" w14:textId="77777777" w:rsidR="00F81A2E" w:rsidRPr="00F81A2E" w:rsidRDefault="00F81A2E" w:rsidP="00CA0D72">
            <w:pPr>
              <w:pStyle w:val="Table"/>
              <w:ind w:right="-3"/>
            </w:pPr>
            <w:r w:rsidRPr="00F81A2E">
              <w:t>69</w:t>
            </w:r>
          </w:p>
        </w:tc>
        <w:tc>
          <w:tcPr>
            <w:tcW w:w="1175" w:type="dxa"/>
          </w:tcPr>
          <w:p w14:paraId="621C117F" w14:textId="77777777" w:rsidR="00F81A2E" w:rsidRPr="00F81A2E" w:rsidRDefault="00F81A2E" w:rsidP="00CA0D72">
            <w:pPr>
              <w:pStyle w:val="Table"/>
              <w:ind w:right="-3"/>
            </w:pPr>
            <w:r w:rsidRPr="00F81A2E">
              <w:t>75</w:t>
            </w:r>
          </w:p>
        </w:tc>
        <w:tc>
          <w:tcPr>
            <w:tcW w:w="1175" w:type="dxa"/>
          </w:tcPr>
          <w:p w14:paraId="69D81AF6" w14:textId="77777777" w:rsidR="00F81A2E" w:rsidRPr="00F81A2E" w:rsidRDefault="00F81A2E" w:rsidP="00CA0D72">
            <w:pPr>
              <w:pStyle w:val="Table"/>
              <w:ind w:right="-3"/>
            </w:pPr>
            <w:r w:rsidRPr="00F81A2E">
              <w:t>60</w:t>
            </w:r>
          </w:p>
        </w:tc>
        <w:tc>
          <w:tcPr>
            <w:tcW w:w="1175" w:type="dxa"/>
          </w:tcPr>
          <w:p w14:paraId="228F49CD" w14:textId="77777777" w:rsidR="00F81A2E" w:rsidRPr="00F81A2E" w:rsidRDefault="00F81A2E" w:rsidP="00CA0D72">
            <w:pPr>
              <w:pStyle w:val="Table"/>
              <w:ind w:right="-3"/>
            </w:pPr>
            <w:r w:rsidRPr="00F81A2E">
              <w:t>24</w:t>
            </w:r>
          </w:p>
        </w:tc>
        <w:tc>
          <w:tcPr>
            <w:tcW w:w="1175" w:type="dxa"/>
          </w:tcPr>
          <w:p w14:paraId="6E0F0FAB" w14:textId="77777777" w:rsidR="00F81A2E" w:rsidRPr="00F81A2E" w:rsidRDefault="00F81A2E" w:rsidP="00CA0D72">
            <w:pPr>
              <w:pStyle w:val="Table"/>
              <w:ind w:right="-3"/>
            </w:pPr>
            <w:r w:rsidRPr="00F81A2E">
              <w:t>44</w:t>
            </w:r>
          </w:p>
        </w:tc>
        <w:tc>
          <w:tcPr>
            <w:tcW w:w="1175" w:type="dxa"/>
          </w:tcPr>
          <w:p w14:paraId="52D8F6ED" w14:textId="77777777" w:rsidR="00F81A2E" w:rsidRPr="00F81A2E" w:rsidRDefault="00F81A2E" w:rsidP="00CA0D72">
            <w:pPr>
              <w:pStyle w:val="Table"/>
              <w:ind w:right="-3"/>
            </w:pPr>
            <w:r w:rsidRPr="00F81A2E">
              <w:t>41</w:t>
            </w:r>
          </w:p>
        </w:tc>
        <w:tc>
          <w:tcPr>
            <w:tcW w:w="1175" w:type="dxa"/>
          </w:tcPr>
          <w:p w14:paraId="6885B9D6" w14:textId="77777777" w:rsidR="00F81A2E" w:rsidRPr="00F81A2E" w:rsidRDefault="00F81A2E" w:rsidP="00CA0D72">
            <w:pPr>
              <w:pStyle w:val="Table"/>
              <w:ind w:right="-3"/>
            </w:pPr>
            <w:r w:rsidRPr="00F81A2E">
              <w:t>25</w:t>
            </w:r>
          </w:p>
        </w:tc>
        <w:tc>
          <w:tcPr>
            <w:tcW w:w="1175" w:type="dxa"/>
          </w:tcPr>
          <w:p w14:paraId="6D373B7A" w14:textId="77777777" w:rsidR="00F81A2E" w:rsidRPr="00F81A2E" w:rsidRDefault="00F81A2E" w:rsidP="00CA0D72">
            <w:pPr>
              <w:pStyle w:val="Table"/>
              <w:ind w:right="-3"/>
            </w:pPr>
            <w:r w:rsidRPr="00F81A2E">
              <w:t>4</w:t>
            </w:r>
          </w:p>
        </w:tc>
        <w:tc>
          <w:tcPr>
            <w:tcW w:w="1175" w:type="dxa"/>
          </w:tcPr>
          <w:p w14:paraId="7AF1B75F" w14:textId="77777777" w:rsidR="00F81A2E" w:rsidRPr="00F81A2E" w:rsidRDefault="00F81A2E" w:rsidP="00CA0D72">
            <w:pPr>
              <w:pStyle w:val="Table"/>
              <w:ind w:right="-3"/>
            </w:pPr>
            <w:r w:rsidRPr="00F81A2E">
              <w:t>23</w:t>
            </w:r>
          </w:p>
        </w:tc>
        <w:tc>
          <w:tcPr>
            <w:tcW w:w="1176" w:type="dxa"/>
          </w:tcPr>
          <w:p w14:paraId="2614A1B0" w14:textId="77777777" w:rsidR="00F81A2E" w:rsidRPr="00F81A2E" w:rsidRDefault="00F81A2E" w:rsidP="00CA0D72">
            <w:pPr>
              <w:pStyle w:val="Table"/>
              <w:ind w:right="-3"/>
            </w:pPr>
            <w:r w:rsidRPr="00F81A2E">
              <w:t>371</w:t>
            </w:r>
          </w:p>
        </w:tc>
      </w:tr>
      <w:tr w:rsidR="00F81A2E" w:rsidRPr="00F81A2E" w14:paraId="00ECD9D9" w14:textId="77777777" w:rsidTr="00F53196">
        <w:trPr>
          <w:trHeight w:val="227"/>
        </w:trPr>
        <w:tc>
          <w:tcPr>
            <w:tcW w:w="1175" w:type="dxa"/>
          </w:tcPr>
          <w:p w14:paraId="07692A94" w14:textId="78525B68" w:rsidR="00F81A2E" w:rsidRPr="00F81A2E" w:rsidRDefault="00BC0ABE" w:rsidP="00CA0D72">
            <w:pPr>
              <w:pStyle w:val="Table"/>
              <w:ind w:right="-3"/>
            </w:pPr>
            <w:r w:rsidRPr="00F81A2E">
              <w:t>SA</w:t>
            </w:r>
          </w:p>
        </w:tc>
        <w:tc>
          <w:tcPr>
            <w:tcW w:w="1343" w:type="dxa"/>
          </w:tcPr>
          <w:p w14:paraId="68931873" w14:textId="77777777" w:rsidR="00F81A2E" w:rsidRPr="00F81A2E" w:rsidRDefault="00F81A2E" w:rsidP="00CA0D72">
            <w:pPr>
              <w:pStyle w:val="Table"/>
              <w:ind w:right="-3"/>
            </w:pPr>
            <w:r w:rsidRPr="00F81A2E">
              <w:t>%</w:t>
            </w:r>
          </w:p>
        </w:tc>
        <w:tc>
          <w:tcPr>
            <w:tcW w:w="1007" w:type="dxa"/>
          </w:tcPr>
          <w:p w14:paraId="6E1DF151" w14:textId="77777777" w:rsidR="00F81A2E" w:rsidRPr="00F81A2E" w:rsidRDefault="00F81A2E" w:rsidP="00CA0D72">
            <w:pPr>
              <w:pStyle w:val="Table"/>
              <w:ind w:right="-3"/>
            </w:pPr>
            <w:r w:rsidRPr="00F81A2E">
              <w:t>1.6</w:t>
            </w:r>
          </w:p>
        </w:tc>
        <w:tc>
          <w:tcPr>
            <w:tcW w:w="1175" w:type="dxa"/>
          </w:tcPr>
          <w:p w14:paraId="0DBFAA7D" w14:textId="77777777" w:rsidR="00F81A2E" w:rsidRPr="00F81A2E" w:rsidRDefault="00F81A2E" w:rsidP="00CA0D72">
            <w:pPr>
              <w:pStyle w:val="Table"/>
              <w:ind w:right="-3"/>
            </w:pPr>
            <w:r w:rsidRPr="00F81A2E">
              <w:t>18.6</w:t>
            </w:r>
          </w:p>
        </w:tc>
        <w:tc>
          <w:tcPr>
            <w:tcW w:w="1175" w:type="dxa"/>
          </w:tcPr>
          <w:p w14:paraId="0CFC2CD8" w14:textId="77777777" w:rsidR="00F81A2E" w:rsidRPr="00F81A2E" w:rsidRDefault="00F81A2E" w:rsidP="00CA0D72">
            <w:pPr>
              <w:pStyle w:val="Table"/>
              <w:ind w:right="-3"/>
            </w:pPr>
            <w:r w:rsidRPr="00F81A2E">
              <w:t>20.2</w:t>
            </w:r>
          </w:p>
        </w:tc>
        <w:tc>
          <w:tcPr>
            <w:tcW w:w="1175" w:type="dxa"/>
          </w:tcPr>
          <w:p w14:paraId="41510D1F" w14:textId="77777777" w:rsidR="00F81A2E" w:rsidRPr="00F81A2E" w:rsidRDefault="00F81A2E" w:rsidP="00CA0D72">
            <w:pPr>
              <w:pStyle w:val="Table"/>
              <w:ind w:right="-3"/>
            </w:pPr>
            <w:r w:rsidRPr="00F81A2E">
              <w:t>16.2</w:t>
            </w:r>
          </w:p>
        </w:tc>
        <w:tc>
          <w:tcPr>
            <w:tcW w:w="1175" w:type="dxa"/>
          </w:tcPr>
          <w:p w14:paraId="5D713002" w14:textId="77777777" w:rsidR="00F81A2E" w:rsidRPr="00F81A2E" w:rsidRDefault="00F81A2E" w:rsidP="00CA0D72">
            <w:pPr>
              <w:pStyle w:val="Table"/>
              <w:ind w:right="-3"/>
            </w:pPr>
            <w:r w:rsidRPr="00F81A2E">
              <w:t>6.5</w:t>
            </w:r>
          </w:p>
        </w:tc>
        <w:tc>
          <w:tcPr>
            <w:tcW w:w="1175" w:type="dxa"/>
          </w:tcPr>
          <w:p w14:paraId="5A4B9D15" w14:textId="77777777" w:rsidR="00F81A2E" w:rsidRPr="00F81A2E" w:rsidRDefault="00F81A2E" w:rsidP="00CA0D72">
            <w:pPr>
              <w:pStyle w:val="Table"/>
              <w:ind w:right="-3"/>
            </w:pPr>
            <w:r w:rsidRPr="00F81A2E">
              <w:t>11.9</w:t>
            </w:r>
          </w:p>
        </w:tc>
        <w:tc>
          <w:tcPr>
            <w:tcW w:w="1175" w:type="dxa"/>
          </w:tcPr>
          <w:p w14:paraId="21D61F19" w14:textId="77777777" w:rsidR="00F81A2E" w:rsidRPr="00F81A2E" w:rsidRDefault="00F81A2E" w:rsidP="00CA0D72">
            <w:pPr>
              <w:pStyle w:val="Table"/>
              <w:ind w:right="-3"/>
            </w:pPr>
            <w:r w:rsidRPr="00F81A2E">
              <w:t>11.1</w:t>
            </w:r>
          </w:p>
        </w:tc>
        <w:tc>
          <w:tcPr>
            <w:tcW w:w="1175" w:type="dxa"/>
          </w:tcPr>
          <w:p w14:paraId="2E73CE36" w14:textId="77777777" w:rsidR="00F81A2E" w:rsidRPr="00F81A2E" w:rsidRDefault="00F81A2E" w:rsidP="00CA0D72">
            <w:pPr>
              <w:pStyle w:val="Table"/>
              <w:ind w:right="-3"/>
            </w:pPr>
            <w:r w:rsidRPr="00F81A2E">
              <w:t>6.7</w:t>
            </w:r>
          </w:p>
        </w:tc>
        <w:tc>
          <w:tcPr>
            <w:tcW w:w="1175" w:type="dxa"/>
          </w:tcPr>
          <w:p w14:paraId="2BBAB613" w14:textId="77777777" w:rsidR="00F81A2E" w:rsidRPr="00F81A2E" w:rsidRDefault="00F81A2E" w:rsidP="00CA0D72">
            <w:pPr>
              <w:pStyle w:val="Table"/>
              <w:ind w:right="-3"/>
            </w:pPr>
            <w:r w:rsidRPr="00F81A2E">
              <w:t>1.1</w:t>
            </w:r>
          </w:p>
        </w:tc>
        <w:tc>
          <w:tcPr>
            <w:tcW w:w="1175" w:type="dxa"/>
          </w:tcPr>
          <w:p w14:paraId="34E7C32E" w14:textId="77777777" w:rsidR="00F81A2E" w:rsidRPr="00F81A2E" w:rsidRDefault="00F81A2E" w:rsidP="00CA0D72">
            <w:pPr>
              <w:pStyle w:val="Table"/>
              <w:ind w:right="-3"/>
            </w:pPr>
            <w:r w:rsidRPr="00F81A2E">
              <w:t>6.2</w:t>
            </w:r>
          </w:p>
        </w:tc>
        <w:tc>
          <w:tcPr>
            <w:tcW w:w="1176" w:type="dxa"/>
          </w:tcPr>
          <w:p w14:paraId="3A37921B" w14:textId="77777777" w:rsidR="00F81A2E" w:rsidRPr="00F81A2E" w:rsidRDefault="00F81A2E" w:rsidP="00CA0D72">
            <w:pPr>
              <w:pStyle w:val="Table"/>
              <w:ind w:right="-3"/>
            </w:pPr>
            <w:r w:rsidRPr="00F81A2E">
              <w:t> </w:t>
            </w:r>
          </w:p>
        </w:tc>
      </w:tr>
      <w:tr w:rsidR="00F81A2E" w:rsidRPr="00F81A2E" w14:paraId="3327CC51" w14:textId="77777777" w:rsidTr="00F53196">
        <w:trPr>
          <w:trHeight w:val="227"/>
        </w:trPr>
        <w:tc>
          <w:tcPr>
            <w:tcW w:w="1175" w:type="dxa"/>
          </w:tcPr>
          <w:p w14:paraId="196E0A9D" w14:textId="5D154E85" w:rsidR="00F81A2E" w:rsidRPr="00F81A2E" w:rsidRDefault="00BC0ABE" w:rsidP="00CA0D72">
            <w:pPr>
              <w:pStyle w:val="Table"/>
              <w:ind w:right="-3"/>
            </w:pPr>
            <w:r w:rsidRPr="00F81A2E">
              <w:t>SA</w:t>
            </w:r>
          </w:p>
        </w:tc>
        <w:tc>
          <w:tcPr>
            <w:tcW w:w="1343" w:type="dxa"/>
          </w:tcPr>
          <w:p w14:paraId="2D99E608" w14:textId="77777777" w:rsidR="00F81A2E" w:rsidRPr="00F81A2E" w:rsidRDefault="00F81A2E" w:rsidP="00CA0D72">
            <w:pPr>
              <w:pStyle w:val="Table"/>
              <w:ind w:right="-3"/>
            </w:pPr>
            <w:r w:rsidRPr="00F81A2E">
              <w:t>Combination</w:t>
            </w:r>
          </w:p>
        </w:tc>
        <w:tc>
          <w:tcPr>
            <w:tcW w:w="1007" w:type="dxa"/>
          </w:tcPr>
          <w:p w14:paraId="041A7A58" w14:textId="77777777" w:rsidR="00F81A2E" w:rsidRPr="00F81A2E" w:rsidRDefault="00F81A2E" w:rsidP="00CA0D72">
            <w:pPr>
              <w:pStyle w:val="Table"/>
              <w:ind w:right="-3"/>
            </w:pPr>
            <w:r w:rsidRPr="00F81A2E">
              <w:t>0</w:t>
            </w:r>
          </w:p>
        </w:tc>
        <w:tc>
          <w:tcPr>
            <w:tcW w:w="1175" w:type="dxa"/>
          </w:tcPr>
          <w:p w14:paraId="06D42AFF" w14:textId="77777777" w:rsidR="00F81A2E" w:rsidRPr="00F81A2E" w:rsidRDefault="00F81A2E" w:rsidP="00CA0D72">
            <w:pPr>
              <w:pStyle w:val="Table"/>
              <w:ind w:right="-3"/>
            </w:pPr>
            <w:r w:rsidRPr="00F81A2E">
              <w:t>4</w:t>
            </w:r>
          </w:p>
        </w:tc>
        <w:tc>
          <w:tcPr>
            <w:tcW w:w="1175" w:type="dxa"/>
          </w:tcPr>
          <w:p w14:paraId="14822A21" w14:textId="77777777" w:rsidR="00F81A2E" w:rsidRPr="00F81A2E" w:rsidRDefault="00F81A2E" w:rsidP="00CA0D72">
            <w:pPr>
              <w:pStyle w:val="Table"/>
              <w:ind w:right="-3"/>
            </w:pPr>
            <w:r w:rsidRPr="00F81A2E">
              <w:t>0</w:t>
            </w:r>
          </w:p>
        </w:tc>
        <w:tc>
          <w:tcPr>
            <w:tcW w:w="1175" w:type="dxa"/>
          </w:tcPr>
          <w:p w14:paraId="6096F9A2" w14:textId="77777777" w:rsidR="00F81A2E" w:rsidRPr="00F81A2E" w:rsidRDefault="00F81A2E" w:rsidP="00CA0D72">
            <w:pPr>
              <w:pStyle w:val="Table"/>
              <w:ind w:right="-3"/>
            </w:pPr>
            <w:r w:rsidRPr="00F81A2E">
              <w:t>0</w:t>
            </w:r>
          </w:p>
        </w:tc>
        <w:tc>
          <w:tcPr>
            <w:tcW w:w="1175" w:type="dxa"/>
          </w:tcPr>
          <w:p w14:paraId="1AF3A28B" w14:textId="77777777" w:rsidR="00F81A2E" w:rsidRPr="00F81A2E" w:rsidRDefault="00F81A2E" w:rsidP="00CA0D72">
            <w:pPr>
              <w:pStyle w:val="Table"/>
              <w:ind w:right="-3"/>
            </w:pPr>
            <w:r w:rsidRPr="00F81A2E">
              <w:t>2</w:t>
            </w:r>
          </w:p>
        </w:tc>
        <w:tc>
          <w:tcPr>
            <w:tcW w:w="1175" w:type="dxa"/>
          </w:tcPr>
          <w:p w14:paraId="0FAF72D5" w14:textId="77777777" w:rsidR="00F81A2E" w:rsidRPr="00F81A2E" w:rsidRDefault="00F81A2E" w:rsidP="00CA0D72">
            <w:pPr>
              <w:pStyle w:val="Table"/>
              <w:ind w:right="-3"/>
            </w:pPr>
            <w:r w:rsidRPr="00F81A2E">
              <w:t>19</w:t>
            </w:r>
          </w:p>
        </w:tc>
        <w:tc>
          <w:tcPr>
            <w:tcW w:w="1175" w:type="dxa"/>
          </w:tcPr>
          <w:p w14:paraId="58D52208" w14:textId="77777777" w:rsidR="00F81A2E" w:rsidRPr="00F81A2E" w:rsidRDefault="00F81A2E" w:rsidP="00CA0D72">
            <w:pPr>
              <w:pStyle w:val="Table"/>
              <w:ind w:right="-3"/>
            </w:pPr>
            <w:r w:rsidRPr="00F81A2E">
              <w:t>12</w:t>
            </w:r>
          </w:p>
        </w:tc>
        <w:tc>
          <w:tcPr>
            <w:tcW w:w="1175" w:type="dxa"/>
          </w:tcPr>
          <w:p w14:paraId="03875FC8" w14:textId="77777777" w:rsidR="00F81A2E" w:rsidRPr="00F81A2E" w:rsidRDefault="00F81A2E" w:rsidP="00CA0D72">
            <w:pPr>
              <w:pStyle w:val="Table"/>
              <w:ind w:right="-3"/>
            </w:pPr>
            <w:r w:rsidRPr="00F81A2E">
              <w:t>6</w:t>
            </w:r>
          </w:p>
        </w:tc>
        <w:tc>
          <w:tcPr>
            <w:tcW w:w="1175" w:type="dxa"/>
          </w:tcPr>
          <w:p w14:paraId="7B722B15" w14:textId="77777777" w:rsidR="00F81A2E" w:rsidRPr="00F81A2E" w:rsidRDefault="00F81A2E" w:rsidP="00CA0D72">
            <w:pPr>
              <w:pStyle w:val="Table"/>
              <w:ind w:right="-3"/>
            </w:pPr>
            <w:r w:rsidRPr="00F81A2E">
              <w:t>0</w:t>
            </w:r>
          </w:p>
        </w:tc>
        <w:tc>
          <w:tcPr>
            <w:tcW w:w="1175" w:type="dxa"/>
          </w:tcPr>
          <w:p w14:paraId="65EBC401" w14:textId="77777777" w:rsidR="00F81A2E" w:rsidRPr="00F81A2E" w:rsidRDefault="00F81A2E" w:rsidP="00CA0D72">
            <w:pPr>
              <w:pStyle w:val="Table"/>
              <w:ind w:right="-3"/>
            </w:pPr>
            <w:r w:rsidRPr="00F81A2E">
              <w:t>0</w:t>
            </w:r>
          </w:p>
        </w:tc>
        <w:tc>
          <w:tcPr>
            <w:tcW w:w="1176" w:type="dxa"/>
          </w:tcPr>
          <w:p w14:paraId="20CB527A" w14:textId="77777777" w:rsidR="00F81A2E" w:rsidRPr="00F81A2E" w:rsidRDefault="00F81A2E" w:rsidP="00CA0D72">
            <w:pPr>
              <w:pStyle w:val="Table"/>
              <w:ind w:right="-3"/>
            </w:pPr>
            <w:r w:rsidRPr="00F81A2E">
              <w:t>43</w:t>
            </w:r>
          </w:p>
        </w:tc>
      </w:tr>
      <w:tr w:rsidR="00F81A2E" w:rsidRPr="00F81A2E" w14:paraId="282D634B" w14:textId="77777777" w:rsidTr="00F53196">
        <w:trPr>
          <w:trHeight w:val="227"/>
        </w:trPr>
        <w:tc>
          <w:tcPr>
            <w:tcW w:w="1175" w:type="dxa"/>
          </w:tcPr>
          <w:p w14:paraId="18D60988" w14:textId="583D7C35" w:rsidR="00F81A2E" w:rsidRPr="00F81A2E" w:rsidRDefault="00BC0ABE" w:rsidP="00CA0D72">
            <w:pPr>
              <w:pStyle w:val="Table"/>
              <w:ind w:right="-3"/>
            </w:pPr>
            <w:r w:rsidRPr="00F81A2E">
              <w:t>SA</w:t>
            </w:r>
          </w:p>
        </w:tc>
        <w:tc>
          <w:tcPr>
            <w:tcW w:w="1343" w:type="dxa"/>
          </w:tcPr>
          <w:p w14:paraId="66387288" w14:textId="77777777" w:rsidR="00F81A2E" w:rsidRPr="00F81A2E" w:rsidRDefault="00F81A2E" w:rsidP="00CA0D72">
            <w:pPr>
              <w:pStyle w:val="Table"/>
              <w:ind w:right="-3"/>
            </w:pPr>
            <w:r w:rsidRPr="00F81A2E">
              <w:t>%</w:t>
            </w:r>
          </w:p>
        </w:tc>
        <w:tc>
          <w:tcPr>
            <w:tcW w:w="1007" w:type="dxa"/>
          </w:tcPr>
          <w:p w14:paraId="1E8EBA3A" w14:textId="77777777" w:rsidR="00F81A2E" w:rsidRPr="00F81A2E" w:rsidRDefault="00F81A2E" w:rsidP="00CA0D72">
            <w:pPr>
              <w:pStyle w:val="Table"/>
              <w:ind w:right="-3"/>
            </w:pPr>
            <w:r w:rsidRPr="00F81A2E">
              <w:t>0</w:t>
            </w:r>
          </w:p>
        </w:tc>
        <w:tc>
          <w:tcPr>
            <w:tcW w:w="1175" w:type="dxa"/>
          </w:tcPr>
          <w:p w14:paraId="648B0F58" w14:textId="77777777" w:rsidR="00F81A2E" w:rsidRPr="00F81A2E" w:rsidRDefault="00F81A2E" w:rsidP="00CA0D72">
            <w:pPr>
              <w:pStyle w:val="Table"/>
              <w:ind w:right="-3"/>
            </w:pPr>
            <w:r w:rsidRPr="00F81A2E">
              <w:t>9.3</w:t>
            </w:r>
          </w:p>
        </w:tc>
        <w:tc>
          <w:tcPr>
            <w:tcW w:w="1175" w:type="dxa"/>
          </w:tcPr>
          <w:p w14:paraId="45D89FB9" w14:textId="77777777" w:rsidR="00F81A2E" w:rsidRPr="00F81A2E" w:rsidRDefault="00F81A2E" w:rsidP="00CA0D72">
            <w:pPr>
              <w:pStyle w:val="Table"/>
              <w:ind w:right="-3"/>
            </w:pPr>
            <w:r w:rsidRPr="00F81A2E">
              <w:t>0</w:t>
            </w:r>
          </w:p>
        </w:tc>
        <w:tc>
          <w:tcPr>
            <w:tcW w:w="1175" w:type="dxa"/>
          </w:tcPr>
          <w:p w14:paraId="2274669B" w14:textId="77777777" w:rsidR="00F81A2E" w:rsidRPr="00F81A2E" w:rsidRDefault="00F81A2E" w:rsidP="00CA0D72">
            <w:pPr>
              <w:pStyle w:val="Table"/>
              <w:ind w:right="-3"/>
            </w:pPr>
            <w:r w:rsidRPr="00F81A2E">
              <w:t>0</w:t>
            </w:r>
          </w:p>
        </w:tc>
        <w:tc>
          <w:tcPr>
            <w:tcW w:w="1175" w:type="dxa"/>
          </w:tcPr>
          <w:p w14:paraId="66911F73" w14:textId="77777777" w:rsidR="00F81A2E" w:rsidRPr="00F81A2E" w:rsidRDefault="00F81A2E" w:rsidP="00CA0D72">
            <w:pPr>
              <w:pStyle w:val="Table"/>
              <w:ind w:right="-3"/>
            </w:pPr>
            <w:r w:rsidRPr="00F81A2E">
              <w:t>4.7</w:t>
            </w:r>
          </w:p>
        </w:tc>
        <w:tc>
          <w:tcPr>
            <w:tcW w:w="1175" w:type="dxa"/>
          </w:tcPr>
          <w:p w14:paraId="68706221" w14:textId="77777777" w:rsidR="00F81A2E" w:rsidRPr="00F81A2E" w:rsidRDefault="00F81A2E" w:rsidP="00CA0D72">
            <w:pPr>
              <w:pStyle w:val="Table"/>
              <w:ind w:right="-3"/>
            </w:pPr>
            <w:r w:rsidRPr="00F81A2E">
              <w:t>44.2</w:t>
            </w:r>
          </w:p>
        </w:tc>
        <w:tc>
          <w:tcPr>
            <w:tcW w:w="1175" w:type="dxa"/>
          </w:tcPr>
          <w:p w14:paraId="3A7186A6" w14:textId="77777777" w:rsidR="00F81A2E" w:rsidRPr="00F81A2E" w:rsidRDefault="00F81A2E" w:rsidP="00CA0D72">
            <w:pPr>
              <w:pStyle w:val="Table"/>
              <w:ind w:right="-3"/>
            </w:pPr>
            <w:r w:rsidRPr="00F81A2E">
              <w:t>27.9</w:t>
            </w:r>
          </w:p>
        </w:tc>
        <w:tc>
          <w:tcPr>
            <w:tcW w:w="1175" w:type="dxa"/>
          </w:tcPr>
          <w:p w14:paraId="30474F0B" w14:textId="77777777" w:rsidR="00F81A2E" w:rsidRPr="00F81A2E" w:rsidRDefault="00F81A2E" w:rsidP="00CA0D72">
            <w:pPr>
              <w:pStyle w:val="Table"/>
              <w:ind w:right="-3"/>
            </w:pPr>
            <w:r w:rsidRPr="00F81A2E">
              <w:t>14</w:t>
            </w:r>
          </w:p>
        </w:tc>
        <w:tc>
          <w:tcPr>
            <w:tcW w:w="1175" w:type="dxa"/>
          </w:tcPr>
          <w:p w14:paraId="3AB03070" w14:textId="77777777" w:rsidR="00F81A2E" w:rsidRPr="00F81A2E" w:rsidRDefault="00F81A2E" w:rsidP="00CA0D72">
            <w:pPr>
              <w:pStyle w:val="Table"/>
              <w:ind w:right="-3"/>
            </w:pPr>
            <w:r w:rsidRPr="00F81A2E">
              <w:t>0</w:t>
            </w:r>
          </w:p>
        </w:tc>
        <w:tc>
          <w:tcPr>
            <w:tcW w:w="1175" w:type="dxa"/>
          </w:tcPr>
          <w:p w14:paraId="143F118E" w14:textId="77777777" w:rsidR="00F81A2E" w:rsidRPr="00F81A2E" w:rsidRDefault="00F81A2E" w:rsidP="00CA0D72">
            <w:pPr>
              <w:pStyle w:val="Table"/>
              <w:ind w:right="-3"/>
            </w:pPr>
            <w:r w:rsidRPr="00F81A2E">
              <w:t>0</w:t>
            </w:r>
          </w:p>
        </w:tc>
        <w:tc>
          <w:tcPr>
            <w:tcW w:w="1176" w:type="dxa"/>
          </w:tcPr>
          <w:p w14:paraId="52913865" w14:textId="77777777" w:rsidR="00F81A2E" w:rsidRPr="00F81A2E" w:rsidRDefault="00F81A2E" w:rsidP="00CA0D72">
            <w:pPr>
              <w:pStyle w:val="Table"/>
              <w:ind w:right="-3"/>
            </w:pPr>
            <w:r w:rsidRPr="00F81A2E">
              <w:t> </w:t>
            </w:r>
          </w:p>
        </w:tc>
      </w:tr>
      <w:tr w:rsidR="00F81A2E" w:rsidRPr="00F81A2E" w14:paraId="5AB273DD" w14:textId="77777777" w:rsidTr="00F53196">
        <w:trPr>
          <w:trHeight w:val="227"/>
        </w:trPr>
        <w:tc>
          <w:tcPr>
            <w:tcW w:w="1175" w:type="dxa"/>
          </w:tcPr>
          <w:p w14:paraId="7046FD99" w14:textId="3ADA0B23" w:rsidR="00F81A2E" w:rsidRPr="00F81A2E" w:rsidRDefault="00BC0ABE" w:rsidP="00CA0D72">
            <w:pPr>
              <w:pStyle w:val="Table"/>
              <w:ind w:right="-3"/>
            </w:pPr>
            <w:r w:rsidRPr="00F81A2E">
              <w:t>SA</w:t>
            </w:r>
          </w:p>
        </w:tc>
        <w:tc>
          <w:tcPr>
            <w:tcW w:w="1343" w:type="dxa"/>
          </w:tcPr>
          <w:p w14:paraId="6E7BD01D" w14:textId="77777777" w:rsidR="00F81A2E" w:rsidRPr="00F81A2E" w:rsidRDefault="00F81A2E" w:rsidP="00CA0D72">
            <w:pPr>
              <w:pStyle w:val="Table"/>
              <w:ind w:right="-3"/>
            </w:pPr>
            <w:r w:rsidRPr="00F81A2E">
              <w:t>Total</w:t>
            </w:r>
          </w:p>
        </w:tc>
        <w:tc>
          <w:tcPr>
            <w:tcW w:w="1007" w:type="dxa"/>
          </w:tcPr>
          <w:p w14:paraId="1EEBDA34" w14:textId="77777777" w:rsidR="00F81A2E" w:rsidRPr="00F81A2E" w:rsidRDefault="00F81A2E" w:rsidP="00CA0D72">
            <w:pPr>
              <w:pStyle w:val="Table"/>
              <w:ind w:right="-3"/>
            </w:pPr>
            <w:r w:rsidRPr="00F81A2E">
              <w:t>9</w:t>
            </w:r>
          </w:p>
        </w:tc>
        <w:tc>
          <w:tcPr>
            <w:tcW w:w="1175" w:type="dxa"/>
          </w:tcPr>
          <w:p w14:paraId="591EC57F" w14:textId="77777777" w:rsidR="00F81A2E" w:rsidRPr="00F81A2E" w:rsidRDefault="00F81A2E" w:rsidP="00CA0D72">
            <w:pPr>
              <w:pStyle w:val="Table"/>
              <w:ind w:right="-3"/>
            </w:pPr>
            <w:r w:rsidRPr="00F81A2E">
              <w:t>139</w:t>
            </w:r>
          </w:p>
        </w:tc>
        <w:tc>
          <w:tcPr>
            <w:tcW w:w="1175" w:type="dxa"/>
          </w:tcPr>
          <w:p w14:paraId="0C8B735B" w14:textId="77777777" w:rsidR="00F81A2E" w:rsidRPr="00F81A2E" w:rsidRDefault="00F81A2E" w:rsidP="00CA0D72">
            <w:pPr>
              <w:pStyle w:val="Table"/>
              <w:ind w:right="-3"/>
            </w:pPr>
            <w:r w:rsidRPr="00F81A2E">
              <w:t>81</w:t>
            </w:r>
          </w:p>
        </w:tc>
        <w:tc>
          <w:tcPr>
            <w:tcW w:w="1175" w:type="dxa"/>
          </w:tcPr>
          <w:p w14:paraId="5CD511D8" w14:textId="77777777" w:rsidR="00F81A2E" w:rsidRPr="00F81A2E" w:rsidRDefault="00F81A2E" w:rsidP="00CA0D72">
            <w:pPr>
              <w:pStyle w:val="Table"/>
              <w:ind w:right="-3"/>
            </w:pPr>
            <w:r w:rsidRPr="00F81A2E">
              <w:t>67</w:t>
            </w:r>
          </w:p>
        </w:tc>
        <w:tc>
          <w:tcPr>
            <w:tcW w:w="1175" w:type="dxa"/>
          </w:tcPr>
          <w:p w14:paraId="751A769D" w14:textId="77777777" w:rsidR="00F81A2E" w:rsidRPr="00F81A2E" w:rsidRDefault="00F81A2E" w:rsidP="00CA0D72">
            <w:pPr>
              <w:pStyle w:val="Table"/>
              <w:ind w:right="-3"/>
            </w:pPr>
            <w:r w:rsidRPr="00F81A2E">
              <w:t>32</w:t>
            </w:r>
          </w:p>
        </w:tc>
        <w:tc>
          <w:tcPr>
            <w:tcW w:w="1175" w:type="dxa"/>
          </w:tcPr>
          <w:p w14:paraId="13455B80" w14:textId="77777777" w:rsidR="00F81A2E" w:rsidRPr="00F81A2E" w:rsidRDefault="00F81A2E" w:rsidP="00CA0D72">
            <w:pPr>
              <w:pStyle w:val="Table"/>
              <w:ind w:right="-3"/>
            </w:pPr>
            <w:r w:rsidRPr="00F81A2E">
              <w:t>121</w:t>
            </w:r>
          </w:p>
        </w:tc>
        <w:tc>
          <w:tcPr>
            <w:tcW w:w="1175" w:type="dxa"/>
          </w:tcPr>
          <w:p w14:paraId="66D3F7B8" w14:textId="77777777" w:rsidR="00F81A2E" w:rsidRPr="00F81A2E" w:rsidRDefault="00F81A2E" w:rsidP="00CA0D72">
            <w:pPr>
              <w:pStyle w:val="Table"/>
              <w:ind w:right="-3"/>
            </w:pPr>
            <w:r w:rsidRPr="00F81A2E">
              <w:t>110</w:t>
            </w:r>
          </w:p>
        </w:tc>
        <w:tc>
          <w:tcPr>
            <w:tcW w:w="1175" w:type="dxa"/>
          </w:tcPr>
          <w:p w14:paraId="6CD32CDA" w14:textId="77777777" w:rsidR="00F81A2E" w:rsidRPr="00F81A2E" w:rsidRDefault="00F81A2E" w:rsidP="00CA0D72">
            <w:pPr>
              <w:pStyle w:val="Table"/>
              <w:ind w:right="-3"/>
            </w:pPr>
            <w:r w:rsidRPr="00F81A2E">
              <w:t>84</w:t>
            </w:r>
          </w:p>
        </w:tc>
        <w:tc>
          <w:tcPr>
            <w:tcW w:w="1175" w:type="dxa"/>
          </w:tcPr>
          <w:p w14:paraId="7C6C8D52" w14:textId="77777777" w:rsidR="00F81A2E" w:rsidRPr="00F81A2E" w:rsidRDefault="00F81A2E" w:rsidP="00CA0D72">
            <w:pPr>
              <w:pStyle w:val="Table"/>
              <w:ind w:right="-3"/>
            </w:pPr>
            <w:r w:rsidRPr="00F81A2E">
              <w:t>9</w:t>
            </w:r>
          </w:p>
        </w:tc>
        <w:tc>
          <w:tcPr>
            <w:tcW w:w="1175" w:type="dxa"/>
          </w:tcPr>
          <w:p w14:paraId="6B7672CE" w14:textId="77777777" w:rsidR="00F81A2E" w:rsidRPr="00F81A2E" w:rsidRDefault="00F81A2E" w:rsidP="00CA0D72">
            <w:pPr>
              <w:pStyle w:val="Table"/>
              <w:ind w:right="-3"/>
            </w:pPr>
            <w:r w:rsidRPr="00F81A2E">
              <w:t>25</w:t>
            </w:r>
          </w:p>
        </w:tc>
        <w:tc>
          <w:tcPr>
            <w:tcW w:w="1176" w:type="dxa"/>
          </w:tcPr>
          <w:p w14:paraId="3A1F37F5" w14:textId="77777777" w:rsidR="00F81A2E" w:rsidRPr="00F81A2E" w:rsidRDefault="00F81A2E" w:rsidP="00CA0D72">
            <w:pPr>
              <w:pStyle w:val="Table"/>
              <w:ind w:right="-3"/>
            </w:pPr>
            <w:r w:rsidRPr="00F81A2E">
              <w:t>677</w:t>
            </w:r>
          </w:p>
        </w:tc>
      </w:tr>
      <w:tr w:rsidR="00F81A2E" w:rsidRPr="00F81A2E" w14:paraId="134BF597" w14:textId="77777777" w:rsidTr="00F53196">
        <w:trPr>
          <w:trHeight w:val="227"/>
        </w:trPr>
        <w:tc>
          <w:tcPr>
            <w:tcW w:w="1175" w:type="dxa"/>
          </w:tcPr>
          <w:p w14:paraId="0B13D887" w14:textId="05A1C83C" w:rsidR="00F81A2E" w:rsidRPr="00F81A2E" w:rsidRDefault="00BC0ABE" w:rsidP="00CA0D72">
            <w:pPr>
              <w:pStyle w:val="Table"/>
              <w:ind w:right="-3"/>
            </w:pPr>
            <w:r w:rsidRPr="00F81A2E">
              <w:t>SA</w:t>
            </w:r>
          </w:p>
        </w:tc>
        <w:tc>
          <w:tcPr>
            <w:tcW w:w="1343" w:type="dxa"/>
          </w:tcPr>
          <w:p w14:paraId="13667475" w14:textId="77777777" w:rsidR="00F81A2E" w:rsidRPr="00F81A2E" w:rsidRDefault="00F81A2E" w:rsidP="00CA0D72">
            <w:pPr>
              <w:pStyle w:val="Table"/>
              <w:ind w:right="-3"/>
            </w:pPr>
            <w:r w:rsidRPr="00F81A2E">
              <w:t>%</w:t>
            </w:r>
          </w:p>
        </w:tc>
        <w:tc>
          <w:tcPr>
            <w:tcW w:w="1007" w:type="dxa"/>
          </w:tcPr>
          <w:p w14:paraId="5C8E75EF" w14:textId="77777777" w:rsidR="00F81A2E" w:rsidRPr="00F81A2E" w:rsidRDefault="00F81A2E" w:rsidP="00CA0D72">
            <w:pPr>
              <w:pStyle w:val="Table"/>
              <w:ind w:right="-3"/>
            </w:pPr>
            <w:r w:rsidRPr="00F81A2E">
              <w:t>1.3</w:t>
            </w:r>
          </w:p>
        </w:tc>
        <w:tc>
          <w:tcPr>
            <w:tcW w:w="1175" w:type="dxa"/>
          </w:tcPr>
          <w:p w14:paraId="604F2BF6" w14:textId="77777777" w:rsidR="00F81A2E" w:rsidRPr="00F81A2E" w:rsidRDefault="00F81A2E" w:rsidP="00CA0D72">
            <w:pPr>
              <w:pStyle w:val="Table"/>
              <w:ind w:right="-3"/>
            </w:pPr>
            <w:r w:rsidRPr="00F81A2E">
              <w:t>20.5</w:t>
            </w:r>
          </w:p>
        </w:tc>
        <w:tc>
          <w:tcPr>
            <w:tcW w:w="1175" w:type="dxa"/>
          </w:tcPr>
          <w:p w14:paraId="585669E9" w14:textId="77777777" w:rsidR="00F81A2E" w:rsidRPr="00F81A2E" w:rsidRDefault="00F81A2E" w:rsidP="00CA0D72">
            <w:pPr>
              <w:pStyle w:val="Table"/>
              <w:ind w:right="-3"/>
            </w:pPr>
            <w:r w:rsidRPr="00F81A2E">
              <w:t>12</w:t>
            </w:r>
          </w:p>
        </w:tc>
        <w:tc>
          <w:tcPr>
            <w:tcW w:w="1175" w:type="dxa"/>
          </w:tcPr>
          <w:p w14:paraId="0629FEEB" w14:textId="77777777" w:rsidR="00F81A2E" w:rsidRPr="00F81A2E" w:rsidRDefault="00F81A2E" w:rsidP="00CA0D72">
            <w:pPr>
              <w:pStyle w:val="Table"/>
              <w:ind w:right="-3"/>
            </w:pPr>
            <w:r w:rsidRPr="00F81A2E">
              <w:t>9.9</w:t>
            </w:r>
          </w:p>
        </w:tc>
        <w:tc>
          <w:tcPr>
            <w:tcW w:w="1175" w:type="dxa"/>
          </w:tcPr>
          <w:p w14:paraId="142526BC" w14:textId="77777777" w:rsidR="00F81A2E" w:rsidRPr="00F81A2E" w:rsidRDefault="00F81A2E" w:rsidP="00CA0D72">
            <w:pPr>
              <w:pStyle w:val="Table"/>
              <w:ind w:right="-3"/>
            </w:pPr>
            <w:r w:rsidRPr="00F81A2E">
              <w:t>4.7</w:t>
            </w:r>
          </w:p>
        </w:tc>
        <w:tc>
          <w:tcPr>
            <w:tcW w:w="1175" w:type="dxa"/>
          </w:tcPr>
          <w:p w14:paraId="704BB7F6" w14:textId="77777777" w:rsidR="00F81A2E" w:rsidRPr="00F81A2E" w:rsidRDefault="00F81A2E" w:rsidP="00CA0D72">
            <w:pPr>
              <w:pStyle w:val="Table"/>
              <w:ind w:right="-3"/>
            </w:pPr>
            <w:r w:rsidRPr="00F81A2E">
              <w:t>17.9</w:t>
            </w:r>
          </w:p>
        </w:tc>
        <w:tc>
          <w:tcPr>
            <w:tcW w:w="1175" w:type="dxa"/>
          </w:tcPr>
          <w:p w14:paraId="23DD4504" w14:textId="77777777" w:rsidR="00F81A2E" w:rsidRPr="00F81A2E" w:rsidRDefault="00F81A2E" w:rsidP="00CA0D72">
            <w:pPr>
              <w:pStyle w:val="Table"/>
              <w:ind w:right="-3"/>
            </w:pPr>
            <w:r w:rsidRPr="00F81A2E">
              <w:t>16.2</w:t>
            </w:r>
          </w:p>
        </w:tc>
        <w:tc>
          <w:tcPr>
            <w:tcW w:w="1175" w:type="dxa"/>
          </w:tcPr>
          <w:p w14:paraId="7AAD6C76" w14:textId="77777777" w:rsidR="00F81A2E" w:rsidRPr="00F81A2E" w:rsidRDefault="00F81A2E" w:rsidP="00CA0D72">
            <w:pPr>
              <w:pStyle w:val="Table"/>
              <w:ind w:right="-3"/>
            </w:pPr>
            <w:r w:rsidRPr="00F81A2E">
              <w:t>12.4</w:t>
            </w:r>
          </w:p>
        </w:tc>
        <w:tc>
          <w:tcPr>
            <w:tcW w:w="1175" w:type="dxa"/>
          </w:tcPr>
          <w:p w14:paraId="6A26EC0B" w14:textId="77777777" w:rsidR="00F81A2E" w:rsidRPr="00F81A2E" w:rsidRDefault="00F81A2E" w:rsidP="00CA0D72">
            <w:pPr>
              <w:pStyle w:val="Table"/>
              <w:ind w:right="-3"/>
            </w:pPr>
            <w:r w:rsidRPr="00F81A2E">
              <w:t>1.3</w:t>
            </w:r>
          </w:p>
        </w:tc>
        <w:tc>
          <w:tcPr>
            <w:tcW w:w="1175" w:type="dxa"/>
          </w:tcPr>
          <w:p w14:paraId="723A4187" w14:textId="77777777" w:rsidR="00F81A2E" w:rsidRPr="00F81A2E" w:rsidRDefault="00F81A2E" w:rsidP="00CA0D72">
            <w:pPr>
              <w:pStyle w:val="Table"/>
              <w:ind w:right="-3"/>
            </w:pPr>
            <w:r w:rsidRPr="00F81A2E">
              <w:t>3.7</w:t>
            </w:r>
          </w:p>
        </w:tc>
        <w:tc>
          <w:tcPr>
            <w:tcW w:w="1176" w:type="dxa"/>
          </w:tcPr>
          <w:p w14:paraId="3FF0C896" w14:textId="77777777" w:rsidR="00F81A2E" w:rsidRPr="00F81A2E" w:rsidRDefault="00F81A2E" w:rsidP="00CA0D72">
            <w:pPr>
              <w:pStyle w:val="Table"/>
              <w:ind w:right="-3"/>
            </w:pPr>
            <w:r w:rsidRPr="00F81A2E">
              <w:t> </w:t>
            </w:r>
          </w:p>
        </w:tc>
      </w:tr>
      <w:tr w:rsidR="00F81A2E" w:rsidRPr="00F81A2E" w14:paraId="46A1B71F" w14:textId="77777777" w:rsidTr="00F53196">
        <w:trPr>
          <w:trHeight w:val="227"/>
        </w:trPr>
        <w:tc>
          <w:tcPr>
            <w:tcW w:w="1175" w:type="dxa"/>
          </w:tcPr>
          <w:p w14:paraId="64196630" w14:textId="77777777" w:rsidR="00F81A2E" w:rsidRPr="00F81A2E" w:rsidRDefault="00F81A2E" w:rsidP="00CA0D72">
            <w:pPr>
              <w:pStyle w:val="Table"/>
              <w:ind w:right="-3"/>
            </w:pPr>
            <w:r w:rsidRPr="00F81A2E">
              <w:t>TAS</w:t>
            </w:r>
          </w:p>
        </w:tc>
        <w:tc>
          <w:tcPr>
            <w:tcW w:w="1343" w:type="dxa"/>
          </w:tcPr>
          <w:p w14:paraId="3D723274" w14:textId="77777777" w:rsidR="00F81A2E" w:rsidRPr="00F81A2E" w:rsidRDefault="00F81A2E" w:rsidP="00CA0D72">
            <w:pPr>
              <w:pStyle w:val="Table"/>
              <w:ind w:right="-3"/>
            </w:pPr>
            <w:r w:rsidRPr="00F81A2E">
              <w:t>Community Only</w:t>
            </w:r>
          </w:p>
        </w:tc>
        <w:tc>
          <w:tcPr>
            <w:tcW w:w="1007" w:type="dxa"/>
          </w:tcPr>
          <w:p w14:paraId="61065F02" w14:textId="77777777" w:rsidR="00F81A2E" w:rsidRPr="00F81A2E" w:rsidRDefault="00F81A2E" w:rsidP="00CA0D72">
            <w:pPr>
              <w:pStyle w:val="Table"/>
              <w:ind w:right="-3"/>
            </w:pPr>
            <w:r w:rsidRPr="00F81A2E">
              <w:t>0</w:t>
            </w:r>
          </w:p>
        </w:tc>
        <w:tc>
          <w:tcPr>
            <w:tcW w:w="1175" w:type="dxa"/>
          </w:tcPr>
          <w:p w14:paraId="4C77CBE2" w14:textId="77777777" w:rsidR="00F81A2E" w:rsidRPr="00F81A2E" w:rsidRDefault="00F81A2E" w:rsidP="00CA0D72">
            <w:pPr>
              <w:pStyle w:val="Table"/>
              <w:ind w:right="-3"/>
            </w:pPr>
            <w:r w:rsidRPr="00F81A2E">
              <w:t>15</w:t>
            </w:r>
          </w:p>
        </w:tc>
        <w:tc>
          <w:tcPr>
            <w:tcW w:w="1175" w:type="dxa"/>
          </w:tcPr>
          <w:p w14:paraId="2AD5761E" w14:textId="77777777" w:rsidR="00F81A2E" w:rsidRPr="00F81A2E" w:rsidRDefault="00F81A2E" w:rsidP="00CA0D72">
            <w:pPr>
              <w:pStyle w:val="Table"/>
              <w:ind w:right="-3"/>
            </w:pPr>
            <w:r w:rsidRPr="00F81A2E">
              <w:t>0</w:t>
            </w:r>
          </w:p>
        </w:tc>
        <w:tc>
          <w:tcPr>
            <w:tcW w:w="1175" w:type="dxa"/>
          </w:tcPr>
          <w:p w14:paraId="5A212EA5" w14:textId="77777777" w:rsidR="00F81A2E" w:rsidRPr="00F81A2E" w:rsidRDefault="00F81A2E" w:rsidP="00CA0D72">
            <w:pPr>
              <w:pStyle w:val="Table"/>
              <w:ind w:right="-3"/>
            </w:pPr>
            <w:r w:rsidRPr="00F81A2E">
              <w:t>0</w:t>
            </w:r>
          </w:p>
        </w:tc>
        <w:tc>
          <w:tcPr>
            <w:tcW w:w="1175" w:type="dxa"/>
          </w:tcPr>
          <w:p w14:paraId="4607504D" w14:textId="77777777" w:rsidR="00F81A2E" w:rsidRPr="00F81A2E" w:rsidRDefault="00F81A2E" w:rsidP="00CA0D72">
            <w:pPr>
              <w:pStyle w:val="Table"/>
              <w:ind w:right="-3"/>
            </w:pPr>
            <w:r w:rsidRPr="00F81A2E">
              <w:t>10</w:t>
            </w:r>
          </w:p>
        </w:tc>
        <w:tc>
          <w:tcPr>
            <w:tcW w:w="1175" w:type="dxa"/>
          </w:tcPr>
          <w:p w14:paraId="21A06414" w14:textId="77777777" w:rsidR="00F81A2E" w:rsidRPr="00F81A2E" w:rsidRDefault="00F81A2E" w:rsidP="00CA0D72">
            <w:pPr>
              <w:pStyle w:val="Table"/>
              <w:ind w:right="-3"/>
            </w:pPr>
            <w:r w:rsidRPr="00F81A2E">
              <w:t>8</w:t>
            </w:r>
          </w:p>
        </w:tc>
        <w:tc>
          <w:tcPr>
            <w:tcW w:w="1175" w:type="dxa"/>
          </w:tcPr>
          <w:p w14:paraId="212C1F65" w14:textId="77777777" w:rsidR="00F81A2E" w:rsidRPr="00F81A2E" w:rsidRDefault="00F81A2E" w:rsidP="00CA0D72">
            <w:pPr>
              <w:pStyle w:val="Table"/>
              <w:ind w:right="-3"/>
            </w:pPr>
            <w:r w:rsidRPr="00F81A2E">
              <w:t>16</w:t>
            </w:r>
          </w:p>
        </w:tc>
        <w:tc>
          <w:tcPr>
            <w:tcW w:w="1175" w:type="dxa"/>
          </w:tcPr>
          <w:p w14:paraId="34BD2E26" w14:textId="77777777" w:rsidR="00F81A2E" w:rsidRPr="00F81A2E" w:rsidRDefault="00F81A2E" w:rsidP="00CA0D72">
            <w:pPr>
              <w:pStyle w:val="Table"/>
              <w:ind w:right="-3"/>
            </w:pPr>
            <w:r w:rsidRPr="00F81A2E">
              <w:t>5</w:t>
            </w:r>
          </w:p>
        </w:tc>
        <w:tc>
          <w:tcPr>
            <w:tcW w:w="1175" w:type="dxa"/>
          </w:tcPr>
          <w:p w14:paraId="58A03415" w14:textId="77777777" w:rsidR="00F81A2E" w:rsidRPr="00F81A2E" w:rsidRDefault="00F81A2E" w:rsidP="00CA0D72">
            <w:pPr>
              <w:pStyle w:val="Table"/>
              <w:ind w:right="-3"/>
            </w:pPr>
            <w:r w:rsidRPr="00F81A2E">
              <w:t>3</w:t>
            </w:r>
          </w:p>
        </w:tc>
        <w:tc>
          <w:tcPr>
            <w:tcW w:w="1175" w:type="dxa"/>
          </w:tcPr>
          <w:p w14:paraId="14FAE006" w14:textId="77777777" w:rsidR="00F81A2E" w:rsidRPr="00F81A2E" w:rsidRDefault="00F81A2E" w:rsidP="00CA0D72">
            <w:pPr>
              <w:pStyle w:val="Table"/>
              <w:ind w:right="-3"/>
            </w:pPr>
            <w:r w:rsidRPr="00F81A2E">
              <w:t>0</w:t>
            </w:r>
          </w:p>
        </w:tc>
        <w:tc>
          <w:tcPr>
            <w:tcW w:w="1176" w:type="dxa"/>
          </w:tcPr>
          <w:p w14:paraId="77710A36" w14:textId="77777777" w:rsidR="00F81A2E" w:rsidRPr="00F81A2E" w:rsidRDefault="00F81A2E" w:rsidP="00CA0D72">
            <w:pPr>
              <w:pStyle w:val="Table"/>
              <w:ind w:right="-3"/>
            </w:pPr>
            <w:r w:rsidRPr="00F81A2E">
              <w:t>57</w:t>
            </w:r>
          </w:p>
        </w:tc>
      </w:tr>
      <w:tr w:rsidR="00F81A2E" w:rsidRPr="00F81A2E" w14:paraId="1A9572B3" w14:textId="77777777" w:rsidTr="00F53196">
        <w:trPr>
          <w:trHeight w:val="227"/>
        </w:trPr>
        <w:tc>
          <w:tcPr>
            <w:tcW w:w="1175" w:type="dxa"/>
          </w:tcPr>
          <w:p w14:paraId="44FB03B1" w14:textId="620A59C3" w:rsidR="00F81A2E" w:rsidRPr="00F81A2E" w:rsidRDefault="00BC0ABE" w:rsidP="00CA0D72">
            <w:pPr>
              <w:pStyle w:val="Table"/>
              <w:ind w:right="-3"/>
            </w:pPr>
            <w:r w:rsidRPr="00F81A2E">
              <w:t>TAS</w:t>
            </w:r>
          </w:p>
        </w:tc>
        <w:tc>
          <w:tcPr>
            <w:tcW w:w="1343" w:type="dxa"/>
          </w:tcPr>
          <w:p w14:paraId="6CC97890" w14:textId="77777777" w:rsidR="00F81A2E" w:rsidRPr="00F81A2E" w:rsidRDefault="00F81A2E" w:rsidP="00CA0D72">
            <w:pPr>
              <w:pStyle w:val="Table"/>
              <w:ind w:right="-3"/>
            </w:pPr>
            <w:r w:rsidRPr="00F81A2E">
              <w:t>%</w:t>
            </w:r>
          </w:p>
        </w:tc>
        <w:tc>
          <w:tcPr>
            <w:tcW w:w="1007" w:type="dxa"/>
          </w:tcPr>
          <w:p w14:paraId="08230F4C" w14:textId="77777777" w:rsidR="00F81A2E" w:rsidRPr="00F81A2E" w:rsidRDefault="00F81A2E" w:rsidP="00CA0D72">
            <w:pPr>
              <w:pStyle w:val="Table"/>
              <w:ind w:right="-3"/>
            </w:pPr>
            <w:r w:rsidRPr="00F81A2E">
              <w:t>0</w:t>
            </w:r>
          </w:p>
        </w:tc>
        <w:tc>
          <w:tcPr>
            <w:tcW w:w="1175" w:type="dxa"/>
          </w:tcPr>
          <w:p w14:paraId="440E8823" w14:textId="77777777" w:rsidR="00F81A2E" w:rsidRPr="00F81A2E" w:rsidRDefault="00F81A2E" w:rsidP="00CA0D72">
            <w:pPr>
              <w:pStyle w:val="Table"/>
              <w:ind w:right="-3"/>
            </w:pPr>
            <w:r w:rsidRPr="00F81A2E">
              <w:t>26.3</w:t>
            </w:r>
          </w:p>
        </w:tc>
        <w:tc>
          <w:tcPr>
            <w:tcW w:w="1175" w:type="dxa"/>
          </w:tcPr>
          <w:p w14:paraId="7C898306" w14:textId="77777777" w:rsidR="00F81A2E" w:rsidRPr="00F81A2E" w:rsidRDefault="00F81A2E" w:rsidP="00CA0D72">
            <w:pPr>
              <w:pStyle w:val="Table"/>
              <w:ind w:right="-3"/>
            </w:pPr>
            <w:r w:rsidRPr="00F81A2E">
              <w:t>0</w:t>
            </w:r>
          </w:p>
        </w:tc>
        <w:tc>
          <w:tcPr>
            <w:tcW w:w="1175" w:type="dxa"/>
          </w:tcPr>
          <w:p w14:paraId="427474FD" w14:textId="77777777" w:rsidR="00F81A2E" w:rsidRPr="00F81A2E" w:rsidRDefault="00F81A2E" w:rsidP="00CA0D72">
            <w:pPr>
              <w:pStyle w:val="Table"/>
              <w:ind w:right="-3"/>
            </w:pPr>
            <w:r w:rsidRPr="00F81A2E">
              <w:t>0</w:t>
            </w:r>
          </w:p>
        </w:tc>
        <w:tc>
          <w:tcPr>
            <w:tcW w:w="1175" w:type="dxa"/>
          </w:tcPr>
          <w:p w14:paraId="08B8F8D6" w14:textId="77777777" w:rsidR="00F81A2E" w:rsidRPr="00F81A2E" w:rsidRDefault="00F81A2E" w:rsidP="00CA0D72">
            <w:pPr>
              <w:pStyle w:val="Table"/>
              <w:ind w:right="-3"/>
            </w:pPr>
            <w:r w:rsidRPr="00F81A2E">
              <w:t>17.5</w:t>
            </w:r>
          </w:p>
        </w:tc>
        <w:tc>
          <w:tcPr>
            <w:tcW w:w="1175" w:type="dxa"/>
          </w:tcPr>
          <w:p w14:paraId="3B2EE4F0" w14:textId="77777777" w:rsidR="00F81A2E" w:rsidRPr="00F81A2E" w:rsidRDefault="00F81A2E" w:rsidP="00CA0D72">
            <w:pPr>
              <w:pStyle w:val="Table"/>
              <w:ind w:right="-3"/>
            </w:pPr>
            <w:r w:rsidRPr="00F81A2E">
              <w:t>14</w:t>
            </w:r>
          </w:p>
        </w:tc>
        <w:tc>
          <w:tcPr>
            <w:tcW w:w="1175" w:type="dxa"/>
          </w:tcPr>
          <w:p w14:paraId="111191B3" w14:textId="77777777" w:rsidR="00F81A2E" w:rsidRPr="00F81A2E" w:rsidRDefault="00F81A2E" w:rsidP="00CA0D72">
            <w:pPr>
              <w:pStyle w:val="Table"/>
              <w:ind w:right="-3"/>
            </w:pPr>
            <w:r w:rsidRPr="00F81A2E">
              <w:t>28.1</w:t>
            </w:r>
          </w:p>
        </w:tc>
        <w:tc>
          <w:tcPr>
            <w:tcW w:w="1175" w:type="dxa"/>
          </w:tcPr>
          <w:p w14:paraId="6A0F3094" w14:textId="77777777" w:rsidR="00F81A2E" w:rsidRPr="00F81A2E" w:rsidRDefault="00F81A2E" w:rsidP="00CA0D72">
            <w:pPr>
              <w:pStyle w:val="Table"/>
              <w:ind w:right="-3"/>
            </w:pPr>
            <w:r w:rsidRPr="00F81A2E">
              <w:t>8.8</w:t>
            </w:r>
          </w:p>
        </w:tc>
        <w:tc>
          <w:tcPr>
            <w:tcW w:w="1175" w:type="dxa"/>
          </w:tcPr>
          <w:p w14:paraId="63C79294" w14:textId="77777777" w:rsidR="00F81A2E" w:rsidRPr="00F81A2E" w:rsidRDefault="00F81A2E" w:rsidP="00CA0D72">
            <w:pPr>
              <w:pStyle w:val="Table"/>
              <w:ind w:right="-3"/>
            </w:pPr>
            <w:r w:rsidRPr="00F81A2E">
              <w:t>5.3</w:t>
            </w:r>
          </w:p>
        </w:tc>
        <w:tc>
          <w:tcPr>
            <w:tcW w:w="1175" w:type="dxa"/>
          </w:tcPr>
          <w:p w14:paraId="7A4F186B" w14:textId="77777777" w:rsidR="00F81A2E" w:rsidRPr="00F81A2E" w:rsidRDefault="00F81A2E" w:rsidP="00CA0D72">
            <w:pPr>
              <w:pStyle w:val="Table"/>
              <w:ind w:right="-3"/>
            </w:pPr>
            <w:r w:rsidRPr="00F81A2E">
              <w:t>0</w:t>
            </w:r>
          </w:p>
        </w:tc>
        <w:tc>
          <w:tcPr>
            <w:tcW w:w="1176" w:type="dxa"/>
          </w:tcPr>
          <w:p w14:paraId="4768CD36" w14:textId="77777777" w:rsidR="00F81A2E" w:rsidRPr="00F81A2E" w:rsidRDefault="00F81A2E" w:rsidP="00CA0D72">
            <w:pPr>
              <w:pStyle w:val="Table"/>
              <w:ind w:right="-3"/>
            </w:pPr>
            <w:r w:rsidRPr="00F81A2E">
              <w:t> </w:t>
            </w:r>
          </w:p>
        </w:tc>
      </w:tr>
      <w:tr w:rsidR="00F81A2E" w:rsidRPr="00F81A2E" w14:paraId="502CCB08" w14:textId="77777777" w:rsidTr="00F53196">
        <w:trPr>
          <w:trHeight w:val="227"/>
        </w:trPr>
        <w:tc>
          <w:tcPr>
            <w:tcW w:w="1175" w:type="dxa"/>
          </w:tcPr>
          <w:p w14:paraId="725E0DF2" w14:textId="411ABFE7" w:rsidR="00F81A2E" w:rsidRPr="00F81A2E" w:rsidRDefault="00BC0ABE" w:rsidP="00CA0D72">
            <w:pPr>
              <w:pStyle w:val="Table"/>
              <w:ind w:right="-3"/>
            </w:pPr>
            <w:r w:rsidRPr="00F81A2E">
              <w:t>TAS</w:t>
            </w:r>
          </w:p>
        </w:tc>
        <w:tc>
          <w:tcPr>
            <w:tcW w:w="1343" w:type="dxa"/>
          </w:tcPr>
          <w:p w14:paraId="1D4A03B6" w14:textId="77777777" w:rsidR="00F81A2E" w:rsidRPr="00F81A2E" w:rsidRDefault="00F81A2E" w:rsidP="00CA0D72">
            <w:pPr>
              <w:pStyle w:val="Table"/>
              <w:ind w:right="-3"/>
            </w:pPr>
            <w:r w:rsidRPr="00F81A2E">
              <w:t>Residential Only</w:t>
            </w:r>
          </w:p>
        </w:tc>
        <w:tc>
          <w:tcPr>
            <w:tcW w:w="1007" w:type="dxa"/>
          </w:tcPr>
          <w:p w14:paraId="3B7D2E44" w14:textId="77777777" w:rsidR="00F81A2E" w:rsidRPr="00F81A2E" w:rsidRDefault="00F81A2E" w:rsidP="00CA0D72">
            <w:pPr>
              <w:pStyle w:val="Table"/>
              <w:ind w:right="-3"/>
            </w:pPr>
            <w:r w:rsidRPr="00F81A2E">
              <w:t>2</w:t>
            </w:r>
          </w:p>
        </w:tc>
        <w:tc>
          <w:tcPr>
            <w:tcW w:w="1175" w:type="dxa"/>
          </w:tcPr>
          <w:p w14:paraId="4C64B5AD" w14:textId="77777777" w:rsidR="00F81A2E" w:rsidRPr="00F81A2E" w:rsidRDefault="00F81A2E" w:rsidP="00CA0D72">
            <w:pPr>
              <w:pStyle w:val="Table"/>
              <w:ind w:right="-3"/>
            </w:pPr>
            <w:r w:rsidRPr="00F81A2E">
              <w:t>22</w:t>
            </w:r>
          </w:p>
        </w:tc>
        <w:tc>
          <w:tcPr>
            <w:tcW w:w="1175" w:type="dxa"/>
          </w:tcPr>
          <w:p w14:paraId="4E9A98EB" w14:textId="77777777" w:rsidR="00F81A2E" w:rsidRPr="00F81A2E" w:rsidRDefault="00F81A2E" w:rsidP="00CA0D72">
            <w:pPr>
              <w:pStyle w:val="Table"/>
              <w:ind w:right="-3"/>
            </w:pPr>
            <w:r w:rsidRPr="00F81A2E">
              <w:t>8</w:t>
            </w:r>
          </w:p>
        </w:tc>
        <w:tc>
          <w:tcPr>
            <w:tcW w:w="1175" w:type="dxa"/>
          </w:tcPr>
          <w:p w14:paraId="1BE95EDE" w14:textId="77777777" w:rsidR="00F81A2E" w:rsidRPr="00F81A2E" w:rsidRDefault="00F81A2E" w:rsidP="00CA0D72">
            <w:pPr>
              <w:pStyle w:val="Table"/>
              <w:ind w:right="-3"/>
            </w:pPr>
            <w:r w:rsidRPr="00F81A2E">
              <w:t>3</w:t>
            </w:r>
          </w:p>
        </w:tc>
        <w:tc>
          <w:tcPr>
            <w:tcW w:w="1175" w:type="dxa"/>
          </w:tcPr>
          <w:p w14:paraId="62E928E9" w14:textId="77777777" w:rsidR="00F81A2E" w:rsidRPr="00F81A2E" w:rsidRDefault="00F81A2E" w:rsidP="00CA0D72">
            <w:pPr>
              <w:pStyle w:val="Table"/>
              <w:ind w:right="-3"/>
            </w:pPr>
            <w:r w:rsidRPr="00F81A2E">
              <w:t>7</w:t>
            </w:r>
          </w:p>
        </w:tc>
        <w:tc>
          <w:tcPr>
            <w:tcW w:w="1175" w:type="dxa"/>
          </w:tcPr>
          <w:p w14:paraId="25D370AD" w14:textId="77777777" w:rsidR="00F81A2E" w:rsidRPr="00F81A2E" w:rsidRDefault="00F81A2E" w:rsidP="00CA0D72">
            <w:pPr>
              <w:pStyle w:val="Table"/>
              <w:ind w:right="-3"/>
            </w:pPr>
            <w:r w:rsidRPr="00F81A2E">
              <w:t>22</w:t>
            </w:r>
          </w:p>
        </w:tc>
        <w:tc>
          <w:tcPr>
            <w:tcW w:w="1175" w:type="dxa"/>
          </w:tcPr>
          <w:p w14:paraId="3B966441" w14:textId="77777777" w:rsidR="00F81A2E" w:rsidRPr="00F81A2E" w:rsidRDefault="00F81A2E" w:rsidP="00CA0D72">
            <w:pPr>
              <w:pStyle w:val="Table"/>
              <w:ind w:right="-3"/>
            </w:pPr>
            <w:r w:rsidRPr="00F81A2E">
              <w:t>37</w:t>
            </w:r>
          </w:p>
        </w:tc>
        <w:tc>
          <w:tcPr>
            <w:tcW w:w="1175" w:type="dxa"/>
          </w:tcPr>
          <w:p w14:paraId="1390EF6D" w14:textId="77777777" w:rsidR="00F81A2E" w:rsidRPr="00F81A2E" w:rsidRDefault="00F81A2E" w:rsidP="00CA0D72">
            <w:pPr>
              <w:pStyle w:val="Table"/>
              <w:ind w:right="-3"/>
            </w:pPr>
            <w:r w:rsidRPr="00F81A2E">
              <w:t>7</w:t>
            </w:r>
          </w:p>
        </w:tc>
        <w:tc>
          <w:tcPr>
            <w:tcW w:w="1175" w:type="dxa"/>
          </w:tcPr>
          <w:p w14:paraId="3A3DEBF5" w14:textId="77777777" w:rsidR="00F81A2E" w:rsidRPr="00F81A2E" w:rsidRDefault="00F81A2E" w:rsidP="00CA0D72">
            <w:pPr>
              <w:pStyle w:val="Table"/>
              <w:ind w:right="-3"/>
            </w:pPr>
            <w:r w:rsidRPr="00F81A2E">
              <w:t>0</w:t>
            </w:r>
          </w:p>
        </w:tc>
        <w:tc>
          <w:tcPr>
            <w:tcW w:w="1175" w:type="dxa"/>
          </w:tcPr>
          <w:p w14:paraId="7491FB27" w14:textId="77777777" w:rsidR="00F81A2E" w:rsidRPr="00F81A2E" w:rsidRDefault="00F81A2E" w:rsidP="00CA0D72">
            <w:pPr>
              <w:pStyle w:val="Table"/>
              <w:ind w:right="-3"/>
            </w:pPr>
            <w:r w:rsidRPr="00F81A2E">
              <w:t>2</w:t>
            </w:r>
          </w:p>
        </w:tc>
        <w:tc>
          <w:tcPr>
            <w:tcW w:w="1176" w:type="dxa"/>
          </w:tcPr>
          <w:p w14:paraId="1F5D0F9D" w14:textId="77777777" w:rsidR="00F81A2E" w:rsidRPr="00F81A2E" w:rsidRDefault="00F81A2E" w:rsidP="00CA0D72">
            <w:pPr>
              <w:pStyle w:val="Table"/>
              <w:ind w:right="-3"/>
            </w:pPr>
            <w:r w:rsidRPr="00F81A2E">
              <w:t>110</w:t>
            </w:r>
          </w:p>
        </w:tc>
      </w:tr>
      <w:tr w:rsidR="00F81A2E" w:rsidRPr="00F81A2E" w14:paraId="412D0F17" w14:textId="77777777" w:rsidTr="00F53196">
        <w:trPr>
          <w:trHeight w:val="227"/>
        </w:trPr>
        <w:tc>
          <w:tcPr>
            <w:tcW w:w="1175" w:type="dxa"/>
          </w:tcPr>
          <w:p w14:paraId="6175D94E" w14:textId="65DB6D39" w:rsidR="00F81A2E" w:rsidRPr="00F81A2E" w:rsidRDefault="00BC0ABE" w:rsidP="00CA0D72">
            <w:pPr>
              <w:pStyle w:val="Table"/>
              <w:ind w:right="-3"/>
            </w:pPr>
            <w:r w:rsidRPr="00F81A2E">
              <w:t>TAS</w:t>
            </w:r>
          </w:p>
        </w:tc>
        <w:tc>
          <w:tcPr>
            <w:tcW w:w="1343" w:type="dxa"/>
          </w:tcPr>
          <w:p w14:paraId="011E78A8" w14:textId="77777777" w:rsidR="00F81A2E" w:rsidRPr="00F81A2E" w:rsidRDefault="00F81A2E" w:rsidP="00CA0D72">
            <w:pPr>
              <w:pStyle w:val="Table"/>
              <w:ind w:right="-3"/>
            </w:pPr>
            <w:r w:rsidRPr="00F81A2E">
              <w:t>%</w:t>
            </w:r>
          </w:p>
        </w:tc>
        <w:tc>
          <w:tcPr>
            <w:tcW w:w="1007" w:type="dxa"/>
          </w:tcPr>
          <w:p w14:paraId="0907670D" w14:textId="77777777" w:rsidR="00F81A2E" w:rsidRPr="00F81A2E" w:rsidRDefault="00F81A2E" w:rsidP="00CA0D72">
            <w:pPr>
              <w:pStyle w:val="Table"/>
              <w:ind w:right="-3"/>
            </w:pPr>
            <w:r w:rsidRPr="00F81A2E">
              <w:t>1.8</w:t>
            </w:r>
          </w:p>
        </w:tc>
        <w:tc>
          <w:tcPr>
            <w:tcW w:w="1175" w:type="dxa"/>
          </w:tcPr>
          <w:p w14:paraId="7C092307" w14:textId="77777777" w:rsidR="00F81A2E" w:rsidRPr="00F81A2E" w:rsidRDefault="00F81A2E" w:rsidP="00CA0D72">
            <w:pPr>
              <w:pStyle w:val="Table"/>
              <w:ind w:right="-3"/>
            </w:pPr>
            <w:r w:rsidRPr="00F81A2E">
              <w:t>20</w:t>
            </w:r>
          </w:p>
        </w:tc>
        <w:tc>
          <w:tcPr>
            <w:tcW w:w="1175" w:type="dxa"/>
          </w:tcPr>
          <w:p w14:paraId="0591CFED" w14:textId="77777777" w:rsidR="00F81A2E" w:rsidRPr="00F81A2E" w:rsidRDefault="00F81A2E" w:rsidP="00CA0D72">
            <w:pPr>
              <w:pStyle w:val="Table"/>
              <w:ind w:right="-3"/>
            </w:pPr>
            <w:r w:rsidRPr="00F81A2E">
              <w:t>7.3</w:t>
            </w:r>
          </w:p>
        </w:tc>
        <w:tc>
          <w:tcPr>
            <w:tcW w:w="1175" w:type="dxa"/>
          </w:tcPr>
          <w:p w14:paraId="45E26315" w14:textId="77777777" w:rsidR="00F81A2E" w:rsidRPr="00F81A2E" w:rsidRDefault="00F81A2E" w:rsidP="00CA0D72">
            <w:pPr>
              <w:pStyle w:val="Table"/>
              <w:ind w:right="-3"/>
            </w:pPr>
            <w:r w:rsidRPr="00F81A2E">
              <w:t>2.7</w:t>
            </w:r>
          </w:p>
        </w:tc>
        <w:tc>
          <w:tcPr>
            <w:tcW w:w="1175" w:type="dxa"/>
          </w:tcPr>
          <w:p w14:paraId="18FFE802" w14:textId="77777777" w:rsidR="00F81A2E" w:rsidRPr="00F81A2E" w:rsidRDefault="00F81A2E" w:rsidP="00CA0D72">
            <w:pPr>
              <w:pStyle w:val="Table"/>
              <w:ind w:right="-3"/>
            </w:pPr>
            <w:r w:rsidRPr="00F81A2E">
              <w:t>6.4</w:t>
            </w:r>
          </w:p>
        </w:tc>
        <w:tc>
          <w:tcPr>
            <w:tcW w:w="1175" w:type="dxa"/>
          </w:tcPr>
          <w:p w14:paraId="2C74643A" w14:textId="77777777" w:rsidR="00F81A2E" w:rsidRPr="00F81A2E" w:rsidRDefault="00F81A2E" w:rsidP="00CA0D72">
            <w:pPr>
              <w:pStyle w:val="Table"/>
              <w:ind w:right="-3"/>
            </w:pPr>
            <w:r w:rsidRPr="00F81A2E">
              <w:t>20</w:t>
            </w:r>
          </w:p>
        </w:tc>
        <w:tc>
          <w:tcPr>
            <w:tcW w:w="1175" w:type="dxa"/>
          </w:tcPr>
          <w:p w14:paraId="0835D433" w14:textId="77777777" w:rsidR="00F81A2E" w:rsidRPr="00F81A2E" w:rsidRDefault="00F81A2E" w:rsidP="00CA0D72">
            <w:pPr>
              <w:pStyle w:val="Table"/>
              <w:ind w:right="-3"/>
            </w:pPr>
            <w:r w:rsidRPr="00F81A2E">
              <w:t>33.6</w:t>
            </w:r>
          </w:p>
        </w:tc>
        <w:tc>
          <w:tcPr>
            <w:tcW w:w="1175" w:type="dxa"/>
          </w:tcPr>
          <w:p w14:paraId="141A54D0" w14:textId="77777777" w:rsidR="00F81A2E" w:rsidRPr="00F81A2E" w:rsidRDefault="00F81A2E" w:rsidP="00CA0D72">
            <w:pPr>
              <w:pStyle w:val="Table"/>
              <w:ind w:right="-3"/>
            </w:pPr>
            <w:r w:rsidRPr="00F81A2E">
              <w:t>6.4</w:t>
            </w:r>
          </w:p>
        </w:tc>
        <w:tc>
          <w:tcPr>
            <w:tcW w:w="1175" w:type="dxa"/>
          </w:tcPr>
          <w:p w14:paraId="51347073" w14:textId="77777777" w:rsidR="00F81A2E" w:rsidRPr="00F81A2E" w:rsidRDefault="00F81A2E" w:rsidP="00CA0D72">
            <w:pPr>
              <w:pStyle w:val="Table"/>
              <w:ind w:right="-3"/>
            </w:pPr>
            <w:r w:rsidRPr="00F81A2E">
              <w:t>0</w:t>
            </w:r>
          </w:p>
        </w:tc>
        <w:tc>
          <w:tcPr>
            <w:tcW w:w="1175" w:type="dxa"/>
          </w:tcPr>
          <w:p w14:paraId="63CAD127" w14:textId="77777777" w:rsidR="00F81A2E" w:rsidRPr="00F81A2E" w:rsidRDefault="00F81A2E" w:rsidP="00CA0D72">
            <w:pPr>
              <w:pStyle w:val="Table"/>
              <w:ind w:right="-3"/>
            </w:pPr>
            <w:r w:rsidRPr="00F81A2E">
              <w:t>1.8</w:t>
            </w:r>
          </w:p>
        </w:tc>
        <w:tc>
          <w:tcPr>
            <w:tcW w:w="1176" w:type="dxa"/>
          </w:tcPr>
          <w:p w14:paraId="76C6BC27" w14:textId="77777777" w:rsidR="00F81A2E" w:rsidRPr="00F81A2E" w:rsidRDefault="00F81A2E" w:rsidP="00CA0D72">
            <w:pPr>
              <w:pStyle w:val="Table"/>
              <w:ind w:right="-3"/>
            </w:pPr>
            <w:r w:rsidRPr="00F81A2E">
              <w:t> </w:t>
            </w:r>
          </w:p>
        </w:tc>
      </w:tr>
      <w:tr w:rsidR="00F81A2E" w:rsidRPr="00F81A2E" w14:paraId="0DD78F50" w14:textId="77777777" w:rsidTr="00F53196">
        <w:trPr>
          <w:trHeight w:val="227"/>
        </w:trPr>
        <w:tc>
          <w:tcPr>
            <w:tcW w:w="1175" w:type="dxa"/>
          </w:tcPr>
          <w:p w14:paraId="78A8C6FC" w14:textId="6DD0AF61" w:rsidR="00F81A2E" w:rsidRPr="00F81A2E" w:rsidRDefault="00BC0ABE" w:rsidP="00CA0D72">
            <w:pPr>
              <w:pStyle w:val="Table"/>
              <w:ind w:right="-3"/>
            </w:pPr>
            <w:r w:rsidRPr="00F81A2E">
              <w:t>TAS</w:t>
            </w:r>
          </w:p>
        </w:tc>
        <w:tc>
          <w:tcPr>
            <w:tcW w:w="1343" w:type="dxa"/>
          </w:tcPr>
          <w:p w14:paraId="7DE6A562" w14:textId="77777777" w:rsidR="00F81A2E" w:rsidRPr="00F81A2E" w:rsidRDefault="00F81A2E" w:rsidP="00CA0D72">
            <w:pPr>
              <w:pStyle w:val="Table"/>
              <w:ind w:right="-3"/>
            </w:pPr>
            <w:r w:rsidRPr="00F81A2E">
              <w:t>Combination</w:t>
            </w:r>
          </w:p>
        </w:tc>
        <w:tc>
          <w:tcPr>
            <w:tcW w:w="1007" w:type="dxa"/>
          </w:tcPr>
          <w:p w14:paraId="146399C3" w14:textId="77777777" w:rsidR="00F81A2E" w:rsidRPr="00F81A2E" w:rsidRDefault="00F81A2E" w:rsidP="00CA0D72">
            <w:pPr>
              <w:pStyle w:val="Table"/>
              <w:ind w:right="-3"/>
            </w:pPr>
            <w:r w:rsidRPr="00F81A2E">
              <w:t>0</w:t>
            </w:r>
          </w:p>
        </w:tc>
        <w:tc>
          <w:tcPr>
            <w:tcW w:w="1175" w:type="dxa"/>
          </w:tcPr>
          <w:p w14:paraId="4C0E9CBD" w14:textId="77777777" w:rsidR="00F81A2E" w:rsidRPr="00F81A2E" w:rsidRDefault="00F81A2E" w:rsidP="00CA0D72">
            <w:pPr>
              <w:pStyle w:val="Table"/>
              <w:ind w:right="-3"/>
            </w:pPr>
            <w:r w:rsidRPr="00F81A2E">
              <w:t>1</w:t>
            </w:r>
          </w:p>
        </w:tc>
        <w:tc>
          <w:tcPr>
            <w:tcW w:w="1175" w:type="dxa"/>
          </w:tcPr>
          <w:p w14:paraId="679FE2C3" w14:textId="77777777" w:rsidR="00F81A2E" w:rsidRPr="00F81A2E" w:rsidRDefault="00F81A2E" w:rsidP="00CA0D72">
            <w:pPr>
              <w:pStyle w:val="Table"/>
              <w:ind w:right="-3"/>
            </w:pPr>
            <w:r w:rsidRPr="00F81A2E">
              <w:t>1</w:t>
            </w:r>
          </w:p>
        </w:tc>
        <w:tc>
          <w:tcPr>
            <w:tcW w:w="1175" w:type="dxa"/>
          </w:tcPr>
          <w:p w14:paraId="7BCB4673" w14:textId="77777777" w:rsidR="00F81A2E" w:rsidRPr="00F81A2E" w:rsidRDefault="00F81A2E" w:rsidP="00CA0D72">
            <w:pPr>
              <w:pStyle w:val="Table"/>
              <w:ind w:right="-3"/>
            </w:pPr>
            <w:r w:rsidRPr="00F81A2E">
              <w:t>0</w:t>
            </w:r>
          </w:p>
        </w:tc>
        <w:tc>
          <w:tcPr>
            <w:tcW w:w="1175" w:type="dxa"/>
          </w:tcPr>
          <w:p w14:paraId="405AB465" w14:textId="77777777" w:rsidR="00F81A2E" w:rsidRPr="00F81A2E" w:rsidRDefault="00F81A2E" w:rsidP="00CA0D72">
            <w:pPr>
              <w:pStyle w:val="Table"/>
              <w:ind w:right="-3"/>
            </w:pPr>
            <w:r w:rsidRPr="00F81A2E">
              <w:t>3</w:t>
            </w:r>
          </w:p>
        </w:tc>
        <w:tc>
          <w:tcPr>
            <w:tcW w:w="1175" w:type="dxa"/>
          </w:tcPr>
          <w:p w14:paraId="72C761E0" w14:textId="77777777" w:rsidR="00F81A2E" w:rsidRPr="00F81A2E" w:rsidRDefault="00F81A2E" w:rsidP="00CA0D72">
            <w:pPr>
              <w:pStyle w:val="Table"/>
              <w:ind w:right="-3"/>
            </w:pPr>
            <w:r w:rsidRPr="00F81A2E">
              <w:t>0</w:t>
            </w:r>
          </w:p>
        </w:tc>
        <w:tc>
          <w:tcPr>
            <w:tcW w:w="1175" w:type="dxa"/>
          </w:tcPr>
          <w:p w14:paraId="6602D0C0" w14:textId="77777777" w:rsidR="00F81A2E" w:rsidRPr="00F81A2E" w:rsidRDefault="00F81A2E" w:rsidP="00CA0D72">
            <w:pPr>
              <w:pStyle w:val="Table"/>
              <w:ind w:right="-3"/>
            </w:pPr>
            <w:r w:rsidRPr="00F81A2E">
              <w:t>2</w:t>
            </w:r>
          </w:p>
        </w:tc>
        <w:tc>
          <w:tcPr>
            <w:tcW w:w="1175" w:type="dxa"/>
          </w:tcPr>
          <w:p w14:paraId="150F31B1" w14:textId="77777777" w:rsidR="00F81A2E" w:rsidRPr="00F81A2E" w:rsidRDefault="00F81A2E" w:rsidP="00CA0D72">
            <w:pPr>
              <w:pStyle w:val="Table"/>
              <w:ind w:right="-3"/>
            </w:pPr>
            <w:r w:rsidRPr="00F81A2E">
              <w:t>1</w:t>
            </w:r>
          </w:p>
        </w:tc>
        <w:tc>
          <w:tcPr>
            <w:tcW w:w="1175" w:type="dxa"/>
          </w:tcPr>
          <w:p w14:paraId="02F201E9" w14:textId="77777777" w:rsidR="00F81A2E" w:rsidRPr="00F81A2E" w:rsidRDefault="00F81A2E" w:rsidP="00CA0D72">
            <w:pPr>
              <w:pStyle w:val="Table"/>
              <w:ind w:right="-3"/>
            </w:pPr>
            <w:r w:rsidRPr="00F81A2E">
              <w:t>0</w:t>
            </w:r>
          </w:p>
        </w:tc>
        <w:tc>
          <w:tcPr>
            <w:tcW w:w="1175" w:type="dxa"/>
          </w:tcPr>
          <w:p w14:paraId="193FFA60" w14:textId="77777777" w:rsidR="00F81A2E" w:rsidRPr="00F81A2E" w:rsidRDefault="00F81A2E" w:rsidP="00CA0D72">
            <w:pPr>
              <w:pStyle w:val="Table"/>
              <w:ind w:right="-3"/>
            </w:pPr>
            <w:r w:rsidRPr="00F81A2E">
              <w:t>0</w:t>
            </w:r>
          </w:p>
        </w:tc>
        <w:tc>
          <w:tcPr>
            <w:tcW w:w="1176" w:type="dxa"/>
          </w:tcPr>
          <w:p w14:paraId="4674E73B" w14:textId="77777777" w:rsidR="00F81A2E" w:rsidRPr="00F81A2E" w:rsidRDefault="00F81A2E" w:rsidP="00CA0D72">
            <w:pPr>
              <w:pStyle w:val="Table"/>
              <w:ind w:right="-3"/>
            </w:pPr>
            <w:r w:rsidRPr="00F81A2E">
              <w:t>8</w:t>
            </w:r>
          </w:p>
        </w:tc>
      </w:tr>
      <w:tr w:rsidR="00F81A2E" w:rsidRPr="00F81A2E" w14:paraId="50888047" w14:textId="77777777" w:rsidTr="00F53196">
        <w:trPr>
          <w:trHeight w:val="227"/>
        </w:trPr>
        <w:tc>
          <w:tcPr>
            <w:tcW w:w="1175" w:type="dxa"/>
          </w:tcPr>
          <w:p w14:paraId="21A1B17A" w14:textId="6178FB26" w:rsidR="00F81A2E" w:rsidRPr="00F81A2E" w:rsidRDefault="00BC0ABE" w:rsidP="00CA0D72">
            <w:pPr>
              <w:pStyle w:val="Table"/>
              <w:ind w:right="-3"/>
            </w:pPr>
            <w:r w:rsidRPr="00F81A2E">
              <w:t>TAS</w:t>
            </w:r>
          </w:p>
        </w:tc>
        <w:tc>
          <w:tcPr>
            <w:tcW w:w="1343" w:type="dxa"/>
          </w:tcPr>
          <w:p w14:paraId="53225EC0" w14:textId="77777777" w:rsidR="00F81A2E" w:rsidRPr="00F81A2E" w:rsidRDefault="00F81A2E" w:rsidP="00CA0D72">
            <w:pPr>
              <w:pStyle w:val="Table"/>
              <w:ind w:right="-3"/>
            </w:pPr>
            <w:r w:rsidRPr="00F81A2E">
              <w:t>%</w:t>
            </w:r>
          </w:p>
        </w:tc>
        <w:tc>
          <w:tcPr>
            <w:tcW w:w="1007" w:type="dxa"/>
          </w:tcPr>
          <w:p w14:paraId="6899C5E3" w14:textId="77777777" w:rsidR="00F81A2E" w:rsidRPr="00F81A2E" w:rsidRDefault="00F81A2E" w:rsidP="00CA0D72">
            <w:pPr>
              <w:pStyle w:val="Table"/>
              <w:ind w:right="-3"/>
            </w:pPr>
            <w:r w:rsidRPr="00F81A2E">
              <w:t>0</w:t>
            </w:r>
          </w:p>
        </w:tc>
        <w:tc>
          <w:tcPr>
            <w:tcW w:w="1175" w:type="dxa"/>
          </w:tcPr>
          <w:p w14:paraId="6E498302" w14:textId="77777777" w:rsidR="00F81A2E" w:rsidRPr="00F81A2E" w:rsidRDefault="00F81A2E" w:rsidP="00CA0D72">
            <w:pPr>
              <w:pStyle w:val="Table"/>
              <w:ind w:right="-3"/>
            </w:pPr>
            <w:r w:rsidRPr="00F81A2E">
              <w:t>12.5</w:t>
            </w:r>
          </w:p>
        </w:tc>
        <w:tc>
          <w:tcPr>
            <w:tcW w:w="1175" w:type="dxa"/>
          </w:tcPr>
          <w:p w14:paraId="1533D2FF" w14:textId="77777777" w:rsidR="00F81A2E" w:rsidRPr="00F81A2E" w:rsidRDefault="00F81A2E" w:rsidP="00CA0D72">
            <w:pPr>
              <w:pStyle w:val="Table"/>
              <w:ind w:right="-3"/>
            </w:pPr>
            <w:r w:rsidRPr="00F81A2E">
              <w:t>12.5</w:t>
            </w:r>
          </w:p>
        </w:tc>
        <w:tc>
          <w:tcPr>
            <w:tcW w:w="1175" w:type="dxa"/>
          </w:tcPr>
          <w:p w14:paraId="00325071" w14:textId="77777777" w:rsidR="00F81A2E" w:rsidRPr="00F81A2E" w:rsidRDefault="00F81A2E" w:rsidP="00CA0D72">
            <w:pPr>
              <w:pStyle w:val="Table"/>
              <w:ind w:right="-3"/>
            </w:pPr>
            <w:r w:rsidRPr="00F81A2E">
              <w:t>0</w:t>
            </w:r>
          </w:p>
        </w:tc>
        <w:tc>
          <w:tcPr>
            <w:tcW w:w="1175" w:type="dxa"/>
          </w:tcPr>
          <w:p w14:paraId="25449D53" w14:textId="77777777" w:rsidR="00F81A2E" w:rsidRPr="00F81A2E" w:rsidRDefault="00F81A2E" w:rsidP="00CA0D72">
            <w:pPr>
              <w:pStyle w:val="Table"/>
              <w:ind w:right="-3"/>
            </w:pPr>
            <w:r w:rsidRPr="00F81A2E">
              <w:t>37.5</w:t>
            </w:r>
          </w:p>
        </w:tc>
        <w:tc>
          <w:tcPr>
            <w:tcW w:w="1175" w:type="dxa"/>
          </w:tcPr>
          <w:p w14:paraId="54543B51" w14:textId="77777777" w:rsidR="00F81A2E" w:rsidRPr="00F81A2E" w:rsidRDefault="00F81A2E" w:rsidP="00CA0D72">
            <w:pPr>
              <w:pStyle w:val="Table"/>
              <w:ind w:right="-3"/>
            </w:pPr>
            <w:r w:rsidRPr="00F81A2E">
              <w:t>0</w:t>
            </w:r>
          </w:p>
        </w:tc>
        <w:tc>
          <w:tcPr>
            <w:tcW w:w="1175" w:type="dxa"/>
          </w:tcPr>
          <w:p w14:paraId="3E746333" w14:textId="77777777" w:rsidR="00F81A2E" w:rsidRPr="00F81A2E" w:rsidRDefault="00F81A2E" w:rsidP="00CA0D72">
            <w:pPr>
              <w:pStyle w:val="Table"/>
              <w:ind w:right="-3"/>
            </w:pPr>
            <w:r w:rsidRPr="00F81A2E">
              <w:t>25</w:t>
            </w:r>
          </w:p>
        </w:tc>
        <w:tc>
          <w:tcPr>
            <w:tcW w:w="1175" w:type="dxa"/>
          </w:tcPr>
          <w:p w14:paraId="120E6E07" w14:textId="77777777" w:rsidR="00F81A2E" w:rsidRPr="00F81A2E" w:rsidRDefault="00F81A2E" w:rsidP="00CA0D72">
            <w:pPr>
              <w:pStyle w:val="Table"/>
              <w:ind w:right="-3"/>
            </w:pPr>
            <w:r w:rsidRPr="00F81A2E">
              <w:t>12.5</w:t>
            </w:r>
          </w:p>
        </w:tc>
        <w:tc>
          <w:tcPr>
            <w:tcW w:w="1175" w:type="dxa"/>
          </w:tcPr>
          <w:p w14:paraId="4E9FB57E" w14:textId="77777777" w:rsidR="00F81A2E" w:rsidRPr="00F81A2E" w:rsidRDefault="00F81A2E" w:rsidP="00CA0D72">
            <w:pPr>
              <w:pStyle w:val="Table"/>
              <w:ind w:right="-3"/>
            </w:pPr>
            <w:r w:rsidRPr="00F81A2E">
              <w:t>0</w:t>
            </w:r>
          </w:p>
        </w:tc>
        <w:tc>
          <w:tcPr>
            <w:tcW w:w="1175" w:type="dxa"/>
          </w:tcPr>
          <w:p w14:paraId="60029064" w14:textId="77777777" w:rsidR="00F81A2E" w:rsidRPr="00F81A2E" w:rsidRDefault="00F81A2E" w:rsidP="00CA0D72">
            <w:pPr>
              <w:pStyle w:val="Table"/>
              <w:ind w:right="-3"/>
            </w:pPr>
            <w:r w:rsidRPr="00F81A2E">
              <w:t>0</w:t>
            </w:r>
          </w:p>
        </w:tc>
        <w:tc>
          <w:tcPr>
            <w:tcW w:w="1176" w:type="dxa"/>
          </w:tcPr>
          <w:p w14:paraId="5D6A4290" w14:textId="77777777" w:rsidR="00F81A2E" w:rsidRPr="00F81A2E" w:rsidRDefault="00F81A2E" w:rsidP="00CA0D72">
            <w:pPr>
              <w:pStyle w:val="Table"/>
              <w:ind w:right="-3"/>
            </w:pPr>
            <w:r w:rsidRPr="00F81A2E">
              <w:t> </w:t>
            </w:r>
          </w:p>
        </w:tc>
      </w:tr>
      <w:tr w:rsidR="00F81A2E" w:rsidRPr="00F81A2E" w14:paraId="3997BBC7" w14:textId="77777777" w:rsidTr="00F53196">
        <w:trPr>
          <w:trHeight w:val="227"/>
        </w:trPr>
        <w:tc>
          <w:tcPr>
            <w:tcW w:w="1175" w:type="dxa"/>
          </w:tcPr>
          <w:p w14:paraId="1FAE0833" w14:textId="530078E2" w:rsidR="00F81A2E" w:rsidRPr="00F81A2E" w:rsidRDefault="00BC0ABE" w:rsidP="00CA0D72">
            <w:pPr>
              <w:pStyle w:val="Table"/>
              <w:ind w:right="-3"/>
            </w:pPr>
            <w:r w:rsidRPr="00F81A2E">
              <w:t>TAS</w:t>
            </w:r>
          </w:p>
        </w:tc>
        <w:tc>
          <w:tcPr>
            <w:tcW w:w="1343" w:type="dxa"/>
          </w:tcPr>
          <w:p w14:paraId="727D4F49" w14:textId="77777777" w:rsidR="00F81A2E" w:rsidRPr="00F81A2E" w:rsidRDefault="00F81A2E" w:rsidP="00CA0D72">
            <w:pPr>
              <w:pStyle w:val="Table"/>
              <w:ind w:right="-3"/>
            </w:pPr>
            <w:r w:rsidRPr="00F81A2E">
              <w:t>Total</w:t>
            </w:r>
          </w:p>
        </w:tc>
        <w:tc>
          <w:tcPr>
            <w:tcW w:w="1007" w:type="dxa"/>
          </w:tcPr>
          <w:p w14:paraId="4C579DA7" w14:textId="77777777" w:rsidR="00F81A2E" w:rsidRPr="00F81A2E" w:rsidRDefault="00F81A2E" w:rsidP="00CA0D72">
            <w:pPr>
              <w:pStyle w:val="Table"/>
              <w:ind w:right="-3"/>
            </w:pPr>
            <w:r w:rsidRPr="00F81A2E">
              <w:t>2</w:t>
            </w:r>
          </w:p>
        </w:tc>
        <w:tc>
          <w:tcPr>
            <w:tcW w:w="1175" w:type="dxa"/>
          </w:tcPr>
          <w:p w14:paraId="5847EC5A" w14:textId="77777777" w:rsidR="00F81A2E" w:rsidRPr="00F81A2E" w:rsidRDefault="00F81A2E" w:rsidP="00CA0D72">
            <w:pPr>
              <w:pStyle w:val="Table"/>
              <w:ind w:right="-3"/>
            </w:pPr>
            <w:r w:rsidRPr="00F81A2E">
              <w:t>38</w:t>
            </w:r>
          </w:p>
        </w:tc>
        <w:tc>
          <w:tcPr>
            <w:tcW w:w="1175" w:type="dxa"/>
          </w:tcPr>
          <w:p w14:paraId="5A432CFC" w14:textId="77777777" w:rsidR="00F81A2E" w:rsidRPr="00F81A2E" w:rsidRDefault="00F81A2E" w:rsidP="00CA0D72">
            <w:pPr>
              <w:pStyle w:val="Table"/>
              <w:ind w:right="-3"/>
            </w:pPr>
            <w:r w:rsidRPr="00F81A2E">
              <w:t>9</w:t>
            </w:r>
          </w:p>
        </w:tc>
        <w:tc>
          <w:tcPr>
            <w:tcW w:w="1175" w:type="dxa"/>
          </w:tcPr>
          <w:p w14:paraId="5E2195CA" w14:textId="77777777" w:rsidR="00F81A2E" w:rsidRPr="00F81A2E" w:rsidRDefault="00F81A2E" w:rsidP="00CA0D72">
            <w:pPr>
              <w:pStyle w:val="Table"/>
              <w:ind w:right="-3"/>
            </w:pPr>
            <w:r w:rsidRPr="00F81A2E">
              <w:t>3</w:t>
            </w:r>
          </w:p>
        </w:tc>
        <w:tc>
          <w:tcPr>
            <w:tcW w:w="1175" w:type="dxa"/>
          </w:tcPr>
          <w:p w14:paraId="497C42D8" w14:textId="77777777" w:rsidR="00F81A2E" w:rsidRPr="00F81A2E" w:rsidRDefault="00F81A2E" w:rsidP="00CA0D72">
            <w:pPr>
              <w:pStyle w:val="Table"/>
              <w:ind w:right="-3"/>
            </w:pPr>
            <w:r w:rsidRPr="00F81A2E">
              <w:t>20</w:t>
            </w:r>
          </w:p>
        </w:tc>
        <w:tc>
          <w:tcPr>
            <w:tcW w:w="1175" w:type="dxa"/>
          </w:tcPr>
          <w:p w14:paraId="3F1D37DA" w14:textId="77777777" w:rsidR="00F81A2E" w:rsidRPr="00F81A2E" w:rsidRDefault="00F81A2E" w:rsidP="00CA0D72">
            <w:pPr>
              <w:pStyle w:val="Table"/>
              <w:ind w:right="-3"/>
            </w:pPr>
            <w:r w:rsidRPr="00F81A2E">
              <w:t>30</w:t>
            </w:r>
          </w:p>
        </w:tc>
        <w:tc>
          <w:tcPr>
            <w:tcW w:w="1175" w:type="dxa"/>
          </w:tcPr>
          <w:p w14:paraId="5EF488CD" w14:textId="77777777" w:rsidR="00F81A2E" w:rsidRPr="00F81A2E" w:rsidRDefault="00F81A2E" w:rsidP="00CA0D72">
            <w:pPr>
              <w:pStyle w:val="Table"/>
              <w:ind w:right="-3"/>
            </w:pPr>
            <w:r w:rsidRPr="00F81A2E">
              <w:t>55</w:t>
            </w:r>
          </w:p>
        </w:tc>
        <w:tc>
          <w:tcPr>
            <w:tcW w:w="1175" w:type="dxa"/>
          </w:tcPr>
          <w:p w14:paraId="6630FBCF" w14:textId="77777777" w:rsidR="00F81A2E" w:rsidRPr="00F81A2E" w:rsidRDefault="00F81A2E" w:rsidP="00CA0D72">
            <w:pPr>
              <w:pStyle w:val="Table"/>
              <w:ind w:right="-3"/>
            </w:pPr>
            <w:r w:rsidRPr="00F81A2E">
              <w:t>13</w:t>
            </w:r>
          </w:p>
        </w:tc>
        <w:tc>
          <w:tcPr>
            <w:tcW w:w="1175" w:type="dxa"/>
          </w:tcPr>
          <w:p w14:paraId="00391E27" w14:textId="77777777" w:rsidR="00F81A2E" w:rsidRPr="00F81A2E" w:rsidRDefault="00F81A2E" w:rsidP="00CA0D72">
            <w:pPr>
              <w:pStyle w:val="Table"/>
              <w:ind w:right="-3"/>
            </w:pPr>
            <w:r w:rsidRPr="00F81A2E">
              <w:t>3</w:t>
            </w:r>
          </w:p>
        </w:tc>
        <w:tc>
          <w:tcPr>
            <w:tcW w:w="1175" w:type="dxa"/>
          </w:tcPr>
          <w:p w14:paraId="2A466B80" w14:textId="77777777" w:rsidR="00F81A2E" w:rsidRPr="00F81A2E" w:rsidRDefault="00F81A2E" w:rsidP="00CA0D72">
            <w:pPr>
              <w:pStyle w:val="Table"/>
              <w:ind w:right="-3"/>
            </w:pPr>
            <w:r w:rsidRPr="00F81A2E">
              <w:t>2</w:t>
            </w:r>
          </w:p>
        </w:tc>
        <w:tc>
          <w:tcPr>
            <w:tcW w:w="1176" w:type="dxa"/>
          </w:tcPr>
          <w:p w14:paraId="6A96E338" w14:textId="77777777" w:rsidR="00F81A2E" w:rsidRPr="00F81A2E" w:rsidRDefault="00F81A2E" w:rsidP="00CA0D72">
            <w:pPr>
              <w:pStyle w:val="Table"/>
              <w:ind w:right="-3"/>
            </w:pPr>
            <w:r w:rsidRPr="00F81A2E">
              <w:t>175</w:t>
            </w:r>
          </w:p>
        </w:tc>
      </w:tr>
      <w:tr w:rsidR="00F81A2E" w:rsidRPr="00F81A2E" w14:paraId="39E3C310" w14:textId="77777777" w:rsidTr="00F53196">
        <w:trPr>
          <w:trHeight w:val="227"/>
        </w:trPr>
        <w:tc>
          <w:tcPr>
            <w:tcW w:w="1175" w:type="dxa"/>
          </w:tcPr>
          <w:p w14:paraId="0D0B925E" w14:textId="790CC268" w:rsidR="00F81A2E" w:rsidRPr="00F81A2E" w:rsidRDefault="00BC0ABE" w:rsidP="00CA0D72">
            <w:pPr>
              <w:pStyle w:val="Table"/>
              <w:ind w:right="-3"/>
            </w:pPr>
            <w:r w:rsidRPr="00F81A2E">
              <w:t>TAS</w:t>
            </w:r>
          </w:p>
        </w:tc>
        <w:tc>
          <w:tcPr>
            <w:tcW w:w="1343" w:type="dxa"/>
          </w:tcPr>
          <w:p w14:paraId="0FFAE828" w14:textId="77777777" w:rsidR="00F81A2E" w:rsidRPr="00F81A2E" w:rsidRDefault="00F81A2E" w:rsidP="00CA0D72">
            <w:pPr>
              <w:pStyle w:val="Table"/>
              <w:ind w:right="-3"/>
            </w:pPr>
            <w:r w:rsidRPr="00F81A2E">
              <w:t>%</w:t>
            </w:r>
          </w:p>
        </w:tc>
        <w:tc>
          <w:tcPr>
            <w:tcW w:w="1007" w:type="dxa"/>
          </w:tcPr>
          <w:p w14:paraId="27A90F5D" w14:textId="77777777" w:rsidR="00F81A2E" w:rsidRPr="00F81A2E" w:rsidRDefault="00F81A2E" w:rsidP="00CA0D72">
            <w:pPr>
              <w:pStyle w:val="Table"/>
              <w:ind w:right="-3"/>
            </w:pPr>
            <w:r w:rsidRPr="00F81A2E">
              <w:t>1.1</w:t>
            </w:r>
          </w:p>
        </w:tc>
        <w:tc>
          <w:tcPr>
            <w:tcW w:w="1175" w:type="dxa"/>
          </w:tcPr>
          <w:p w14:paraId="1BBF2B8B" w14:textId="77777777" w:rsidR="00F81A2E" w:rsidRPr="00F81A2E" w:rsidRDefault="00F81A2E" w:rsidP="00CA0D72">
            <w:pPr>
              <w:pStyle w:val="Table"/>
              <w:ind w:right="-3"/>
            </w:pPr>
            <w:r w:rsidRPr="00F81A2E">
              <w:t>21.7</w:t>
            </w:r>
          </w:p>
        </w:tc>
        <w:tc>
          <w:tcPr>
            <w:tcW w:w="1175" w:type="dxa"/>
          </w:tcPr>
          <w:p w14:paraId="0FF63549" w14:textId="77777777" w:rsidR="00F81A2E" w:rsidRPr="00F81A2E" w:rsidRDefault="00F81A2E" w:rsidP="00CA0D72">
            <w:pPr>
              <w:pStyle w:val="Table"/>
              <w:ind w:right="-3"/>
            </w:pPr>
            <w:r w:rsidRPr="00F81A2E">
              <w:t>5.1</w:t>
            </w:r>
          </w:p>
        </w:tc>
        <w:tc>
          <w:tcPr>
            <w:tcW w:w="1175" w:type="dxa"/>
          </w:tcPr>
          <w:p w14:paraId="7366F76D" w14:textId="77777777" w:rsidR="00F81A2E" w:rsidRPr="00F81A2E" w:rsidRDefault="00F81A2E" w:rsidP="00CA0D72">
            <w:pPr>
              <w:pStyle w:val="Table"/>
              <w:ind w:right="-3"/>
            </w:pPr>
            <w:r w:rsidRPr="00F81A2E">
              <w:t>1.7</w:t>
            </w:r>
          </w:p>
        </w:tc>
        <w:tc>
          <w:tcPr>
            <w:tcW w:w="1175" w:type="dxa"/>
          </w:tcPr>
          <w:p w14:paraId="502EFC7E" w14:textId="77777777" w:rsidR="00F81A2E" w:rsidRPr="00F81A2E" w:rsidRDefault="00F81A2E" w:rsidP="00CA0D72">
            <w:pPr>
              <w:pStyle w:val="Table"/>
              <w:ind w:right="-3"/>
            </w:pPr>
            <w:r w:rsidRPr="00F81A2E">
              <w:t>11.4</w:t>
            </w:r>
          </w:p>
        </w:tc>
        <w:tc>
          <w:tcPr>
            <w:tcW w:w="1175" w:type="dxa"/>
          </w:tcPr>
          <w:p w14:paraId="35995D31" w14:textId="77777777" w:rsidR="00F81A2E" w:rsidRPr="00F81A2E" w:rsidRDefault="00F81A2E" w:rsidP="00CA0D72">
            <w:pPr>
              <w:pStyle w:val="Table"/>
              <w:ind w:right="-3"/>
            </w:pPr>
            <w:r w:rsidRPr="00F81A2E">
              <w:t>17.1</w:t>
            </w:r>
          </w:p>
        </w:tc>
        <w:tc>
          <w:tcPr>
            <w:tcW w:w="1175" w:type="dxa"/>
          </w:tcPr>
          <w:p w14:paraId="5798FE76" w14:textId="77777777" w:rsidR="00F81A2E" w:rsidRPr="00F81A2E" w:rsidRDefault="00F81A2E" w:rsidP="00CA0D72">
            <w:pPr>
              <w:pStyle w:val="Table"/>
              <w:ind w:right="-3"/>
            </w:pPr>
            <w:r w:rsidRPr="00F81A2E">
              <w:t>31.4</w:t>
            </w:r>
          </w:p>
        </w:tc>
        <w:tc>
          <w:tcPr>
            <w:tcW w:w="1175" w:type="dxa"/>
          </w:tcPr>
          <w:p w14:paraId="2366D0A8" w14:textId="77777777" w:rsidR="00F81A2E" w:rsidRPr="00F81A2E" w:rsidRDefault="00F81A2E" w:rsidP="00CA0D72">
            <w:pPr>
              <w:pStyle w:val="Table"/>
              <w:ind w:right="-3"/>
            </w:pPr>
            <w:r w:rsidRPr="00F81A2E">
              <w:t>7.4</w:t>
            </w:r>
          </w:p>
        </w:tc>
        <w:tc>
          <w:tcPr>
            <w:tcW w:w="1175" w:type="dxa"/>
          </w:tcPr>
          <w:p w14:paraId="3A5F8410" w14:textId="77777777" w:rsidR="00F81A2E" w:rsidRPr="00F81A2E" w:rsidRDefault="00F81A2E" w:rsidP="00CA0D72">
            <w:pPr>
              <w:pStyle w:val="Table"/>
              <w:ind w:right="-3"/>
            </w:pPr>
            <w:r w:rsidRPr="00F81A2E">
              <w:t>1.7</w:t>
            </w:r>
          </w:p>
        </w:tc>
        <w:tc>
          <w:tcPr>
            <w:tcW w:w="1175" w:type="dxa"/>
          </w:tcPr>
          <w:p w14:paraId="7D5A3B24" w14:textId="77777777" w:rsidR="00F81A2E" w:rsidRPr="00F81A2E" w:rsidRDefault="00F81A2E" w:rsidP="00CA0D72">
            <w:pPr>
              <w:pStyle w:val="Table"/>
              <w:ind w:right="-3"/>
            </w:pPr>
            <w:r w:rsidRPr="00F81A2E">
              <w:t>1.1</w:t>
            </w:r>
          </w:p>
        </w:tc>
        <w:tc>
          <w:tcPr>
            <w:tcW w:w="1176" w:type="dxa"/>
          </w:tcPr>
          <w:p w14:paraId="099BD269" w14:textId="77777777" w:rsidR="00F81A2E" w:rsidRPr="00F81A2E" w:rsidRDefault="00F81A2E" w:rsidP="00CA0D72">
            <w:pPr>
              <w:pStyle w:val="Table"/>
              <w:ind w:right="-3"/>
            </w:pPr>
            <w:r w:rsidRPr="00F81A2E">
              <w:t> </w:t>
            </w:r>
          </w:p>
        </w:tc>
      </w:tr>
      <w:tr w:rsidR="00F81A2E" w:rsidRPr="00F81A2E" w14:paraId="243549F1" w14:textId="77777777" w:rsidTr="00F53196">
        <w:trPr>
          <w:trHeight w:val="227"/>
        </w:trPr>
        <w:tc>
          <w:tcPr>
            <w:tcW w:w="1175" w:type="dxa"/>
          </w:tcPr>
          <w:p w14:paraId="71BF0A23" w14:textId="77777777" w:rsidR="00F81A2E" w:rsidRPr="00F81A2E" w:rsidRDefault="00F81A2E" w:rsidP="00CA0D72">
            <w:pPr>
              <w:pStyle w:val="Table"/>
              <w:ind w:right="-3"/>
            </w:pPr>
            <w:r w:rsidRPr="00F81A2E">
              <w:t>VIC</w:t>
            </w:r>
          </w:p>
        </w:tc>
        <w:tc>
          <w:tcPr>
            <w:tcW w:w="1343" w:type="dxa"/>
          </w:tcPr>
          <w:p w14:paraId="48F4CBF0" w14:textId="77777777" w:rsidR="00F81A2E" w:rsidRPr="00F81A2E" w:rsidRDefault="00F81A2E" w:rsidP="00CA0D72">
            <w:pPr>
              <w:pStyle w:val="Table"/>
              <w:ind w:right="-3"/>
            </w:pPr>
            <w:r w:rsidRPr="00F81A2E">
              <w:t>Community Only</w:t>
            </w:r>
          </w:p>
        </w:tc>
        <w:tc>
          <w:tcPr>
            <w:tcW w:w="1007" w:type="dxa"/>
          </w:tcPr>
          <w:p w14:paraId="72408D54" w14:textId="77777777" w:rsidR="00F81A2E" w:rsidRPr="00F81A2E" w:rsidRDefault="00F81A2E" w:rsidP="00CA0D72">
            <w:pPr>
              <w:pStyle w:val="Table"/>
              <w:ind w:right="-3"/>
            </w:pPr>
            <w:r w:rsidRPr="00F81A2E">
              <w:t>5</w:t>
            </w:r>
          </w:p>
        </w:tc>
        <w:tc>
          <w:tcPr>
            <w:tcW w:w="1175" w:type="dxa"/>
          </w:tcPr>
          <w:p w14:paraId="317AB2DF" w14:textId="77777777" w:rsidR="00F81A2E" w:rsidRPr="00F81A2E" w:rsidRDefault="00F81A2E" w:rsidP="00CA0D72">
            <w:pPr>
              <w:pStyle w:val="Table"/>
              <w:ind w:right="-3"/>
            </w:pPr>
            <w:r w:rsidRPr="00F81A2E">
              <w:t>133</w:t>
            </w:r>
          </w:p>
        </w:tc>
        <w:tc>
          <w:tcPr>
            <w:tcW w:w="1175" w:type="dxa"/>
          </w:tcPr>
          <w:p w14:paraId="4B2CE94E" w14:textId="77777777" w:rsidR="00F81A2E" w:rsidRPr="00F81A2E" w:rsidRDefault="00F81A2E" w:rsidP="00CA0D72">
            <w:pPr>
              <w:pStyle w:val="Table"/>
              <w:ind w:right="-3"/>
            </w:pPr>
            <w:r w:rsidRPr="00F81A2E">
              <w:t>7</w:t>
            </w:r>
          </w:p>
        </w:tc>
        <w:tc>
          <w:tcPr>
            <w:tcW w:w="1175" w:type="dxa"/>
          </w:tcPr>
          <w:p w14:paraId="14FF3C71" w14:textId="77777777" w:rsidR="00F81A2E" w:rsidRPr="00F81A2E" w:rsidRDefault="00F81A2E" w:rsidP="00CA0D72">
            <w:pPr>
              <w:pStyle w:val="Table"/>
              <w:ind w:right="-3"/>
            </w:pPr>
            <w:r w:rsidRPr="00F81A2E">
              <w:t>12</w:t>
            </w:r>
          </w:p>
        </w:tc>
        <w:tc>
          <w:tcPr>
            <w:tcW w:w="1175" w:type="dxa"/>
          </w:tcPr>
          <w:p w14:paraId="1EBE6C22" w14:textId="77777777" w:rsidR="00F81A2E" w:rsidRPr="00F81A2E" w:rsidRDefault="00F81A2E" w:rsidP="00CA0D72">
            <w:pPr>
              <w:pStyle w:val="Table"/>
              <w:ind w:right="-3"/>
            </w:pPr>
            <w:r w:rsidRPr="00F81A2E">
              <w:t>59</w:t>
            </w:r>
          </w:p>
        </w:tc>
        <w:tc>
          <w:tcPr>
            <w:tcW w:w="1175" w:type="dxa"/>
          </w:tcPr>
          <w:p w14:paraId="0A4706DB" w14:textId="77777777" w:rsidR="00F81A2E" w:rsidRPr="00F81A2E" w:rsidRDefault="00F81A2E" w:rsidP="00CA0D72">
            <w:pPr>
              <w:pStyle w:val="Table"/>
              <w:ind w:right="-3"/>
            </w:pPr>
            <w:r w:rsidRPr="00F81A2E">
              <w:t>20</w:t>
            </w:r>
          </w:p>
        </w:tc>
        <w:tc>
          <w:tcPr>
            <w:tcW w:w="1175" w:type="dxa"/>
          </w:tcPr>
          <w:p w14:paraId="61DEC35E" w14:textId="77777777" w:rsidR="00F81A2E" w:rsidRPr="00F81A2E" w:rsidRDefault="00F81A2E" w:rsidP="00CA0D72">
            <w:pPr>
              <w:pStyle w:val="Table"/>
              <w:ind w:right="-3"/>
            </w:pPr>
            <w:r w:rsidRPr="00F81A2E">
              <w:t>110</w:t>
            </w:r>
          </w:p>
        </w:tc>
        <w:tc>
          <w:tcPr>
            <w:tcW w:w="1175" w:type="dxa"/>
          </w:tcPr>
          <w:p w14:paraId="39F9D5C0" w14:textId="77777777" w:rsidR="00F81A2E" w:rsidRPr="00F81A2E" w:rsidRDefault="00F81A2E" w:rsidP="00CA0D72">
            <w:pPr>
              <w:pStyle w:val="Table"/>
              <w:ind w:right="-3"/>
            </w:pPr>
            <w:r w:rsidRPr="00F81A2E">
              <w:t>26</w:t>
            </w:r>
          </w:p>
        </w:tc>
        <w:tc>
          <w:tcPr>
            <w:tcW w:w="1175" w:type="dxa"/>
          </w:tcPr>
          <w:p w14:paraId="4089F01B" w14:textId="77777777" w:rsidR="00F81A2E" w:rsidRPr="00F81A2E" w:rsidRDefault="00F81A2E" w:rsidP="00CA0D72">
            <w:pPr>
              <w:pStyle w:val="Table"/>
              <w:ind w:right="-3"/>
            </w:pPr>
            <w:r w:rsidRPr="00F81A2E">
              <w:t>14</w:t>
            </w:r>
          </w:p>
        </w:tc>
        <w:tc>
          <w:tcPr>
            <w:tcW w:w="1175" w:type="dxa"/>
          </w:tcPr>
          <w:p w14:paraId="06CD0EFC" w14:textId="77777777" w:rsidR="00F81A2E" w:rsidRPr="00F81A2E" w:rsidRDefault="00F81A2E" w:rsidP="00CA0D72">
            <w:pPr>
              <w:pStyle w:val="Table"/>
              <w:ind w:right="-3"/>
            </w:pPr>
            <w:r w:rsidRPr="00F81A2E">
              <w:t>1</w:t>
            </w:r>
          </w:p>
        </w:tc>
        <w:tc>
          <w:tcPr>
            <w:tcW w:w="1176" w:type="dxa"/>
          </w:tcPr>
          <w:p w14:paraId="03C47E7E" w14:textId="77777777" w:rsidR="00F81A2E" w:rsidRPr="00F81A2E" w:rsidRDefault="00F81A2E" w:rsidP="00CA0D72">
            <w:pPr>
              <w:pStyle w:val="Table"/>
              <w:ind w:right="-3"/>
            </w:pPr>
            <w:r w:rsidRPr="00F81A2E">
              <w:t>387</w:t>
            </w:r>
          </w:p>
        </w:tc>
      </w:tr>
      <w:tr w:rsidR="00BC0ABE" w:rsidRPr="00F81A2E" w14:paraId="1B5954D9" w14:textId="77777777" w:rsidTr="00F53196">
        <w:trPr>
          <w:trHeight w:val="227"/>
        </w:trPr>
        <w:tc>
          <w:tcPr>
            <w:tcW w:w="1175" w:type="dxa"/>
          </w:tcPr>
          <w:p w14:paraId="2B6275CC" w14:textId="64706AF3" w:rsidR="00BC0ABE" w:rsidRPr="00F81A2E" w:rsidRDefault="00BC0ABE" w:rsidP="00CA0D72">
            <w:pPr>
              <w:pStyle w:val="Table"/>
              <w:ind w:right="-3"/>
            </w:pPr>
            <w:r w:rsidRPr="00F81A2E">
              <w:t>VIC</w:t>
            </w:r>
          </w:p>
        </w:tc>
        <w:tc>
          <w:tcPr>
            <w:tcW w:w="1343" w:type="dxa"/>
          </w:tcPr>
          <w:p w14:paraId="7B4DE561" w14:textId="77777777" w:rsidR="00BC0ABE" w:rsidRPr="00F81A2E" w:rsidRDefault="00BC0ABE" w:rsidP="00CA0D72">
            <w:pPr>
              <w:pStyle w:val="Table"/>
              <w:ind w:right="-3"/>
            </w:pPr>
            <w:r w:rsidRPr="00F81A2E">
              <w:t>%</w:t>
            </w:r>
          </w:p>
        </w:tc>
        <w:tc>
          <w:tcPr>
            <w:tcW w:w="1007" w:type="dxa"/>
          </w:tcPr>
          <w:p w14:paraId="7665A502" w14:textId="77777777" w:rsidR="00BC0ABE" w:rsidRPr="00F81A2E" w:rsidRDefault="00BC0ABE" w:rsidP="00CA0D72">
            <w:pPr>
              <w:pStyle w:val="Table"/>
              <w:ind w:right="-3"/>
            </w:pPr>
            <w:r w:rsidRPr="00F81A2E">
              <w:t>1.3</w:t>
            </w:r>
          </w:p>
        </w:tc>
        <w:tc>
          <w:tcPr>
            <w:tcW w:w="1175" w:type="dxa"/>
          </w:tcPr>
          <w:p w14:paraId="347837C9" w14:textId="77777777" w:rsidR="00BC0ABE" w:rsidRPr="00F81A2E" w:rsidRDefault="00BC0ABE" w:rsidP="00CA0D72">
            <w:pPr>
              <w:pStyle w:val="Table"/>
              <w:ind w:right="-3"/>
            </w:pPr>
            <w:r w:rsidRPr="00F81A2E">
              <w:t>34.4</w:t>
            </w:r>
          </w:p>
        </w:tc>
        <w:tc>
          <w:tcPr>
            <w:tcW w:w="1175" w:type="dxa"/>
          </w:tcPr>
          <w:p w14:paraId="0300EFD1" w14:textId="77777777" w:rsidR="00BC0ABE" w:rsidRPr="00F81A2E" w:rsidRDefault="00BC0ABE" w:rsidP="00CA0D72">
            <w:pPr>
              <w:pStyle w:val="Table"/>
              <w:ind w:right="-3"/>
            </w:pPr>
            <w:r w:rsidRPr="00F81A2E">
              <w:t>1.8</w:t>
            </w:r>
          </w:p>
        </w:tc>
        <w:tc>
          <w:tcPr>
            <w:tcW w:w="1175" w:type="dxa"/>
          </w:tcPr>
          <w:p w14:paraId="55FCD794" w14:textId="77777777" w:rsidR="00BC0ABE" w:rsidRPr="00F81A2E" w:rsidRDefault="00BC0ABE" w:rsidP="00CA0D72">
            <w:pPr>
              <w:pStyle w:val="Table"/>
              <w:ind w:right="-3"/>
            </w:pPr>
            <w:r w:rsidRPr="00F81A2E">
              <w:t>3.1</w:t>
            </w:r>
          </w:p>
        </w:tc>
        <w:tc>
          <w:tcPr>
            <w:tcW w:w="1175" w:type="dxa"/>
          </w:tcPr>
          <w:p w14:paraId="5FE71A83" w14:textId="77777777" w:rsidR="00BC0ABE" w:rsidRPr="00F81A2E" w:rsidRDefault="00BC0ABE" w:rsidP="00CA0D72">
            <w:pPr>
              <w:pStyle w:val="Table"/>
              <w:ind w:right="-3"/>
            </w:pPr>
            <w:r w:rsidRPr="00F81A2E">
              <w:t>15.2</w:t>
            </w:r>
          </w:p>
        </w:tc>
        <w:tc>
          <w:tcPr>
            <w:tcW w:w="1175" w:type="dxa"/>
          </w:tcPr>
          <w:p w14:paraId="3FF10AF3" w14:textId="77777777" w:rsidR="00BC0ABE" w:rsidRPr="00F81A2E" w:rsidRDefault="00BC0ABE" w:rsidP="00CA0D72">
            <w:pPr>
              <w:pStyle w:val="Table"/>
              <w:ind w:right="-3"/>
            </w:pPr>
            <w:r w:rsidRPr="00F81A2E">
              <w:t>5.2</w:t>
            </w:r>
          </w:p>
        </w:tc>
        <w:tc>
          <w:tcPr>
            <w:tcW w:w="1175" w:type="dxa"/>
          </w:tcPr>
          <w:p w14:paraId="1D3DF3AE" w14:textId="77777777" w:rsidR="00BC0ABE" w:rsidRPr="00F81A2E" w:rsidRDefault="00BC0ABE" w:rsidP="00CA0D72">
            <w:pPr>
              <w:pStyle w:val="Table"/>
              <w:ind w:right="-3"/>
            </w:pPr>
            <w:r w:rsidRPr="00F81A2E">
              <w:t>28.4</w:t>
            </w:r>
          </w:p>
        </w:tc>
        <w:tc>
          <w:tcPr>
            <w:tcW w:w="1175" w:type="dxa"/>
          </w:tcPr>
          <w:p w14:paraId="6CBA2729" w14:textId="77777777" w:rsidR="00BC0ABE" w:rsidRPr="00F81A2E" w:rsidRDefault="00BC0ABE" w:rsidP="00CA0D72">
            <w:pPr>
              <w:pStyle w:val="Table"/>
              <w:ind w:right="-3"/>
            </w:pPr>
            <w:r w:rsidRPr="00F81A2E">
              <w:t>6.7</w:t>
            </w:r>
          </w:p>
        </w:tc>
        <w:tc>
          <w:tcPr>
            <w:tcW w:w="1175" w:type="dxa"/>
          </w:tcPr>
          <w:p w14:paraId="3C7D3EA4" w14:textId="77777777" w:rsidR="00BC0ABE" w:rsidRPr="00F81A2E" w:rsidRDefault="00BC0ABE" w:rsidP="00CA0D72">
            <w:pPr>
              <w:pStyle w:val="Table"/>
              <w:ind w:right="-3"/>
            </w:pPr>
            <w:r w:rsidRPr="00F81A2E">
              <w:t>3.6</w:t>
            </w:r>
          </w:p>
        </w:tc>
        <w:tc>
          <w:tcPr>
            <w:tcW w:w="1175" w:type="dxa"/>
          </w:tcPr>
          <w:p w14:paraId="2BD8DEE3" w14:textId="77777777" w:rsidR="00BC0ABE" w:rsidRPr="00F81A2E" w:rsidRDefault="00BC0ABE" w:rsidP="00CA0D72">
            <w:pPr>
              <w:pStyle w:val="Table"/>
              <w:ind w:right="-3"/>
            </w:pPr>
            <w:r w:rsidRPr="00F81A2E">
              <w:t>0.3</w:t>
            </w:r>
          </w:p>
        </w:tc>
        <w:tc>
          <w:tcPr>
            <w:tcW w:w="1176" w:type="dxa"/>
          </w:tcPr>
          <w:p w14:paraId="39EB84FB" w14:textId="77777777" w:rsidR="00BC0ABE" w:rsidRPr="00F81A2E" w:rsidRDefault="00BC0ABE" w:rsidP="00CA0D72">
            <w:pPr>
              <w:pStyle w:val="Table"/>
              <w:ind w:right="-3"/>
            </w:pPr>
            <w:r w:rsidRPr="00F81A2E">
              <w:t> </w:t>
            </w:r>
          </w:p>
        </w:tc>
      </w:tr>
      <w:tr w:rsidR="00BC0ABE" w:rsidRPr="00F81A2E" w14:paraId="26962526" w14:textId="77777777" w:rsidTr="00F53196">
        <w:trPr>
          <w:trHeight w:val="227"/>
        </w:trPr>
        <w:tc>
          <w:tcPr>
            <w:tcW w:w="1175" w:type="dxa"/>
          </w:tcPr>
          <w:p w14:paraId="4D18BD22" w14:textId="595008D7" w:rsidR="00BC0ABE" w:rsidRPr="00F81A2E" w:rsidRDefault="00BC0ABE" w:rsidP="00CA0D72">
            <w:pPr>
              <w:pStyle w:val="Table"/>
              <w:ind w:right="-3"/>
            </w:pPr>
            <w:r w:rsidRPr="00F81A2E">
              <w:t>VIC</w:t>
            </w:r>
          </w:p>
        </w:tc>
        <w:tc>
          <w:tcPr>
            <w:tcW w:w="1343" w:type="dxa"/>
          </w:tcPr>
          <w:p w14:paraId="491C92F3" w14:textId="77777777" w:rsidR="00BC0ABE" w:rsidRPr="00F81A2E" w:rsidRDefault="00BC0ABE" w:rsidP="00CA0D72">
            <w:pPr>
              <w:pStyle w:val="Table"/>
              <w:ind w:right="-3"/>
            </w:pPr>
            <w:r w:rsidRPr="00F81A2E">
              <w:t>Residential</w:t>
            </w:r>
          </w:p>
        </w:tc>
        <w:tc>
          <w:tcPr>
            <w:tcW w:w="1007" w:type="dxa"/>
          </w:tcPr>
          <w:p w14:paraId="683E46B2" w14:textId="77777777" w:rsidR="00BC0ABE" w:rsidRPr="00F81A2E" w:rsidRDefault="00BC0ABE" w:rsidP="00CA0D72">
            <w:pPr>
              <w:pStyle w:val="Table"/>
              <w:ind w:right="-3"/>
            </w:pPr>
            <w:r w:rsidRPr="00F81A2E">
              <w:t>85</w:t>
            </w:r>
          </w:p>
        </w:tc>
        <w:tc>
          <w:tcPr>
            <w:tcW w:w="1175" w:type="dxa"/>
          </w:tcPr>
          <w:p w14:paraId="382B1360" w14:textId="77777777" w:rsidR="00BC0ABE" w:rsidRPr="00F81A2E" w:rsidRDefault="00BC0ABE" w:rsidP="00CA0D72">
            <w:pPr>
              <w:pStyle w:val="Table"/>
              <w:ind w:right="-3"/>
            </w:pPr>
            <w:r w:rsidRPr="00F81A2E">
              <w:t>210</w:t>
            </w:r>
          </w:p>
        </w:tc>
        <w:tc>
          <w:tcPr>
            <w:tcW w:w="1175" w:type="dxa"/>
          </w:tcPr>
          <w:p w14:paraId="67931540" w14:textId="77777777" w:rsidR="00BC0ABE" w:rsidRPr="00F81A2E" w:rsidRDefault="00BC0ABE" w:rsidP="00CA0D72">
            <w:pPr>
              <w:pStyle w:val="Table"/>
              <w:ind w:right="-3"/>
            </w:pPr>
            <w:r w:rsidRPr="00F81A2E">
              <w:t>639</w:t>
            </w:r>
          </w:p>
        </w:tc>
        <w:tc>
          <w:tcPr>
            <w:tcW w:w="1175" w:type="dxa"/>
          </w:tcPr>
          <w:p w14:paraId="10A32E1E" w14:textId="77777777" w:rsidR="00BC0ABE" w:rsidRPr="00F81A2E" w:rsidRDefault="00BC0ABE" w:rsidP="00CA0D72">
            <w:pPr>
              <w:pStyle w:val="Table"/>
              <w:ind w:right="-3"/>
            </w:pPr>
            <w:r w:rsidRPr="00F81A2E">
              <w:t>159</w:t>
            </w:r>
          </w:p>
        </w:tc>
        <w:tc>
          <w:tcPr>
            <w:tcW w:w="1175" w:type="dxa"/>
          </w:tcPr>
          <w:p w14:paraId="5F2CDDA8" w14:textId="77777777" w:rsidR="00BC0ABE" w:rsidRPr="00F81A2E" w:rsidRDefault="00BC0ABE" w:rsidP="00CA0D72">
            <w:pPr>
              <w:pStyle w:val="Table"/>
              <w:ind w:right="-3"/>
            </w:pPr>
            <w:r w:rsidRPr="00F81A2E">
              <w:t>42</w:t>
            </w:r>
          </w:p>
        </w:tc>
        <w:tc>
          <w:tcPr>
            <w:tcW w:w="1175" w:type="dxa"/>
          </w:tcPr>
          <w:p w14:paraId="57406F0A" w14:textId="77777777" w:rsidR="00BC0ABE" w:rsidRPr="00F81A2E" w:rsidRDefault="00BC0ABE" w:rsidP="00CA0D72">
            <w:pPr>
              <w:pStyle w:val="Table"/>
              <w:ind w:right="-3"/>
            </w:pPr>
            <w:r w:rsidRPr="00F81A2E">
              <w:t>24</w:t>
            </w:r>
          </w:p>
        </w:tc>
        <w:tc>
          <w:tcPr>
            <w:tcW w:w="1175" w:type="dxa"/>
          </w:tcPr>
          <w:p w14:paraId="5DF0B9E2" w14:textId="77777777" w:rsidR="00BC0ABE" w:rsidRPr="00F81A2E" w:rsidRDefault="00BC0ABE" w:rsidP="00CA0D72">
            <w:pPr>
              <w:pStyle w:val="Table"/>
              <w:ind w:right="-3"/>
            </w:pPr>
            <w:r w:rsidRPr="00F81A2E">
              <w:t>26</w:t>
            </w:r>
          </w:p>
        </w:tc>
        <w:tc>
          <w:tcPr>
            <w:tcW w:w="1175" w:type="dxa"/>
          </w:tcPr>
          <w:p w14:paraId="7717F87A" w14:textId="77777777" w:rsidR="00BC0ABE" w:rsidRPr="00F81A2E" w:rsidRDefault="00BC0ABE" w:rsidP="00CA0D72">
            <w:pPr>
              <w:pStyle w:val="Table"/>
              <w:ind w:right="-3"/>
            </w:pPr>
            <w:r w:rsidRPr="00F81A2E">
              <w:t>16</w:t>
            </w:r>
          </w:p>
        </w:tc>
        <w:tc>
          <w:tcPr>
            <w:tcW w:w="1175" w:type="dxa"/>
          </w:tcPr>
          <w:p w14:paraId="6DA4574E" w14:textId="77777777" w:rsidR="00BC0ABE" w:rsidRPr="00F81A2E" w:rsidRDefault="00BC0ABE" w:rsidP="00CA0D72">
            <w:pPr>
              <w:pStyle w:val="Table"/>
              <w:ind w:right="-3"/>
            </w:pPr>
            <w:r w:rsidRPr="00F81A2E">
              <w:t>8</w:t>
            </w:r>
          </w:p>
        </w:tc>
        <w:tc>
          <w:tcPr>
            <w:tcW w:w="1175" w:type="dxa"/>
          </w:tcPr>
          <w:p w14:paraId="54B63642" w14:textId="77777777" w:rsidR="00BC0ABE" w:rsidRPr="00F81A2E" w:rsidRDefault="00BC0ABE" w:rsidP="00CA0D72">
            <w:pPr>
              <w:pStyle w:val="Table"/>
              <w:ind w:right="-3"/>
            </w:pPr>
            <w:r w:rsidRPr="00F81A2E">
              <w:t>7</w:t>
            </w:r>
          </w:p>
        </w:tc>
        <w:tc>
          <w:tcPr>
            <w:tcW w:w="1176" w:type="dxa"/>
          </w:tcPr>
          <w:p w14:paraId="6D4C639B" w14:textId="77777777" w:rsidR="00BC0ABE" w:rsidRPr="00F81A2E" w:rsidRDefault="00BC0ABE" w:rsidP="00CA0D72">
            <w:pPr>
              <w:pStyle w:val="Table"/>
              <w:ind w:right="-3"/>
            </w:pPr>
            <w:r w:rsidRPr="00F81A2E">
              <w:t>1,216</w:t>
            </w:r>
          </w:p>
        </w:tc>
      </w:tr>
      <w:tr w:rsidR="00BC0ABE" w:rsidRPr="00F81A2E" w14:paraId="240724A2" w14:textId="77777777" w:rsidTr="00F53196">
        <w:trPr>
          <w:trHeight w:val="227"/>
        </w:trPr>
        <w:tc>
          <w:tcPr>
            <w:tcW w:w="1175" w:type="dxa"/>
          </w:tcPr>
          <w:p w14:paraId="691BF599" w14:textId="49D901B1" w:rsidR="00BC0ABE" w:rsidRPr="00F81A2E" w:rsidRDefault="00BC0ABE" w:rsidP="00CA0D72">
            <w:pPr>
              <w:pStyle w:val="Table"/>
              <w:ind w:right="-3"/>
            </w:pPr>
            <w:r w:rsidRPr="00F81A2E">
              <w:lastRenderedPageBreak/>
              <w:t>VIC</w:t>
            </w:r>
          </w:p>
        </w:tc>
        <w:tc>
          <w:tcPr>
            <w:tcW w:w="1343" w:type="dxa"/>
          </w:tcPr>
          <w:p w14:paraId="70A9E3C4" w14:textId="77777777" w:rsidR="00BC0ABE" w:rsidRPr="00F81A2E" w:rsidRDefault="00BC0ABE" w:rsidP="00CA0D72">
            <w:pPr>
              <w:pStyle w:val="Table"/>
              <w:ind w:right="-3"/>
            </w:pPr>
            <w:r w:rsidRPr="00F81A2E">
              <w:t>%</w:t>
            </w:r>
          </w:p>
        </w:tc>
        <w:tc>
          <w:tcPr>
            <w:tcW w:w="1007" w:type="dxa"/>
          </w:tcPr>
          <w:p w14:paraId="4093D9B4" w14:textId="77777777" w:rsidR="00BC0ABE" w:rsidRPr="00F81A2E" w:rsidRDefault="00BC0ABE" w:rsidP="00CA0D72">
            <w:pPr>
              <w:pStyle w:val="Table"/>
              <w:ind w:right="-3"/>
            </w:pPr>
            <w:r w:rsidRPr="00F81A2E">
              <w:t>7</w:t>
            </w:r>
          </w:p>
        </w:tc>
        <w:tc>
          <w:tcPr>
            <w:tcW w:w="1175" w:type="dxa"/>
          </w:tcPr>
          <w:p w14:paraId="03139FD7" w14:textId="77777777" w:rsidR="00BC0ABE" w:rsidRPr="00F81A2E" w:rsidRDefault="00BC0ABE" w:rsidP="00CA0D72">
            <w:pPr>
              <w:pStyle w:val="Table"/>
              <w:ind w:right="-3"/>
            </w:pPr>
            <w:r w:rsidRPr="00F81A2E">
              <w:t>17.3</w:t>
            </w:r>
          </w:p>
        </w:tc>
        <w:tc>
          <w:tcPr>
            <w:tcW w:w="1175" w:type="dxa"/>
          </w:tcPr>
          <w:p w14:paraId="22E7BF98" w14:textId="77777777" w:rsidR="00BC0ABE" w:rsidRPr="00F81A2E" w:rsidRDefault="00BC0ABE" w:rsidP="00CA0D72">
            <w:pPr>
              <w:pStyle w:val="Table"/>
              <w:ind w:right="-3"/>
            </w:pPr>
            <w:r w:rsidRPr="00F81A2E">
              <w:t>52.5</w:t>
            </w:r>
          </w:p>
        </w:tc>
        <w:tc>
          <w:tcPr>
            <w:tcW w:w="1175" w:type="dxa"/>
          </w:tcPr>
          <w:p w14:paraId="2FADDE73" w14:textId="77777777" w:rsidR="00BC0ABE" w:rsidRPr="00F81A2E" w:rsidRDefault="00BC0ABE" w:rsidP="00CA0D72">
            <w:pPr>
              <w:pStyle w:val="Table"/>
              <w:ind w:right="-3"/>
            </w:pPr>
            <w:r w:rsidRPr="00F81A2E">
              <w:t>13.1</w:t>
            </w:r>
          </w:p>
        </w:tc>
        <w:tc>
          <w:tcPr>
            <w:tcW w:w="1175" w:type="dxa"/>
          </w:tcPr>
          <w:p w14:paraId="3C3B9D0C" w14:textId="77777777" w:rsidR="00BC0ABE" w:rsidRPr="00F81A2E" w:rsidRDefault="00BC0ABE" w:rsidP="00CA0D72">
            <w:pPr>
              <w:pStyle w:val="Table"/>
              <w:ind w:right="-3"/>
            </w:pPr>
            <w:r w:rsidRPr="00F81A2E">
              <w:t>3.5</w:t>
            </w:r>
          </w:p>
        </w:tc>
        <w:tc>
          <w:tcPr>
            <w:tcW w:w="1175" w:type="dxa"/>
          </w:tcPr>
          <w:p w14:paraId="5604A2D6" w14:textId="77777777" w:rsidR="00BC0ABE" w:rsidRPr="00F81A2E" w:rsidRDefault="00BC0ABE" w:rsidP="00CA0D72">
            <w:pPr>
              <w:pStyle w:val="Table"/>
              <w:ind w:right="-3"/>
            </w:pPr>
            <w:r w:rsidRPr="00F81A2E">
              <w:t>2</w:t>
            </w:r>
          </w:p>
        </w:tc>
        <w:tc>
          <w:tcPr>
            <w:tcW w:w="1175" w:type="dxa"/>
          </w:tcPr>
          <w:p w14:paraId="0AE7BE8B" w14:textId="77777777" w:rsidR="00BC0ABE" w:rsidRPr="00F81A2E" w:rsidRDefault="00BC0ABE" w:rsidP="00CA0D72">
            <w:pPr>
              <w:pStyle w:val="Table"/>
              <w:ind w:right="-3"/>
            </w:pPr>
            <w:r w:rsidRPr="00F81A2E">
              <w:t>2.1</w:t>
            </w:r>
          </w:p>
        </w:tc>
        <w:tc>
          <w:tcPr>
            <w:tcW w:w="1175" w:type="dxa"/>
          </w:tcPr>
          <w:p w14:paraId="778582F4" w14:textId="77777777" w:rsidR="00BC0ABE" w:rsidRPr="00F81A2E" w:rsidRDefault="00BC0ABE" w:rsidP="00CA0D72">
            <w:pPr>
              <w:pStyle w:val="Table"/>
              <w:ind w:right="-3"/>
            </w:pPr>
            <w:r w:rsidRPr="00F81A2E">
              <w:t>1.3</w:t>
            </w:r>
          </w:p>
        </w:tc>
        <w:tc>
          <w:tcPr>
            <w:tcW w:w="1175" w:type="dxa"/>
          </w:tcPr>
          <w:p w14:paraId="57FDCE23" w14:textId="77777777" w:rsidR="00BC0ABE" w:rsidRPr="00F81A2E" w:rsidRDefault="00BC0ABE" w:rsidP="00CA0D72">
            <w:pPr>
              <w:pStyle w:val="Table"/>
              <w:ind w:right="-3"/>
            </w:pPr>
            <w:r w:rsidRPr="00F81A2E">
              <w:t>0.7</w:t>
            </w:r>
          </w:p>
        </w:tc>
        <w:tc>
          <w:tcPr>
            <w:tcW w:w="1175" w:type="dxa"/>
          </w:tcPr>
          <w:p w14:paraId="3EDA0C87" w14:textId="77777777" w:rsidR="00BC0ABE" w:rsidRPr="00F81A2E" w:rsidRDefault="00BC0ABE" w:rsidP="00CA0D72">
            <w:pPr>
              <w:pStyle w:val="Table"/>
              <w:ind w:right="-3"/>
            </w:pPr>
            <w:r w:rsidRPr="00F81A2E">
              <w:t>0.6</w:t>
            </w:r>
          </w:p>
        </w:tc>
        <w:tc>
          <w:tcPr>
            <w:tcW w:w="1176" w:type="dxa"/>
          </w:tcPr>
          <w:p w14:paraId="4E1F5B87" w14:textId="77777777" w:rsidR="00BC0ABE" w:rsidRPr="00F81A2E" w:rsidRDefault="00BC0ABE" w:rsidP="00CA0D72">
            <w:pPr>
              <w:pStyle w:val="Table"/>
              <w:ind w:right="-3"/>
            </w:pPr>
            <w:r w:rsidRPr="00F81A2E">
              <w:t> </w:t>
            </w:r>
          </w:p>
        </w:tc>
      </w:tr>
      <w:tr w:rsidR="00BC0ABE" w:rsidRPr="00F81A2E" w14:paraId="68F15DB6" w14:textId="77777777" w:rsidTr="00F53196">
        <w:trPr>
          <w:trHeight w:val="227"/>
        </w:trPr>
        <w:tc>
          <w:tcPr>
            <w:tcW w:w="1175" w:type="dxa"/>
          </w:tcPr>
          <w:p w14:paraId="4115257B" w14:textId="709B391C" w:rsidR="00BC0ABE" w:rsidRPr="00F81A2E" w:rsidRDefault="00BC0ABE" w:rsidP="00CA0D72">
            <w:pPr>
              <w:pStyle w:val="Table"/>
              <w:ind w:right="-3"/>
            </w:pPr>
            <w:r w:rsidRPr="00F81A2E">
              <w:t>VIC</w:t>
            </w:r>
          </w:p>
        </w:tc>
        <w:tc>
          <w:tcPr>
            <w:tcW w:w="1343" w:type="dxa"/>
          </w:tcPr>
          <w:p w14:paraId="634BB639" w14:textId="77777777" w:rsidR="00BC0ABE" w:rsidRPr="00F81A2E" w:rsidRDefault="00BC0ABE" w:rsidP="00CA0D72">
            <w:pPr>
              <w:pStyle w:val="Table"/>
              <w:ind w:right="-3"/>
            </w:pPr>
            <w:r w:rsidRPr="00F81A2E">
              <w:t>Combination</w:t>
            </w:r>
          </w:p>
        </w:tc>
        <w:tc>
          <w:tcPr>
            <w:tcW w:w="1007" w:type="dxa"/>
          </w:tcPr>
          <w:p w14:paraId="6A9AA10A" w14:textId="77777777" w:rsidR="00BC0ABE" w:rsidRPr="00F81A2E" w:rsidRDefault="00BC0ABE" w:rsidP="00CA0D72">
            <w:pPr>
              <w:pStyle w:val="Table"/>
              <w:ind w:right="-3"/>
            </w:pPr>
            <w:r w:rsidRPr="00F81A2E">
              <w:t>4</w:t>
            </w:r>
          </w:p>
        </w:tc>
        <w:tc>
          <w:tcPr>
            <w:tcW w:w="1175" w:type="dxa"/>
          </w:tcPr>
          <w:p w14:paraId="4920F1E5" w14:textId="77777777" w:rsidR="00BC0ABE" w:rsidRPr="00F81A2E" w:rsidRDefault="00BC0ABE" w:rsidP="00CA0D72">
            <w:pPr>
              <w:pStyle w:val="Table"/>
              <w:ind w:right="-3"/>
            </w:pPr>
            <w:r w:rsidRPr="00F81A2E">
              <w:t>29</w:t>
            </w:r>
          </w:p>
        </w:tc>
        <w:tc>
          <w:tcPr>
            <w:tcW w:w="1175" w:type="dxa"/>
          </w:tcPr>
          <w:p w14:paraId="0FECC24D" w14:textId="77777777" w:rsidR="00BC0ABE" w:rsidRPr="00F81A2E" w:rsidRDefault="00BC0ABE" w:rsidP="00CA0D72">
            <w:pPr>
              <w:pStyle w:val="Table"/>
              <w:ind w:right="-3"/>
            </w:pPr>
            <w:r w:rsidRPr="00F81A2E">
              <w:t>26</w:t>
            </w:r>
          </w:p>
        </w:tc>
        <w:tc>
          <w:tcPr>
            <w:tcW w:w="1175" w:type="dxa"/>
          </w:tcPr>
          <w:p w14:paraId="08E6AADD" w14:textId="77777777" w:rsidR="00BC0ABE" w:rsidRPr="00F81A2E" w:rsidRDefault="00BC0ABE" w:rsidP="00CA0D72">
            <w:pPr>
              <w:pStyle w:val="Table"/>
              <w:ind w:right="-3"/>
            </w:pPr>
            <w:r w:rsidRPr="00F81A2E">
              <w:t>14</w:t>
            </w:r>
          </w:p>
        </w:tc>
        <w:tc>
          <w:tcPr>
            <w:tcW w:w="1175" w:type="dxa"/>
          </w:tcPr>
          <w:p w14:paraId="14359E2E" w14:textId="77777777" w:rsidR="00BC0ABE" w:rsidRPr="00F81A2E" w:rsidRDefault="00BC0ABE" w:rsidP="00CA0D72">
            <w:pPr>
              <w:pStyle w:val="Table"/>
              <w:ind w:right="-3"/>
            </w:pPr>
            <w:r w:rsidRPr="00F81A2E">
              <w:t>4</w:t>
            </w:r>
          </w:p>
        </w:tc>
        <w:tc>
          <w:tcPr>
            <w:tcW w:w="1175" w:type="dxa"/>
          </w:tcPr>
          <w:p w14:paraId="6801FF89" w14:textId="77777777" w:rsidR="00BC0ABE" w:rsidRPr="00F81A2E" w:rsidRDefault="00BC0ABE" w:rsidP="00CA0D72">
            <w:pPr>
              <w:pStyle w:val="Table"/>
              <w:ind w:right="-3"/>
            </w:pPr>
            <w:r w:rsidRPr="00F81A2E">
              <w:t>16</w:t>
            </w:r>
          </w:p>
        </w:tc>
        <w:tc>
          <w:tcPr>
            <w:tcW w:w="1175" w:type="dxa"/>
          </w:tcPr>
          <w:p w14:paraId="2FB506C8" w14:textId="77777777" w:rsidR="00BC0ABE" w:rsidRPr="00F81A2E" w:rsidRDefault="00BC0ABE" w:rsidP="00CA0D72">
            <w:pPr>
              <w:pStyle w:val="Table"/>
              <w:ind w:right="-3"/>
            </w:pPr>
            <w:r w:rsidRPr="00F81A2E">
              <w:t>31</w:t>
            </w:r>
          </w:p>
        </w:tc>
        <w:tc>
          <w:tcPr>
            <w:tcW w:w="1175" w:type="dxa"/>
          </w:tcPr>
          <w:p w14:paraId="4ED20298" w14:textId="77777777" w:rsidR="00BC0ABE" w:rsidRPr="00F81A2E" w:rsidRDefault="00BC0ABE" w:rsidP="00CA0D72">
            <w:pPr>
              <w:pStyle w:val="Table"/>
              <w:ind w:right="-3"/>
            </w:pPr>
            <w:r w:rsidRPr="00F81A2E">
              <w:t>10</w:t>
            </w:r>
          </w:p>
        </w:tc>
        <w:tc>
          <w:tcPr>
            <w:tcW w:w="1175" w:type="dxa"/>
          </w:tcPr>
          <w:p w14:paraId="69BA562F" w14:textId="77777777" w:rsidR="00BC0ABE" w:rsidRPr="00F81A2E" w:rsidRDefault="00BC0ABE" w:rsidP="00CA0D72">
            <w:pPr>
              <w:pStyle w:val="Table"/>
              <w:ind w:right="-3"/>
            </w:pPr>
            <w:r w:rsidRPr="00F81A2E">
              <w:t>3</w:t>
            </w:r>
          </w:p>
        </w:tc>
        <w:tc>
          <w:tcPr>
            <w:tcW w:w="1175" w:type="dxa"/>
          </w:tcPr>
          <w:p w14:paraId="2C894887" w14:textId="77777777" w:rsidR="00BC0ABE" w:rsidRPr="00F81A2E" w:rsidRDefault="00BC0ABE" w:rsidP="00CA0D72">
            <w:pPr>
              <w:pStyle w:val="Table"/>
              <w:ind w:right="-3"/>
            </w:pPr>
            <w:r w:rsidRPr="00F81A2E">
              <w:t>0</w:t>
            </w:r>
          </w:p>
        </w:tc>
        <w:tc>
          <w:tcPr>
            <w:tcW w:w="1176" w:type="dxa"/>
          </w:tcPr>
          <w:p w14:paraId="29B03BC2" w14:textId="77777777" w:rsidR="00BC0ABE" w:rsidRPr="00F81A2E" w:rsidRDefault="00BC0ABE" w:rsidP="00CA0D72">
            <w:pPr>
              <w:pStyle w:val="Table"/>
              <w:ind w:right="-3"/>
            </w:pPr>
            <w:r w:rsidRPr="00F81A2E">
              <w:t>137</w:t>
            </w:r>
          </w:p>
        </w:tc>
      </w:tr>
      <w:tr w:rsidR="00BC0ABE" w:rsidRPr="00F81A2E" w14:paraId="182D3F66" w14:textId="77777777" w:rsidTr="00F53196">
        <w:trPr>
          <w:trHeight w:val="227"/>
        </w:trPr>
        <w:tc>
          <w:tcPr>
            <w:tcW w:w="1175" w:type="dxa"/>
          </w:tcPr>
          <w:p w14:paraId="0EA4FFF6" w14:textId="4AEEB526" w:rsidR="00BC0ABE" w:rsidRPr="00F81A2E" w:rsidRDefault="00BC0ABE" w:rsidP="00CA0D72">
            <w:pPr>
              <w:pStyle w:val="Table"/>
              <w:ind w:right="-3"/>
            </w:pPr>
            <w:r w:rsidRPr="00F81A2E">
              <w:t>VIC</w:t>
            </w:r>
          </w:p>
        </w:tc>
        <w:tc>
          <w:tcPr>
            <w:tcW w:w="1343" w:type="dxa"/>
          </w:tcPr>
          <w:p w14:paraId="6AFC48F8" w14:textId="77777777" w:rsidR="00BC0ABE" w:rsidRPr="00F81A2E" w:rsidRDefault="00BC0ABE" w:rsidP="00CA0D72">
            <w:pPr>
              <w:pStyle w:val="Table"/>
              <w:ind w:right="-3"/>
            </w:pPr>
            <w:r w:rsidRPr="00F81A2E">
              <w:t>%</w:t>
            </w:r>
          </w:p>
        </w:tc>
        <w:tc>
          <w:tcPr>
            <w:tcW w:w="1007" w:type="dxa"/>
          </w:tcPr>
          <w:p w14:paraId="6B8852AB" w14:textId="77777777" w:rsidR="00BC0ABE" w:rsidRPr="00F81A2E" w:rsidRDefault="00BC0ABE" w:rsidP="00CA0D72">
            <w:pPr>
              <w:pStyle w:val="Table"/>
              <w:ind w:right="-3"/>
            </w:pPr>
            <w:r w:rsidRPr="00F81A2E">
              <w:t>2.9</w:t>
            </w:r>
          </w:p>
        </w:tc>
        <w:tc>
          <w:tcPr>
            <w:tcW w:w="1175" w:type="dxa"/>
          </w:tcPr>
          <w:p w14:paraId="67D85EA2" w14:textId="77777777" w:rsidR="00BC0ABE" w:rsidRPr="00F81A2E" w:rsidRDefault="00BC0ABE" w:rsidP="00CA0D72">
            <w:pPr>
              <w:pStyle w:val="Table"/>
              <w:ind w:right="-3"/>
            </w:pPr>
            <w:r w:rsidRPr="00F81A2E">
              <w:t>21.2</w:t>
            </w:r>
          </w:p>
        </w:tc>
        <w:tc>
          <w:tcPr>
            <w:tcW w:w="1175" w:type="dxa"/>
          </w:tcPr>
          <w:p w14:paraId="72B35812" w14:textId="77777777" w:rsidR="00BC0ABE" w:rsidRPr="00F81A2E" w:rsidRDefault="00BC0ABE" w:rsidP="00CA0D72">
            <w:pPr>
              <w:pStyle w:val="Table"/>
              <w:ind w:right="-3"/>
            </w:pPr>
            <w:r w:rsidRPr="00F81A2E">
              <w:t>19</w:t>
            </w:r>
          </w:p>
        </w:tc>
        <w:tc>
          <w:tcPr>
            <w:tcW w:w="1175" w:type="dxa"/>
          </w:tcPr>
          <w:p w14:paraId="6546A7F8" w14:textId="77777777" w:rsidR="00BC0ABE" w:rsidRPr="00F81A2E" w:rsidRDefault="00BC0ABE" w:rsidP="00CA0D72">
            <w:pPr>
              <w:pStyle w:val="Table"/>
              <w:ind w:right="-3"/>
            </w:pPr>
            <w:r w:rsidRPr="00F81A2E">
              <w:t>10.2</w:t>
            </w:r>
          </w:p>
        </w:tc>
        <w:tc>
          <w:tcPr>
            <w:tcW w:w="1175" w:type="dxa"/>
          </w:tcPr>
          <w:p w14:paraId="62A6B17B" w14:textId="77777777" w:rsidR="00BC0ABE" w:rsidRPr="00F81A2E" w:rsidRDefault="00BC0ABE" w:rsidP="00CA0D72">
            <w:pPr>
              <w:pStyle w:val="Table"/>
              <w:ind w:right="-3"/>
            </w:pPr>
            <w:r w:rsidRPr="00F81A2E">
              <w:t>2.9</w:t>
            </w:r>
          </w:p>
        </w:tc>
        <w:tc>
          <w:tcPr>
            <w:tcW w:w="1175" w:type="dxa"/>
          </w:tcPr>
          <w:p w14:paraId="2FF3941A" w14:textId="77777777" w:rsidR="00BC0ABE" w:rsidRPr="00F81A2E" w:rsidRDefault="00BC0ABE" w:rsidP="00CA0D72">
            <w:pPr>
              <w:pStyle w:val="Table"/>
              <w:ind w:right="-3"/>
            </w:pPr>
            <w:r w:rsidRPr="00F81A2E">
              <w:t>11.7</w:t>
            </w:r>
          </w:p>
        </w:tc>
        <w:tc>
          <w:tcPr>
            <w:tcW w:w="1175" w:type="dxa"/>
          </w:tcPr>
          <w:p w14:paraId="2E8569CF" w14:textId="77777777" w:rsidR="00BC0ABE" w:rsidRPr="00F81A2E" w:rsidRDefault="00BC0ABE" w:rsidP="00CA0D72">
            <w:pPr>
              <w:pStyle w:val="Table"/>
              <w:ind w:right="-3"/>
            </w:pPr>
            <w:r w:rsidRPr="00F81A2E">
              <w:t>22.6</w:t>
            </w:r>
          </w:p>
        </w:tc>
        <w:tc>
          <w:tcPr>
            <w:tcW w:w="1175" w:type="dxa"/>
          </w:tcPr>
          <w:p w14:paraId="4F390529" w14:textId="77777777" w:rsidR="00BC0ABE" w:rsidRPr="00F81A2E" w:rsidRDefault="00BC0ABE" w:rsidP="00CA0D72">
            <w:pPr>
              <w:pStyle w:val="Table"/>
              <w:ind w:right="-3"/>
            </w:pPr>
            <w:r w:rsidRPr="00F81A2E">
              <w:t>7.3</w:t>
            </w:r>
          </w:p>
        </w:tc>
        <w:tc>
          <w:tcPr>
            <w:tcW w:w="1175" w:type="dxa"/>
          </w:tcPr>
          <w:p w14:paraId="5987E35D" w14:textId="77777777" w:rsidR="00BC0ABE" w:rsidRPr="00F81A2E" w:rsidRDefault="00BC0ABE" w:rsidP="00CA0D72">
            <w:pPr>
              <w:pStyle w:val="Table"/>
              <w:ind w:right="-3"/>
            </w:pPr>
            <w:r w:rsidRPr="00F81A2E">
              <w:t>2.2</w:t>
            </w:r>
          </w:p>
        </w:tc>
        <w:tc>
          <w:tcPr>
            <w:tcW w:w="1175" w:type="dxa"/>
          </w:tcPr>
          <w:p w14:paraId="4D2A4F16" w14:textId="77777777" w:rsidR="00BC0ABE" w:rsidRPr="00F81A2E" w:rsidRDefault="00BC0ABE" w:rsidP="00CA0D72">
            <w:pPr>
              <w:pStyle w:val="Table"/>
              <w:ind w:right="-3"/>
            </w:pPr>
            <w:r w:rsidRPr="00F81A2E">
              <w:t>0</w:t>
            </w:r>
          </w:p>
        </w:tc>
        <w:tc>
          <w:tcPr>
            <w:tcW w:w="1176" w:type="dxa"/>
          </w:tcPr>
          <w:p w14:paraId="6B28D2D6" w14:textId="77777777" w:rsidR="00BC0ABE" w:rsidRPr="00F81A2E" w:rsidRDefault="00BC0ABE" w:rsidP="00CA0D72">
            <w:pPr>
              <w:pStyle w:val="Table"/>
              <w:ind w:right="-3"/>
            </w:pPr>
            <w:r w:rsidRPr="00F81A2E">
              <w:t> </w:t>
            </w:r>
          </w:p>
        </w:tc>
      </w:tr>
      <w:tr w:rsidR="00BC0ABE" w:rsidRPr="00F81A2E" w14:paraId="3B035E02" w14:textId="77777777" w:rsidTr="00F53196">
        <w:trPr>
          <w:trHeight w:val="227"/>
        </w:trPr>
        <w:tc>
          <w:tcPr>
            <w:tcW w:w="1175" w:type="dxa"/>
          </w:tcPr>
          <w:p w14:paraId="1AE5F5DD" w14:textId="44431325" w:rsidR="00BC0ABE" w:rsidRPr="00F81A2E" w:rsidRDefault="00BC0ABE" w:rsidP="00CA0D72">
            <w:pPr>
              <w:pStyle w:val="Table"/>
              <w:ind w:right="-3"/>
            </w:pPr>
            <w:r w:rsidRPr="00F81A2E">
              <w:t>VIC</w:t>
            </w:r>
          </w:p>
        </w:tc>
        <w:tc>
          <w:tcPr>
            <w:tcW w:w="1343" w:type="dxa"/>
          </w:tcPr>
          <w:p w14:paraId="0315CF8B" w14:textId="77777777" w:rsidR="00BC0ABE" w:rsidRPr="00F81A2E" w:rsidRDefault="00BC0ABE" w:rsidP="00CA0D72">
            <w:pPr>
              <w:pStyle w:val="Table"/>
              <w:ind w:right="-3"/>
            </w:pPr>
            <w:r w:rsidRPr="00F81A2E">
              <w:t>Total</w:t>
            </w:r>
          </w:p>
        </w:tc>
        <w:tc>
          <w:tcPr>
            <w:tcW w:w="1007" w:type="dxa"/>
          </w:tcPr>
          <w:p w14:paraId="76C7BA12" w14:textId="77777777" w:rsidR="00BC0ABE" w:rsidRPr="00F81A2E" w:rsidRDefault="00BC0ABE" w:rsidP="00CA0D72">
            <w:pPr>
              <w:pStyle w:val="Table"/>
              <w:ind w:right="-3"/>
            </w:pPr>
            <w:r w:rsidRPr="00F81A2E">
              <w:t>94</w:t>
            </w:r>
          </w:p>
        </w:tc>
        <w:tc>
          <w:tcPr>
            <w:tcW w:w="1175" w:type="dxa"/>
          </w:tcPr>
          <w:p w14:paraId="673A35AE" w14:textId="77777777" w:rsidR="00BC0ABE" w:rsidRPr="00F81A2E" w:rsidRDefault="00BC0ABE" w:rsidP="00CA0D72">
            <w:pPr>
              <w:pStyle w:val="Table"/>
              <w:ind w:right="-3"/>
            </w:pPr>
            <w:r w:rsidRPr="00F81A2E">
              <w:t>372</w:t>
            </w:r>
          </w:p>
        </w:tc>
        <w:tc>
          <w:tcPr>
            <w:tcW w:w="1175" w:type="dxa"/>
          </w:tcPr>
          <w:p w14:paraId="3F2A4F9E" w14:textId="77777777" w:rsidR="00BC0ABE" w:rsidRPr="00F81A2E" w:rsidRDefault="00BC0ABE" w:rsidP="00CA0D72">
            <w:pPr>
              <w:pStyle w:val="Table"/>
              <w:ind w:right="-3"/>
            </w:pPr>
            <w:r w:rsidRPr="00F81A2E">
              <w:t>672</w:t>
            </w:r>
          </w:p>
        </w:tc>
        <w:tc>
          <w:tcPr>
            <w:tcW w:w="1175" w:type="dxa"/>
          </w:tcPr>
          <w:p w14:paraId="553D4075" w14:textId="77777777" w:rsidR="00BC0ABE" w:rsidRPr="00F81A2E" w:rsidRDefault="00BC0ABE" w:rsidP="00CA0D72">
            <w:pPr>
              <w:pStyle w:val="Table"/>
              <w:ind w:right="-3"/>
            </w:pPr>
            <w:r w:rsidRPr="00F81A2E">
              <w:t>185</w:t>
            </w:r>
          </w:p>
        </w:tc>
        <w:tc>
          <w:tcPr>
            <w:tcW w:w="1175" w:type="dxa"/>
          </w:tcPr>
          <w:p w14:paraId="29DE9D1A" w14:textId="77777777" w:rsidR="00BC0ABE" w:rsidRPr="00F81A2E" w:rsidRDefault="00BC0ABE" w:rsidP="00CA0D72">
            <w:pPr>
              <w:pStyle w:val="Table"/>
              <w:ind w:right="-3"/>
            </w:pPr>
            <w:r w:rsidRPr="00F81A2E">
              <w:t>105</w:t>
            </w:r>
          </w:p>
        </w:tc>
        <w:tc>
          <w:tcPr>
            <w:tcW w:w="1175" w:type="dxa"/>
          </w:tcPr>
          <w:p w14:paraId="5C3DA4B1" w14:textId="77777777" w:rsidR="00BC0ABE" w:rsidRPr="00F81A2E" w:rsidRDefault="00BC0ABE" w:rsidP="00CA0D72">
            <w:pPr>
              <w:pStyle w:val="Table"/>
              <w:ind w:right="-3"/>
            </w:pPr>
            <w:r w:rsidRPr="00F81A2E">
              <w:t>60</w:t>
            </w:r>
          </w:p>
        </w:tc>
        <w:tc>
          <w:tcPr>
            <w:tcW w:w="1175" w:type="dxa"/>
          </w:tcPr>
          <w:p w14:paraId="43E4079F" w14:textId="77777777" w:rsidR="00BC0ABE" w:rsidRPr="00F81A2E" w:rsidRDefault="00BC0ABE" w:rsidP="00CA0D72">
            <w:pPr>
              <w:pStyle w:val="Table"/>
              <w:ind w:right="-3"/>
            </w:pPr>
            <w:r w:rsidRPr="00F81A2E">
              <w:t>167</w:t>
            </w:r>
          </w:p>
        </w:tc>
        <w:tc>
          <w:tcPr>
            <w:tcW w:w="1175" w:type="dxa"/>
          </w:tcPr>
          <w:p w14:paraId="1E053921" w14:textId="77777777" w:rsidR="00BC0ABE" w:rsidRPr="00F81A2E" w:rsidRDefault="00BC0ABE" w:rsidP="00CA0D72">
            <w:pPr>
              <w:pStyle w:val="Table"/>
              <w:ind w:right="-3"/>
            </w:pPr>
            <w:r w:rsidRPr="00F81A2E">
              <w:t>52</w:t>
            </w:r>
          </w:p>
        </w:tc>
        <w:tc>
          <w:tcPr>
            <w:tcW w:w="1175" w:type="dxa"/>
          </w:tcPr>
          <w:p w14:paraId="496D5CB6" w14:textId="77777777" w:rsidR="00BC0ABE" w:rsidRPr="00F81A2E" w:rsidRDefault="00BC0ABE" w:rsidP="00CA0D72">
            <w:pPr>
              <w:pStyle w:val="Table"/>
              <w:ind w:right="-3"/>
            </w:pPr>
            <w:r w:rsidRPr="00F81A2E">
              <w:t>25</w:t>
            </w:r>
          </w:p>
        </w:tc>
        <w:tc>
          <w:tcPr>
            <w:tcW w:w="1175" w:type="dxa"/>
          </w:tcPr>
          <w:p w14:paraId="038A9507" w14:textId="77777777" w:rsidR="00BC0ABE" w:rsidRPr="00F81A2E" w:rsidRDefault="00BC0ABE" w:rsidP="00CA0D72">
            <w:pPr>
              <w:pStyle w:val="Table"/>
              <w:ind w:right="-3"/>
            </w:pPr>
            <w:r w:rsidRPr="00F81A2E">
              <w:t>8</w:t>
            </w:r>
          </w:p>
        </w:tc>
        <w:tc>
          <w:tcPr>
            <w:tcW w:w="1176" w:type="dxa"/>
          </w:tcPr>
          <w:p w14:paraId="7683D806" w14:textId="77777777" w:rsidR="00BC0ABE" w:rsidRPr="00F81A2E" w:rsidRDefault="00BC0ABE" w:rsidP="00CA0D72">
            <w:pPr>
              <w:pStyle w:val="Table"/>
              <w:ind w:right="-3"/>
            </w:pPr>
            <w:r w:rsidRPr="00F81A2E">
              <w:t>1,740</w:t>
            </w:r>
          </w:p>
        </w:tc>
      </w:tr>
      <w:tr w:rsidR="00BC0ABE" w:rsidRPr="00F81A2E" w14:paraId="67AE3CCF" w14:textId="77777777" w:rsidTr="00F53196">
        <w:trPr>
          <w:trHeight w:val="227"/>
        </w:trPr>
        <w:tc>
          <w:tcPr>
            <w:tcW w:w="1175" w:type="dxa"/>
          </w:tcPr>
          <w:p w14:paraId="0B3A47EC" w14:textId="5F5BD3FB" w:rsidR="00BC0ABE" w:rsidRPr="00F81A2E" w:rsidRDefault="00BC0ABE" w:rsidP="00CA0D72">
            <w:pPr>
              <w:pStyle w:val="Table"/>
              <w:ind w:right="-3"/>
            </w:pPr>
            <w:r w:rsidRPr="00F81A2E">
              <w:t>VIC</w:t>
            </w:r>
          </w:p>
        </w:tc>
        <w:tc>
          <w:tcPr>
            <w:tcW w:w="1343" w:type="dxa"/>
          </w:tcPr>
          <w:p w14:paraId="55E5F05D" w14:textId="77777777" w:rsidR="00BC0ABE" w:rsidRPr="00F81A2E" w:rsidRDefault="00BC0ABE" w:rsidP="00CA0D72">
            <w:pPr>
              <w:pStyle w:val="Table"/>
              <w:ind w:right="-3"/>
            </w:pPr>
            <w:r w:rsidRPr="00F81A2E">
              <w:t>%</w:t>
            </w:r>
          </w:p>
        </w:tc>
        <w:tc>
          <w:tcPr>
            <w:tcW w:w="1007" w:type="dxa"/>
          </w:tcPr>
          <w:p w14:paraId="7143127F" w14:textId="77777777" w:rsidR="00BC0ABE" w:rsidRPr="00F81A2E" w:rsidRDefault="00BC0ABE" w:rsidP="00CA0D72">
            <w:pPr>
              <w:pStyle w:val="Table"/>
              <w:ind w:right="-3"/>
            </w:pPr>
            <w:r w:rsidRPr="00F81A2E">
              <w:t>5.4</w:t>
            </w:r>
          </w:p>
        </w:tc>
        <w:tc>
          <w:tcPr>
            <w:tcW w:w="1175" w:type="dxa"/>
          </w:tcPr>
          <w:p w14:paraId="352995DD" w14:textId="77777777" w:rsidR="00BC0ABE" w:rsidRPr="00F81A2E" w:rsidRDefault="00BC0ABE" w:rsidP="00CA0D72">
            <w:pPr>
              <w:pStyle w:val="Table"/>
              <w:ind w:right="-3"/>
            </w:pPr>
            <w:r w:rsidRPr="00F81A2E">
              <w:t>21.4</w:t>
            </w:r>
          </w:p>
        </w:tc>
        <w:tc>
          <w:tcPr>
            <w:tcW w:w="1175" w:type="dxa"/>
          </w:tcPr>
          <w:p w14:paraId="1766FF34" w14:textId="77777777" w:rsidR="00BC0ABE" w:rsidRPr="00F81A2E" w:rsidRDefault="00BC0ABE" w:rsidP="00CA0D72">
            <w:pPr>
              <w:pStyle w:val="Table"/>
              <w:ind w:right="-3"/>
            </w:pPr>
            <w:r w:rsidRPr="00F81A2E">
              <w:t>38.6</w:t>
            </w:r>
          </w:p>
        </w:tc>
        <w:tc>
          <w:tcPr>
            <w:tcW w:w="1175" w:type="dxa"/>
          </w:tcPr>
          <w:p w14:paraId="65591F0B" w14:textId="77777777" w:rsidR="00BC0ABE" w:rsidRPr="00F81A2E" w:rsidRDefault="00BC0ABE" w:rsidP="00CA0D72">
            <w:pPr>
              <w:pStyle w:val="Table"/>
              <w:ind w:right="-3"/>
            </w:pPr>
            <w:r w:rsidRPr="00F81A2E">
              <w:t>10.6</w:t>
            </w:r>
          </w:p>
        </w:tc>
        <w:tc>
          <w:tcPr>
            <w:tcW w:w="1175" w:type="dxa"/>
          </w:tcPr>
          <w:p w14:paraId="2708C8D5" w14:textId="77777777" w:rsidR="00BC0ABE" w:rsidRPr="00F81A2E" w:rsidRDefault="00BC0ABE" w:rsidP="00CA0D72">
            <w:pPr>
              <w:pStyle w:val="Table"/>
              <w:ind w:right="-3"/>
            </w:pPr>
            <w:r w:rsidRPr="00F81A2E">
              <w:t>6</w:t>
            </w:r>
          </w:p>
        </w:tc>
        <w:tc>
          <w:tcPr>
            <w:tcW w:w="1175" w:type="dxa"/>
          </w:tcPr>
          <w:p w14:paraId="170D5312" w14:textId="77777777" w:rsidR="00BC0ABE" w:rsidRPr="00F81A2E" w:rsidRDefault="00BC0ABE" w:rsidP="00CA0D72">
            <w:pPr>
              <w:pStyle w:val="Table"/>
              <w:ind w:right="-3"/>
            </w:pPr>
            <w:r w:rsidRPr="00F81A2E">
              <w:t>3.4</w:t>
            </w:r>
          </w:p>
        </w:tc>
        <w:tc>
          <w:tcPr>
            <w:tcW w:w="1175" w:type="dxa"/>
          </w:tcPr>
          <w:p w14:paraId="75389C26" w14:textId="77777777" w:rsidR="00BC0ABE" w:rsidRPr="00F81A2E" w:rsidRDefault="00BC0ABE" w:rsidP="00CA0D72">
            <w:pPr>
              <w:pStyle w:val="Table"/>
              <w:ind w:right="-3"/>
            </w:pPr>
            <w:r w:rsidRPr="00F81A2E">
              <w:t>9.6</w:t>
            </w:r>
          </w:p>
        </w:tc>
        <w:tc>
          <w:tcPr>
            <w:tcW w:w="1175" w:type="dxa"/>
          </w:tcPr>
          <w:p w14:paraId="17CB4A01" w14:textId="77777777" w:rsidR="00BC0ABE" w:rsidRPr="00F81A2E" w:rsidRDefault="00BC0ABE" w:rsidP="00CA0D72">
            <w:pPr>
              <w:pStyle w:val="Table"/>
              <w:ind w:right="-3"/>
            </w:pPr>
            <w:r w:rsidRPr="00F81A2E">
              <w:t>3</w:t>
            </w:r>
          </w:p>
        </w:tc>
        <w:tc>
          <w:tcPr>
            <w:tcW w:w="1175" w:type="dxa"/>
          </w:tcPr>
          <w:p w14:paraId="6CE2C6ED" w14:textId="77777777" w:rsidR="00BC0ABE" w:rsidRPr="00F81A2E" w:rsidRDefault="00BC0ABE" w:rsidP="00CA0D72">
            <w:pPr>
              <w:pStyle w:val="Table"/>
              <w:ind w:right="-3"/>
            </w:pPr>
            <w:r w:rsidRPr="00F81A2E">
              <w:t>1.4</w:t>
            </w:r>
          </w:p>
        </w:tc>
        <w:tc>
          <w:tcPr>
            <w:tcW w:w="1175" w:type="dxa"/>
          </w:tcPr>
          <w:p w14:paraId="52F665A3" w14:textId="77777777" w:rsidR="00BC0ABE" w:rsidRPr="00F81A2E" w:rsidRDefault="00BC0ABE" w:rsidP="00CA0D72">
            <w:pPr>
              <w:pStyle w:val="Table"/>
              <w:ind w:right="-3"/>
            </w:pPr>
            <w:r w:rsidRPr="00F81A2E">
              <w:t>0.5</w:t>
            </w:r>
          </w:p>
        </w:tc>
        <w:tc>
          <w:tcPr>
            <w:tcW w:w="1176" w:type="dxa"/>
          </w:tcPr>
          <w:p w14:paraId="51A5FB80" w14:textId="77777777" w:rsidR="00BC0ABE" w:rsidRPr="00F81A2E" w:rsidRDefault="00BC0ABE" w:rsidP="00CA0D72">
            <w:pPr>
              <w:pStyle w:val="Table"/>
              <w:ind w:right="-3"/>
            </w:pPr>
            <w:r w:rsidRPr="00F81A2E">
              <w:t> </w:t>
            </w:r>
          </w:p>
        </w:tc>
      </w:tr>
      <w:tr w:rsidR="00BC0ABE" w:rsidRPr="00F81A2E" w14:paraId="3D6E7291" w14:textId="77777777" w:rsidTr="00F53196">
        <w:trPr>
          <w:trHeight w:val="227"/>
        </w:trPr>
        <w:tc>
          <w:tcPr>
            <w:tcW w:w="1175" w:type="dxa"/>
          </w:tcPr>
          <w:p w14:paraId="225FACD7" w14:textId="77777777" w:rsidR="00BC0ABE" w:rsidRPr="00F81A2E" w:rsidRDefault="00BC0ABE" w:rsidP="00CA0D72">
            <w:pPr>
              <w:pStyle w:val="Table"/>
              <w:ind w:right="-3"/>
            </w:pPr>
            <w:r w:rsidRPr="00F81A2E">
              <w:t>WA</w:t>
            </w:r>
          </w:p>
        </w:tc>
        <w:tc>
          <w:tcPr>
            <w:tcW w:w="1343" w:type="dxa"/>
          </w:tcPr>
          <w:p w14:paraId="4B766D33" w14:textId="77777777" w:rsidR="00BC0ABE" w:rsidRPr="00F81A2E" w:rsidRDefault="00BC0ABE" w:rsidP="00CA0D72">
            <w:pPr>
              <w:pStyle w:val="Table"/>
              <w:ind w:right="-3"/>
            </w:pPr>
            <w:r w:rsidRPr="00F81A2E">
              <w:t>Community Only</w:t>
            </w:r>
          </w:p>
        </w:tc>
        <w:tc>
          <w:tcPr>
            <w:tcW w:w="1007" w:type="dxa"/>
          </w:tcPr>
          <w:p w14:paraId="1948271B" w14:textId="77777777" w:rsidR="00BC0ABE" w:rsidRPr="00F81A2E" w:rsidRDefault="00BC0ABE" w:rsidP="00CA0D72">
            <w:pPr>
              <w:pStyle w:val="Table"/>
              <w:ind w:right="-3"/>
            </w:pPr>
            <w:r w:rsidRPr="00F81A2E">
              <w:t>2</w:t>
            </w:r>
          </w:p>
        </w:tc>
        <w:tc>
          <w:tcPr>
            <w:tcW w:w="1175" w:type="dxa"/>
          </w:tcPr>
          <w:p w14:paraId="0010E7AB" w14:textId="77777777" w:rsidR="00BC0ABE" w:rsidRPr="00F81A2E" w:rsidRDefault="00BC0ABE" w:rsidP="00CA0D72">
            <w:pPr>
              <w:pStyle w:val="Table"/>
              <w:ind w:right="-3"/>
            </w:pPr>
            <w:r w:rsidRPr="00F81A2E">
              <w:t>21</w:t>
            </w:r>
          </w:p>
        </w:tc>
        <w:tc>
          <w:tcPr>
            <w:tcW w:w="1175" w:type="dxa"/>
          </w:tcPr>
          <w:p w14:paraId="239428B8" w14:textId="77777777" w:rsidR="00BC0ABE" w:rsidRPr="00F81A2E" w:rsidRDefault="00BC0ABE" w:rsidP="00CA0D72">
            <w:pPr>
              <w:pStyle w:val="Table"/>
              <w:ind w:right="-3"/>
            </w:pPr>
            <w:r w:rsidRPr="00F81A2E">
              <w:t>1</w:t>
            </w:r>
          </w:p>
        </w:tc>
        <w:tc>
          <w:tcPr>
            <w:tcW w:w="1175" w:type="dxa"/>
          </w:tcPr>
          <w:p w14:paraId="05EAEB06" w14:textId="77777777" w:rsidR="00BC0ABE" w:rsidRPr="00F81A2E" w:rsidRDefault="00BC0ABE" w:rsidP="00CA0D72">
            <w:pPr>
              <w:pStyle w:val="Table"/>
              <w:ind w:right="-3"/>
            </w:pPr>
            <w:r w:rsidRPr="00F81A2E">
              <w:t>0</w:t>
            </w:r>
          </w:p>
        </w:tc>
        <w:tc>
          <w:tcPr>
            <w:tcW w:w="1175" w:type="dxa"/>
          </w:tcPr>
          <w:p w14:paraId="2046ED91" w14:textId="77777777" w:rsidR="00BC0ABE" w:rsidRPr="00F81A2E" w:rsidRDefault="00BC0ABE" w:rsidP="00CA0D72">
            <w:pPr>
              <w:pStyle w:val="Table"/>
              <w:ind w:right="-3"/>
            </w:pPr>
            <w:r w:rsidRPr="00F81A2E">
              <w:t>6</w:t>
            </w:r>
          </w:p>
        </w:tc>
        <w:tc>
          <w:tcPr>
            <w:tcW w:w="1175" w:type="dxa"/>
          </w:tcPr>
          <w:p w14:paraId="5C14A9D8" w14:textId="77777777" w:rsidR="00BC0ABE" w:rsidRPr="00F81A2E" w:rsidRDefault="00BC0ABE" w:rsidP="00CA0D72">
            <w:pPr>
              <w:pStyle w:val="Table"/>
              <w:ind w:right="-3"/>
            </w:pPr>
            <w:r w:rsidRPr="00F81A2E">
              <w:t>41</w:t>
            </w:r>
          </w:p>
        </w:tc>
        <w:tc>
          <w:tcPr>
            <w:tcW w:w="1175" w:type="dxa"/>
          </w:tcPr>
          <w:p w14:paraId="1FC498F7" w14:textId="77777777" w:rsidR="00BC0ABE" w:rsidRPr="00F81A2E" w:rsidRDefault="00BC0ABE" w:rsidP="00CA0D72">
            <w:pPr>
              <w:pStyle w:val="Table"/>
              <w:ind w:right="-3"/>
            </w:pPr>
            <w:r w:rsidRPr="00F81A2E">
              <w:t>18</w:t>
            </w:r>
          </w:p>
        </w:tc>
        <w:tc>
          <w:tcPr>
            <w:tcW w:w="1175" w:type="dxa"/>
          </w:tcPr>
          <w:p w14:paraId="542CF8DF" w14:textId="77777777" w:rsidR="00BC0ABE" w:rsidRPr="00F81A2E" w:rsidRDefault="00BC0ABE" w:rsidP="00CA0D72">
            <w:pPr>
              <w:pStyle w:val="Table"/>
              <w:ind w:right="-3"/>
            </w:pPr>
            <w:r w:rsidRPr="00F81A2E">
              <w:t>13</w:t>
            </w:r>
          </w:p>
        </w:tc>
        <w:tc>
          <w:tcPr>
            <w:tcW w:w="1175" w:type="dxa"/>
          </w:tcPr>
          <w:p w14:paraId="5C54653E" w14:textId="77777777" w:rsidR="00BC0ABE" w:rsidRPr="00F81A2E" w:rsidRDefault="00BC0ABE" w:rsidP="00CA0D72">
            <w:pPr>
              <w:pStyle w:val="Table"/>
              <w:ind w:right="-3"/>
            </w:pPr>
            <w:r w:rsidRPr="00F81A2E">
              <w:t>2</w:t>
            </w:r>
          </w:p>
        </w:tc>
        <w:tc>
          <w:tcPr>
            <w:tcW w:w="1175" w:type="dxa"/>
          </w:tcPr>
          <w:p w14:paraId="2CBCDA62" w14:textId="77777777" w:rsidR="00BC0ABE" w:rsidRPr="00F81A2E" w:rsidRDefault="00BC0ABE" w:rsidP="00CA0D72">
            <w:pPr>
              <w:pStyle w:val="Table"/>
              <w:ind w:right="-3"/>
            </w:pPr>
            <w:r w:rsidRPr="00F81A2E">
              <w:t>0</w:t>
            </w:r>
          </w:p>
        </w:tc>
        <w:tc>
          <w:tcPr>
            <w:tcW w:w="1176" w:type="dxa"/>
          </w:tcPr>
          <w:p w14:paraId="6412B9CA" w14:textId="77777777" w:rsidR="00BC0ABE" w:rsidRPr="00F81A2E" w:rsidRDefault="00BC0ABE" w:rsidP="00CA0D72">
            <w:pPr>
              <w:pStyle w:val="Table"/>
              <w:ind w:right="-3"/>
            </w:pPr>
            <w:r w:rsidRPr="00F81A2E">
              <w:t>104</w:t>
            </w:r>
          </w:p>
        </w:tc>
      </w:tr>
      <w:tr w:rsidR="00BC0ABE" w:rsidRPr="00F81A2E" w14:paraId="25C5A727" w14:textId="77777777" w:rsidTr="00F53196">
        <w:trPr>
          <w:trHeight w:val="227"/>
        </w:trPr>
        <w:tc>
          <w:tcPr>
            <w:tcW w:w="1175" w:type="dxa"/>
          </w:tcPr>
          <w:p w14:paraId="512E0C00" w14:textId="1D38E02C" w:rsidR="00BC0ABE" w:rsidRPr="00F81A2E" w:rsidRDefault="00BC0ABE" w:rsidP="00CA0D72">
            <w:pPr>
              <w:pStyle w:val="Table"/>
              <w:ind w:right="-3"/>
            </w:pPr>
            <w:r w:rsidRPr="00F81A2E">
              <w:t>WA</w:t>
            </w:r>
          </w:p>
        </w:tc>
        <w:tc>
          <w:tcPr>
            <w:tcW w:w="1343" w:type="dxa"/>
          </w:tcPr>
          <w:p w14:paraId="6E8F4858" w14:textId="77777777" w:rsidR="00BC0ABE" w:rsidRPr="00F81A2E" w:rsidRDefault="00BC0ABE" w:rsidP="00CA0D72">
            <w:pPr>
              <w:pStyle w:val="Table"/>
              <w:ind w:right="-3"/>
            </w:pPr>
            <w:r w:rsidRPr="00F81A2E">
              <w:t>%</w:t>
            </w:r>
          </w:p>
        </w:tc>
        <w:tc>
          <w:tcPr>
            <w:tcW w:w="1007" w:type="dxa"/>
          </w:tcPr>
          <w:p w14:paraId="09D74AD6" w14:textId="77777777" w:rsidR="00BC0ABE" w:rsidRPr="00F81A2E" w:rsidRDefault="00BC0ABE" w:rsidP="00CA0D72">
            <w:pPr>
              <w:pStyle w:val="Table"/>
              <w:ind w:right="-3"/>
            </w:pPr>
            <w:r w:rsidRPr="00F81A2E">
              <w:t>1.9</w:t>
            </w:r>
          </w:p>
        </w:tc>
        <w:tc>
          <w:tcPr>
            <w:tcW w:w="1175" w:type="dxa"/>
          </w:tcPr>
          <w:p w14:paraId="235EB8C1" w14:textId="77777777" w:rsidR="00BC0ABE" w:rsidRPr="00F81A2E" w:rsidRDefault="00BC0ABE" w:rsidP="00CA0D72">
            <w:pPr>
              <w:pStyle w:val="Table"/>
              <w:ind w:right="-3"/>
            </w:pPr>
            <w:r w:rsidRPr="00F81A2E">
              <w:t>20.2</w:t>
            </w:r>
          </w:p>
        </w:tc>
        <w:tc>
          <w:tcPr>
            <w:tcW w:w="1175" w:type="dxa"/>
          </w:tcPr>
          <w:p w14:paraId="03E282C2" w14:textId="77777777" w:rsidR="00BC0ABE" w:rsidRPr="00F81A2E" w:rsidRDefault="00BC0ABE" w:rsidP="00CA0D72">
            <w:pPr>
              <w:pStyle w:val="Table"/>
              <w:ind w:right="-3"/>
            </w:pPr>
            <w:r w:rsidRPr="00F81A2E">
              <w:t>1</w:t>
            </w:r>
          </w:p>
        </w:tc>
        <w:tc>
          <w:tcPr>
            <w:tcW w:w="1175" w:type="dxa"/>
          </w:tcPr>
          <w:p w14:paraId="23BEFA43" w14:textId="77777777" w:rsidR="00BC0ABE" w:rsidRPr="00F81A2E" w:rsidRDefault="00BC0ABE" w:rsidP="00CA0D72">
            <w:pPr>
              <w:pStyle w:val="Table"/>
              <w:ind w:right="-3"/>
            </w:pPr>
            <w:r w:rsidRPr="00F81A2E">
              <w:t>0</w:t>
            </w:r>
          </w:p>
        </w:tc>
        <w:tc>
          <w:tcPr>
            <w:tcW w:w="1175" w:type="dxa"/>
          </w:tcPr>
          <w:p w14:paraId="70938F23" w14:textId="77777777" w:rsidR="00BC0ABE" w:rsidRPr="00F81A2E" w:rsidRDefault="00BC0ABE" w:rsidP="00CA0D72">
            <w:pPr>
              <w:pStyle w:val="Table"/>
              <w:ind w:right="-3"/>
            </w:pPr>
            <w:r w:rsidRPr="00F81A2E">
              <w:t>5.8</w:t>
            </w:r>
          </w:p>
        </w:tc>
        <w:tc>
          <w:tcPr>
            <w:tcW w:w="1175" w:type="dxa"/>
          </w:tcPr>
          <w:p w14:paraId="67E737C2" w14:textId="77777777" w:rsidR="00BC0ABE" w:rsidRPr="00F81A2E" w:rsidRDefault="00BC0ABE" w:rsidP="00CA0D72">
            <w:pPr>
              <w:pStyle w:val="Table"/>
              <w:ind w:right="-3"/>
            </w:pPr>
            <w:r w:rsidRPr="00F81A2E">
              <w:t>39.4</w:t>
            </w:r>
          </w:p>
        </w:tc>
        <w:tc>
          <w:tcPr>
            <w:tcW w:w="1175" w:type="dxa"/>
          </w:tcPr>
          <w:p w14:paraId="2C530C08" w14:textId="77777777" w:rsidR="00BC0ABE" w:rsidRPr="00F81A2E" w:rsidRDefault="00BC0ABE" w:rsidP="00CA0D72">
            <w:pPr>
              <w:pStyle w:val="Table"/>
              <w:ind w:right="-3"/>
            </w:pPr>
            <w:r w:rsidRPr="00F81A2E">
              <w:t>17.3</w:t>
            </w:r>
          </w:p>
        </w:tc>
        <w:tc>
          <w:tcPr>
            <w:tcW w:w="1175" w:type="dxa"/>
          </w:tcPr>
          <w:p w14:paraId="090160BB" w14:textId="77777777" w:rsidR="00BC0ABE" w:rsidRPr="00F81A2E" w:rsidRDefault="00BC0ABE" w:rsidP="00CA0D72">
            <w:pPr>
              <w:pStyle w:val="Table"/>
              <w:ind w:right="-3"/>
            </w:pPr>
            <w:r w:rsidRPr="00F81A2E">
              <w:t>12.5</w:t>
            </w:r>
          </w:p>
        </w:tc>
        <w:tc>
          <w:tcPr>
            <w:tcW w:w="1175" w:type="dxa"/>
          </w:tcPr>
          <w:p w14:paraId="14E8A6E6" w14:textId="77777777" w:rsidR="00BC0ABE" w:rsidRPr="00F81A2E" w:rsidRDefault="00BC0ABE" w:rsidP="00CA0D72">
            <w:pPr>
              <w:pStyle w:val="Table"/>
              <w:ind w:right="-3"/>
            </w:pPr>
            <w:r w:rsidRPr="00F81A2E">
              <w:t>1.9</w:t>
            </w:r>
          </w:p>
        </w:tc>
        <w:tc>
          <w:tcPr>
            <w:tcW w:w="1175" w:type="dxa"/>
          </w:tcPr>
          <w:p w14:paraId="3C578B8A" w14:textId="77777777" w:rsidR="00BC0ABE" w:rsidRPr="00F81A2E" w:rsidRDefault="00BC0ABE" w:rsidP="00CA0D72">
            <w:pPr>
              <w:pStyle w:val="Table"/>
              <w:ind w:right="-3"/>
            </w:pPr>
            <w:r w:rsidRPr="00F81A2E">
              <w:t>0</w:t>
            </w:r>
          </w:p>
        </w:tc>
        <w:tc>
          <w:tcPr>
            <w:tcW w:w="1176" w:type="dxa"/>
          </w:tcPr>
          <w:p w14:paraId="0590F9A3" w14:textId="77777777" w:rsidR="00BC0ABE" w:rsidRPr="00F81A2E" w:rsidRDefault="00BC0ABE" w:rsidP="00CA0D72">
            <w:pPr>
              <w:pStyle w:val="Table"/>
              <w:ind w:right="-3"/>
            </w:pPr>
            <w:r w:rsidRPr="00F81A2E">
              <w:t> </w:t>
            </w:r>
          </w:p>
        </w:tc>
      </w:tr>
      <w:tr w:rsidR="00BC0ABE" w:rsidRPr="00F81A2E" w14:paraId="0B9795D0" w14:textId="77777777" w:rsidTr="00F53196">
        <w:trPr>
          <w:trHeight w:val="227"/>
        </w:trPr>
        <w:tc>
          <w:tcPr>
            <w:tcW w:w="1175" w:type="dxa"/>
          </w:tcPr>
          <w:p w14:paraId="2AAA3AD7" w14:textId="5DB7DAA0" w:rsidR="00BC0ABE" w:rsidRPr="00F81A2E" w:rsidRDefault="00BC0ABE" w:rsidP="00CA0D72">
            <w:pPr>
              <w:pStyle w:val="Table"/>
              <w:ind w:right="-3"/>
            </w:pPr>
            <w:r w:rsidRPr="00F81A2E">
              <w:t>WA</w:t>
            </w:r>
          </w:p>
        </w:tc>
        <w:tc>
          <w:tcPr>
            <w:tcW w:w="1343" w:type="dxa"/>
          </w:tcPr>
          <w:p w14:paraId="5FA0225F" w14:textId="77777777" w:rsidR="00BC0ABE" w:rsidRPr="00F81A2E" w:rsidRDefault="00BC0ABE" w:rsidP="00CA0D72">
            <w:pPr>
              <w:pStyle w:val="Table"/>
              <w:ind w:right="-3"/>
            </w:pPr>
            <w:r w:rsidRPr="00F81A2E">
              <w:t>Residential Only</w:t>
            </w:r>
          </w:p>
        </w:tc>
        <w:tc>
          <w:tcPr>
            <w:tcW w:w="1007" w:type="dxa"/>
          </w:tcPr>
          <w:p w14:paraId="1D536F4E" w14:textId="77777777" w:rsidR="00BC0ABE" w:rsidRPr="00F81A2E" w:rsidRDefault="00BC0ABE" w:rsidP="00CA0D72">
            <w:pPr>
              <w:pStyle w:val="Table"/>
              <w:ind w:right="-3"/>
            </w:pPr>
            <w:r w:rsidRPr="00F81A2E">
              <w:t>3</w:t>
            </w:r>
          </w:p>
        </w:tc>
        <w:tc>
          <w:tcPr>
            <w:tcW w:w="1175" w:type="dxa"/>
          </w:tcPr>
          <w:p w14:paraId="24E1C02E" w14:textId="77777777" w:rsidR="00BC0ABE" w:rsidRPr="00F81A2E" w:rsidRDefault="00BC0ABE" w:rsidP="00CA0D72">
            <w:pPr>
              <w:pStyle w:val="Table"/>
              <w:ind w:right="-3"/>
            </w:pPr>
            <w:r w:rsidRPr="00F81A2E">
              <w:t>59</w:t>
            </w:r>
          </w:p>
        </w:tc>
        <w:tc>
          <w:tcPr>
            <w:tcW w:w="1175" w:type="dxa"/>
          </w:tcPr>
          <w:p w14:paraId="03966B13" w14:textId="77777777" w:rsidR="00BC0ABE" w:rsidRPr="00F81A2E" w:rsidRDefault="00BC0ABE" w:rsidP="00CA0D72">
            <w:pPr>
              <w:pStyle w:val="Table"/>
              <w:ind w:right="-3"/>
            </w:pPr>
            <w:r w:rsidRPr="00F81A2E">
              <w:t>68</w:t>
            </w:r>
          </w:p>
        </w:tc>
        <w:tc>
          <w:tcPr>
            <w:tcW w:w="1175" w:type="dxa"/>
          </w:tcPr>
          <w:p w14:paraId="3C965A85" w14:textId="77777777" w:rsidR="00BC0ABE" w:rsidRPr="00F81A2E" w:rsidRDefault="00BC0ABE" w:rsidP="00CA0D72">
            <w:pPr>
              <w:pStyle w:val="Table"/>
              <w:ind w:right="-3"/>
            </w:pPr>
            <w:r w:rsidRPr="00F81A2E">
              <w:t>33</w:t>
            </w:r>
          </w:p>
        </w:tc>
        <w:tc>
          <w:tcPr>
            <w:tcW w:w="1175" w:type="dxa"/>
          </w:tcPr>
          <w:p w14:paraId="6F1B7702" w14:textId="77777777" w:rsidR="00BC0ABE" w:rsidRPr="00F81A2E" w:rsidRDefault="00BC0ABE" w:rsidP="00CA0D72">
            <w:pPr>
              <w:pStyle w:val="Table"/>
              <w:ind w:right="-3"/>
            </w:pPr>
            <w:r w:rsidRPr="00F81A2E">
              <w:t>25</w:t>
            </w:r>
          </w:p>
        </w:tc>
        <w:tc>
          <w:tcPr>
            <w:tcW w:w="1175" w:type="dxa"/>
          </w:tcPr>
          <w:p w14:paraId="0BB167A3" w14:textId="77777777" w:rsidR="00BC0ABE" w:rsidRPr="00F81A2E" w:rsidRDefault="00BC0ABE" w:rsidP="00CA0D72">
            <w:pPr>
              <w:pStyle w:val="Table"/>
              <w:ind w:right="-3"/>
            </w:pPr>
            <w:r w:rsidRPr="00F81A2E">
              <w:t>9</w:t>
            </w:r>
          </w:p>
        </w:tc>
        <w:tc>
          <w:tcPr>
            <w:tcW w:w="1175" w:type="dxa"/>
          </w:tcPr>
          <w:p w14:paraId="2FE19EE0" w14:textId="77777777" w:rsidR="00BC0ABE" w:rsidRPr="00F81A2E" w:rsidRDefault="00BC0ABE" w:rsidP="00CA0D72">
            <w:pPr>
              <w:pStyle w:val="Table"/>
              <w:ind w:right="-3"/>
            </w:pPr>
            <w:r w:rsidRPr="00F81A2E">
              <w:t>2</w:t>
            </w:r>
          </w:p>
        </w:tc>
        <w:tc>
          <w:tcPr>
            <w:tcW w:w="1175" w:type="dxa"/>
          </w:tcPr>
          <w:p w14:paraId="7D98B5DD" w14:textId="77777777" w:rsidR="00BC0ABE" w:rsidRPr="00F81A2E" w:rsidRDefault="00BC0ABE" w:rsidP="00CA0D72">
            <w:pPr>
              <w:pStyle w:val="Table"/>
              <w:ind w:right="-3"/>
            </w:pPr>
            <w:r w:rsidRPr="00F81A2E">
              <w:t>6</w:t>
            </w:r>
          </w:p>
        </w:tc>
        <w:tc>
          <w:tcPr>
            <w:tcW w:w="1175" w:type="dxa"/>
          </w:tcPr>
          <w:p w14:paraId="6685CBDB" w14:textId="77777777" w:rsidR="00BC0ABE" w:rsidRPr="00F81A2E" w:rsidRDefault="00BC0ABE" w:rsidP="00CA0D72">
            <w:pPr>
              <w:pStyle w:val="Table"/>
              <w:ind w:right="-3"/>
            </w:pPr>
            <w:r w:rsidRPr="00F81A2E">
              <w:t>2</w:t>
            </w:r>
          </w:p>
        </w:tc>
        <w:tc>
          <w:tcPr>
            <w:tcW w:w="1175" w:type="dxa"/>
          </w:tcPr>
          <w:p w14:paraId="35EA720B" w14:textId="77777777" w:rsidR="00BC0ABE" w:rsidRPr="00F81A2E" w:rsidRDefault="00BC0ABE" w:rsidP="00CA0D72">
            <w:pPr>
              <w:pStyle w:val="Table"/>
              <w:ind w:right="-3"/>
            </w:pPr>
            <w:r w:rsidRPr="00F81A2E">
              <w:t>0</w:t>
            </w:r>
          </w:p>
        </w:tc>
        <w:tc>
          <w:tcPr>
            <w:tcW w:w="1176" w:type="dxa"/>
          </w:tcPr>
          <w:p w14:paraId="7E25CF88" w14:textId="77777777" w:rsidR="00BC0ABE" w:rsidRPr="00F81A2E" w:rsidRDefault="00BC0ABE" w:rsidP="00CA0D72">
            <w:pPr>
              <w:pStyle w:val="Table"/>
              <w:ind w:right="-3"/>
            </w:pPr>
            <w:r w:rsidRPr="00F81A2E">
              <w:t>207</w:t>
            </w:r>
          </w:p>
        </w:tc>
      </w:tr>
      <w:tr w:rsidR="00BC0ABE" w:rsidRPr="00F81A2E" w14:paraId="60296098" w14:textId="77777777" w:rsidTr="00F53196">
        <w:trPr>
          <w:trHeight w:val="227"/>
        </w:trPr>
        <w:tc>
          <w:tcPr>
            <w:tcW w:w="1175" w:type="dxa"/>
          </w:tcPr>
          <w:p w14:paraId="515AF459" w14:textId="65A6AC9C" w:rsidR="00BC0ABE" w:rsidRPr="00F81A2E" w:rsidRDefault="00BC0ABE" w:rsidP="00CA0D72">
            <w:pPr>
              <w:pStyle w:val="Table"/>
              <w:ind w:right="-3"/>
            </w:pPr>
            <w:r w:rsidRPr="00F81A2E">
              <w:t>WA</w:t>
            </w:r>
          </w:p>
        </w:tc>
        <w:tc>
          <w:tcPr>
            <w:tcW w:w="1343" w:type="dxa"/>
          </w:tcPr>
          <w:p w14:paraId="295CE57B" w14:textId="77777777" w:rsidR="00BC0ABE" w:rsidRPr="00F81A2E" w:rsidRDefault="00BC0ABE" w:rsidP="00CA0D72">
            <w:pPr>
              <w:pStyle w:val="Table"/>
              <w:ind w:right="-3"/>
            </w:pPr>
            <w:r w:rsidRPr="00F81A2E">
              <w:t>%</w:t>
            </w:r>
          </w:p>
        </w:tc>
        <w:tc>
          <w:tcPr>
            <w:tcW w:w="1007" w:type="dxa"/>
          </w:tcPr>
          <w:p w14:paraId="6BDC6FC8" w14:textId="77777777" w:rsidR="00BC0ABE" w:rsidRPr="00F81A2E" w:rsidRDefault="00BC0ABE" w:rsidP="00CA0D72">
            <w:pPr>
              <w:pStyle w:val="Table"/>
              <w:ind w:right="-3"/>
            </w:pPr>
            <w:r w:rsidRPr="00F81A2E">
              <w:t>1.4</w:t>
            </w:r>
          </w:p>
        </w:tc>
        <w:tc>
          <w:tcPr>
            <w:tcW w:w="1175" w:type="dxa"/>
          </w:tcPr>
          <w:p w14:paraId="02B92C2B" w14:textId="77777777" w:rsidR="00BC0ABE" w:rsidRPr="00F81A2E" w:rsidRDefault="00BC0ABE" w:rsidP="00CA0D72">
            <w:pPr>
              <w:pStyle w:val="Table"/>
              <w:ind w:right="-3"/>
            </w:pPr>
            <w:r w:rsidRPr="00F81A2E">
              <w:t>28.5</w:t>
            </w:r>
          </w:p>
        </w:tc>
        <w:tc>
          <w:tcPr>
            <w:tcW w:w="1175" w:type="dxa"/>
          </w:tcPr>
          <w:p w14:paraId="14E01F4D" w14:textId="77777777" w:rsidR="00BC0ABE" w:rsidRPr="00F81A2E" w:rsidRDefault="00BC0ABE" w:rsidP="00CA0D72">
            <w:pPr>
              <w:pStyle w:val="Table"/>
              <w:ind w:right="-3"/>
            </w:pPr>
            <w:r w:rsidRPr="00F81A2E">
              <w:t>32.9</w:t>
            </w:r>
          </w:p>
        </w:tc>
        <w:tc>
          <w:tcPr>
            <w:tcW w:w="1175" w:type="dxa"/>
          </w:tcPr>
          <w:p w14:paraId="751D90DB" w14:textId="77777777" w:rsidR="00BC0ABE" w:rsidRPr="00F81A2E" w:rsidRDefault="00BC0ABE" w:rsidP="00CA0D72">
            <w:pPr>
              <w:pStyle w:val="Table"/>
              <w:ind w:right="-3"/>
            </w:pPr>
            <w:r w:rsidRPr="00F81A2E">
              <w:t>15.9</w:t>
            </w:r>
          </w:p>
        </w:tc>
        <w:tc>
          <w:tcPr>
            <w:tcW w:w="1175" w:type="dxa"/>
          </w:tcPr>
          <w:p w14:paraId="0A4B2822" w14:textId="77777777" w:rsidR="00BC0ABE" w:rsidRPr="00F81A2E" w:rsidRDefault="00BC0ABE" w:rsidP="00CA0D72">
            <w:pPr>
              <w:pStyle w:val="Table"/>
              <w:ind w:right="-3"/>
            </w:pPr>
            <w:r w:rsidRPr="00F81A2E">
              <w:t>12.1</w:t>
            </w:r>
          </w:p>
        </w:tc>
        <w:tc>
          <w:tcPr>
            <w:tcW w:w="1175" w:type="dxa"/>
          </w:tcPr>
          <w:p w14:paraId="004F5C86" w14:textId="77777777" w:rsidR="00BC0ABE" w:rsidRPr="00F81A2E" w:rsidRDefault="00BC0ABE" w:rsidP="00CA0D72">
            <w:pPr>
              <w:pStyle w:val="Table"/>
              <w:ind w:right="-3"/>
            </w:pPr>
            <w:r w:rsidRPr="00F81A2E">
              <w:t>4.3</w:t>
            </w:r>
          </w:p>
        </w:tc>
        <w:tc>
          <w:tcPr>
            <w:tcW w:w="1175" w:type="dxa"/>
          </w:tcPr>
          <w:p w14:paraId="7F9D2EAF" w14:textId="77777777" w:rsidR="00BC0ABE" w:rsidRPr="00F81A2E" w:rsidRDefault="00BC0ABE" w:rsidP="00CA0D72">
            <w:pPr>
              <w:pStyle w:val="Table"/>
              <w:ind w:right="-3"/>
            </w:pPr>
            <w:r w:rsidRPr="00F81A2E">
              <w:t>1</w:t>
            </w:r>
          </w:p>
        </w:tc>
        <w:tc>
          <w:tcPr>
            <w:tcW w:w="1175" w:type="dxa"/>
          </w:tcPr>
          <w:p w14:paraId="4C14DDA5" w14:textId="77777777" w:rsidR="00BC0ABE" w:rsidRPr="00F81A2E" w:rsidRDefault="00BC0ABE" w:rsidP="00CA0D72">
            <w:pPr>
              <w:pStyle w:val="Table"/>
              <w:ind w:right="-3"/>
            </w:pPr>
            <w:r w:rsidRPr="00F81A2E">
              <w:t>2.9</w:t>
            </w:r>
          </w:p>
        </w:tc>
        <w:tc>
          <w:tcPr>
            <w:tcW w:w="1175" w:type="dxa"/>
          </w:tcPr>
          <w:p w14:paraId="5787E492" w14:textId="77777777" w:rsidR="00BC0ABE" w:rsidRPr="00F81A2E" w:rsidRDefault="00BC0ABE" w:rsidP="00CA0D72">
            <w:pPr>
              <w:pStyle w:val="Table"/>
              <w:ind w:right="-3"/>
            </w:pPr>
            <w:r w:rsidRPr="00F81A2E">
              <w:t>1</w:t>
            </w:r>
          </w:p>
        </w:tc>
        <w:tc>
          <w:tcPr>
            <w:tcW w:w="1175" w:type="dxa"/>
          </w:tcPr>
          <w:p w14:paraId="1358A8E2" w14:textId="77777777" w:rsidR="00BC0ABE" w:rsidRPr="00F81A2E" w:rsidRDefault="00BC0ABE" w:rsidP="00CA0D72">
            <w:pPr>
              <w:pStyle w:val="Table"/>
              <w:ind w:right="-3"/>
            </w:pPr>
            <w:r w:rsidRPr="00F81A2E">
              <w:t>0</w:t>
            </w:r>
          </w:p>
        </w:tc>
        <w:tc>
          <w:tcPr>
            <w:tcW w:w="1176" w:type="dxa"/>
          </w:tcPr>
          <w:p w14:paraId="4B539289" w14:textId="77777777" w:rsidR="00BC0ABE" w:rsidRPr="00F81A2E" w:rsidRDefault="00BC0ABE" w:rsidP="00CA0D72">
            <w:pPr>
              <w:pStyle w:val="Table"/>
              <w:ind w:right="-3"/>
            </w:pPr>
            <w:r w:rsidRPr="00F81A2E">
              <w:t> </w:t>
            </w:r>
          </w:p>
        </w:tc>
      </w:tr>
      <w:tr w:rsidR="00BC0ABE" w:rsidRPr="00F81A2E" w14:paraId="512217B8" w14:textId="77777777" w:rsidTr="00F53196">
        <w:trPr>
          <w:trHeight w:val="227"/>
        </w:trPr>
        <w:tc>
          <w:tcPr>
            <w:tcW w:w="1175" w:type="dxa"/>
          </w:tcPr>
          <w:p w14:paraId="2E6B845B" w14:textId="099347B2" w:rsidR="00BC0ABE" w:rsidRPr="00F81A2E" w:rsidRDefault="00BC0ABE" w:rsidP="00CA0D72">
            <w:pPr>
              <w:pStyle w:val="Table"/>
              <w:ind w:right="-3"/>
            </w:pPr>
            <w:r w:rsidRPr="00F81A2E">
              <w:t>WA</w:t>
            </w:r>
          </w:p>
        </w:tc>
        <w:tc>
          <w:tcPr>
            <w:tcW w:w="1343" w:type="dxa"/>
          </w:tcPr>
          <w:p w14:paraId="6DC1686E" w14:textId="77777777" w:rsidR="00BC0ABE" w:rsidRPr="00F81A2E" w:rsidRDefault="00BC0ABE" w:rsidP="00CA0D72">
            <w:pPr>
              <w:pStyle w:val="Table"/>
              <w:ind w:right="-3"/>
            </w:pPr>
            <w:r w:rsidRPr="00F81A2E">
              <w:t>Combination</w:t>
            </w:r>
          </w:p>
        </w:tc>
        <w:tc>
          <w:tcPr>
            <w:tcW w:w="1007" w:type="dxa"/>
          </w:tcPr>
          <w:p w14:paraId="2FD027D7" w14:textId="77777777" w:rsidR="00BC0ABE" w:rsidRPr="00F81A2E" w:rsidRDefault="00BC0ABE" w:rsidP="00CA0D72">
            <w:pPr>
              <w:pStyle w:val="Table"/>
              <w:ind w:right="-3"/>
            </w:pPr>
            <w:r w:rsidRPr="00F81A2E">
              <w:t>0</w:t>
            </w:r>
          </w:p>
        </w:tc>
        <w:tc>
          <w:tcPr>
            <w:tcW w:w="1175" w:type="dxa"/>
          </w:tcPr>
          <w:p w14:paraId="5F9541E3" w14:textId="77777777" w:rsidR="00BC0ABE" w:rsidRPr="00F81A2E" w:rsidRDefault="00BC0ABE" w:rsidP="00CA0D72">
            <w:pPr>
              <w:pStyle w:val="Table"/>
              <w:ind w:right="-3"/>
            </w:pPr>
            <w:r w:rsidRPr="00F81A2E">
              <w:t>12</w:t>
            </w:r>
          </w:p>
        </w:tc>
        <w:tc>
          <w:tcPr>
            <w:tcW w:w="1175" w:type="dxa"/>
          </w:tcPr>
          <w:p w14:paraId="7C0D990C" w14:textId="77777777" w:rsidR="00BC0ABE" w:rsidRPr="00F81A2E" w:rsidRDefault="00BC0ABE" w:rsidP="00CA0D72">
            <w:pPr>
              <w:pStyle w:val="Table"/>
              <w:ind w:right="-3"/>
            </w:pPr>
            <w:r w:rsidRPr="00F81A2E">
              <w:t>2</w:t>
            </w:r>
          </w:p>
        </w:tc>
        <w:tc>
          <w:tcPr>
            <w:tcW w:w="1175" w:type="dxa"/>
          </w:tcPr>
          <w:p w14:paraId="30B55DAB" w14:textId="77777777" w:rsidR="00BC0ABE" w:rsidRPr="00F81A2E" w:rsidRDefault="00BC0ABE" w:rsidP="00CA0D72">
            <w:pPr>
              <w:pStyle w:val="Table"/>
              <w:ind w:right="-3"/>
            </w:pPr>
            <w:r w:rsidRPr="00F81A2E">
              <w:t>18</w:t>
            </w:r>
          </w:p>
        </w:tc>
        <w:tc>
          <w:tcPr>
            <w:tcW w:w="1175" w:type="dxa"/>
          </w:tcPr>
          <w:p w14:paraId="38D729C9" w14:textId="77777777" w:rsidR="00BC0ABE" w:rsidRPr="00F81A2E" w:rsidRDefault="00BC0ABE" w:rsidP="00CA0D72">
            <w:pPr>
              <w:pStyle w:val="Table"/>
              <w:ind w:right="-3"/>
            </w:pPr>
            <w:r w:rsidRPr="00F81A2E">
              <w:t>5</w:t>
            </w:r>
          </w:p>
        </w:tc>
        <w:tc>
          <w:tcPr>
            <w:tcW w:w="1175" w:type="dxa"/>
          </w:tcPr>
          <w:p w14:paraId="316AD47E" w14:textId="77777777" w:rsidR="00BC0ABE" w:rsidRPr="00F81A2E" w:rsidRDefault="00BC0ABE" w:rsidP="00CA0D72">
            <w:pPr>
              <w:pStyle w:val="Table"/>
              <w:ind w:right="-3"/>
            </w:pPr>
            <w:r w:rsidRPr="00F81A2E">
              <w:t>37</w:t>
            </w:r>
          </w:p>
        </w:tc>
        <w:tc>
          <w:tcPr>
            <w:tcW w:w="1175" w:type="dxa"/>
          </w:tcPr>
          <w:p w14:paraId="6A66C2C2" w14:textId="77777777" w:rsidR="00BC0ABE" w:rsidRPr="00F81A2E" w:rsidRDefault="00BC0ABE" w:rsidP="00CA0D72">
            <w:pPr>
              <w:pStyle w:val="Table"/>
              <w:ind w:right="-3"/>
            </w:pPr>
            <w:r w:rsidRPr="00F81A2E">
              <w:t>40</w:t>
            </w:r>
          </w:p>
        </w:tc>
        <w:tc>
          <w:tcPr>
            <w:tcW w:w="1175" w:type="dxa"/>
          </w:tcPr>
          <w:p w14:paraId="034A7648" w14:textId="77777777" w:rsidR="00BC0ABE" w:rsidRPr="00F81A2E" w:rsidRDefault="00BC0ABE" w:rsidP="00CA0D72">
            <w:pPr>
              <w:pStyle w:val="Table"/>
              <w:ind w:right="-3"/>
            </w:pPr>
            <w:r w:rsidRPr="00F81A2E">
              <w:t>20</w:t>
            </w:r>
          </w:p>
        </w:tc>
        <w:tc>
          <w:tcPr>
            <w:tcW w:w="1175" w:type="dxa"/>
          </w:tcPr>
          <w:p w14:paraId="5AA8478D" w14:textId="77777777" w:rsidR="00BC0ABE" w:rsidRPr="00F81A2E" w:rsidRDefault="00BC0ABE" w:rsidP="00CA0D72">
            <w:pPr>
              <w:pStyle w:val="Table"/>
              <w:ind w:right="-3"/>
            </w:pPr>
            <w:r w:rsidRPr="00F81A2E">
              <w:t>0</w:t>
            </w:r>
          </w:p>
        </w:tc>
        <w:tc>
          <w:tcPr>
            <w:tcW w:w="1175" w:type="dxa"/>
          </w:tcPr>
          <w:p w14:paraId="04CDCA30" w14:textId="77777777" w:rsidR="00BC0ABE" w:rsidRPr="00F81A2E" w:rsidRDefault="00BC0ABE" w:rsidP="00CA0D72">
            <w:pPr>
              <w:pStyle w:val="Table"/>
              <w:ind w:right="-3"/>
            </w:pPr>
            <w:r w:rsidRPr="00F81A2E">
              <w:t>0</w:t>
            </w:r>
          </w:p>
        </w:tc>
        <w:tc>
          <w:tcPr>
            <w:tcW w:w="1176" w:type="dxa"/>
          </w:tcPr>
          <w:p w14:paraId="65D2555F" w14:textId="77777777" w:rsidR="00BC0ABE" w:rsidRPr="00F81A2E" w:rsidRDefault="00BC0ABE" w:rsidP="00CA0D72">
            <w:pPr>
              <w:pStyle w:val="Table"/>
              <w:ind w:right="-3"/>
            </w:pPr>
            <w:r w:rsidRPr="00F81A2E">
              <w:t>134</w:t>
            </w:r>
          </w:p>
        </w:tc>
      </w:tr>
      <w:tr w:rsidR="00BC0ABE" w:rsidRPr="00F81A2E" w14:paraId="4CE2352A" w14:textId="77777777" w:rsidTr="00F53196">
        <w:trPr>
          <w:trHeight w:val="227"/>
        </w:trPr>
        <w:tc>
          <w:tcPr>
            <w:tcW w:w="1175" w:type="dxa"/>
          </w:tcPr>
          <w:p w14:paraId="23F4D180" w14:textId="09E7532B" w:rsidR="00BC0ABE" w:rsidRPr="00F81A2E" w:rsidRDefault="00BC0ABE" w:rsidP="00CA0D72">
            <w:pPr>
              <w:pStyle w:val="Table"/>
              <w:ind w:right="-3"/>
            </w:pPr>
            <w:r w:rsidRPr="00F81A2E">
              <w:t>WA</w:t>
            </w:r>
          </w:p>
        </w:tc>
        <w:tc>
          <w:tcPr>
            <w:tcW w:w="1343" w:type="dxa"/>
          </w:tcPr>
          <w:p w14:paraId="0215E54F" w14:textId="77777777" w:rsidR="00BC0ABE" w:rsidRPr="00F81A2E" w:rsidRDefault="00BC0ABE" w:rsidP="00CA0D72">
            <w:pPr>
              <w:pStyle w:val="Table"/>
              <w:ind w:right="-3"/>
            </w:pPr>
            <w:r w:rsidRPr="00F81A2E">
              <w:t>%</w:t>
            </w:r>
          </w:p>
        </w:tc>
        <w:tc>
          <w:tcPr>
            <w:tcW w:w="1007" w:type="dxa"/>
          </w:tcPr>
          <w:p w14:paraId="1D0AB7F5" w14:textId="77777777" w:rsidR="00BC0ABE" w:rsidRPr="00F81A2E" w:rsidRDefault="00BC0ABE" w:rsidP="00CA0D72">
            <w:pPr>
              <w:pStyle w:val="Table"/>
              <w:ind w:right="-3"/>
            </w:pPr>
            <w:r w:rsidRPr="00F81A2E">
              <w:t>0</w:t>
            </w:r>
          </w:p>
        </w:tc>
        <w:tc>
          <w:tcPr>
            <w:tcW w:w="1175" w:type="dxa"/>
          </w:tcPr>
          <w:p w14:paraId="3F3FE495" w14:textId="77777777" w:rsidR="00BC0ABE" w:rsidRPr="00F81A2E" w:rsidRDefault="00BC0ABE" w:rsidP="00CA0D72">
            <w:pPr>
              <w:pStyle w:val="Table"/>
              <w:ind w:right="-3"/>
            </w:pPr>
            <w:r w:rsidRPr="00F81A2E">
              <w:t>9</w:t>
            </w:r>
          </w:p>
        </w:tc>
        <w:tc>
          <w:tcPr>
            <w:tcW w:w="1175" w:type="dxa"/>
          </w:tcPr>
          <w:p w14:paraId="113109EA" w14:textId="77777777" w:rsidR="00BC0ABE" w:rsidRPr="00F81A2E" w:rsidRDefault="00BC0ABE" w:rsidP="00CA0D72">
            <w:pPr>
              <w:pStyle w:val="Table"/>
              <w:ind w:right="-3"/>
            </w:pPr>
            <w:r w:rsidRPr="00F81A2E">
              <w:t>1.5</w:t>
            </w:r>
          </w:p>
        </w:tc>
        <w:tc>
          <w:tcPr>
            <w:tcW w:w="1175" w:type="dxa"/>
          </w:tcPr>
          <w:p w14:paraId="21560B0F" w14:textId="77777777" w:rsidR="00BC0ABE" w:rsidRPr="00F81A2E" w:rsidRDefault="00BC0ABE" w:rsidP="00CA0D72">
            <w:pPr>
              <w:pStyle w:val="Table"/>
              <w:ind w:right="-3"/>
            </w:pPr>
            <w:r w:rsidRPr="00F81A2E">
              <w:t>13.4</w:t>
            </w:r>
          </w:p>
        </w:tc>
        <w:tc>
          <w:tcPr>
            <w:tcW w:w="1175" w:type="dxa"/>
          </w:tcPr>
          <w:p w14:paraId="7CF30900" w14:textId="77777777" w:rsidR="00BC0ABE" w:rsidRPr="00F81A2E" w:rsidRDefault="00BC0ABE" w:rsidP="00CA0D72">
            <w:pPr>
              <w:pStyle w:val="Table"/>
              <w:ind w:right="-3"/>
            </w:pPr>
            <w:r w:rsidRPr="00F81A2E">
              <w:t>3.7</w:t>
            </w:r>
          </w:p>
        </w:tc>
        <w:tc>
          <w:tcPr>
            <w:tcW w:w="1175" w:type="dxa"/>
          </w:tcPr>
          <w:p w14:paraId="12AD3AF1" w14:textId="77777777" w:rsidR="00BC0ABE" w:rsidRPr="00F81A2E" w:rsidRDefault="00BC0ABE" w:rsidP="00CA0D72">
            <w:pPr>
              <w:pStyle w:val="Table"/>
              <w:ind w:right="-3"/>
            </w:pPr>
            <w:r w:rsidRPr="00F81A2E">
              <w:t>27.6</w:t>
            </w:r>
          </w:p>
        </w:tc>
        <w:tc>
          <w:tcPr>
            <w:tcW w:w="1175" w:type="dxa"/>
          </w:tcPr>
          <w:p w14:paraId="1ABADF48" w14:textId="77777777" w:rsidR="00BC0ABE" w:rsidRPr="00F81A2E" w:rsidRDefault="00BC0ABE" w:rsidP="00CA0D72">
            <w:pPr>
              <w:pStyle w:val="Table"/>
              <w:ind w:right="-3"/>
            </w:pPr>
            <w:r w:rsidRPr="00F81A2E">
              <w:t>29.9</w:t>
            </w:r>
          </w:p>
        </w:tc>
        <w:tc>
          <w:tcPr>
            <w:tcW w:w="1175" w:type="dxa"/>
          </w:tcPr>
          <w:p w14:paraId="0E149BAF" w14:textId="77777777" w:rsidR="00BC0ABE" w:rsidRPr="00F81A2E" w:rsidRDefault="00BC0ABE" w:rsidP="00CA0D72">
            <w:pPr>
              <w:pStyle w:val="Table"/>
              <w:ind w:right="-3"/>
            </w:pPr>
            <w:r w:rsidRPr="00F81A2E">
              <w:t>14.9</w:t>
            </w:r>
          </w:p>
        </w:tc>
        <w:tc>
          <w:tcPr>
            <w:tcW w:w="1175" w:type="dxa"/>
          </w:tcPr>
          <w:p w14:paraId="47A549D6" w14:textId="77777777" w:rsidR="00BC0ABE" w:rsidRPr="00F81A2E" w:rsidRDefault="00BC0ABE" w:rsidP="00CA0D72">
            <w:pPr>
              <w:pStyle w:val="Table"/>
              <w:ind w:right="-3"/>
            </w:pPr>
            <w:r w:rsidRPr="00F81A2E">
              <w:t>0</w:t>
            </w:r>
          </w:p>
        </w:tc>
        <w:tc>
          <w:tcPr>
            <w:tcW w:w="1175" w:type="dxa"/>
          </w:tcPr>
          <w:p w14:paraId="2B0E789A" w14:textId="77777777" w:rsidR="00BC0ABE" w:rsidRPr="00F81A2E" w:rsidRDefault="00BC0ABE" w:rsidP="00CA0D72">
            <w:pPr>
              <w:pStyle w:val="Table"/>
              <w:ind w:right="-3"/>
            </w:pPr>
            <w:r w:rsidRPr="00F81A2E">
              <w:t>0</w:t>
            </w:r>
          </w:p>
        </w:tc>
        <w:tc>
          <w:tcPr>
            <w:tcW w:w="1176" w:type="dxa"/>
          </w:tcPr>
          <w:p w14:paraId="653567F6" w14:textId="77777777" w:rsidR="00BC0ABE" w:rsidRPr="00F81A2E" w:rsidRDefault="00BC0ABE" w:rsidP="00CA0D72">
            <w:pPr>
              <w:pStyle w:val="Table"/>
              <w:ind w:right="-3"/>
            </w:pPr>
            <w:r w:rsidRPr="00F81A2E">
              <w:t> </w:t>
            </w:r>
          </w:p>
        </w:tc>
      </w:tr>
      <w:tr w:rsidR="00BC0ABE" w:rsidRPr="00F81A2E" w14:paraId="1156FF17" w14:textId="77777777" w:rsidTr="00F53196">
        <w:trPr>
          <w:trHeight w:val="227"/>
        </w:trPr>
        <w:tc>
          <w:tcPr>
            <w:tcW w:w="1175" w:type="dxa"/>
          </w:tcPr>
          <w:p w14:paraId="1D1E5C35" w14:textId="437E775C" w:rsidR="00BC0ABE" w:rsidRPr="00F81A2E" w:rsidRDefault="00BC0ABE" w:rsidP="00CA0D72">
            <w:pPr>
              <w:pStyle w:val="Table"/>
              <w:ind w:right="-3"/>
            </w:pPr>
            <w:r w:rsidRPr="00F81A2E">
              <w:t>WA</w:t>
            </w:r>
          </w:p>
        </w:tc>
        <w:tc>
          <w:tcPr>
            <w:tcW w:w="1343" w:type="dxa"/>
          </w:tcPr>
          <w:p w14:paraId="30C42FD3" w14:textId="77777777" w:rsidR="00BC0ABE" w:rsidRPr="00F81A2E" w:rsidRDefault="00BC0ABE" w:rsidP="00CA0D72">
            <w:pPr>
              <w:pStyle w:val="Table"/>
              <w:ind w:right="-3"/>
            </w:pPr>
            <w:r w:rsidRPr="00F81A2E">
              <w:t>Total</w:t>
            </w:r>
          </w:p>
        </w:tc>
        <w:tc>
          <w:tcPr>
            <w:tcW w:w="1007" w:type="dxa"/>
          </w:tcPr>
          <w:p w14:paraId="716B91EF" w14:textId="77777777" w:rsidR="00BC0ABE" w:rsidRPr="00F81A2E" w:rsidRDefault="00BC0ABE" w:rsidP="00CA0D72">
            <w:pPr>
              <w:pStyle w:val="Table"/>
              <w:ind w:right="-3"/>
            </w:pPr>
            <w:r w:rsidRPr="00F81A2E">
              <w:t>5</w:t>
            </w:r>
          </w:p>
        </w:tc>
        <w:tc>
          <w:tcPr>
            <w:tcW w:w="1175" w:type="dxa"/>
          </w:tcPr>
          <w:p w14:paraId="46CA6753" w14:textId="77777777" w:rsidR="00BC0ABE" w:rsidRPr="00F81A2E" w:rsidRDefault="00BC0ABE" w:rsidP="00CA0D72">
            <w:pPr>
              <w:pStyle w:val="Table"/>
              <w:ind w:right="-3"/>
            </w:pPr>
            <w:r w:rsidRPr="00F81A2E">
              <w:t>92</w:t>
            </w:r>
          </w:p>
        </w:tc>
        <w:tc>
          <w:tcPr>
            <w:tcW w:w="1175" w:type="dxa"/>
          </w:tcPr>
          <w:p w14:paraId="5DEAAB66" w14:textId="77777777" w:rsidR="00BC0ABE" w:rsidRPr="00F81A2E" w:rsidRDefault="00BC0ABE" w:rsidP="00CA0D72">
            <w:pPr>
              <w:pStyle w:val="Table"/>
              <w:ind w:right="-3"/>
            </w:pPr>
            <w:r w:rsidRPr="00F81A2E">
              <w:t>71</w:t>
            </w:r>
          </w:p>
        </w:tc>
        <w:tc>
          <w:tcPr>
            <w:tcW w:w="1175" w:type="dxa"/>
          </w:tcPr>
          <w:p w14:paraId="0EBE5681" w14:textId="77777777" w:rsidR="00BC0ABE" w:rsidRPr="00F81A2E" w:rsidRDefault="00BC0ABE" w:rsidP="00CA0D72">
            <w:pPr>
              <w:pStyle w:val="Table"/>
              <w:ind w:right="-3"/>
            </w:pPr>
            <w:r w:rsidRPr="00F81A2E">
              <w:t>51</w:t>
            </w:r>
          </w:p>
        </w:tc>
        <w:tc>
          <w:tcPr>
            <w:tcW w:w="1175" w:type="dxa"/>
          </w:tcPr>
          <w:p w14:paraId="37093C4D" w14:textId="77777777" w:rsidR="00BC0ABE" w:rsidRPr="00F81A2E" w:rsidRDefault="00BC0ABE" w:rsidP="00CA0D72">
            <w:pPr>
              <w:pStyle w:val="Table"/>
              <w:ind w:right="-3"/>
            </w:pPr>
            <w:r w:rsidRPr="00F81A2E">
              <w:t>36</w:t>
            </w:r>
          </w:p>
        </w:tc>
        <w:tc>
          <w:tcPr>
            <w:tcW w:w="1175" w:type="dxa"/>
          </w:tcPr>
          <w:p w14:paraId="785B1A9B" w14:textId="77777777" w:rsidR="00BC0ABE" w:rsidRPr="00F81A2E" w:rsidRDefault="00BC0ABE" w:rsidP="00CA0D72">
            <w:pPr>
              <w:pStyle w:val="Table"/>
              <w:ind w:right="-3"/>
            </w:pPr>
            <w:r w:rsidRPr="00F81A2E">
              <w:t>87</w:t>
            </w:r>
          </w:p>
        </w:tc>
        <w:tc>
          <w:tcPr>
            <w:tcW w:w="1175" w:type="dxa"/>
          </w:tcPr>
          <w:p w14:paraId="5A1894D5" w14:textId="77777777" w:rsidR="00BC0ABE" w:rsidRPr="00F81A2E" w:rsidRDefault="00BC0ABE" w:rsidP="00CA0D72">
            <w:pPr>
              <w:pStyle w:val="Table"/>
              <w:ind w:right="-3"/>
            </w:pPr>
            <w:r w:rsidRPr="00F81A2E">
              <w:t>60</w:t>
            </w:r>
          </w:p>
        </w:tc>
        <w:tc>
          <w:tcPr>
            <w:tcW w:w="1175" w:type="dxa"/>
          </w:tcPr>
          <w:p w14:paraId="7C129833" w14:textId="77777777" w:rsidR="00BC0ABE" w:rsidRPr="00F81A2E" w:rsidRDefault="00BC0ABE" w:rsidP="00CA0D72">
            <w:pPr>
              <w:pStyle w:val="Table"/>
              <w:ind w:right="-3"/>
            </w:pPr>
            <w:r w:rsidRPr="00F81A2E">
              <w:t>39</w:t>
            </w:r>
          </w:p>
        </w:tc>
        <w:tc>
          <w:tcPr>
            <w:tcW w:w="1175" w:type="dxa"/>
          </w:tcPr>
          <w:p w14:paraId="7065E126" w14:textId="77777777" w:rsidR="00BC0ABE" w:rsidRPr="00F81A2E" w:rsidRDefault="00BC0ABE" w:rsidP="00CA0D72">
            <w:pPr>
              <w:pStyle w:val="Table"/>
              <w:ind w:right="-3"/>
            </w:pPr>
            <w:r w:rsidRPr="00F81A2E">
              <w:t>4</w:t>
            </w:r>
          </w:p>
        </w:tc>
        <w:tc>
          <w:tcPr>
            <w:tcW w:w="1175" w:type="dxa"/>
          </w:tcPr>
          <w:p w14:paraId="0F7B5BFA" w14:textId="77777777" w:rsidR="00BC0ABE" w:rsidRPr="00F81A2E" w:rsidRDefault="00BC0ABE" w:rsidP="00CA0D72">
            <w:pPr>
              <w:pStyle w:val="Table"/>
              <w:ind w:right="-3"/>
            </w:pPr>
            <w:r w:rsidRPr="00F81A2E">
              <w:t>0</w:t>
            </w:r>
          </w:p>
        </w:tc>
        <w:tc>
          <w:tcPr>
            <w:tcW w:w="1176" w:type="dxa"/>
          </w:tcPr>
          <w:p w14:paraId="0A845253" w14:textId="77777777" w:rsidR="00BC0ABE" w:rsidRPr="00F81A2E" w:rsidRDefault="00BC0ABE" w:rsidP="00CA0D72">
            <w:pPr>
              <w:pStyle w:val="Table"/>
              <w:ind w:right="-3"/>
            </w:pPr>
            <w:r w:rsidRPr="00F81A2E">
              <w:t>445</w:t>
            </w:r>
          </w:p>
        </w:tc>
      </w:tr>
      <w:tr w:rsidR="00BC0ABE" w:rsidRPr="00F81A2E" w14:paraId="5D59AD0F" w14:textId="77777777" w:rsidTr="00F53196">
        <w:trPr>
          <w:trHeight w:val="227"/>
        </w:trPr>
        <w:tc>
          <w:tcPr>
            <w:tcW w:w="1175" w:type="dxa"/>
          </w:tcPr>
          <w:p w14:paraId="5184CD07" w14:textId="0BF18F77" w:rsidR="00BC0ABE" w:rsidRPr="00F81A2E" w:rsidRDefault="00BC0ABE" w:rsidP="00CA0D72">
            <w:pPr>
              <w:pStyle w:val="Table"/>
              <w:ind w:right="-3"/>
            </w:pPr>
            <w:r w:rsidRPr="00F81A2E">
              <w:t>WA</w:t>
            </w:r>
          </w:p>
        </w:tc>
        <w:tc>
          <w:tcPr>
            <w:tcW w:w="1343" w:type="dxa"/>
          </w:tcPr>
          <w:p w14:paraId="6EBA5DCE" w14:textId="77777777" w:rsidR="00BC0ABE" w:rsidRPr="00F81A2E" w:rsidRDefault="00BC0ABE" w:rsidP="00CA0D72">
            <w:pPr>
              <w:pStyle w:val="Table"/>
              <w:ind w:right="-3"/>
            </w:pPr>
            <w:r w:rsidRPr="00F81A2E">
              <w:t>%</w:t>
            </w:r>
          </w:p>
        </w:tc>
        <w:tc>
          <w:tcPr>
            <w:tcW w:w="1007" w:type="dxa"/>
          </w:tcPr>
          <w:p w14:paraId="7EADA6FC" w14:textId="77777777" w:rsidR="00BC0ABE" w:rsidRPr="00F81A2E" w:rsidRDefault="00BC0ABE" w:rsidP="00CA0D72">
            <w:pPr>
              <w:pStyle w:val="Table"/>
              <w:ind w:right="-3"/>
            </w:pPr>
            <w:r w:rsidRPr="00F81A2E">
              <w:t>1.1</w:t>
            </w:r>
          </w:p>
        </w:tc>
        <w:tc>
          <w:tcPr>
            <w:tcW w:w="1175" w:type="dxa"/>
          </w:tcPr>
          <w:p w14:paraId="66EC1B30" w14:textId="77777777" w:rsidR="00BC0ABE" w:rsidRPr="00F81A2E" w:rsidRDefault="00BC0ABE" w:rsidP="00CA0D72">
            <w:pPr>
              <w:pStyle w:val="Table"/>
              <w:ind w:right="-3"/>
            </w:pPr>
            <w:r w:rsidRPr="00F81A2E">
              <w:t>20.7</w:t>
            </w:r>
          </w:p>
        </w:tc>
        <w:tc>
          <w:tcPr>
            <w:tcW w:w="1175" w:type="dxa"/>
          </w:tcPr>
          <w:p w14:paraId="0ADBF435" w14:textId="77777777" w:rsidR="00BC0ABE" w:rsidRPr="00F81A2E" w:rsidRDefault="00BC0ABE" w:rsidP="00CA0D72">
            <w:pPr>
              <w:pStyle w:val="Table"/>
              <w:ind w:right="-3"/>
            </w:pPr>
            <w:r w:rsidRPr="00F81A2E">
              <w:t>16</w:t>
            </w:r>
          </w:p>
        </w:tc>
        <w:tc>
          <w:tcPr>
            <w:tcW w:w="1175" w:type="dxa"/>
          </w:tcPr>
          <w:p w14:paraId="33343AB8" w14:textId="77777777" w:rsidR="00BC0ABE" w:rsidRPr="00F81A2E" w:rsidRDefault="00BC0ABE" w:rsidP="00CA0D72">
            <w:pPr>
              <w:pStyle w:val="Table"/>
              <w:ind w:right="-3"/>
            </w:pPr>
            <w:r w:rsidRPr="00F81A2E">
              <w:t>11.5</w:t>
            </w:r>
          </w:p>
        </w:tc>
        <w:tc>
          <w:tcPr>
            <w:tcW w:w="1175" w:type="dxa"/>
          </w:tcPr>
          <w:p w14:paraId="75BD77C9" w14:textId="77777777" w:rsidR="00BC0ABE" w:rsidRPr="00F81A2E" w:rsidRDefault="00BC0ABE" w:rsidP="00CA0D72">
            <w:pPr>
              <w:pStyle w:val="Table"/>
              <w:ind w:right="-3"/>
            </w:pPr>
            <w:r w:rsidRPr="00F81A2E">
              <w:t>8.1</w:t>
            </w:r>
          </w:p>
        </w:tc>
        <w:tc>
          <w:tcPr>
            <w:tcW w:w="1175" w:type="dxa"/>
          </w:tcPr>
          <w:p w14:paraId="00A95D26" w14:textId="77777777" w:rsidR="00BC0ABE" w:rsidRPr="00F81A2E" w:rsidRDefault="00BC0ABE" w:rsidP="00CA0D72">
            <w:pPr>
              <w:pStyle w:val="Table"/>
              <w:ind w:right="-3"/>
            </w:pPr>
            <w:r w:rsidRPr="00F81A2E">
              <w:t>19.6</w:t>
            </w:r>
          </w:p>
        </w:tc>
        <w:tc>
          <w:tcPr>
            <w:tcW w:w="1175" w:type="dxa"/>
          </w:tcPr>
          <w:p w14:paraId="7C672955" w14:textId="77777777" w:rsidR="00BC0ABE" w:rsidRPr="00F81A2E" w:rsidRDefault="00BC0ABE" w:rsidP="00CA0D72">
            <w:pPr>
              <w:pStyle w:val="Table"/>
              <w:ind w:right="-3"/>
            </w:pPr>
            <w:r w:rsidRPr="00F81A2E">
              <w:t>13.5</w:t>
            </w:r>
          </w:p>
        </w:tc>
        <w:tc>
          <w:tcPr>
            <w:tcW w:w="1175" w:type="dxa"/>
          </w:tcPr>
          <w:p w14:paraId="1CA99A5E" w14:textId="77777777" w:rsidR="00BC0ABE" w:rsidRPr="00F81A2E" w:rsidRDefault="00BC0ABE" w:rsidP="00CA0D72">
            <w:pPr>
              <w:pStyle w:val="Table"/>
              <w:ind w:right="-3"/>
            </w:pPr>
            <w:r w:rsidRPr="00F81A2E">
              <w:t>8.8</w:t>
            </w:r>
          </w:p>
        </w:tc>
        <w:tc>
          <w:tcPr>
            <w:tcW w:w="1175" w:type="dxa"/>
          </w:tcPr>
          <w:p w14:paraId="3193CA29" w14:textId="77777777" w:rsidR="00BC0ABE" w:rsidRPr="00F81A2E" w:rsidRDefault="00BC0ABE" w:rsidP="00CA0D72">
            <w:pPr>
              <w:pStyle w:val="Table"/>
              <w:ind w:right="-3"/>
            </w:pPr>
            <w:r w:rsidRPr="00F81A2E">
              <w:t>0.9</w:t>
            </w:r>
          </w:p>
        </w:tc>
        <w:tc>
          <w:tcPr>
            <w:tcW w:w="1175" w:type="dxa"/>
          </w:tcPr>
          <w:p w14:paraId="0DBF61B6" w14:textId="77777777" w:rsidR="00BC0ABE" w:rsidRPr="00F81A2E" w:rsidRDefault="00BC0ABE" w:rsidP="00CA0D72">
            <w:pPr>
              <w:pStyle w:val="Table"/>
              <w:ind w:right="-3"/>
            </w:pPr>
            <w:r w:rsidRPr="00F81A2E">
              <w:t>0</w:t>
            </w:r>
          </w:p>
        </w:tc>
        <w:tc>
          <w:tcPr>
            <w:tcW w:w="1176" w:type="dxa"/>
          </w:tcPr>
          <w:p w14:paraId="02143C4B" w14:textId="77777777" w:rsidR="00BC0ABE" w:rsidRPr="00F81A2E" w:rsidRDefault="00BC0ABE" w:rsidP="00CA0D72">
            <w:pPr>
              <w:pStyle w:val="Table"/>
              <w:ind w:right="-3"/>
            </w:pPr>
            <w:r w:rsidRPr="00F81A2E">
              <w:t> </w:t>
            </w:r>
          </w:p>
        </w:tc>
      </w:tr>
      <w:tr w:rsidR="00BC0ABE" w:rsidRPr="00F81A2E" w14:paraId="3DA2F66E" w14:textId="77777777" w:rsidTr="00F53196">
        <w:trPr>
          <w:trHeight w:val="227"/>
        </w:trPr>
        <w:tc>
          <w:tcPr>
            <w:tcW w:w="1175" w:type="dxa"/>
          </w:tcPr>
          <w:p w14:paraId="545111E9" w14:textId="77777777" w:rsidR="00BC0ABE" w:rsidRPr="00F81A2E" w:rsidRDefault="00BC0ABE" w:rsidP="00CA0D72">
            <w:pPr>
              <w:pStyle w:val="Table"/>
              <w:ind w:right="-3"/>
            </w:pPr>
            <w:r w:rsidRPr="00F81A2E">
              <w:t>TOTAL</w:t>
            </w:r>
          </w:p>
        </w:tc>
        <w:tc>
          <w:tcPr>
            <w:tcW w:w="1343" w:type="dxa"/>
          </w:tcPr>
          <w:p w14:paraId="4528F2FB" w14:textId="77777777" w:rsidR="00BC0ABE" w:rsidRPr="00F81A2E" w:rsidRDefault="00BC0ABE" w:rsidP="00CA0D72">
            <w:pPr>
              <w:pStyle w:val="Table"/>
              <w:ind w:right="-3"/>
            </w:pPr>
            <w:r w:rsidRPr="00F81A2E">
              <w:t>Total</w:t>
            </w:r>
          </w:p>
        </w:tc>
        <w:tc>
          <w:tcPr>
            <w:tcW w:w="1007" w:type="dxa"/>
          </w:tcPr>
          <w:p w14:paraId="4EFE7122" w14:textId="77777777" w:rsidR="00BC0ABE" w:rsidRPr="00F81A2E" w:rsidRDefault="00BC0ABE" w:rsidP="00CA0D72">
            <w:pPr>
              <w:pStyle w:val="Table"/>
              <w:ind w:right="-3"/>
            </w:pPr>
            <w:r w:rsidRPr="00F81A2E">
              <w:t>135</w:t>
            </w:r>
          </w:p>
        </w:tc>
        <w:tc>
          <w:tcPr>
            <w:tcW w:w="1175" w:type="dxa"/>
          </w:tcPr>
          <w:p w14:paraId="1246F90D" w14:textId="77777777" w:rsidR="00BC0ABE" w:rsidRPr="00F81A2E" w:rsidRDefault="00BC0ABE" w:rsidP="00CA0D72">
            <w:pPr>
              <w:pStyle w:val="Table"/>
              <w:ind w:right="-3"/>
            </w:pPr>
            <w:r w:rsidRPr="00F81A2E">
              <w:t>1,342</w:t>
            </w:r>
          </w:p>
        </w:tc>
        <w:tc>
          <w:tcPr>
            <w:tcW w:w="1175" w:type="dxa"/>
          </w:tcPr>
          <w:p w14:paraId="47CD1714" w14:textId="77777777" w:rsidR="00BC0ABE" w:rsidRPr="00F81A2E" w:rsidRDefault="00BC0ABE" w:rsidP="00CA0D72">
            <w:pPr>
              <w:pStyle w:val="Table"/>
              <w:ind w:right="-3"/>
            </w:pPr>
            <w:r w:rsidRPr="00F81A2E">
              <w:t>880</w:t>
            </w:r>
          </w:p>
        </w:tc>
        <w:tc>
          <w:tcPr>
            <w:tcW w:w="1175" w:type="dxa"/>
          </w:tcPr>
          <w:p w14:paraId="21FB2C50" w14:textId="77777777" w:rsidR="00BC0ABE" w:rsidRPr="00F81A2E" w:rsidRDefault="00BC0ABE" w:rsidP="00CA0D72">
            <w:pPr>
              <w:pStyle w:val="Table"/>
              <w:ind w:right="-3"/>
            </w:pPr>
            <w:r w:rsidRPr="00F81A2E">
              <w:t>416</w:t>
            </w:r>
          </w:p>
        </w:tc>
        <w:tc>
          <w:tcPr>
            <w:tcW w:w="1175" w:type="dxa"/>
          </w:tcPr>
          <w:p w14:paraId="3BDFCEEE" w14:textId="77777777" w:rsidR="00BC0ABE" w:rsidRPr="00F81A2E" w:rsidRDefault="00BC0ABE" w:rsidP="00CA0D72">
            <w:pPr>
              <w:pStyle w:val="Table"/>
              <w:ind w:right="-3"/>
            </w:pPr>
            <w:r w:rsidRPr="00F81A2E">
              <w:t>431</w:t>
            </w:r>
          </w:p>
        </w:tc>
        <w:tc>
          <w:tcPr>
            <w:tcW w:w="1175" w:type="dxa"/>
          </w:tcPr>
          <w:p w14:paraId="14126072" w14:textId="77777777" w:rsidR="00BC0ABE" w:rsidRPr="00F81A2E" w:rsidRDefault="00BC0ABE" w:rsidP="00CA0D72">
            <w:pPr>
              <w:pStyle w:val="Table"/>
              <w:ind w:right="-3"/>
            </w:pPr>
            <w:r w:rsidRPr="00F81A2E">
              <w:t>948</w:t>
            </w:r>
          </w:p>
        </w:tc>
        <w:tc>
          <w:tcPr>
            <w:tcW w:w="1175" w:type="dxa"/>
          </w:tcPr>
          <w:p w14:paraId="200AC30B" w14:textId="77777777" w:rsidR="00BC0ABE" w:rsidRPr="00F81A2E" w:rsidRDefault="00BC0ABE" w:rsidP="00CA0D72">
            <w:pPr>
              <w:pStyle w:val="Table"/>
              <w:ind w:right="-3"/>
            </w:pPr>
            <w:r w:rsidRPr="00F81A2E">
              <w:t>1,155</w:t>
            </w:r>
          </w:p>
        </w:tc>
        <w:tc>
          <w:tcPr>
            <w:tcW w:w="1175" w:type="dxa"/>
          </w:tcPr>
          <w:p w14:paraId="57E9375D" w14:textId="77777777" w:rsidR="00BC0ABE" w:rsidRPr="00F81A2E" w:rsidRDefault="00BC0ABE" w:rsidP="00CA0D72">
            <w:pPr>
              <w:pStyle w:val="Table"/>
              <w:ind w:right="-3"/>
            </w:pPr>
            <w:r w:rsidRPr="00F81A2E">
              <w:t>552</w:t>
            </w:r>
          </w:p>
        </w:tc>
        <w:tc>
          <w:tcPr>
            <w:tcW w:w="1175" w:type="dxa"/>
          </w:tcPr>
          <w:p w14:paraId="28FDD7BC" w14:textId="77777777" w:rsidR="00BC0ABE" w:rsidRPr="00F81A2E" w:rsidRDefault="00BC0ABE" w:rsidP="00CA0D72">
            <w:pPr>
              <w:pStyle w:val="Table"/>
              <w:ind w:right="-3"/>
            </w:pPr>
            <w:r w:rsidRPr="00F81A2E">
              <w:t>78</w:t>
            </w:r>
          </w:p>
        </w:tc>
        <w:tc>
          <w:tcPr>
            <w:tcW w:w="1175" w:type="dxa"/>
          </w:tcPr>
          <w:p w14:paraId="2D49FED2" w14:textId="77777777" w:rsidR="00BC0ABE" w:rsidRPr="00F81A2E" w:rsidRDefault="00BC0ABE" w:rsidP="00CA0D72">
            <w:pPr>
              <w:pStyle w:val="Table"/>
              <w:ind w:right="-3"/>
            </w:pPr>
            <w:r w:rsidRPr="00F81A2E">
              <w:t>54</w:t>
            </w:r>
          </w:p>
        </w:tc>
        <w:tc>
          <w:tcPr>
            <w:tcW w:w="1176" w:type="dxa"/>
          </w:tcPr>
          <w:p w14:paraId="0AC1889F" w14:textId="77777777" w:rsidR="00BC0ABE" w:rsidRPr="00F81A2E" w:rsidRDefault="00BC0ABE" w:rsidP="00CA0D72">
            <w:pPr>
              <w:pStyle w:val="Table"/>
              <w:ind w:right="-3"/>
            </w:pPr>
            <w:r w:rsidRPr="00F81A2E">
              <w:t>5,991</w:t>
            </w:r>
          </w:p>
        </w:tc>
      </w:tr>
      <w:tr w:rsidR="00BC0ABE" w:rsidRPr="00F81A2E" w14:paraId="1A911AFF" w14:textId="77777777" w:rsidTr="00F53196">
        <w:trPr>
          <w:trHeight w:val="227"/>
        </w:trPr>
        <w:tc>
          <w:tcPr>
            <w:tcW w:w="1175" w:type="dxa"/>
          </w:tcPr>
          <w:p w14:paraId="2FD4BC6B" w14:textId="40F2BEC3" w:rsidR="00BC0ABE" w:rsidRPr="00F81A2E" w:rsidRDefault="00BC0ABE" w:rsidP="00CA0D72">
            <w:pPr>
              <w:pStyle w:val="Table"/>
              <w:ind w:right="-3"/>
            </w:pPr>
            <w:r w:rsidRPr="00F81A2E">
              <w:t>TOTAL</w:t>
            </w:r>
          </w:p>
        </w:tc>
        <w:tc>
          <w:tcPr>
            <w:tcW w:w="1343" w:type="dxa"/>
          </w:tcPr>
          <w:p w14:paraId="0F4D2246" w14:textId="77777777" w:rsidR="00BC0ABE" w:rsidRPr="00F81A2E" w:rsidRDefault="00BC0ABE" w:rsidP="00CA0D72">
            <w:pPr>
              <w:pStyle w:val="Table"/>
              <w:ind w:right="-3"/>
            </w:pPr>
            <w:r w:rsidRPr="00F81A2E">
              <w:t>%</w:t>
            </w:r>
          </w:p>
        </w:tc>
        <w:tc>
          <w:tcPr>
            <w:tcW w:w="1007" w:type="dxa"/>
          </w:tcPr>
          <w:p w14:paraId="1D28A342" w14:textId="77777777" w:rsidR="00BC0ABE" w:rsidRPr="00F81A2E" w:rsidRDefault="00BC0ABE" w:rsidP="00CA0D72">
            <w:pPr>
              <w:pStyle w:val="Table"/>
              <w:ind w:right="-3"/>
            </w:pPr>
            <w:r w:rsidRPr="00F81A2E">
              <w:t>2.3</w:t>
            </w:r>
          </w:p>
        </w:tc>
        <w:tc>
          <w:tcPr>
            <w:tcW w:w="1175" w:type="dxa"/>
          </w:tcPr>
          <w:p w14:paraId="3B0BEDEC" w14:textId="77777777" w:rsidR="00BC0ABE" w:rsidRPr="00F81A2E" w:rsidRDefault="00BC0ABE" w:rsidP="00CA0D72">
            <w:pPr>
              <w:pStyle w:val="Table"/>
              <w:ind w:right="-3"/>
            </w:pPr>
            <w:r w:rsidRPr="00F81A2E">
              <w:t>22.4</w:t>
            </w:r>
          </w:p>
        </w:tc>
        <w:tc>
          <w:tcPr>
            <w:tcW w:w="1175" w:type="dxa"/>
          </w:tcPr>
          <w:p w14:paraId="53B3537F" w14:textId="77777777" w:rsidR="00BC0ABE" w:rsidRPr="00F81A2E" w:rsidRDefault="00BC0ABE" w:rsidP="00CA0D72">
            <w:pPr>
              <w:pStyle w:val="Table"/>
              <w:ind w:right="-3"/>
            </w:pPr>
            <w:r w:rsidRPr="00F81A2E">
              <w:t>14.7</w:t>
            </w:r>
          </w:p>
        </w:tc>
        <w:tc>
          <w:tcPr>
            <w:tcW w:w="1175" w:type="dxa"/>
          </w:tcPr>
          <w:p w14:paraId="21970408" w14:textId="77777777" w:rsidR="00BC0ABE" w:rsidRPr="00F81A2E" w:rsidRDefault="00BC0ABE" w:rsidP="00CA0D72">
            <w:pPr>
              <w:pStyle w:val="Table"/>
              <w:ind w:right="-3"/>
            </w:pPr>
            <w:r w:rsidRPr="00F81A2E">
              <w:t>6.9</w:t>
            </w:r>
          </w:p>
        </w:tc>
        <w:tc>
          <w:tcPr>
            <w:tcW w:w="1175" w:type="dxa"/>
          </w:tcPr>
          <w:p w14:paraId="39827907" w14:textId="77777777" w:rsidR="00BC0ABE" w:rsidRPr="00F81A2E" w:rsidRDefault="00BC0ABE" w:rsidP="00CA0D72">
            <w:pPr>
              <w:pStyle w:val="Table"/>
              <w:ind w:right="-3"/>
            </w:pPr>
            <w:r w:rsidRPr="00F81A2E">
              <w:t>7.2</w:t>
            </w:r>
          </w:p>
        </w:tc>
        <w:tc>
          <w:tcPr>
            <w:tcW w:w="1175" w:type="dxa"/>
          </w:tcPr>
          <w:p w14:paraId="5D69DE61" w14:textId="77777777" w:rsidR="00BC0ABE" w:rsidRPr="00F81A2E" w:rsidRDefault="00BC0ABE" w:rsidP="00CA0D72">
            <w:pPr>
              <w:pStyle w:val="Table"/>
              <w:ind w:right="-3"/>
            </w:pPr>
            <w:r w:rsidRPr="00F81A2E">
              <w:t>15.8</w:t>
            </w:r>
          </w:p>
        </w:tc>
        <w:tc>
          <w:tcPr>
            <w:tcW w:w="1175" w:type="dxa"/>
          </w:tcPr>
          <w:p w14:paraId="41850B1A" w14:textId="77777777" w:rsidR="00BC0ABE" w:rsidRPr="00F81A2E" w:rsidRDefault="00BC0ABE" w:rsidP="00CA0D72">
            <w:pPr>
              <w:pStyle w:val="Table"/>
              <w:ind w:right="-3"/>
            </w:pPr>
            <w:r w:rsidRPr="00F81A2E">
              <w:t>19.3</w:t>
            </w:r>
          </w:p>
        </w:tc>
        <w:tc>
          <w:tcPr>
            <w:tcW w:w="1175" w:type="dxa"/>
          </w:tcPr>
          <w:p w14:paraId="2807B273" w14:textId="77777777" w:rsidR="00BC0ABE" w:rsidRPr="00F81A2E" w:rsidRDefault="00BC0ABE" w:rsidP="00CA0D72">
            <w:pPr>
              <w:pStyle w:val="Table"/>
              <w:ind w:right="-3"/>
            </w:pPr>
            <w:r w:rsidRPr="00F81A2E">
              <w:t>9.2</w:t>
            </w:r>
          </w:p>
        </w:tc>
        <w:tc>
          <w:tcPr>
            <w:tcW w:w="1175" w:type="dxa"/>
          </w:tcPr>
          <w:p w14:paraId="4A559CA0" w14:textId="77777777" w:rsidR="00BC0ABE" w:rsidRPr="00F81A2E" w:rsidRDefault="00BC0ABE" w:rsidP="00CA0D72">
            <w:pPr>
              <w:pStyle w:val="Table"/>
              <w:ind w:right="-3"/>
            </w:pPr>
            <w:r w:rsidRPr="00F81A2E">
              <w:t>1.3</w:t>
            </w:r>
          </w:p>
        </w:tc>
        <w:tc>
          <w:tcPr>
            <w:tcW w:w="1175" w:type="dxa"/>
          </w:tcPr>
          <w:p w14:paraId="51667E77" w14:textId="77777777" w:rsidR="00BC0ABE" w:rsidRPr="00F81A2E" w:rsidRDefault="00BC0ABE" w:rsidP="00CA0D72">
            <w:pPr>
              <w:pStyle w:val="Table"/>
              <w:ind w:right="-3"/>
            </w:pPr>
            <w:r w:rsidRPr="00F81A2E">
              <w:t>0.9</w:t>
            </w:r>
          </w:p>
        </w:tc>
        <w:tc>
          <w:tcPr>
            <w:tcW w:w="1176" w:type="dxa"/>
          </w:tcPr>
          <w:p w14:paraId="640E7AFD" w14:textId="77777777" w:rsidR="00BC0ABE" w:rsidRPr="00F81A2E" w:rsidRDefault="00BC0ABE" w:rsidP="00CA0D72">
            <w:pPr>
              <w:pStyle w:val="Table"/>
              <w:ind w:right="-3"/>
            </w:pPr>
            <w:r w:rsidRPr="00F81A2E">
              <w:t> </w:t>
            </w:r>
          </w:p>
        </w:tc>
      </w:tr>
    </w:tbl>
    <w:p w14:paraId="468721CC" w14:textId="77777777" w:rsidR="00BC0ABE" w:rsidRDefault="00BC0ABE" w:rsidP="00CA0D72">
      <w:pPr>
        <w:ind w:right="-3"/>
        <w:sectPr w:rsidR="00BC0ABE" w:rsidSect="00BC0ABE">
          <w:pgSz w:w="17340" w:h="11904" w:orient="landscape"/>
          <w:pgMar w:top="1276" w:right="1134" w:bottom="1272" w:left="1134" w:header="720" w:footer="720" w:gutter="0"/>
          <w:cols w:space="720"/>
          <w:noEndnote/>
          <w:docGrid w:linePitch="326"/>
        </w:sectPr>
      </w:pPr>
    </w:p>
    <w:p w14:paraId="774DA5A2" w14:textId="77777777" w:rsidR="005D7ABA" w:rsidRDefault="003A0CBE" w:rsidP="00CA0D72">
      <w:pPr>
        <w:ind w:right="-3"/>
      </w:pPr>
      <w:r w:rsidRPr="003A0CBE">
        <w:lastRenderedPageBreak/>
        <w:t>Tables 3.6 and 3.7 summarise hospital readmissions at three and six months post ACAT approval at a jurisdictional and national level for recipients of TC only in a community setting versus those who received TC only in a residential setting.</w:t>
      </w:r>
    </w:p>
    <w:p w14:paraId="162E0DD4" w14:textId="77777777" w:rsidR="005D7ABA" w:rsidRDefault="003A0CBE" w:rsidP="00CA0D72">
      <w:pPr>
        <w:ind w:right="-3"/>
      </w:pPr>
      <w:r w:rsidRPr="003A0CBE">
        <w:t>At three months post ACAT approval, 37% of TC recipients had at least one readmission to hospital, and this was higher among those who received TC only in a community setting (38%) versus those who had TC only in a residential setting (35%).</w:t>
      </w:r>
    </w:p>
    <w:p w14:paraId="2F79D039" w14:textId="77777777" w:rsidR="005D7ABA" w:rsidRDefault="003A0CBE" w:rsidP="00CA0D72">
      <w:pPr>
        <w:ind w:right="-3"/>
      </w:pPr>
      <w:r w:rsidRPr="003A0CBE">
        <w:t>At six months post ACAT approval, 47% of TC recipients had at least one readmission to hospital, and this readmission rate was higher among those who received TC only in a community setting (51%) versus those who received TC only in a residential setting (43%).  These high levels of readmission reinforce the frailty of the TC recipients.</w:t>
      </w:r>
    </w:p>
    <w:p w14:paraId="1A16B2CF" w14:textId="7FD52859" w:rsidR="00C914D6" w:rsidRDefault="003A0CBE" w:rsidP="00F53196">
      <w:pPr>
        <w:pStyle w:val="Heading3"/>
      </w:pPr>
      <w:bookmarkStart w:id="64" w:name="_Toc402348910"/>
      <w:r w:rsidRPr="003A0CBE">
        <w:t>Table 3.6: Hospital readmissions, residential aged care admissions, and deaths for Transition Care recipients at three months post ACAT approval</w:t>
      </w:r>
      <w:bookmarkEnd w:id="64"/>
      <w:r w:rsidRPr="003A0CBE">
        <w:t xml:space="preserve"> </w:t>
      </w:r>
    </w:p>
    <w:tbl>
      <w:tblPr>
        <w:tblStyle w:val="TableGrid"/>
        <w:tblW w:w="0" w:type="auto"/>
        <w:tblLook w:val="01E0" w:firstRow="1" w:lastRow="1" w:firstColumn="1" w:lastColumn="1" w:noHBand="0" w:noVBand="0"/>
        <w:tblDescription w:val="Table 3.6: Hospital readmissions, residential aged care admissions, and deaths for Transition Care recipients at three months post ACAT approval "/>
      </w:tblPr>
      <w:tblGrid>
        <w:gridCol w:w="1186"/>
        <w:gridCol w:w="1399"/>
        <w:gridCol w:w="1614"/>
        <w:gridCol w:w="1614"/>
        <w:gridCol w:w="1360"/>
        <w:gridCol w:w="1399"/>
        <w:gridCol w:w="1000"/>
      </w:tblGrid>
      <w:tr w:rsidR="00F53196" w:rsidRPr="00BA04E5" w14:paraId="77C07AD5" w14:textId="77777777" w:rsidTr="00F53196">
        <w:trPr>
          <w:tblHeader/>
        </w:trPr>
        <w:tc>
          <w:tcPr>
            <w:tcW w:w="1186" w:type="dxa"/>
          </w:tcPr>
          <w:p w14:paraId="36AB58FC" w14:textId="784B56A4" w:rsidR="00F53196" w:rsidRPr="00BA04E5" w:rsidRDefault="00F53196" w:rsidP="00CA0D72">
            <w:pPr>
              <w:pStyle w:val="Table"/>
              <w:ind w:right="-3"/>
            </w:pPr>
            <w:r>
              <w:rPr>
                <w:b/>
              </w:rPr>
              <w:t>State Territory</w:t>
            </w:r>
          </w:p>
        </w:tc>
        <w:tc>
          <w:tcPr>
            <w:tcW w:w="1399" w:type="dxa"/>
          </w:tcPr>
          <w:p w14:paraId="66818BA5" w14:textId="01A30521" w:rsidR="00F53196" w:rsidRPr="00BA04E5" w:rsidRDefault="00F53196" w:rsidP="00CA0D72">
            <w:pPr>
              <w:pStyle w:val="Table"/>
              <w:ind w:right="-3"/>
            </w:pPr>
            <w:r w:rsidRPr="00BA04E5">
              <w:rPr>
                <w:b/>
              </w:rPr>
              <w:t>TC Recipient</w:t>
            </w:r>
          </w:p>
        </w:tc>
        <w:tc>
          <w:tcPr>
            <w:tcW w:w="1614" w:type="dxa"/>
          </w:tcPr>
          <w:p w14:paraId="12D71974" w14:textId="202C27A0" w:rsidR="00F53196" w:rsidRPr="00BA04E5" w:rsidRDefault="00F53196" w:rsidP="00CA0D72">
            <w:pPr>
              <w:pStyle w:val="Table"/>
              <w:ind w:right="-3"/>
            </w:pPr>
            <w:r w:rsidRPr="00BA04E5">
              <w:rPr>
                <w:b/>
              </w:rPr>
              <w:t xml:space="preserve">Hospital </w:t>
            </w:r>
            <w:proofErr w:type="gramStart"/>
            <w:r w:rsidRPr="00BA04E5">
              <w:rPr>
                <w:b/>
              </w:rPr>
              <w:t xml:space="preserve">Readmissions </w:t>
            </w:r>
            <w:r>
              <w:rPr>
                <w:b/>
              </w:rPr>
              <w:t xml:space="preserve"> -</w:t>
            </w:r>
            <w:proofErr w:type="gramEnd"/>
            <w:r>
              <w:rPr>
                <w:b/>
              </w:rPr>
              <w:t xml:space="preserve"> </w:t>
            </w:r>
            <w:r w:rsidRPr="00BA04E5">
              <w:rPr>
                <w:b/>
              </w:rPr>
              <w:t>n (%)</w:t>
            </w:r>
          </w:p>
        </w:tc>
        <w:tc>
          <w:tcPr>
            <w:tcW w:w="1614" w:type="dxa"/>
          </w:tcPr>
          <w:p w14:paraId="60F828D1" w14:textId="143C3C16" w:rsidR="00F53196" w:rsidRPr="00BA04E5" w:rsidRDefault="00F53196" w:rsidP="00CA0D72">
            <w:pPr>
              <w:pStyle w:val="Table"/>
              <w:ind w:right="-3"/>
            </w:pPr>
            <w:r w:rsidRPr="00BA04E5">
              <w:rPr>
                <w:b/>
              </w:rPr>
              <w:t xml:space="preserve">Hospital Readmissions </w:t>
            </w:r>
            <w:r>
              <w:rPr>
                <w:b/>
              </w:rPr>
              <w:t xml:space="preserve"> - </w:t>
            </w:r>
            <w:r w:rsidRPr="00BA04E5">
              <w:rPr>
                <w:b/>
              </w:rPr>
              <w:t>LOS (IQR)</w:t>
            </w:r>
          </w:p>
        </w:tc>
        <w:tc>
          <w:tcPr>
            <w:tcW w:w="1360" w:type="dxa"/>
          </w:tcPr>
          <w:p w14:paraId="2B42C42D" w14:textId="44B8BFA6" w:rsidR="00F53196" w:rsidRPr="00BA04E5" w:rsidRDefault="00F53196" w:rsidP="00CA0D72">
            <w:pPr>
              <w:pStyle w:val="Table"/>
              <w:ind w:right="-3"/>
            </w:pPr>
            <w:r w:rsidRPr="00BA04E5">
              <w:rPr>
                <w:b/>
              </w:rPr>
              <w:t>Residential Aged Care</w:t>
            </w:r>
            <w:r>
              <w:rPr>
                <w:b/>
              </w:rPr>
              <w:t xml:space="preserve"> - </w:t>
            </w:r>
            <w:r w:rsidRPr="00BA04E5">
              <w:rPr>
                <w:b/>
              </w:rPr>
              <w:t>n (%)</w:t>
            </w:r>
          </w:p>
        </w:tc>
        <w:tc>
          <w:tcPr>
            <w:tcW w:w="1399" w:type="dxa"/>
          </w:tcPr>
          <w:p w14:paraId="3B6CBB8E" w14:textId="57C892E8" w:rsidR="00F53196" w:rsidRPr="00BA04E5" w:rsidRDefault="00F53196" w:rsidP="00CA0D72">
            <w:pPr>
              <w:pStyle w:val="Table"/>
              <w:ind w:right="-3"/>
            </w:pPr>
            <w:r w:rsidRPr="00BA04E5">
              <w:rPr>
                <w:b/>
              </w:rPr>
              <w:t>Residential Aged Care</w:t>
            </w:r>
            <w:r>
              <w:rPr>
                <w:b/>
              </w:rPr>
              <w:t xml:space="preserve"> - </w:t>
            </w:r>
            <w:r w:rsidRPr="00BA04E5">
              <w:rPr>
                <w:b/>
              </w:rPr>
              <w:t>LOS (IQR)</w:t>
            </w:r>
          </w:p>
        </w:tc>
        <w:tc>
          <w:tcPr>
            <w:tcW w:w="1000" w:type="dxa"/>
          </w:tcPr>
          <w:p w14:paraId="5563FBD2" w14:textId="73A9E524" w:rsidR="00F53196" w:rsidRPr="00BA04E5" w:rsidRDefault="00F53196" w:rsidP="00CA0D72">
            <w:pPr>
              <w:pStyle w:val="Table"/>
              <w:ind w:right="-3"/>
            </w:pPr>
            <w:r w:rsidRPr="00BA04E5">
              <w:rPr>
                <w:b/>
              </w:rPr>
              <w:t xml:space="preserve">Dead at Three </w:t>
            </w:r>
            <w:proofErr w:type="gramStart"/>
            <w:r w:rsidRPr="00BA04E5">
              <w:rPr>
                <w:b/>
              </w:rPr>
              <w:t xml:space="preserve">Months </w:t>
            </w:r>
            <w:r>
              <w:rPr>
                <w:b/>
              </w:rPr>
              <w:t xml:space="preserve"> -</w:t>
            </w:r>
            <w:proofErr w:type="gramEnd"/>
            <w:r>
              <w:rPr>
                <w:b/>
              </w:rPr>
              <w:t xml:space="preserve"> </w:t>
            </w:r>
            <w:r w:rsidRPr="00BA04E5">
              <w:rPr>
                <w:b/>
              </w:rPr>
              <w:t>n (%)</w:t>
            </w:r>
          </w:p>
        </w:tc>
      </w:tr>
      <w:tr w:rsidR="00F53196" w:rsidRPr="00BA04E5" w14:paraId="67CBD45C" w14:textId="77777777" w:rsidTr="00F53196">
        <w:tc>
          <w:tcPr>
            <w:tcW w:w="1186" w:type="dxa"/>
          </w:tcPr>
          <w:p w14:paraId="1BD15305" w14:textId="77777777" w:rsidR="00F53196" w:rsidRPr="00BA04E5" w:rsidRDefault="00F53196" w:rsidP="00CA0D72">
            <w:pPr>
              <w:pStyle w:val="Table"/>
              <w:ind w:right="-3"/>
            </w:pPr>
            <w:r w:rsidRPr="00BA04E5">
              <w:t>ACT</w:t>
            </w:r>
          </w:p>
        </w:tc>
        <w:tc>
          <w:tcPr>
            <w:tcW w:w="1399" w:type="dxa"/>
          </w:tcPr>
          <w:p w14:paraId="486AB903" w14:textId="77777777" w:rsidR="00F53196" w:rsidRPr="00BA04E5" w:rsidRDefault="00F53196" w:rsidP="00CA0D72">
            <w:pPr>
              <w:pStyle w:val="Table"/>
              <w:ind w:right="-3"/>
            </w:pPr>
            <w:r w:rsidRPr="00BA04E5">
              <w:t>Community</w:t>
            </w:r>
          </w:p>
        </w:tc>
        <w:tc>
          <w:tcPr>
            <w:tcW w:w="1614" w:type="dxa"/>
          </w:tcPr>
          <w:p w14:paraId="41488BE5" w14:textId="77777777" w:rsidR="00F53196" w:rsidRPr="00BA04E5" w:rsidRDefault="00F53196" w:rsidP="00CA0D72">
            <w:pPr>
              <w:pStyle w:val="Table"/>
              <w:ind w:right="-3"/>
            </w:pPr>
            <w:r w:rsidRPr="00BA04E5">
              <w:t>7 (35%)</w:t>
            </w:r>
          </w:p>
        </w:tc>
        <w:tc>
          <w:tcPr>
            <w:tcW w:w="1614" w:type="dxa"/>
          </w:tcPr>
          <w:p w14:paraId="172BA7EF" w14:textId="77777777" w:rsidR="00F53196" w:rsidRPr="00BA04E5" w:rsidRDefault="00F53196" w:rsidP="00CA0D72">
            <w:pPr>
              <w:pStyle w:val="Table"/>
              <w:ind w:right="-3"/>
            </w:pPr>
            <w:r w:rsidRPr="00BA04E5">
              <w:t>13 (3–29)</w:t>
            </w:r>
          </w:p>
        </w:tc>
        <w:tc>
          <w:tcPr>
            <w:tcW w:w="1360" w:type="dxa"/>
          </w:tcPr>
          <w:p w14:paraId="00D64A34" w14:textId="77777777" w:rsidR="00F53196" w:rsidRPr="00BA04E5" w:rsidRDefault="00F53196" w:rsidP="00CA0D72">
            <w:pPr>
              <w:pStyle w:val="Table"/>
              <w:ind w:right="-3"/>
            </w:pPr>
            <w:r w:rsidRPr="00BA04E5">
              <w:t>0 (0%)</w:t>
            </w:r>
          </w:p>
        </w:tc>
        <w:tc>
          <w:tcPr>
            <w:tcW w:w="1399" w:type="dxa"/>
          </w:tcPr>
          <w:p w14:paraId="37E96038" w14:textId="77777777" w:rsidR="00F53196" w:rsidRPr="00BA04E5" w:rsidRDefault="00F53196" w:rsidP="00CA0D72">
            <w:pPr>
              <w:pStyle w:val="Table"/>
              <w:ind w:right="-3"/>
            </w:pPr>
            <w:r w:rsidRPr="00BA04E5">
              <w:t xml:space="preserve">- </w:t>
            </w:r>
          </w:p>
        </w:tc>
        <w:tc>
          <w:tcPr>
            <w:tcW w:w="1000" w:type="dxa"/>
          </w:tcPr>
          <w:p w14:paraId="0F1D0815" w14:textId="77777777" w:rsidR="00F53196" w:rsidRPr="00BA04E5" w:rsidRDefault="00F53196" w:rsidP="00CA0D72">
            <w:pPr>
              <w:pStyle w:val="Table"/>
              <w:ind w:right="-3"/>
            </w:pPr>
            <w:r w:rsidRPr="00BA04E5">
              <w:t>0 (0%)</w:t>
            </w:r>
          </w:p>
        </w:tc>
      </w:tr>
      <w:tr w:rsidR="00F53196" w:rsidRPr="00BA04E5" w14:paraId="7CC3B071" w14:textId="77777777" w:rsidTr="00F53196">
        <w:tc>
          <w:tcPr>
            <w:tcW w:w="1186" w:type="dxa"/>
          </w:tcPr>
          <w:p w14:paraId="119EB93F" w14:textId="77777777" w:rsidR="00F53196" w:rsidRPr="00BA04E5" w:rsidRDefault="00F53196" w:rsidP="00CA0D72">
            <w:pPr>
              <w:pStyle w:val="Table"/>
              <w:ind w:right="-3"/>
            </w:pPr>
          </w:p>
        </w:tc>
        <w:tc>
          <w:tcPr>
            <w:tcW w:w="1399" w:type="dxa"/>
          </w:tcPr>
          <w:p w14:paraId="113567FA" w14:textId="77777777" w:rsidR="00F53196" w:rsidRPr="00BA04E5" w:rsidRDefault="00F53196" w:rsidP="00CA0D72">
            <w:pPr>
              <w:pStyle w:val="Table"/>
              <w:ind w:right="-3"/>
            </w:pPr>
            <w:r w:rsidRPr="00BA04E5">
              <w:t>Residential</w:t>
            </w:r>
          </w:p>
        </w:tc>
        <w:tc>
          <w:tcPr>
            <w:tcW w:w="1614" w:type="dxa"/>
          </w:tcPr>
          <w:p w14:paraId="48E29D3D" w14:textId="77777777" w:rsidR="00F53196" w:rsidRPr="00BA04E5" w:rsidRDefault="00F53196" w:rsidP="00CA0D72">
            <w:pPr>
              <w:pStyle w:val="Table"/>
              <w:ind w:right="-3"/>
            </w:pPr>
            <w:r w:rsidRPr="00BA04E5">
              <w:t>10 (71%)</w:t>
            </w:r>
          </w:p>
        </w:tc>
        <w:tc>
          <w:tcPr>
            <w:tcW w:w="1614" w:type="dxa"/>
          </w:tcPr>
          <w:p w14:paraId="38B70893" w14:textId="77777777" w:rsidR="00F53196" w:rsidRPr="00BA04E5" w:rsidRDefault="00F53196" w:rsidP="00CA0D72">
            <w:pPr>
              <w:pStyle w:val="Table"/>
              <w:ind w:right="-3"/>
            </w:pPr>
            <w:r w:rsidRPr="00BA04E5">
              <w:t>35 (9–53)</w:t>
            </w:r>
          </w:p>
        </w:tc>
        <w:tc>
          <w:tcPr>
            <w:tcW w:w="1360" w:type="dxa"/>
          </w:tcPr>
          <w:p w14:paraId="60D0B9F4" w14:textId="77777777" w:rsidR="00F53196" w:rsidRPr="00BA04E5" w:rsidRDefault="00F53196" w:rsidP="00CA0D72">
            <w:pPr>
              <w:pStyle w:val="Table"/>
              <w:ind w:right="-3"/>
            </w:pPr>
            <w:r w:rsidRPr="00BA04E5">
              <w:t>4 (25%)</w:t>
            </w:r>
          </w:p>
        </w:tc>
        <w:tc>
          <w:tcPr>
            <w:tcW w:w="1399" w:type="dxa"/>
          </w:tcPr>
          <w:p w14:paraId="427ABB94" w14:textId="77777777" w:rsidR="00F53196" w:rsidRPr="00BA04E5" w:rsidRDefault="00F53196" w:rsidP="00CA0D72">
            <w:pPr>
              <w:pStyle w:val="Table"/>
              <w:ind w:right="-3"/>
            </w:pPr>
            <w:r w:rsidRPr="00BA04E5">
              <w:t>9 (2–62)</w:t>
            </w:r>
          </w:p>
        </w:tc>
        <w:tc>
          <w:tcPr>
            <w:tcW w:w="1000" w:type="dxa"/>
          </w:tcPr>
          <w:p w14:paraId="797AF2DB" w14:textId="77777777" w:rsidR="00F53196" w:rsidRPr="00BA04E5" w:rsidRDefault="00F53196" w:rsidP="00CA0D72">
            <w:pPr>
              <w:pStyle w:val="Table"/>
              <w:ind w:right="-3"/>
            </w:pPr>
            <w:r w:rsidRPr="00BA04E5">
              <w:t>4 (25%)</w:t>
            </w:r>
          </w:p>
        </w:tc>
      </w:tr>
      <w:tr w:rsidR="00F53196" w:rsidRPr="00BA04E5" w14:paraId="540AD9A6" w14:textId="77777777" w:rsidTr="00F53196">
        <w:tc>
          <w:tcPr>
            <w:tcW w:w="1186" w:type="dxa"/>
          </w:tcPr>
          <w:p w14:paraId="7A54ED09" w14:textId="77777777" w:rsidR="00F53196" w:rsidRPr="00BA04E5" w:rsidRDefault="00F53196" w:rsidP="00CA0D72">
            <w:pPr>
              <w:pStyle w:val="Table"/>
              <w:ind w:right="-3"/>
            </w:pPr>
            <w:r w:rsidRPr="00BA04E5">
              <w:t>NSW</w:t>
            </w:r>
          </w:p>
        </w:tc>
        <w:tc>
          <w:tcPr>
            <w:tcW w:w="1399" w:type="dxa"/>
          </w:tcPr>
          <w:p w14:paraId="27167A91" w14:textId="77777777" w:rsidR="00F53196" w:rsidRPr="00BA04E5" w:rsidRDefault="00F53196" w:rsidP="00CA0D72">
            <w:pPr>
              <w:pStyle w:val="Table"/>
              <w:ind w:right="-3"/>
            </w:pPr>
            <w:r w:rsidRPr="00BA04E5">
              <w:t>Community</w:t>
            </w:r>
          </w:p>
        </w:tc>
        <w:tc>
          <w:tcPr>
            <w:tcW w:w="1614" w:type="dxa"/>
          </w:tcPr>
          <w:p w14:paraId="2468CFBD" w14:textId="77777777" w:rsidR="00F53196" w:rsidRPr="00BA04E5" w:rsidRDefault="00F53196" w:rsidP="00CA0D72">
            <w:pPr>
              <w:pStyle w:val="Table"/>
              <w:ind w:right="-3"/>
            </w:pPr>
            <w:r w:rsidRPr="00BA04E5">
              <w:t>167 (38%)</w:t>
            </w:r>
          </w:p>
        </w:tc>
        <w:tc>
          <w:tcPr>
            <w:tcW w:w="1614" w:type="dxa"/>
          </w:tcPr>
          <w:p w14:paraId="63F64EF0" w14:textId="77777777" w:rsidR="00F53196" w:rsidRPr="00BA04E5" w:rsidRDefault="00F53196" w:rsidP="00CA0D72">
            <w:pPr>
              <w:pStyle w:val="Table"/>
              <w:ind w:right="-3"/>
            </w:pPr>
            <w:r w:rsidRPr="00BA04E5">
              <w:t>13 (4–26)</w:t>
            </w:r>
          </w:p>
        </w:tc>
        <w:tc>
          <w:tcPr>
            <w:tcW w:w="1360" w:type="dxa"/>
          </w:tcPr>
          <w:p w14:paraId="7B3F3FC0" w14:textId="77777777" w:rsidR="00F53196" w:rsidRPr="00BA04E5" w:rsidRDefault="00F53196" w:rsidP="00CA0D72">
            <w:pPr>
              <w:pStyle w:val="Table"/>
              <w:ind w:right="-3"/>
            </w:pPr>
            <w:r w:rsidRPr="00BA04E5">
              <w:t>25 (5%)</w:t>
            </w:r>
          </w:p>
        </w:tc>
        <w:tc>
          <w:tcPr>
            <w:tcW w:w="1399" w:type="dxa"/>
          </w:tcPr>
          <w:p w14:paraId="447D9E8A" w14:textId="77777777" w:rsidR="00F53196" w:rsidRPr="00BA04E5" w:rsidRDefault="00F53196" w:rsidP="00CA0D72">
            <w:pPr>
              <w:pStyle w:val="Table"/>
              <w:ind w:right="-3"/>
            </w:pPr>
            <w:r w:rsidRPr="00BA04E5">
              <w:t>29 (14–54)</w:t>
            </w:r>
          </w:p>
        </w:tc>
        <w:tc>
          <w:tcPr>
            <w:tcW w:w="1000" w:type="dxa"/>
          </w:tcPr>
          <w:p w14:paraId="2237DC4A" w14:textId="77777777" w:rsidR="00F53196" w:rsidRPr="00BA04E5" w:rsidRDefault="00F53196" w:rsidP="00CA0D72">
            <w:pPr>
              <w:pStyle w:val="Table"/>
              <w:ind w:right="-3"/>
            </w:pPr>
            <w:r w:rsidRPr="00BA04E5">
              <w:t>26 (5%)</w:t>
            </w:r>
          </w:p>
        </w:tc>
      </w:tr>
      <w:tr w:rsidR="00F53196" w:rsidRPr="00BA04E5" w14:paraId="362CB66E" w14:textId="77777777" w:rsidTr="00F53196">
        <w:tc>
          <w:tcPr>
            <w:tcW w:w="1186" w:type="dxa"/>
          </w:tcPr>
          <w:p w14:paraId="3F4C9C2E" w14:textId="77777777" w:rsidR="00F53196" w:rsidRPr="00BA04E5" w:rsidRDefault="00F53196" w:rsidP="00CA0D72">
            <w:pPr>
              <w:pStyle w:val="Table"/>
              <w:ind w:right="-3"/>
            </w:pPr>
          </w:p>
        </w:tc>
        <w:tc>
          <w:tcPr>
            <w:tcW w:w="1399" w:type="dxa"/>
          </w:tcPr>
          <w:p w14:paraId="7910799B" w14:textId="77777777" w:rsidR="00F53196" w:rsidRPr="00BA04E5" w:rsidRDefault="00F53196" w:rsidP="00CA0D72">
            <w:pPr>
              <w:pStyle w:val="Table"/>
              <w:ind w:right="-3"/>
            </w:pPr>
            <w:r w:rsidRPr="00BA04E5">
              <w:t>Residential</w:t>
            </w:r>
          </w:p>
        </w:tc>
        <w:tc>
          <w:tcPr>
            <w:tcW w:w="1614" w:type="dxa"/>
          </w:tcPr>
          <w:p w14:paraId="08163AE7" w14:textId="77777777" w:rsidR="00F53196" w:rsidRPr="00BA04E5" w:rsidRDefault="00F53196" w:rsidP="00CA0D72">
            <w:pPr>
              <w:pStyle w:val="Table"/>
              <w:ind w:right="-3"/>
            </w:pPr>
            <w:r w:rsidRPr="00BA04E5">
              <w:t>28 (36%)</w:t>
            </w:r>
          </w:p>
        </w:tc>
        <w:tc>
          <w:tcPr>
            <w:tcW w:w="1614" w:type="dxa"/>
          </w:tcPr>
          <w:p w14:paraId="57DE72AE" w14:textId="77777777" w:rsidR="00F53196" w:rsidRPr="00BA04E5" w:rsidRDefault="00F53196" w:rsidP="00CA0D72">
            <w:pPr>
              <w:pStyle w:val="Table"/>
              <w:ind w:right="-3"/>
            </w:pPr>
            <w:r w:rsidRPr="00BA04E5">
              <w:t>12 (1–36)</w:t>
            </w:r>
          </w:p>
        </w:tc>
        <w:tc>
          <w:tcPr>
            <w:tcW w:w="1360" w:type="dxa"/>
          </w:tcPr>
          <w:p w14:paraId="0BE250FC" w14:textId="77777777" w:rsidR="00F53196" w:rsidRPr="00BA04E5" w:rsidRDefault="00F53196" w:rsidP="00CA0D72">
            <w:pPr>
              <w:pStyle w:val="Table"/>
              <w:ind w:right="-3"/>
            </w:pPr>
            <w:r w:rsidRPr="00BA04E5">
              <w:t>22 (23%)</w:t>
            </w:r>
          </w:p>
        </w:tc>
        <w:tc>
          <w:tcPr>
            <w:tcW w:w="1399" w:type="dxa"/>
          </w:tcPr>
          <w:p w14:paraId="044989E0" w14:textId="77777777" w:rsidR="00F53196" w:rsidRPr="00BA04E5" w:rsidRDefault="00F53196" w:rsidP="00CA0D72">
            <w:pPr>
              <w:pStyle w:val="Table"/>
              <w:ind w:right="-3"/>
            </w:pPr>
            <w:r w:rsidRPr="00BA04E5">
              <w:t>30 (15–43)</w:t>
            </w:r>
          </w:p>
        </w:tc>
        <w:tc>
          <w:tcPr>
            <w:tcW w:w="1000" w:type="dxa"/>
          </w:tcPr>
          <w:p w14:paraId="143AFDF1" w14:textId="77777777" w:rsidR="00F53196" w:rsidRPr="00BA04E5" w:rsidRDefault="00F53196" w:rsidP="00CA0D72">
            <w:pPr>
              <w:pStyle w:val="Table"/>
              <w:ind w:right="-3"/>
            </w:pPr>
            <w:r w:rsidRPr="00BA04E5">
              <w:t>8 (9%)</w:t>
            </w:r>
          </w:p>
        </w:tc>
      </w:tr>
      <w:tr w:rsidR="00F53196" w:rsidRPr="00BA04E5" w14:paraId="798BD782" w14:textId="77777777" w:rsidTr="00F53196">
        <w:tc>
          <w:tcPr>
            <w:tcW w:w="1186" w:type="dxa"/>
          </w:tcPr>
          <w:p w14:paraId="6C5F766C" w14:textId="77777777" w:rsidR="00F53196" w:rsidRPr="00BA04E5" w:rsidRDefault="00F53196" w:rsidP="00CA0D72">
            <w:pPr>
              <w:pStyle w:val="Table"/>
              <w:ind w:right="-3"/>
            </w:pPr>
            <w:r w:rsidRPr="00BA04E5">
              <w:t>NT</w:t>
            </w:r>
          </w:p>
        </w:tc>
        <w:tc>
          <w:tcPr>
            <w:tcW w:w="1399" w:type="dxa"/>
          </w:tcPr>
          <w:p w14:paraId="254EEC9F" w14:textId="77777777" w:rsidR="00F53196" w:rsidRPr="00BA04E5" w:rsidRDefault="00F53196" w:rsidP="00CA0D72">
            <w:pPr>
              <w:pStyle w:val="Table"/>
              <w:ind w:right="-3"/>
            </w:pPr>
            <w:r w:rsidRPr="00BA04E5">
              <w:t>Residential</w:t>
            </w:r>
          </w:p>
        </w:tc>
        <w:tc>
          <w:tcPr>
            <w:tcW w:w="1614" w:type="dxa"/>
          </w:tcPr>
          <w:p w14:paraId="5FD84C14" w14:textId="77777777" w:rsidR="00F53196" w:rsidRPr="00BA04E5" w:rsidRDefault="00F53196" w:rsidP="00CA0D72">
            <w:pPr>
              <w:pStyle w:val="Table"/>
              <w:ind w:right="-3"/>
            </w:pPr>
            <w:r w:rsidRPr="00BA04E5">
              <w:t>2 (25%)</w:t>
            </w:r>
          </w:p>
        </w:tc>
        <w:tc>
          <w:tcPr>
            <w:tcW w:w="1614" w:type="dxa"/>
          </w:tcPr>
          <w:p w14:paraId="07EB7D93" w14:textId="77777777" w:rsidR="00F53196" w:rsidRPr="00BA04E5" w:rsidRDefault="00F53196" w:rsidP="00CA0D72">
            <w:pPr>
              <w:pStyle w:val="Table"/>
              <w:ind w:right="-3"/>
            </w:pPr>
            <w:r w:rsidRPr="00BA04E5">
              <w:t xml:space="preserve">- </w:t>
            </w:r>
          </w:p>
        </w:tc>
        <w:tc>
          <w:tcPr>
            <w:tcW w:w="1360" w:type="dxa"/>
          </w:tcPr>
          <w:p w14:paraId="703D2FDD" w14:textId="77777777" w:rsidR="00F53196" w:rsidRPr="00BA04E5" w:rsidRDefault="00F53196" w:rsidP="00CA0D72">
            <w:pPr>
              <w:pStyle w:val="Table"/>
              <w:ind w:right="-3"/>
            </w:pPr>
            <w:r w:rsidRPr="00BA04E5">
              <w:t>1 (8%)</w:t>
            </w:r>
          </w:p>
        </w:tc>
        <w:tc>
          <w:tcPr>
            <w:tcW w:w="1399" w:type="dxa"/>
          </w:tcPr>
          <w:p w14:paraId="76622BB7" w14:textId="77777777" w:rsidR="00F53196" w:rsidRPr="00BA04E5" w:rsidRDefault="00F53196" w:rsidP="00CA0D72">
            <w:pPr>
              <w:pStyle w:val="Table"/>
              <w:ind w:right="-3"/>
            </w:pPr>
            <w:r w:rsidRPr="00BA04E5">
              <w:t xml:space="preserve">- </w:t>
            </w:r>
          </w:p>
        </w:tc>
        <w:tc>
          <w:tcPr>
            <w:tcW w:w="1000" w:type="dxa"/>
          </w:tcPr>
          <w:p w14:paraId="2F34040B" w14:textId="77777777" w:rsidR="00F53196" w:rsidRPr="00BA04E5" w:rsidRDefault="00F53196" w:rsidP="00CA0D72">
            <w:pPr>
              <w:pStyle w:val="Table"/>
              <w:ind w:right="-3"/>
            </w:pPr>
            <w:r w:rsidRPr="00BA04E5">
              <w:t>0 (0%)</w:t>
            </w:r>
          </w:p>
        </w:tc>
      </w:tr>
      <w:tr w:rsidR="00F53196" w:rsidRPr="00BA04E5" w14:paraId="2B065E6F" w14:textId="77777777" w:rsidTr="00F53196">
        <w:tc>
          <w:tcPr>
            <w:tcW w:w="1186" w:type="dxa"/>
          </w:tcPr>
          <w:p w14:paraId="04D79B4E" w14:textId="77777777" w:rsidR="00F53196" w:rsidRPr="00BA04E5" w:rsidRDefault="00F53196" w:rsidP="00CA0D72">
            <w:pPr>
              <w:pStyle w:val="Table"/>
              <w:ind w:right="-3"/>
            </w:pPr>
            <w:r w:rsidRPr="00BA04E5">
              <w:t>QLD</w:t>
            </w:r>
          </w:p>
        </w:tc>
        <w:tc>
          <w:tcPr>
            <w:tcW w:w="1399" w:type="dxa"/>
          </w:tcPr>
          <w:p w14:paraId="5E6DA33A" w14:textId="77777777" w:rsidR="00F53196" w:rsidRPr="00BA04E5" w:rsidRDefault="00F53196" w:rsidP="00CA0D72">
            <w:pPr>
              <w:pStyle w:val="Table"/>
              <w:ind w:right="-3"/>
            </w:pPr>
            <w:r w:rsidRPr="00BA04E5">
              <w:t>Community</w:t>
            </w:r>
          </w:p>
        </w:tc>
        <w:tc>
          <w:tcPr>
            <w:tcW w:w="1614" w:type="dxa"/>
          </w:tcPr>
          <w:p w14:paraId="2F1BC223" w14:textId="77777777" w:rsidR="00F53196" w:rsidRPr="00BA04E5" w:rsidRDefault="00F53196" w:rsidP="00CA0D72">
            <w:pPr>
              <w:pStyle w:val="Table"/>
              <w:ind w:right="-3"/>
            </w:pPr>
            <w:r w:rsidRPr="00BA04E5">
              <w:t>73 (34%)</w:t>
            </w:r>
          </w:p>
        </w:tc>
        <w:tc>
          <w:tcPr>
            <w:tcW w:w="1614" w:type="dxa"/>
          </w:tcPr>
          <w:p w14:paraId="56F378ED" w14:textId="77777777" w:rsidR="00F53196" w:rsidRPr="00BA04E5" w:rsidRDefault="00F53196" w:rsidP="00CA0D72">
            <w:pPr>
              <w:pStyle w:val="Table"/>
              <w:ind w:right="-3"/>
            </w:pPr>
            <w:r w:rsidRPr="00BA04E5">
              <w:t>10 (3–22)</w:t>
            </w:r>
          </w:p>
        </w:tc>
        <w:tc>
          <w:tcPr>
            <w:tcW w:w="1360" w:type="dxa"/>
          </w:tcPr>
          <w:p w14:paraId="55730F7C" w14:textId="77777777" w:rsidR="00F53196" w:rsidRPr="00BA04E5" w:rsidRDefault="00F53196" w:rsidP="00CA0D72">
            <w:pPr>
              <w:pStyle w:val="Table"/>
              <w:ind w:right="-3"/>
            </w:pPr>
            <w:r w:rsidRPr="00BA04E5">
              <w:t>5 (2%)</w:t>
            </w:r>
          </w:p>
        </w:tc>
        <w:tc>
          <w:tcPr>
            <w:tcW w:w="1399" w:type="dxa"/>
          </w:tcPr>
          <w:p w14:paraId="3A25FDC3" w14:textId="77777777" w:rsidR="00F53196" w:rsidRPr="00BA04E5" w:rsidRDefault="00F53196" w:rsidP="00CA0D72">
            <w:pPr>
              <w:pStyle w:val="Table"/>
              <w:ind w:right="-3"/>
            </w:pPr>
            <w:r w:rsidRPr="00BA04E5">
              <w:t>37 (6–42)</w:t>
            </w:r>
          </w:p>
        </w:tc>
        <w:tc>
          <w:tcPr>
            <w:tcW w:w="1000" w:type="dxa"/>
          </w:tcPr>
          <w:p w14:paraId="5E84E307" w14:textId="77777777" w:rsidR="00F53196" w:rsidRPr="00BA04E5" w:rsidRDefault="00F53196" w:rsidP="00CA0D72">
            <w:pPr>
              <w:pStyle w:val="Table"/>
              <w:ind w:right="-3"/>
            </w:pPr>
            <w:r w:rsidRPr="00BA04E5">
              <w:t>7 (3%)</w:t>
            </w:r>
          </w:p>
        </w:tc>
      </w:tr>
      <w:tr w:rsidR="00F53196" w:rsidRPr="00BA04E5" w14:paraId="05FCC03B" w14:textId="77777777" w:rsidTr="00F53196">
        <w:tc>
          <w:tcPr>
            <w:tcW w:w="1186" w:type="dxa"/>
          </w:tcPr>
          <w:p w14:paraId="2E618877" w14:textId="77777777" w:rsidR="00F53196" w:rsidRPr="00BA04E5" w:rsidRDefault="00F53196" w:rsidP="00CA0D72">
            <w:pPr>
              <w:pStyle w:val="Table"/>
              <w:ind w:right="-3"/>
            </w:pPr>
            <w:r w:rsidRPr="00BA04E5">
              <w:t>SA</w:t>
            </w:r>
          </w:p>
        </w:tc>
        <w:tc>
          <w:tcPr>
            <w:tcW w:w="1399" w:type="dxa"/>
          </w:tcPr>
          <w:p w14:paraId="6EBD0349" w14:textId="77777777" w:rsidR="00F53196" w:rsidRPr="00BA04E5" w:rsidRDefault="00F53196" w:rsidP="00CA0D72">
            <w:pPr>
              <w:pStyle w:val="Table"/>
              <w:ind w:right="-3"/>
            </w:pPr>
            <w:r w:rsidRPr="00BA04E5">
              <w:t>Community</w:t>
            </w:r>
          </w:p>
        </w:tc>
        <w:tc>
          <w:tcPr>
            <w:tcW w:w="1614" w:type="dxa"/>
          </w:tcPr>
          <w:p w14:paraId="6434015A" w14:textId="77777777" w:rsidR="00F53196" w:rsidRPr="00BA04E5" w:rsidRDefault="00F53196" w:rsidP="00CA0D72">
            <w:pPr>
              <w:pStyle w:val="Table"/>
              <w:ind w:right="-3"/>
            </w:pPr>
            <w:r w:rsidRPr="00BA04E5">
              <w:t>37 (40%)</w:t>
            </w:r>
          </w:p>
        </w:tc>
        <w:tc>
          <w:tcPr>
            <w:tcW w:w="1614" w:type="dxa"/>
          </w:tcPr>
          <w:p w14:paraId="3A24C0DF" w14:textId="77777777" w:rsidR="00F53196" w:rsidRPr="00BA04E5" w:rsidRDefault="00F53196" w:rsidP="00CA0D72">
            <w:pPr>
              <w:pStyle w:val="Table"/>
              <w:ind w:right="-3"/>
            </w:pPr>
            <w:r w:rsidRPr="00BA04E5">
              <w:t>9 (5–31)</w:t>
            </w:r>
          </w:p>
        </w:tc>
        <w:tc>
          <w:tcPr>
            <w:tcW w:w="1360" w:type="dxa"/>
          </w:tcPr>
          <w:p w14:paraId="2F08096C" w14:textId="77777777" w:rsidR="00F53196" w:rsidRPr="00BA04E5" w:rsidRDefault="00F53196" w:rsidP="00CA0D72">
            <w:pPr>
              <w:pStyle w:val="Table"/>
              <w:ind w:right="-3"/>
            </w:pPr>
            <w:r w:rsidRPr="00BA04E5">
              <w:t>6 (6%)</w:t>
            </w:r>
          </w:p>
        </w:tc>
        <w:tc>
          <w:tcPr>
            <w:tcW w:w="1399" w:type="dxa"/>
          </w:tcPr>
          <w:p w14:paraId="625E48FA" w14:textId="77777777" w:rsidR="00F53196" w:rsidRPr="00BA04E5" w:rsidRDefault="00F53196" w:rsidP="00CA0D72">
            <w:pPr>
              <w:pStyle w:val="Table"/>
              <w:ind w:right="-3"/>
            </w:pPr>
            <w:r w:rsidRPr="00BA04E5">
              <w:t>27 (3–39)</w:t>
            </w:r>
          </w:p>
        </w:tc>
        <w:tc>
          <w:tcPr>
            <w:tcW w:w="1000" w:type="dxa"/>
          </w:tcPr>
          <w:p w14:paraId="5622895E" w14:textId="77777777" w:rsidR="00F53196" w:rsidRPr="00BA04E5" w:rsidRDefault="00F53196" w:rsidP="00CA0D72">
            <w:pPr>
              <w:pStyle w:val="Table"/>
              <w:ind w:right="-3"/>
            </w:pPr>
            <w:r w:rsidRPr="00BA04E5">
              <w:t>5 (5%)</w:t>
            </w:r>
          </w:p>
        </w:tc>
      </w:tr>
      <w:tr w:rsidR="00F53196" w:rsidRPr="00BA04E5" w14:paraId="4011B536" w14:textId="77777777" w:rsidTr="00F53196">
        <w:tc>
          <w:tcPr>
            <w:tcW w:w="1186" w:type="dxa"/>
          </w:tcPr>
          <w:p w14:paraId="4C674C2F" w14:textId="77777777" w:rsidR="00F53196" w:rsidRPr="00BA04E5" w:rsidRDefault="00F53196" w:rsidP="00CA0D72">
            <w:pPr>
              <w:pStyle w:val="Table"/>
              <w:ind w:right="-3"/>
            </w:pPr>
          </w:p>
        </w:tc>
        <w:tc>
          <w:tcPr>
            <w:tcW w:w="1399" w:type="dxa"/>
          </w:tcPr>
          <w:p w14:paraId="31E27C1E" w14:textId="77777777" w:rsidR="00F53196" w:rsidRPr="00BA04E5" w:rsidRDefault="00F53196" w:rsidP="00CA0D72">
            <w:pPr>
              <w:pStyle w:val="Table"/>
              <w:ind w:right="-3"/>
            </w:pPr>
            <w:r w:rsidRPr="00BA04E5">
              <w:t>Residential</w:t>
            </w:r>
          </w:p>
        </w:tc>
        <w:tc>
          <w:tcPr>
            <w:tcW w:w="1614" w:type="dxa"/>
          </w:tcPr>
          <w:p w14:paraId="58C06AF5" w14:textId="77777777" w:rsidR="00F53196" w:rsidRPr="00BA04E5" w:rsidRDefault="00F53196" w:rsidP="00CA0D72">
            <w:pPr>
              <w:pStyle w:val="Table"/>
              <w:ind w:right="-3"/>
            </w:pPr>
            <w:r w:rsidRPr="00BA04E5">
              <w:t>39 (36%)</w:t>
            </w:r>
          </w:p>
        </w:tc>
        <w:tc>
          <w:tcPr>
            <w:tcW w:w="1614" w:type="dxa"/>
          </w:tcPr>
          <w:p w14:paraId="68D40D99" w14:textId="77777777" w:rsidR="00F53196" w:rsidRPr="00BA04E5" w:rsidRDefault="00F53196" w:rsidP="00CA0D72">
            <w:pPr>
              <w:pStyle w:val="Table"/>
              <w:ind w:right="-3"/>
            </w:pPr>
            <w:r w:rsidRPr="00BA04E5">
              <w:t>9 (4–27)</w:t>
            </w:r>
          </w:p>
        </w:tc>
        <w:tc>
          <w:tcPr>
            <w:tcW w:w="1360" w:type="dxa"/>
          </w:tcPr>
          <w:p w14:paraId="2A1A8332" w14:textId="77777777" w:rsidR="00F53196" w:rsidRPr="00BA04E5" w:rsidRDefault="00F53196" w:rsidP="00CA0D72">
            <w:pPr>
              <w:pStyle w:val="Table"/>
              <w:ind w:right="-3"/>
            </w:pPr>
            <w:r w:rsidRPr="00BA04E5">
              <w:t>37 (26%)</w:t>
            </w:r>
          </w:p>
        </w:tc>
        <w:tc>
          <w:tcPr>
            <w:tcW w:w="1399" w:type="dxa"/>
          </w:tcPr>
          <w:p w14:paraId="5627DC1F" w14:textId="77777777" w:rsidR="00F53196" w:rsidRPr="00BA04E5" w:rsidRDefault="00F53196" w:rsidP="00CA0D72">
            <w:pPr>
              <w:pStyle w:val="Table"/>
              <w:ind w:right="-3"/>
            </w:pPr>
            <w:r w:rsidRPr="00BA04E5">
              <w:t>28 (12–36)</w:t>
            </w:r>
          </w:p>
        </w:tc>
        <w:tc>
          <w:tcPr>
            <w:tcW w:w="1000" w:type="dxa"/>
          </w:tcPr>
          <w:p w14:paraId="52346BA0" w14:textId="77777777" w:rsidR="00F53196" w:rsidRPr="00BA04E5" w:rsidRDefault="00F53196" w:rsidP="00CA0D72">
            <w:pPr>
              <w:pStyle w:val="Table"/>
              <w:ind w:right="-3"/>
            </w:pPr>
            <w:r w:rsidRPr="00BA04E5">
              <w:t>10 (7%)</w:t>
            </w:r>
          </w:p>
        </w:tc>
      </w:tr>
      <w:tr w:rsidR="00F53196" w:rsidRPr="00BA04E5" w14:paraId="1030169D" w14:textId="77777777" w:rsidTr="00F53196">
        <w:tc>
          <w:tcPr>
            <w:tcW w:w="1186" w:type="dxa"/>
          </w:tcPr>
          <w:p w14:paraId="0261BB87" w14:textId="77777777" w:rsidR="00F53196" w:rsidRPr="00BA04E5" w:rsidRDefault="00F53196" w:rsidP="00CA0D72">
            <w:pPr>
              <w:pStyle w:val="Table"/>
              <w:ind w:right="-3"/>
            </w:pPr>
            <w:r w:rsidRPr="00BA04E5">
              <w:t>TAS</w:t>
            </w:r>
          </w:p>
        </w:tc>
        <w:tc>
          <w:tcPr>
            <w:tcW w:w="1399" w:type="dxa"/>
          </w:tcPr>
          <w:p w14:paraId="7A63D486" w14:textId="77777777" w:rsidR="00F53196" w:rsidRPr="00BA04E5" w:rsidRDefault="00F53196" w:rsidP="00CA0D72">
            <w:pPr>
              <w:pStyle w:val="Table"/>
              <w:ind w:right="-3"/>
            </w:pPr>
            <w:r w:rsidRPr="00BA04E5">
              <w:t>Community</w:t>
            </w:r>
          </w:p>
        </w:tc>
        <w:tc>
          <w:tcPr>
            <w:tcW w:w="1614" w:type="dxa"/>
          </w:tcPr>
          <w:p w14:paraId="62DD1882" w14:textId="77777777" w:rsidR="00F53196" w:rsidRPr="00BA04E5" w:rsidRDefault="00F53196" w:rsidP="00CA0D72">
            <w:pPr>
              <w:pStyle w:val="Table"/>
              <w:ind w:right="-3"/>
            </w:pPr>
            <w:r w:rsidRPr="00BA04E5">
              <w:t>21 (62%)</w:t>
            </w:r>
          </w:p>
        </w:tc>
        <w:tc>
          <w:tcPr>
            <w:tcW w:w="1614" w:type="dxa"/>
          </w:tcPr>
          <w:p w14:paraId="57021F59" w14:textId="77777777" w:rsidR="00F53196" w:rsidRPr="00BA04E5" w:rsidRDefault="00F53196" w:rsidP="00CA0D72">
            <w:pPr>
              <w:pStyle w:val="Table"/>
              <w:ind w:right="-3"/>
            </w:pPr>
            <w:r w:rsidRPr="00BA04E5">
              <w:t>12 (2–23)</w:t>
            </w:r>
          </w:p>
        </w:tc>
        <w:tc>
          <w:tcPr>
            <w:tcW w:w="1360" w:type="dxa"/>
          </w:tcPr>
          <w:p w14:paraId="0779774C" w14:textId="77777777" w:rsidR="00F53196" w:rsidRPr="00BA04E5" w:rsidRDefault="00F53196" w:rsidP="00CA0D72">
            <w:pPr>
              <w:pStyle w:val="Table"/>
              <w:ind w:right="-3"/>
            </w:pPr>
            <w:r w:rsidRPr="00BA04E5">
              <w:t>2 (6%)</w:t>
            </w:r>
          </w:p>
        </w:tc>
        <w:tc>
          <w:tcPr>
            <w:tcW w:w="1399" w:type="dxa"/>
          </w:tcPr>
          <w:p w14:paraId="59E2498B" w14:textId="77777777" w:rsidR="00F53196" w:rsidRPr="00BA04E5" w:rsidRDefault="00F53196" w:rsidP="00CA0D72">
            <w:pPr>
              <w:pStyle w:val="Table"/>
              <w:ind w:right="-3"/>
            </w:pPr>
            <w:r w:rsidRPr="00BA04E5">
              <w:t xml:space="preserve">- </w:t>
            </w:r>
          </w:p>
        </w:tc>
        <w:tc>
          <w:tcPr>
            <w:tcW w:w="1000" w:type="dxa"/>
          </w:tcPr>
          <w:p w14:paraId="592C3668" w14:textId="77777777" w:rsidR="00F53196" w:rsidRPr="00BA04E5" w:rsidRDefault="00F53196" w:rsidP="00CA0D72">
            <w:pPr>
              <w:pStyle w:val="Table"/>
              <w:ind w:right="-3"/>
            </w:pPr>
            <w:r w:rsidRPr="00BA04E5">
              <w:t>1 (3%)</w:t>
            </w:r>
          </w:p>
        </w:tc>
      </w:tr>
      <w:tr w:rsidR="00F53196" w:rsidRPr="00BA04E5" w14:paraId="13E0855E" w14:textId="77777777" w:rsidTr="00F53196">
        <w:tc>
          <w:tcPr>
            <w:tcW w:w="1186" w:type="dxa"/>
          </w:tcPr>
          <w:p w14:paraId="1FE04EEB" w14:textId="77777777" w:rsidR="00F53196" w:rsidRPr="00BA04E5" w:rsidRDefault="00F53196" w:rsidP="00CA0D72">
            <w:pPr>
              <w:pStyle w:val="Table"/>
              <w:ind w:right="-3"/>
            </w:pPr>
          </w:p>
        </w:tc>
        <w:tc>
          <w:tcPr>
            <w:tcW w:w="1399" w:type="dxa"/>
          </w:tcPr>
          <w:p w14:paraId="7B404497" w14:textId="77777777" w:rsidR="00F53196" w:rsidRPr="00BA04E5" w:rsidRDefault="00F53196" w:rsidP="00CA0D72">
            <w:pPr>
              <w:pStyle w:val="Table"/>
              <w:ind w:right="-3"/>
            </w:pPr>
            <w:r w:rsidRPr="00BA04E5">
              <w:t>Residential</w:t>
            </w:r>
          </w:p>
        </w:tc>
        <w:tc>
          <w:tcPr>
            <w:tcW w:w="1614" w:type="dxa"/>
          </w:tcPr>
          <w:p w14:paraId="6B945009" w14:textId="77777777" w:rsidR="00F53196" w:rsidRPr="00BA04E5" w:rsidRDefault="00F53196" w:rsidP="00CA0D72">
            <w:pPr>
              <w:pStyle w:val="Table"/>
              <w:ind w:right="-3"/>
            </w:pPr>
            <w:r w:rsidRPr="00BA04E5">
              <w:t>54 (93%)</w:t>
            </w:r>
          </w:p>
        </w:tc>
        <w:tc>
          <w:tcPr>
            <w:tcW w:w="1614" w:type="dxa"/>
          </w:tcPr>
          <w:p w14:paraId="33CF5AC9" w14:textId="77777777" w:rsidR="00F53196" w:rsidRPr="00BA04E5" w:rsidRDefault="00F53196" w:rsidP="00CA0D72">
            <w:pPr>
              <w:pStyle w:val="Table"/>
              <w:ind w:right="-3"/>
            </w:pPr>
            <w:r w:rsidRPr="00BA04E5">
              <w:t>52 (31–81)</w:t>
            </w:r>
          </w:p>
        </w:tc>
        <w:tc>
          <w:tcPr>
            <w:tcW w:w="1360" w:type="dxa"/>
          </w:tcPr>
          <w:p w14:paraId="34DAB20D" w14:textId="77777777" w:rsidR="00F53196" w:rsidRPr="00BA04E5" w:rsidRDefault="00F53196" w:rsidP="00CA0D72">
            <w:pPr>
              <w:pStyle w:val="Table"/>
              <w:ind w:right="-3"/>
            </w:pPr>
            <w:r w:rsidRPr="00BA04E5">
              <w:t>5 (9%)</w:t>
            </w:r>
          </w:p>
        </w:tc>
        <w:tc>
          <w:tcPr>
            <w:tcW w:w="1399" w:type="dxa"/>
          </w:tcPr>
          <w:p w14:paraId="44ED7F2E" w14:textId="77777777" w:rsidR="00F53196" w:rsidRPr="00BA04E5" w:rsidRDefault="00F53196" w:rsidP="00CA0D72">
            <w:pPr>
              <w:pStyle w:val="Table"/>
              <w:ind w:right="-3"/>
            </w:pPr>
            <w:r w:rsidRPr="00BA04E5">
              <w:t>45 (19–61)</w:t>
            </w:r>
          </w:p>
        </w:tc>
        <w:tc>
          <w:tcPr>
            <w:tcW w:w="1000" w:type="dxa"/>
          </w:tcPr>
          <w:p w14:paraId="6634D51C" w14:textId="77777777" w:rsidR="00F53196" w:rsidRPr="00BA04E5" w:rsidRDefault="00F53196" w:rsidP="00CA0D72">
            <w:pPr>
              <w:pStyle w:val="Table"/>
              <w:ind w:right="-3"/>
            </w:pPr>
            <w:r w:rsidRPr="00BA04E5">
              <w:t>3 (5%)</w:t>
            </w:r>
          </w:p>
        </w:tc>
      </w:tr>
      <w:tr w:rsidR="00F53196" w:rsidRPr="00BA04E5" w14:paraId="696B017E" w14:textId="77777777" w:rsidTr="00F53196">
        <w:tc>
          <w:tcPr>
            <w:tcW w:w="1186" w:type="dxa"/>
          </w:tcPr>
          <w:p w14:paraId="276913BC" w14:textId="77777777" w:rsidR="00F53196" w:rsidRPr="00BA04E5" w:rsidRDefault="00F53196" w:rsidP="00CA0D72">
            <w:pPr>
              <w:pStyle w:val="Table"/>
              <w:ind w:right="-3"/>
            </w:pPr>
            <w:r w:rsidRPr="00BA04E5">
              <w:t>VIC</w:t>
            </w:r>
          </w:p>
        </w:tc>
        <w:tc>
          <w:tcPr>
            <w:tcW w:w="1399" w:type="dxa"/>
          </w:tcPr>
          <w:p w14:paraId="0526C9B3" w14:textId="77777777" w:rsidR="00F53196" w:rsidRPr="00BA04E5" w:rsidRDefault="00F53196" w:rsidP="00CA0D72">
            <w:pPr>
              <w:pStyle w:val="Table"/>
              <w:ind w:right="-3"/>
            </w:pPr>
            <w:r w:rsidRPr="00BA04E5">
              <w:t>Community</w:t>
            </w:r>
          </w:p>
        </w:tc>
        <w:tc>
          <w:tcPr>
            <w:tcW w:w="1614" w:type="dxa"/>
          </w:tcPr>
          <w:p w14:paraId="3C14868F" w14:textId="77777777" w:rsidR="00F53196" w:rsidRPr="00BA04E5" w:rsidRDefault="00F53196" w:rsidP="00CA0D72">
            <w:pPr>
              <w:pStyle w:val="Table"/>
              <w:ind w:right="-3"/>
            </w:pPr>
            <w:r w:rsidRPr="00BA04E5">
              <w:t>68 (41%)</w:t>
            </w:r>
          </w:p>
        </w:tc>
        <w:tc>
          <w:tcPr>
            <w:tcW w:w="1614" w:type="dxa"/>
          </w:tcPr>
          <w:p w14:paraId="7A7AEE11" w14:textId="77777777" w:rsidR="00F53196" w:rsidRPr="00BA04E5" w:rsidRDefault="00F53196" w:rsidP="00CA0D72">
            <w:pPr>
              <w:pStyle w:val="Table"/>
              <w:ind w:right="-3"/>
            </w:pPr>
            <w:r w:rsidRPr="00BA04E5">
              <w:t>9 (3–20)</w:t>
            </w:r>
          </w:p>
        </w:tc>
        <w:tc>
          <w:tcPr>
            <w:tcW w:w="1360" w:type="dxa"/>
          </w:tcPr>
          <w:p w14:paraId="590C0560" w14:textId="77777777" w:rsidR="00F53196" w:rsidRPr="00BA04E5" w:rsidRDefault="00F53196" w:rsidP="00CA0D72">
            <w:pPr>
              <w:pStyle w:val="Table"/>
              <w:ind w:right="-3"/>
            </w:pPr>
            <w:r w:rsidRPr="00BA04E5">
              <w:t>8 (4%)</w:t>
            </w:r>
          </w:p>
        </w:tc>
        <w:tc>
          <w:tcPr>
            <w:tcW w:w="1399" w:type="dxa"/>
          </w:tcPr>
          <w:p w14:paraId="3D370FD0" w14:textId="77777777" w:rsidR="00F53196" w:rsidRPr="00BA04E5" w:rsidRDefault="00F53196" w:rsidP="00CA0D72">
            <w:pPr>
              <w:pStyle w:val="Table"/>
              <w:ind w:right="-3"/>
            </w:pPr>
            <w:r w:rsidRPr="00BA04E5">
              <w:t>22 (16–31)</w:t>
            </w:r>
          </w:p>
        </w:tc>
        <w:tc>
          <w:tcPr>
            <w:tcW w:w="1000" w:type="dxa"/>
          </w:tcPr>
          <w:p w14:paraId="04667389" w14:textId="77777777" w:rsidR="00F53196" w:rsidRPr="00BA04E5" w:rsidRDefault="00F53196" w:rsidP="00CA0D72">
            <w:pPr>
              <w:pStyle w:val="Table"/>
              <w:ind w:right="-3"/>
            </w:pPr>
            <w:r w:rsidRPr="00BA04E5">
              <w:t>12 (6%)</w:t>
            </w:r>
          </w:p>
        </w:tc>
      </w:tr>
      <w:tr w:rsidR="00F53196" w:rsidRPr="00BA04E5" w14:paraId="79825C10" w14:textId="77777777" w:rsidTr="00F53196">
        <w:tc>
          <w:tcPr>
            <w:tcW w:w="1186" w:type="dxa"/>
          </w:tcPr>
          <w:p w14:paraId="49253DDA" w14:textId="77777777" w:rsidR="00F53196" w:rsidRPr="00BA04E5" w:rsidRDefault="00F53196" w:rsidP="00CA0D72">
            <w:pPr>
              <w:pStyle w:val="Table"/>
              <w:ind w:right="-3"/>
            </w:pPr>
          </w:p>
        </w:tc>
        <w:tc>
          <w:tcPr>
            <w:tcW w:w="1399" w:type="dxa"/>
          </w:tcPr>
          <w:p w14:paraId="34C2B06F" w14:textId="77777777" w:rsidR="00F53196" w:rsidRPr="00BA04E5" w:rsidRDefault="00F53196" w:rsidP="00CA0D72">
            <w:pPr>
              <w:pStyle w:val="Table"/>
              <w:ind w:right="-3"/>
            </w:pPr>
            <w:r w:rsidRPr="00BA04E5">
              <w:t>Residential</w:t>
            </w:r>
          </w:p>
        </w:tc>
        <w:tc>
          <w:tcPr>
            <w:tcW w:w="1614" w:type="dxa"/>
          </w:tcPr>
          <w:p w14:paraId="2BF75CCE" w14:textId="77777777" w:rsidR="00F53196" w:rsidRPr="00BA04E5" w:rsidRDefault="00F53196" w:rsidP="00CA0D72">
            <w:pPr>
              <w:pStyle w:val="Table"/>
              <w:ind w:right="-3"/>
            </w:pPr>
            <w:r w:rsidRPr="00BA04E5">
              <w:t>123 (26%)</w:t>
            </w:r>
          </w:p>
        </w:tc>
        <w:tc>
          <w:tcPr>
            <w:tcW w:w="1614" w:type="dxa"/>
          </w:tcPr>
          <w:p w14:paraId="4BB01371" w14:textId="77777777" w:rsidR="00F53196" w:rsidRPr="00BA04E5" w:rsidRDefault="00F53196" w:rsidP="00CA0D72">
            <w:pPr>
              <w:pStyle w:val="Table"/>
              <w:ind w:right="-3"/>
            </w:pPr>
            <w:r w:rsidRPr="00BA04E5">
              <w:t>12 (4–23)</w:t>
            </w:r>
          </w:p>
        </w:tc>
        <w:tc>
          <w:tcPr>
            <w:tcW w:w="1360" w:type="dxa"/>
          </w:tcPr>
          <w:p w14:paraId="3CE6B044" w14:textId="77777777" w:rsidR="00F53196" w:rsidRPr="00BA04E5" w:rsidRDefault="00F53196" w:rsidP="00CA0D72">
            <w:pPr>
              <w:pStyle w:val="Table"/>
              <w:ind w:right="-3"/>
            </w:pPr>
            <w:r w:rsidRPr="00BA04E5">
              <w:t>378 (59%)</w:t>
            </w:r>
          </w:p>
        </w:tc>
        <w:tc>
          <w:tcPr>
            <w:tcW w:w="1399" w:type="dxa"/>
          </w:tcPr>
          <w:p w14:paraId="7904EEDA" w14:textId="77777777" w:rsidR="00F53196" w:rsidRPr="00BA04E5" w:rsidRDefault="00F53196" w:rsidP="00CA0D72">
            <w:pPr>
              <w:pStyle w:val="Table"/>
              <w:ind w:right="-3"/>
            </w:pPr>
            <w:r w:rsidRPr="00BA04E5">
              <w:t>49 (28–66)</w:t>
            </w:r>
          </w:p>
        </w:tc>
        <w:tc>
          <w:tcPr>
            <w:tcW w:w="1000" w:type="dxa"/>
          </w:tcPr>
          <w:p w14:paraId="4D4C0C58" w14:textId="77777777" w:rsidR="00F53196" w:rsidRPr="00BA04E5" w:rsidRDefault="00F53196" w:rsidP="00CA0D72">
            <w:pPr>
              <w:pStyle w:val="Table"/>
              <w:ind w:right="-3"/>
            </w:pPr>
            <w:r w:rsidRPr="00BA04E5">
              <w:t>111 (17%)</w:t>
            </w:r>
          </w:p>
        </w:tc>
      </w:tr>
      <w:tr w:rsidR="00F53196" w:rsidRPr="00BA04E5" w14:paraId="5BA66129" w14:textId="77777777" w:rsidTr="00F53196">
        <w:tc>
          <w:tcPr>
            <w:tcW w:w="1186" w:type="dxa"/>
          </w:tcPr>
          <w:p w14:paraId="1912D8B0" w14:textId="77777777" w:rsidR="00F53196" w:rsidRPr="00BA04E5" w:rsidRDefault="00F53196" w:rsidP="00CA0D72">
            <w:pPr>
              <w:pStyle w:val="Table"/>
              <w:ind w:right="-3"/>
            </w:pPr>
            <w:r w:rsidRPr="00BA04E5">
              <w:t>WA</w:t>
            </w:r>
          </w:p>
        </w:tc>
        <w:tc>
          <w:tcPr>
            <w:tcW w:w="1399" w:type="dxa"/>
          </w:tcPr>
          <w:p w14:paraId="030F899E" w14:textId="77777777" w:rsidR="00F53196" w:rsidRPr="00BA04E5" w:rsidRDefault="00F53196" w:rsidP="00CA0D72">
            <w:pPr>
              <w:pStyle w:val="Table"/>
              <w:ind w:right="-3"/>
            </w:pPr>
            <w:r w:rsidRPr="00BA04E5">
              <w:t>Community</w:t>
            </w:r>
          </w:p>
        </w:tc>
        <w:tc>
          <w:tcPr>
            <w:tcW w:w="1614" w:type="dxa"/>
          </w:tcPr>
          <w:p w14:paraId="061F364A" w14:textId="77777777" w:rsidR="00F53196" w:rsidRPr="00BA04E5" w:rsidRDefault="00F53196" w:rsidP="00CA0D72">
            <w:pPr>
              <w:pStyle w:val="Table"/>
              <w:ind w:right="-3"/>
            </w:pPr>
            <w:r w:rsidRPr="00BA04E5">
              <w:t>9 (26%)</w:t>
            </w:r>
          </w:p>
        </w:tc>
        <w:tc>
          <w:tcPr>
            <w:tcW w:w="1614" w:type="dxa"/>
          </w:tcPr>
          <w:p w14:paraId="767257B9" w14:textId="77777777" w:rsidR="00F53196" w:rsidRPr="00BA04E5" w:rsidRDefault="00F53196" w:rsidP="00CA0D72">
            <w:pPr>
              <w:pStyle w:val="Table"/>
              <w:ind w:right="-3"/>
            </w:pPr>
            <w:r w:rsidRPr="00BA04E5">
              <w:t>5 (2–40)</w:t>
            </w:r>
          </w:p>
        </w:tc>
        <w:tc>
          <w:tcPr>
            <w:tcW w:w="1360" w:type="dxa"/>
          </w:tcPr>
          <w:p w14:paraId="1B9C56CE" w14:textId="77777777" w:rsidR="00F53196" w:rsidRPr="00BA04E5" w:rsidRDefault="00F53196" w:rsidP="00CA0D72">
            <w:pPr>
              <w:pStyle w:val="Table"/>
              <w:ind w:right="-3"/>
            </w:pPr>
            <w:r w:rsidRPr="00BA04E5">
              <w:t>0 (0%)</w:t>
            </w:r>
          </w:p>
        </w:tc>
        <w:tc>
          <w:tcPr>
            <w:tcW w:w="1399" w:type="dxa"/>
          </w:tcPr>
          <w:p w14:paraId="57BADFBF" w14:textId="77777777" w:rsidR="00F53196" w:rsidRPr="00BA04E5" w:rsidRDefault="00F53196" w:rsidP="00CA0D72">
            <w:pPr>
              <w:pStyle w:val="Table"/>
              <w:ind w:right="-3"/>
            </w:pPr>
            <w:r w:rsidRPr="00BA04E5">
              <w:t xml:space="preserve">- </w:t>
            </w:r>
          </w:p>
        </w:tc>
        <w:tc>
          <w:tcPr>
            <w:tcW w:w="1000" w:type="dxa"/>
          </w:tcPr>
          <w:p w14:paraId="37268418" w14:textId="77777777" w:rsidR="00F53196" w:rsidRPr="00BA04E5" w:rsidRDefault="00F53196" w:rsidP="00CA0D72">
            <w:pPr>
              <w:pStyle w:val="Table"/>
              <w:ind w:right="-3"/>
            </w:pPr>
            <w:r w:rsidRPr="00BA04E5">
              <w:t>3 (9%)</w:t>
            </w:r>
          </w:p>
        </w:tc>
      </w:tr>
      <w:tr w:rsidR="00F53196" w:rsidRPr="00BA04E5" w14:paraId="1A1C9B32" w14:textId="77777777" w:rsidTr="00F53196">
        <w:tc>
          <w:tcPr>
            <w:tcW w:w="1186" w:type="dxa"/>
          </w:tcPr>
          <w:p w14:paraId="18EA56EF" w14:textId="77777777" w:rsidR="00F53196" w:rsidRPr="00BA04E5" w:rsidRDefault="00F53196" w:rsidP="00CA0D72">
            <w:pPr>
              <w:pStyle w:val="Table"/>
              <w:ind w:right="-3"/>
            </w:pPr>
          </w:p>
        </w:tc>
        <w:tc>
          <w:tcPr>
            <w:tcW w:w="1399" w:type="dxa"/>
          </w:tcPr>
          <w:p w14:paraId="7115DE05" w14:textId="77777777" w:rsidR="00F53196" w:rsidRPr="00BA04E5" w:rsidRDefault="00F53196" w:rsidP="00CA0D72">
            <w:pPr>
              <w:pStyle w:val="Table"/>
              <w:ind w:right="-3"/>
            </w:pPr>
            <w:r w:rsidRPr="00BA04E5">
              <w:t>Residential</w:t>
            </w:r>
          </w:p>
        </w:tc>
        <w:tc>
          <w:tcPr>
            <w:tcW w:w="1614" w:type="dxa"/>
          </w:tcPr>
          <w:p w14:paraId="6EF365CB" w14:textId="77777777" w:rsidR="00F53196" w:rsidRPr="00BA04E5" w:rsidRDefault="00F53196" w:rsidP="00CA0D72">
            <w:pPr>
              <w:pStyle w:val="Table"/>
              <w:ind w:right="-3"/>
            </w:pPr>
            <w:r w:rsidRPr="00BA04E5">
              <w:t>25 (44%)</w:t>
            </w:r>
          </w:p>
        </w:tc>
        <w:tc>
          <w:tcPr>
            <w:tcW w:w="1614" w:type="dxa"/>
          </w:tcPr>
          <w:p w14:paraId="0A94FFE1" w14:textId="77777777" w:rsidR="00F53196" w:rsidRPr="00BA04E5" w:rsidRDefault="00F53196" w:rsidP="00CA0D72">
            <w:pPr>
              <w:pStyle w:val="Table"/>
              <w:ind w:right="-3"/>
            </w:pPr>
            <w:r w:rsidRPr="00BA04E5">
              <w:t>31 (10–45)</w:t>
            </w:r>
          </w:p>
        </w:tc>
        <w:tc>
          <w:tcPr>
            <w:tcW w:w="1360" w:type="dxa"/>
          </w:tcPr>
          <w:p w14:paraId="11291A35" w14:textId="77777777" w:rsidR="00F53196" w:rsidRPr="00BA04E5" w:rsidRDefault="00F53196" w:rsidP="00CA0D72">
            <w:pPr>
              <w:pStyle w:val="Table"/>
              <w:ind w:right="-3"/>
            </w:pPr>
            <w:r w:rsidRPr="00BA04E5">
              <w:t>13 (23%)</w:t>
            </w:r>
          </w:p>
        </w:tc>
        <w:tc>
          <w:tcPr>
            <w:tcW w:w="1399" w:type="dxa"/>
          </w:tcPr>
          <w:p w14:paraId="70DF10F5" w14:textId="77777777" w:rsidR="00F53196" w:rsidRPr="00BA04E5" w:rsidRDefault="00F53196" w:rsidP="00CA0D72">
            <w:pPr>
              <w:pStyle w:val="Table"/>
              <w:ind w:right="-3"/>
            </w:pPr>
            <w:r w:rsidRPr="00BA04E5">
              <w:t>28 (8–47)</w:t>
            </w:r>
          </w:p>
        </w:tc>
        <w:tc>
          <w:tcPr>
            <w:tcW w:w="1000" w:type="dxa"/>
          </w:tcPr>
          <w:p w14:paraId="389A7F90" w14:textId="77777777" w:rsidR="00F53196" w:rsidRPr="00BA04E5" w:rsidRDefault="00F53196" w:rsidP="00CA0D72">
            <w:pPr>
              <w:pStyle w:val="Table"/>
              <w:ind w:right="-3"/>
            </w:pPr>
            <w:r w:rsidRPr="00BA04E5">
              <w:t>4 (7%)</w:t>
            </w:r>
          </w:p>
        </w:tc>
      </w:tr>
      <w:tr w:rsidR="00F53196" w:rsidRPr="00BA04E5" w14:paraId="64AD1EBB" w14:textId="77777777" w:rsidTr="00F53196">
        <w:tc>
          <w:tcPr>
            <w:tcW w:w="1186" w:type="dxa"/>
          </w:tcPr>
          <w:p w14:paraId="567A8582" w14:textId="77777777" w:rsidR="00F53196" w:rsidRPr="00BA04E5" w:rsidRDefault="00F53196" w:rsidP="00CA0D72">
            <w:pPr>
              <w:pStyle w:val="Table"/>
              <w:ind w:right="-3"/>
            </w:pPr>
            <w:r w:rsidRPr="00BA04E5">
              <w:t>National</w:t>
            </w:r>
          </w:p>
        </w:tc>
        <w:tc>
          <w:tcPr>
            <w:tcW w:w="1399" w:type="dxa"/>
          </w:tcPr>
          <w:p w14:paraId="3560BCD8" w14:textId="77777777" w:rsidR="00F53196" w:rsidRPr="00BA04E5" w:rsidRDefault="00F53196" w:rsidP="00CA0D72">
            <w:pPr>
              <w:pStyle w:val="Table"/>
              <w:ind w:right="-3"/>
            </w:pPr>
            <w:r w:rsidRPr="00BA04E5">
              <w:t>Community</w:t>
            </w:r>
          </w:p>
        </w:tc>
        <w:tc>
          <w:tcPr>
            <w:tcW w:w="1614" w:type="dxa"/>
          </w:tcPr>
          <w:p w14:paraId="5B398488" w14:textId="77777777" w:rsidR="00F53196" w:rsidRPr="00BA04E5" w:rsidRDefault="00F53196" w:rsidP="00CA0D72">
            <w:pPr>
              <w:pStyle w:val="Table"/>
              <w:ind w:right="-3"/>
            </w:pPr>
            <w:r w:rsidRPr="00BA04E5">
              <w:t>382 (38%)</w:t>
            </w:r>
          </w:p>
        </w:tc>
        <w:tc>
          <w:tcPr>
            <w:tcW w:w="1614" w:type="dxa"/>
          </w:tcPr>
          <w:p w14:paraId="489E3BFC" w14:textId="77777777" w:rsidR="00F53196" w:rsidRPr="00BA04E5" w:rsidRDefault="00F53196" w:rsidP="00CA0D72">
            <w:pPr>
              <w:pStyle w:val="Table"/>
              <w:ind w:right="-3"/>
            </w:pPr>
            <w:r w:rsidRPr="00BA04E5">
              <w:t>12 (4–25)</w:t>
            </w:r>
          </w:p>
        </w:tc>
        <w:tc>
          <w:tcPr>
            <w:tcW w:w="1360" w:type="dxa"/>
          </w:tcPr>
          <w:p w14:paraId="796FFF92" w14:textId="77777777" w:rsidR="00F53196" w:rsidRPr="00BA04E5" w:rsidRDefault="00F53196" w:rsidP="00CA0D72">
            <w:pPr>
              <w:pStyle w:val="Table"/>
              <w:ind w:right="-3"/>
            </w:pPr>
            <w:r w:rsidRPr="00BA04E5">
              <w:t>46 (4%)</w:t>
            </w:r>
          </w:p>
        </w:tc>
        <w:tc>
          <w:tcPr>
            <w:tcW w:w="1399" w:type="dxa"/>
          </w:tcPr>
          <w:p w14:paraId="58AC79C0" w14:textId="77777777" w:rsidR="00F53196" w:rsidRPr="00BA04E5" w:rsidRDefault="00F53196" w:rsidP="00CA0D72">
            <w:pPr>
              <w:pStyle w:val="Table"/>
              <w:ind w:right="-3"/>
            </w:pPr>
            <w:r w:rsidRPr="00BA04E5">
              <w:t>29 (14–44)</w:t>
            </w:r>
          </w:p>
        </w:tc>
        <w:tc>
          <w:tcPr>
            <w:tcW w:w="1000" w:type="dxa"/>
          </w:tcPr>
          <w:p w14:paraId="6BC7A260" w14:textId="77777777" w:rsidR="00F53196" w:rsidRPr="00BA04E5" w:rsidRDefault="00F53196" w:rsidP="00CA0D72">
            <w:pPr>
              <w:pStyle w:val="Table"/>
              <w:ind w:right="-3"/>
            </w:pPr>
            <w:r w:rsidRPr="00BA04E5">
              <w:t>54 (4%)</w:t>
            </w:r>
          </w:p>
        </w:tc>
      </w:tr>
      <w:tr w:rsidR="00F53196" w:rsidRPr="00BA04E5" w14:paraId="078381E3" w14:textId="77777777" w:rsidTr="00F53196">
        <w:tc>
          <w:tcPr>
            <w:tcW w:w="1186" w:type="dxa"/>
          </w:tcPr>
          <w:p w14:paraId="6080CE50" w14:textId="77777777" w:rsidR="00F53196" w:rsidRPr="00BA04E5" w:rsidRDefault="00F53196" w:rsidP="00CA0D72">
            <w:pPr>
              <w:pStyle w:val="Table"/>
              <w:ind w:right="-3"/>
            </w:pPr>
          </w:p>
        </w:tc>
        <w:tc>
          <w:tcPr>
            <w:tcW w:w="1399" w:type="dxa"/>
          </w:tcPr>
          <w:p w14:paraId="4877BFDC" w14:textId="77777777" w:rsidR="00F53196" w:rsidRPr="00BA04E5" w:rsidRDefault="00F53196" w:rsidP="00CA0D72">
            <w:pPr>
              <w:pStyle w:val="Table"/>
              <w:ind w:right="-3"/>
            </w:pPr>
            <w:r w:rsidRPr="00BA04E5">
              <w:t>Residential</w:t>
            </w:r>
          </w:p>
        </w:tc>
        <w:tc>
          <w:tcPr>
            <w:tcW w:w="1614" w:type="dxa"/>
          </w:tcPr>
          <w:p w14:paraId="35082ADF" w14:textId="77777777" w:rsidR="00F53196" w:rsidRPr="00BA04E5" w:rsidRDefault="00F53196" w:rsidP="00CA0D72">
            <w:pPr>
              <w:pStyle w:val="Table"/>
              <w:ind w:right="-3"/>
            </w:pPr>
            <w:r w:rsidRPr="00BA04E5">
              <w:t>283 (35%)</w:t>
            </w:r>
          </w:p>
        </w:tc>
        <w:tc>
          <w:tcPr>
            <w:tcW w:w="1614" w:type="dxa"/>
          </w:tcPr>
          <w:p w14:paraId="15617F96" w14:textId="77777777" w:rsidR="00F53196" w:rsidRPr="00BA04E5" w:rsidRDefault="00F53196" w:rsidP="00CA0D72">
            <w:pPr>
              <w:pStyle w:val="Table"/>
              <w:ind w:right="-3"/>
            </w:pPr>
            <w:r w:rsidRPr="00BA04E5">
              <w:t>17 (6–43)</w:t>
            </w:r>
          </w:p>
        </w:tc>
        <w:tc>
          <w:tcPr>
            <w:tcW w:w="1360" w:type="dxa"/>
          </w:tcPr>
          <w:p w14:paraId="58685769" w14:textId="77777777" w:rsidR="00F53196" w:rsidRPr="00BA04E5" w:rsidRDefault="00F53196" w:rsidP="00CA0D72">
            <w:pPr>
              <w:pStyle w:val="Table"/>
              <w:ind w:right="-3"/>
            </w:pPr>
            <w:r w:rsidRPr="00BA04E5">
              <w:t>460 (45%)</w:t>
            </w:r>
          </w:p>
        </w:tc>
        <w:tc>
          <w:tcPr>
            <w:tcW w:w="1399" w:type="dxa"/>
          </w:tcPr>
          <w:p w14:paraId="35EE40A5" w14:textId="77777777" w:rsidR="00F53196" w:rsidRPr="00BA04E5" w:rsidRDefault="00F53196" w:rsidP="00CA0D72">
            <w:pPr>
              <w:pStyle w:val="Table"/>
              <w:ind w:right="-3"/>
            </w:pPr>
            <w:r w:rsidRPr="00BA04E5">
              <w:t>45 (25–63)</w:t>
            </w:r>
          </w:p>
        </w:tc>
        <w:tc>
          <w:tcPr>
            <w:tcW w:w="1000" w:type="dxa"/>
          </w:tcPr>
          <w:p w14:paraId="1032CA31" w14:textId="77777777" w:rsidR="00F53196" w:rsidRPr="00A15E37" w:rsidRDefault="00F53196" w:rsidP="00CA0D72">
            <w:pPr>
              <w:pStyle w:val="Table"/>
              <w:ind w:right="-3"/>
            </w:pPr>
            <w:r w:rsidRPr="00BA04E5">
              <w:t>141 (14%)</w:t>
            </w:r>
          </w:p>
        </w:tc>
      </w:tr>
    </w:tbl>
    <w:p w14:paraId="5B1A8AE6" w14:textId="77777777" w:rsidR="00A15E37" w:rsidRPr="00A15E37" w:rsidRDefault="00A15E37" w:rsidP="00CA0D72">
      <w:pPr>
        <w:pStyle w:val="Table"/>
        <w:ind w:right="-3"/>
      </w:pPr>
    </w:p>
    <w:p w14:paraId="199CFDC0" w14:textId="1E1142AD" w:rsidR="008A6475" w:rsidRDefault="003A0CBE" w:rsidP="00F53196">
      <w:pPr>
        <w:pStyle w:val="Heading4"/>
      </w:pPr>
      <w:r w:rsidRPr="003A0CBE">
        <w:t>Table 3.7: Hospital readmissions, residential aged care admissions, and deaths for Transition Care recipients at six months post ACAT approval</w:t>
      </w:r>
    </w:p>
    <w:tbl>
      <w:tblPr>
        <w:tblStyle w:val="TableGrid"/>
        <w:tblW w:w="0" w:type="auto"/>
        <w:tblLook w:val="01E0" w:firstRow="1" w:lastRow="1" w:firstColumn="1" w:lastColumn="1" w:noHBand="0" w:noVBand="0"/>
        <w:tblDescription w:val="Table 3.7: Hospital readmissions, residential aged care admissions, and deaths for Transition Care recipients at six months post ACAT approval"/>
      </w:tblPr>
      <w:tblGrid>
        <w:gridCol w:w="1186"/>
        <w:gridCol w:w="1375"/>
        <w:gridCol w:w="1614"/>
        <w:gridCol w:w="1614"/>
        <w:gridCol w:w="1360"/>
        <w:gridCol w:w="1380"/>
        <w:gridCol w:w="1043"/>
      </w:tblGrid>
      <w:tr w:rsidR="00F53196" w:rsidRPr="008A6475" w14:paraId="12B70E9B" w14:textId="77777777" w:rsidTr="00F53196">
        <w:trPr>
          <w:tblHeader/>
        </w:trPr>
        <w:tc>
          <w:tcPr>
            <w:tcW w:w="1186" w:type="dxa"/>
          </w:tcPr>
          <w:p w14:paraId="184EC13E" w14:textId="7C4BAEFF" w:rsidR="00F53196" w:rsidRPr="008A6475" w:rsidRDefault="00F53196" w:rsidP="00CA0D72">
            <w:pPr>
              <w:pStyle w:val="Table"/>
              <w:ind w:right="-3"/>
            </w:pPr>
            <w:r>
              <w:rPr>
                <w:b/>
              </w:rPr>
              <w:t>State Territory</w:t>
            </w:r>
          </w:p>
        </w:tc>
        <w:tc>
          <w:tcPr>
            <w:tcW w:w="1375" w:type="dxa"/>
          </w:tcPr>
          <w:p w14:paraId="2058244B" w14:textId="7E857680" w:rsidR="00F53196" w:rsidRPr="008A6475" w:rsidRDefault="00F53196" w:rsidP="00CA0D72">
            <w:pPr>
              <w:pStyle w:val="Table"/>
              <w:ind w:right="-3"/>
            </w:pPr>
            <w:r w:rsidRPr="00BA04E5">
              <w:rPr>
                <w:b/>
              </w:rPr>
              <w:t>TC Recipient</w:t>
            </w:r>
          </w:p>
        </w:tc>
        <w:tc>
          <w:tcPr>
            <w:tcW w:w="1614" w:type="dxa"/>
          </w:tcPr>
          <w:p w14:paraId="707510A2" w14:textId="61201518" w:rsidR="00F53196" w:rsidRPr="008A6475" w:rsidRDefault="00F53196" w:rsidP="00CA0D72">
            <w:pPr>
              <w:pStyle w:val="Table"/>
              <w:ind w:right="-3"/>
            </w:pPr>
            <w:r w:rsidRPr="00BA04E5">
              <w:rPr>
                <w:b/>
              </w:rPr>
              <w:t xml:space="preserve">Hospital </w:t>
            </w:r>
            <w:proofErr w:type="gramStart"/>
            <w:r w:rsidRPr="00BA04E5">
              <w:rPr>
                <w:b/>
              </w:rPr>
              <w:t xml:space="preserve">Readmissions </w:t>
            </w:r>
            <w:r>
              <w:rPr>
                <w:b/>
              </w:rPr>
              <w:t xml:space="preserve"> -</w:t>
            </w:r>
            <w:proofErr w:type="gramEnd"/>
            <w:r>
              <w:rPr>
                <w:b/>
              </w:rPr>
              <w:t xml:space="preserve"> </w:t>
            </w:r>
            <w:r w:rsidRPr="00BA04E5">
              <w:rPr>
                <w:b/>
              </w:rPr>
              <w:t>n (%)</w:t>
            </w:r>
          </w:p>
        </w:tc>
        <w:tc>
          <w:tcPr>
            <w:tcW w:w="1614" w:type="dxa"/>
          </w:tcPr>
          <w:p w14:paraId="560C0A51" w14:textId="26D618A8" w:rsidR="00F53196" w:rsidRPr="008A6475" w:rsidRDefault="00F53196" w:rsidP="00CA0D72">
            <w:pPr>
              <w:pStyle w:val="Table"/>
              <w:ind w:right="-3"/>
            </w:pPr>
            <w:r w:rsidRPr="00BA04E5">
              <w:rPr>
                <w:b/>
              </w:rPr>
              <w:t xml:space="preserve">Hospital Readmissions </w:t>
            </w:r>
            <w:r>
              <w:rPr>
                <w:b/>
              </w:rPr>
              <w:t xml:space="preserve"> - </w:t>
            </w:r>
            <w:r w:rsidRPr="00BA04E5">
              <w:rPr>
                <w:b/>
              </w:rPr>
              <w:t>LOS (IQR)</w:t>
            </w:r>
          </w:p>
        </w:tc>
        <w:tc>
          <w:tcPr>
            <w:tcW w:w="1360" w:type="dxa"/>
          </w:tcPr>
          <w:p w14:paraId="26F49BD2" w14:textId="7E7C9DD3" w:rsidR="00F53196" w:rsidRPr="008A6475" w:rsidRDefault="00F53196" w:rsidP="00CA0D72">
            <w:pPr>
              <w:pStyle w:val="Table"/>
              <w:ind w:right="-3"/>
            </w:pPr>
            <w:r w:rsidRPr="00BA04E5">
              <w:rPr>
                <w:b/>
              </w:rPr>
              <w:t>Residential Aged Care</w:t>
            </w:r>
            <w:r>
              <w:rPr>
                <w:b/>
              </w:rPr>
              <w:t xml:space="preserve"> - </w:t>
            </w:r>
            <w:r w:rsidRPr="00BA04E5">
              <w:rPr>
                <w:b/>
              </w:rPr>
              <w:t>n (%)</w:t>
            </w:r>
          </w:p>
        </w:tc>
        <w:tc>
          <w:tcPr>
            <w:tcW w:w="1380" w:type="dxa"/>
          </w:tcPr>
          <w:p w14:paraId="110A8B54" w14:textId="0DBF9BB8" w:rsidR="00F53196" w:rsidRPr="008A6475" w:rsidRDefault="00F53196" w:rsidP="00CA0D72">
            <w:pPr>
              <w:pStyle w:val="Table"/>
              <w:ind w:right="-3"/>
            </w:pPr>
            <w:r w:rsidRPr="00BA04E5">
              <w:rPr>
                <w:b/>
              </w:rPr>
              <w:t>Residential Aged Care</w:t>
            </w:r>
            <w:r>
              <w:rPr>
                <w:b/>
              </w:rPr>
              <w:t xml:space="preserve"> - </w:t>
            </w:r>
            <w:r w:rsidRPr="00BA04E5">
              <w:rPr>
                <w:b/>
              </w:rPr>
              <w:t>LOS (IQR)</w:t>
            </w:r>
          </w:p>
        </w:tc>
        <w:tc>
          <w:tcPr>
            <w:tcW w:w="1043" w:type="dxa"/>
          </w:tcPr>
          <w:p w14:paraId="5C8FC64B" w14:textId="0AC5A342" w:rsidR="00F53196" w:rsidRPr="008A6475" w:rsidRDefault="00F53196" w:rsidP="00CA0D72">
            <w:pPr>
              <w:pStyle w:val="Table"/>
              <w:ind w:right="-3"/>
            </w:pPr>
            <w:r w:rsidRPr="00BA04E5">
              <w:rPr>
                <w:b/>
              </w:rPr>
              <w:t xml:space="preserve">Dead at Three </w:t>
            </w:r>
            <w:proofErr w:type="gramStart"/>
            <w:r w:rsidRPr="00BA04E5">
              <w:rPr>
                <w:b/>
              </w:rPr>
              <w:t xml:space="preserve">Months </w:t>
            </w:r>
            <w:r>
              <w:rPr>
                <w:b/>
              </w:rPr>
              <w:t xml:space="preserve"> -</w:t>
            </w:r>
            <w:proofErr w:type="gramEnd"/>
            <w:r>
              <w:rPr>
                <w:b/>
              </w:rPr>
              <w:t xml:space="preserve"> </w:t>
            </w:r>
            <w:r w:rsidRPr="00BA04E5">
              <w:rPr>
                <w:b/>
              </w:rPr>
              <w:t>n (%)</w:t>
            </w:r>
          </w:p>
        </w:tc>
      </w:tr>
      <w:tr w:rsidR="00BA04E5" w:rsidRPr="008A6475" w14:paraId="32A42C0A" w14:textId="77777777" w:rsidTr="00F53196">
        <w:tc>
          <w:tcPr>
            <w:tcW w:w="1186" w:type="dxa"/>
          </w:tcPr>
          <w:p w14:paraId="2ED6AA5C" w14:textId="77777777" w:rsidR="00BA04E5" w:rsidRPr="008A6475" w:rsidRDefault="00BA04E5" w:rsidP="00CA0D72">
            <w:pPr>
              <w:pStyle w:val="Table"/>
              <w:ind w:right="-3"/>
            </w:pPr>
            <w:r w:rsidRPr="008A6475">
              <w:t>ACT</w:t>
            </w:r>
          </w:p>
        </w:tc>
        <w:tc>
          <w:tcPr>
            <w:tcW w:w="1375" w:type="dxa"/>
          </w:tcPr>
          <w:p w14:paraId="7C5259F2" w14:textId="77777777" w:rsidR="00BA04E5" w:rsidRPr="008A6475" w:rsidRDefault="00BA04E5" w:rsidP="00CA0D72">
            <w:pPr>
              <w:pStyle w:val="Table"/>
              <w:ind w:right="-3"/>
            </w:pPr>
            <w:r w:rsidRPr="008A6475">
              <w:t>Community</w:t>
            </w:r>
          </w:p>
        </w:tc>
        <w:tc>
          <w:tcPr>
            <w:tcW w:w="1614" w:type="dxa"/>
          </w:tcPr>
          <w:p w14:paraId="7E518089" w14:textId="77777777" w:rsidR="00BA04E5" w:rsidRPr="008A6475" w:rsidRDefault="00BA04E5" w:rsidP="00CA0D72">
            <w:pPr>
              <w:pStyle w:val="Table"/>
              <w:ind w:right="-3"/>
            </w:pPr>
            <w:r w:rsidRPr="008A6475">
              <w:t>12 (60%)</w:t>
            </w:r>
          </w:p>
        </w:tc>
        <w:tc>
          <w:tcPr>
            <w:tcW w:w="1614" w:type="dxa"/>
          </w:tcPr>
          <w:p w14:paraId="17BD1011" w14:textId="77777777" w:rsidR="00BA04E5" w:rsidRPr="008A6475" w:rsidRDefault="00BA04E5" w:rsidP="00CA0D72">
            <w:pPr>
              <w:pStyle w:val="Table"/>
              <w:ind w:right="-3"/>
            </w:pPr>
            <w:r w:rsidRPr="008A6475">
              <w:t>13 (5–51)</w:t>
            </w:r>
          </w:p>
        </w:tc>
        <w:tc>
          <w:tcPr>
            <w:tcW w:w="1360" w:type="dxa"/>
          </w:tcPr>
          <w:p w14:paraId="4B1E1F3C" w14:textId="77777777" w:rsidR="00BA04E5" w:rsidRPr="008A6475" w:rsidRDefault="00BA04E5" w:rsidP="00CA0D72">
            <w:pPr>
              <w:pStyle w:val="Table"/>
              <w:ind w:right="-3"/>
            </w:pPr>
            <w:r w:rsidRPr="008A6475">
              <w:t>1 (4%)</w:t>
            </w:r>
          </w:p>
        </w:tc>
        <w:tc>
          <w:tcPr>
            <w:tcW w:w="1380" w:type="dxa"/>
          </w:tcPr>
          <w:p w14:paraId="5DA13070" w14:textId="77777777" w:rsidR="00BA04E5" w:rsidRPr="008A6475" w:rsidRDefault="00BA04E5" w:rsidP="00CA0D72">
            <w:pPr>
              <w:pStyle w:val="Table"/>
              <w:ind w:right="-3"/>
            </w:pPr>
            <w:r w:rsidRPr="008A6475">
              <w:t xml:space="preserve">- </w:t>
            </w:r>
          </w:p>
        </w:tc>
        <w:tc>
          <w:tcPr>
            <w:tcW w:w="1043" w:type="dxa"/>
          </w:tcPr>
          <w:p w14:paraId="0BCC2B42" w14:textId="77777777" w:rsidR="00BA04E5" w:rsidRPr="008A6475" w:rsidRDefault="00BA04E5" w:rsidP="00CA0D72">
            <w:pPr>
              <w:pStyle w:val="Table"/>
              <w:ind w:right="-3"/>
            </w:pPr>
            <w:r w:rsidRPr="008A6475">
              <w:t>2 (8%)</w:t>
            </w:r>
          </w:p>
        </w:tc>
      </w:tr>
      <w:tr w:rsidR="00BA04E5" w:rsidRPr="008A6475" w14:paraId="15261D8F" w14:textId="77777777" w:rsidTr="00F53196">
        <w:tc>
          <w:tcPr>
            <w:tcW w:w="1186" w:type="dxa"/>
          </w:tcPr>
          <w:p w14:paraId="5F3A43CA" w14:textId="4B8B43EB" w:rsidR="00BA04E5" w:rsidRPr="008A6475" w:rsidRDefault="00F53196" w:rsidP="00CA0D72">
            <w:pPr>
              <w:pStyle w:val="Table"/>
              <w:ind w:right="-3"/>
            </w:pPr>
            <w:r w:rsidRPr="008A6475">
              <w:t>ACT</w:t>
            </w:r>
          </w:p>
        </w:tc>
        <w:tc>
          <w:tcPr>
            <w:tcW w:w="1375" w:type="dxa"/>
          </w:tcPr>
          <w:p w14:paraId="59477326" w14:textId="77777777" w:rsidR="00BA04E5" w:rsidRPr="008A6475" w:rsidRDefault="00BA04E5" w:rsidP="00CA0D72">
            <w:pPr>
              <w:pStyle w:val="Table"/>
              <w:ind w:right="-3"/>
            </w:pPr>
            <w:r w:rsidRPr="008A6475">
              <w:t>Residential</w:t>
            </w:r>
          </w:p>
        </w:tc>
        <w:tc>
          <w:tcPr>
            <w:tcW w:w="1614" w:type="dxa"/>
          </w:tcPr>
          <w:p w14:paraId="25195FAF" w14:textId="77777777" w:rsidR="00BA04E5" w:rsidRPr="008A6475" w:rsidRDefault="00BA04E5" w:rsidP="00CA0D72">
            <w:pPr>
              <w:pStyle w:val="Table"/>
              <w:ind w:right="-3"/>
            </w:pPr>
            <w:r w:rsidRPr="008A6475">
              <w:t>10 (71%)</w:t>
            </w:r>
          </w:p>
        </w:tc>
        <w:tc>
          <w:tcPr>
            <w:tcW w:w="1614" w:type="dxa"/>
          </w:tcPr>
          <w:p w14:paraId="59787F1C" w14:textId="77777777" w:rsidR="00BA04E5" w:rsidRPr="008A6475" w:rsidRDefault="00BA04E5" w:rsidP="00CA0D72">
            <w:pPr>
              <w:pStyle w:val="Table"/>
              <w:ind w:right="-3"/>
            </w:pPr>
            <w:r w:rsidRPr="008A6475">
              <w:t>35 (10–55)</w:t>
            </w:r>
          </w:p>
        </w:tc>
        <w:tc>
          <w:tcPr>
            <w:tcW w:w="1360" w:type="dxa"/>
          </w:tcPr>
          <w:p w14:paraId="7EB13A66" w14:textId="77777777" w:rsidR="00BA04E5" w:rsidRPr="008A6475" w:rsidRDefault="00BA04E5" w:rsidP="00CA0D72">
            <w:pPr>
              <w:pStyle w:val="Table"/>
              <w:ind w:right="-3"/>
            </w:pPr>
            <w:r w:rsidRPr="008A6475">
              <w:t>7 (44%)</w:t>
            </w:r>
          </w:p>
        </w:tc>
        <w:tc>
          <w:tcPr>
            <w:tcW w:w="1380" w:type="dxa"/>
          </w:tcPr>
          <w:p w14:paraId="701A441A" w14:textId="77777777" w:rsidR="00BA04E5" w:rsidRPr="008A6475" w:rsidRDefault="00BA04E5" w:rsidP="00CA0D72">
            <w:pPr>
              <w:pStyle w:val="Table"/>
              <w:ind w:right="-3"/>
            </w:pPr>
            <w:r w:rsidRPr="008A6475">
              <w:t>70 (28–91)</w:t>
            </w:r>
          </w:p>
        </w:tc>
        <w:tc>
          <w:tcPr>
            <w:tcW w:w="1043" w:type="dxa"/>
          </w:tcPr>
          <w:p w14:paraId="3AB38C9C" w14:textId="77777777" w:rsidR="00BA04E5" w:rsidRPr="008A6475" w:rsidRDefault="00BA04E5" w:rsidP="00CA0D72">
            <w:pPr>
              <w:pStyle w:val="Table"/>
              <w:ind w:right="-3"/>
            </w:pPr>
            <w:r w:rsidRPr="008A6475">
              <w:t>6 (38%)</w:t>
            </w:r>
          </w:p>
        </w:tc>
      </w:tr>
      <w:tr w:rsidR="00BA04E5" w:rsidRPr="008A6475" w14:paraId="4AC5C4DF" w14:textId="77777777" w:rsidTr="00F53196">
        <w:tc>
          <w:tcPr>
            <w:tcW w:w="1186" w:type="dxa"/>
          </w:tcPr>
          <w:p w14:paraId="7248A51A" w14:textId="77777777" w:rsidR="00BA04E5" w:rsidRPr="008A6475" w:rsidRDefault="00BA04E5" w:rsidP="00CA0D72">
            <w:pPr>
              <w:pStyle w:val="Table"/>
              <w:ind w:right="-3"/>
            </w:pPr>
            <w:r w:rsidRPr="008A6475">
              <w:t>NSW</w:t>
            </w:r>
          </w:p>
        </w:tc>
        <w:tc>
          <w:tcPr>
            <w:tcW w:w="1375" w:type="dxa"/>
          </w:tcPr>
          <w:p w14:paraId="67F2D273" w14:textId="77777777" w:rsidR="00BA04E5" w:rsidRPr="008A6475" w:rsidRDefault="00BA04E5" w:rsidP="00CA0D72">
            <w:pPr>
              <w:pStyle w:val="Table"/>
              <w:ind w:right="-3"/>
            </w:pPr>
            <w:r w:rsidRPr="008A6475">
              <w:t>Community</w:t>
            </w:r>
          </w:p>
        </w:tc>
        <w:tc>
          <w:tcPr>
            <w:tcW w:w="1614" w:type="dxa"/>
          </w:tcPr>
          <w:p w14:paraId="6980774B" w14:textId="77777777" w:rsidR="00BA04E5" w:rsidRPr="008A6475" w:rsidRDefault="00BA04E5" w:rsidP="00CA0D72">
            <w:pPr>
              <w:pStyle w:val="Table"/>
              <w:ind w:right="-3"/>
            </w:pPr>
            <w:r w:rsidRPr="008A6475">
              <w:t>217 (50%)</w:t>
            </w:r>
          </w:p>
        </w:tc>
        <w:tc>
          <w:tcPr>
            <w:tcW w:w="1614" w:type="dxa"/>
          </w:tcPr>
          <w:p w14:paraId="006D5935" w14:textId="77777777" w:rsidR="00BA04E5" w:rsidRPr="008A6475" w:rsidRDefault="00BA04E5" w:rsidP="00CA0D72">
            <w:pPr>
              <w:pStyle w:val="Table"/>
              <w:ind w:right="-3"/>
            </w:pPr>
            <w:r w:rsidRPr="008A6475">
              <w:t>17 (6–35)</w:t>
            </w:r>
          </w:p>
        </w:tc>
        <w:tc>
          <w:tcPr>
            <w:tcW w:w="1360" w:type="dxa"/>
          </w:tcPr>
          <w:p w14:paraId="7E03FB60" w14:textId="77777777" w:rsidR="00BA04E5" w:rsidRPr="008A6475" w:rsidRDefault="00BA04E5" w:rsidP="00CA0D72">
            <w:pPr>
              <w:pStyle w:val="Table"/>
              <w:ind w:right="-3"/>
            </w:pPr>
            <w:r w:rsidRPr="008A6475">
              <w:t>48 (9%)</w:t>
            </w:r>
          </w:p>
        </w:tc>
        <w:tc>
          <w:tcPr>
            <w:tcW w:w="1380" w:type="dxa"/>
          </w:tcPr>
          <w:p w14:paraId="79CF89C2" w14:textId="77777777" w:rsidR="00BA04E5" w:rsidRPr="008A6475" w:rsidRDefault="00BA04E5" w:rsidP="00CA0D72">
            <w:pPr>
              <w:pStyle w:val="Table"/>
              <w:ind w:right="-3"/>
            </w:pPr>
            <w:r w:rsidRPr="008A6475">
              <w:t>89 (47–120)</w:t>
            </w:r>
          </w:p>
        </w:tc>
        <w:tc>
          <w:tcPr>
            <w:tcW w:w="1043" w:type="dxa"/>
          </w:tcPr>
          <w:p w14:paraId="29E4D4D5" w14:textId="77777777" w:rsidR="00BA04E5" w:rsidRPr="008A6475" w:rsidRDefault="00BA04E5" w:rsidP="00CA0D72">
            <w:pPr>
              <w:pStyle w:val="Table"/>
              <w:ind w:right="-3"/>
            </w:pPr>
            <w:r w:rsidRPr="008A6475">
              <w:t>49 (9%)</w:t>
            </w:r>
          </w:p>
        </w:tc>
      </w:tr>
      <w:tr w:rsidR="00BA04E5" w:rsidRPr="008A6475" w14:paraId="0DA46051" w14:textId="77777777" w:rsidTr="00F53196">
        <w:tc>
          <w:tcPr>
            <w:tcW w:w="1186" w:type="dxa"/>
          </w:tcPr>
          <w:p w14:paraId="201E8285" w14:textId="59F80684" w:rsidR="00BA04E5" w:rsidRPr="008A6475" w:rsidRDefault="00F53196" w:rsidP="00CA0D72">
            <w:pPr>
              <w:pStyle w:val="Table"/>
              <w:ind w:right="-3"/>
            </w:pPr>
            <w:r w:rsidRPr="008A6475">
              <w:lastRenderedPageBreak/>
              <w:t>NSW</w:t>
            </w:r>
          </w:p>
        </w:tc>
        <w:tc>
          <w:tcPr>
            <w:tcW w:w="1375" w:type="dxa"/>
          </w:tcPr>
          <w:p w14:paraId="4D81E42F" w14:textId="77777777" w:rsidR="00BA04E5" w:rsidRPr="008A6475" w:rsidRDefault="00BA04E5" w:rsidP="00CA0D72">
            <w:pPr>
              <w:pStyle w:val="Table"/>
              <w:ind w:right="-3"/>
            </w:pPr>
            <w:r w:rsidRPr="008A6475">
              <w:t>Residential</w:t>
            </w:r>
          </w:p>
        </w:tc>
        <w:tc>
          <w:tcPr>
            <w:tcW w:w="1614" w:type="dxa"/>
          </w:tcPr>
          <w:p w14:paraId="0B1BBDF0" w14:textId="77777777" w:rsidR="00BA04E5" w:rsidRPr="008A6475" w:rsidRDefault="00BA04E5" w:rsidP="00CA0D72">
            <w:pPr>
              <w:pStyle w:val="Table"/>
              <w:ind w:right="-3"/>
            </w:pPr>
            <w:r w:rsidRPr="008A6475">
              <w:t>36 (47%)</w:t>
            </w:r>
          </w:p>
        </w:tc>
        <w:tc>
          <w:tcPr>
            <w:tcW w:w="1614" w:type="dxa"/>
          </w:tcPr>
          <w:p w14:paraId="42525204" w14:textId="77777777" w:rsidR="00BA04E5" w:rsidRPr="008A6475" w:rsidRDefault="00BA04E5" w:rsidP="00CA0D72">
            <w:pPr>
              <w:pStyle w:val="Table"/>
              <w:ind w:right="-3"/>
            </w:pPr>
            <w:r w:rsidRPr="008A6475">
              <w:t>16 (4–45)</w:t>
            </w:r>
          </w:p>
        </w:tc>
        <w:tc>
          <w:tcPr>
            <w:tcW w:w="1360" w:type="dxa"/>
          </w:tcPr>
          <w:p w14:paraId="6B213546" w14:textId="77777777" w:rsidR="00BA04E5" w:rsidRPr="008A6475" w:rsidRDefault="00BA04E5" w:rsidP="00CA0D72">
            <w:pPr>
              <w:pStyle w:val="Table"/>
              <w:ind w:right="-3"/>
            </w:pPr>
            <w:r w:rsidRPr="008A6475">
              <w:t>36 (38%)</w:t>
            </w:r>
          </w:p>
        </w:tc>
        <w:tc>
          <w:tcPr>
            <w:tcW w:w="1380" w:type="dxa"/>
          </w:tcPr>
          <w:p w14:paraId="7405A5C1" w14:textId="77777777" w:rsidR="00BA04E5" w:rsidRPr="008A6475" w:rsidRDefault="00BA04E5" w:rsidP="00CA0D72">
            <w:pPr>
              <w:pStyle w:val="Table"/>
              <w:ind w:right="-3"/>
            </w:pPr>
            <w:r w:rsidRPr="008A6475">
              <w:t>94 (43–124)</w:t>
            </w:r>
          </w:p>
        </w:tc>
        <w:tc>
          <w:tcPr>
            <w:tcW w:w="1043" w:type="dxa"/>
          </w:tcPr>
          <w:p w14:paraId="17B4C98A" w14:textId="77777777" w:rsidR="00BA04E5" w:rsidRPr="008A6475" w:rsidRDefault="00BA04E5" w:rsidP="00CA0D72">
            <w:pPr>
              <w:pStyle w:val="Table"/>
              <w:ind w:right="-3"/>
            </w:pPr>
            <w:r w:rsidRPr="008A6475">
              <w:t>16 (17%)</w:t>
            </w:r>
          </w:p>
        </w:tc>
      </w:tr>
      <w:tr w:rsidR="00BA04E5" w:rsidRPr="008A6475" w14:paraId="01703251" w14:textId="77777777" w:rsidTr="00F53196">
        <w:tc>
          <w:tcPr>
            <w:tcW w:w="1186" w:type="dxa"/>
          </w:tcPr>
          <w:p w14:paraId="760FCB34" w14:textId="77777777" w:rsidR="00BA04E5" w:rsidRPr="008A6475" w:rsidRDefault="00BA04E5" w:rsidP="00CA0D72">
            <w:pPr>
              <w:pStyle w:val="Table"/>
              <w:ind w:right="-3"/>
            </w:pPr>
            <w:r w:rsidRPr="008A6475">
              <w:t>NT</w:t>
            </w:r>
          </w:p>
        </w:tc>
        <w:tc>
          <w:tcPr>
            <w:tcW w:w="1375" w:type="dxa"/>
          </w:tcPr>
          <w:p w14:paraId="56F38A8B" w14:textId="77777777" w:rsidR="00BA04E5" w:rsidRPr="008A6475" w:rsidRDefault="00BA04E5" w:rsidP="00CA0D72">
            <w:pPr>
              <w:pStyle w:val="Table"/>
              <w:ind w:right="-3"/>
            </w:pPr>
            <w:r w:rsidRPr="008A6475">
              <w:t>Residential</w:t>
            </w:r>
          </w:p>
        </w:tc>
        <w:tc>
          <w:tcPr>
            <w:tcW w:w="1614" w:type="dxa"/>
          </w:tcPr>
          <w:p w14:paraId="5816CBB0" w14:textId="77777777" w:rsidR="00BA04E5" w:rsidRPr="008A6475" w:rsidRDefault="00BA04E5" w:rsidP="00CA0D72">
            <w:pPr>
              <w:pStyle w:val="Table"/>
              <w:ind w:right="-3"/>
            </w:pPr>
            <w:r w:rsidRPr="008A6475">
              <w:t>2 (25%)</w:t>
            </w:r>
          </w:p>
        </w:tc>
        <w:tc>
          <w:tcPr>
            <w:tcW w:w="1614" w:type="dxa"/>
          </w:tcPr>
          <w:p w14:paraId="7D910CEE" w14:textId="77777777" w:rsidR="00BA04E5" w:rsidRPr="008A6475" w:rsidRDefault="00BA04E5" w:rsidP="00CA0D72">
            <w:pPr>
              <w:pStyle w:val="Table"/>
              <w:ind w:right="-3"/>
            </w:pPr>
            <w:r w:rsidRPr="008A6475">
              <w:t xml:space="preserve">  -</w:t>
            </w:r>
          </w:p>
        </w:tc>
        <w:tc>
          <w:tcPr>
            <w:tcW w:w="1360" w:type="dxa"/>
          </w:tcPr>
          <w:p w14:paraId="40A9F92D" w14:textId="77777777" w:rsidR="00BA04E5" w:rsidRPr="008A6475" w:rsidRDefault="00BA04E5" w:rsidP="00CA0D72">
            <w:pPr>
              <w:pStyle w:val="Table"/>
              <w:ind w:right="-3"/>
            </w:pPr>
            <w:r w:rsidRPr="008A6475">
              <w:t>(0%)</w:t>
            </w:r>
          </w:p>
        </w:tc>
        <w:tc>
          <w:tcPr>
            <w:tcW w:w="1380" w:type="dxa"/>
          </w:tcPr>
          <w:p w14:paraId="53C910C8" w14:textId="77777777" w:rsidR="00BA04E5" w:rsidRPr="008A6475" w:rsidRDefault="00BA04E5" w:rsidP="00CA0D72">
            <w:pPr>
              <w:pStyle w:val="Table"/>
              <w:ind w:right="-3"/>
            </w:pPr>
            <w:r w:rsidRPr="008A6475">
              <w:t>-</w:t>
            </w:r>
          </w:p>
        </w:tc>
        <w:tc>
          <w:tcPr>
            <w:tcW w:w="1043" w:type="dxa"/>
          </w:tcPr>
          <w:p w14:paraId="6395B5E6" w14:textId="77777777" w:rsidR="00BA04E5" w:rsidRPr="008A6475" w:rsidRDefault="00BA04E5" w:rsidP="00CA0D72">
            <w:pPr>
              <w:pStyle w:val="Table"/>
              <w:ind w:right="-3"/>
            </w:pPr>
            <w:r w:rsidRPr="008A6475">
              <w:t>1 (8%)</w:t>
            </w:r>
          </w:p>
        </w:tc>
      </w:tr>
      <w:tr w:rsidR="00BA04E5" w:rsidRPr="008A6475" w14:paraId="54DCF081" w14:textId="77777777" w:rsidTr="00F53196">
        <w:tc>
          <w:tcPr>
            <w:tcW w:w="1186" w:type="dxa"/>
          </w:tcPr>
          <w:p w14:paraId="48470745" w14:textId="77777777" w:rsidR="00BA04E5" w:rsidRPr="008A6475" w:rsidRDefault="00BA04E5" w:rsidP="00CA0D72">
            <w:pPr>
              <w:pStyle w:val="Table"/>
              <w:ind w:right="-3"/>
            </w:pPr>
            <w:r w:rsidRPr="008A6475">
              <w:t>QLD</w:t>
            </w:r>
          </w:p>
        </w:tc>
        <w:tc>
          <w:tcPr>
            <w:tcW w:w="1375" w:type="dxa"/>
          </w:tcPr>
          <w:p w14:paraId="67EEC499" w14:textId="77777777" w:rsidR="00BA04E5" w:rsidRPr="008A6475" w:rsidRDefault="00BA04E5" w:rsidP="00CA0D72">
            <w:pPr>
              <w:pStyle w:val="Table"/>
              <w:ind w:right="-3"/>
            </w:pPr>
            <w:r w:rsidRPr="008A6475">
              <w:t>Community</w:t>
            </w:r>
          </w:p>
        </w:tc>
        <w:tc>
          <w:tcPr>
            <w:tcW w:w="1614" w:type="dxa"/>
          </w:tcPr>
          <w:p w14:paraId="4DF9016A" w14:textId="77777777" w:rsidR="00BA04E5" w:rsidRPr="008A6475" w:rsidRDefault="00BA04E5" w:rsidP="00CA0D72">
            <w:pPr>
              <w:pStyle w:val="Table"/>
              <w:ind w:right="-3"/>
            </w:pPr>
            <w:r w:rsidRPr="008A6475">
              <w:t>98 (46%)</w:t>
            </w:r>
          </w:p>
        </w:tc>
        <w:tc>
          <w:tcPr>
            <w:tcW w:w="1614" w:type="dxa"/>
          </w:tcPr>
          <w:p w14:paraId="64B8258F" w14:textId="77777777" w:rsidR="00BA04E5" w:rsidRPr="008A6475" w:rsidRDefault="00BA04E5" w:rsidP="00CA0D72">
            <w:pPr>
              <w:pStyle w:val="Table"/>
              <w:ind w:right="-3"/>
            </w:pPr>
            <w:r w:rsidRPr="008A6475">
              <w:t>6 (2–22)</w:t>
            </w:r>
          </w:p>
        </w:tc>
        <w:tc>
          <w:tcPr>
            <w:tcW w:w="1360" w:type="dxa"/>
          </w:tcPr>
          <w:p w14:paraId="0785C7ED" w14:textId="77777777" w:rsidR="00BA04E5" w:rsidRPr="008A6475" w:rsidRDefault="00BA04E5" w:rsidP="00CA0D72">
            <w:pPr>
              <w:pStyle w:val="Table"/>
              <w:ind w:right="-3"/>
            </w:pPr>
            <w:r w:rsidRPr="008A6475">
              <w:t>13 (5%)</w:t>
            </w:r>
          </w:p>
        </w:tc>
        <w:tc>
          <w:tcPr>
            <w:tcW w:w="1380" w:type="dxa"/>
          </w:tcPr>
          <w:p w14:paraId="325394EF" w14:textId="77777777" w:rsidR="00BA04E5" w:rsidRPr="008A6475" w:rsidRDefault="00BA04E5" w:rsidP="00CA0D72">
            <w:pPr>
              <w:pStyle w:val="Table"/>
              <w:ind w:right="-3"/>
            </w:pPr>
            <w:r w:rsidRPr="008A6475">
              <w:t>77 (43–97)</w:t>
            </w:r>
          </w:p>
        </w:tc>
        <w:tc>
          <w:tcPr>
            <w:tcW w:w="1043" w:type="dxa"/>
          </w:tcPr>
          <w:p w14:paraId="4B855364" w14:textId="77777777" w:rsidR="00BA04E5" w:rsidRPr="008A6475" w:rsidRDefault="00BA04E5" w:rsidP="00CA0D72">
            <w:pPr>
              <w:pStyle w:val="Table"/>
              <w:ind w:right="-3"/>
            </w:pPr>
            <w:r w:rsidRPr="008A6475">
              <w:t>15 (6%)</w:t>
            </w:r>
          </w:p>
        </w:tc>
      </w:tr>
      <w:tr w:rsidR="00BA04E5" w:rsidRPr="008A6475" w14:paraId="664190A2" w14:textId="77777777" w:rsidTr="00F53196">
        <w:tc>
          <w:tcPr>
            <w:tcW w:w="1186" w:type="dxa"/>
          </w:tcPr>
          <w:p w14:paraId="3B036226" w14:textId="77777777" w:rsidR="00BA04E5" w:rsidRPr="008A6475" w:rsidRDefault="00BA04E5" w:rsidP="00CA0D72">
            <w:pPr>
              <w:pStyle w:val="Table"/>
              <w:ind w:right="-3"/>
            </w:pPr>
            <w:r w:rsidRPr="008A6475">
              <w:t>SA</w:t>
            </w:r>
          </w:p>
        </w:tc>
        <w:tc>
          <w:tcPr>
            <w:tcW w:w="1375" w:type="dxa"/>
          </w:tcPr>
          <w:p w14:paraId="0BD92B1E" w14:textId="77777777" w:rsidR="00BA04E5" w:rsidRPr="008A6475" w:rsidRDefault="00BA04E5" w:rsidP="00CA0D72">
            <w:pPr>
              <w:pStyle w:val="Table"/>
              <w:ind w:right="-3"/>
            </w:pPr>
            <w:r w:rsidRPr="008A6475">
              <w:t>Community</w:t>
            </w:r>
          </w:p>
        </w:tc>
        <w:tc>
          <w:tcPr>
            <w:tcW w:w="1614" w:type="dxa"/>
          </w:tcPr>
          <w:p w14:paraId="2557D32D" w14:textId="77777777" w:rsidR="00BA04E5" w:rsidRPr="008A6475" w:rsidRDefault="00BA04E5" w:rsidP="00CA0D72">
            <w:pPr>
              <w:pStyle w:val="Table"/>
              <w:ind w:right="-3"/>
            </w:pPr>
            <w:r w:rsidRPr="008A6475">
              <w:t>45 (48%)</w:t>
            </w:r>
          </w:p>
        </w:tc>
        <w:tc>
          <w:tcPr>
            <w:tcW w:w="1614" w:type="dxa"/>
          </w:tcPr>
          <w:p w14:paraId="354D1E72" w14:textId="77777777" w:rsidR="00BA04E5" w:rsidRPr="008A6475" w:rsidRDefault="00BA04E5" w:rsidP="00CA0D72">
            <w:pPr>
              <w:pStyle w:val="Table"/>
              <w:ind w:right="-3"/>
            </w:pPr>
            <w:r w:rsidRPr="008A6475">
              <w:t>9 (5–27)</w:t>
            </w:r>
          </w:p>
        </w:tc>
        <w:tc>
          <w:tcPr>
            <w:tcW w:w="1360" w:type="dxa"/>
          </w:tcPr>
          <w:p w14:paraId="6A95BE9F" w14:textId="77777777" w:rsidR="00BA04E5" w:rsidRPr="008A6475" w:rsidRDefault="00BA04E5" w:rsidP="00CA0D72">
            <w:pPr>
              <w:pStyle w:val="Table"/>
              <w:ind w:right="-3"/>
            </w:pPr>
            <w:r w:rsidRPr="008A6475">
              <w:t>7 (6%)</w:t>
            </w:r>
          </w:p>
        </w:tc>
        <w:tc>
          <w:tcPr>
            <w:tcW w:w="1380" w:type="dxa"/>
          </w:tcPr>
          <w:p w14:paraId="0DBED758" w14:textId="77777777" w:rsidR="00BA04E5" w:rsidRPr="008A6475" w:rsidRDefault="00BA04E5" w:rsidP="00CA0D72">
            <w:pPr>
              <w:pStyle w:val="Table"/>
              <w:ind w:right="-3"/>
            </w:pPr>
            <w:r w:rsidRPr="008A6475">
              <w:t>95 (67–127)</w:t>
            </w:r>
          </w:p>
        </w:tc>
        <w:tc>
          <w:tcPr>
            <w:tcW w:w="1043" w:type="dxa"/>
          </w:tcPr>
          <w:p w14:paraId="6D580EED" w14:textId="77777777" w:rsidR="00BA04E5" w:rsidRPr="008A6475" w:rsidRDefault="00BA04E5" w:rsidP="00CA0D72">
            <w:pPr>
              <w:pStyle w:val="Table"/>
              <w:ind w:right="-3"/>
            </w:pPr>
            <w:r w:rsidRPr="008A6475">
              <w:t>11 (10%)</w:t>
            </w:r>
          </w:p>
        </w:tc>
      </w:tr>
      <w:tr w:rsidR="00BA04E5" w:rsidRPr="008A6475" w14:paraId="4872FB01" w14:textId="77777777" w:rsidTr="00F53196">
        <w:tc>
          <w:tcPr>
            <w:tcW w:w="1186" w:type="dxa"/>
          </w:tcPr>
          <w:p w14:paraId="7C567E53" w14:textId="754BD363" w:rsidR="00BA04E5" w:rsidRPr="008A6475" w:rsidRDefault="00F53196" w:rsidP="00CA0D72">
            <w:pPr>
              <w:pStyle w:val="Table"/>
              <w:ind w:right="-3"/>
            </w:pPr>
            <w:r w:rsidRPr="008A6475">
              <w:t>SA</w:t>
            </w:r>
          </w:p>
        </w:tc>
        <w:tc>
          <w:tcPr>
            <w:tcW w:w="1375" w:type="dxa"/>
          </w:tcPr>
          <w:p w14:paraId="1D393070" w14:textId="77777777" w:rsidR="00BA04E5" w:rsidRPr="008A6475" w:rsidRDefault="00BA04E5" w:rsidP="00CA0D72">
            <w:pPr>
              <w:pStyle w:val="Table"/>
              <w:ind w:right="-3"/>
            </w:pPr>
            <w:r w:rsidRPr="008A6475">
              <w:t>Residential</w:t>
            </w:r>
          </w:p>
        </w:tc>
        <w:tc>
          <w:tcPr>
            <w:tcW w:w="1614" w:type="dxa"/>
          </w:tcPr>
          <w:p w14:paraId="3603FCF3" w14:textId="77777777" w:rsidR="00BA04E5" w:rsidRPr="008A6475" w:rsidRDefault="00BA04E5" w:rsidP="00CA0D72">
            <w:pPr>
              <w:pStyle w:val="Table"/>
              <w:ind w:right="-3"/>
            </w:pPr>
            <w:r w:rsidRPr="008A6475">
              <w:t>51 (47%)</w:t>
            </w:r>
          </w:p>
        </w:tc>
        <w:tc>
          <w:tcPr>
            <w:tcW w:w="1614" w:type="dxa"/>
          </w:tcPr>
          <w:p w14:paraId="520BBBF6" w14:textId="77777777" w:rsidR="00BA04E5" w:rsidRPr="008A6475" w:rsidRDefault="00BA04E5" w:rsidP="00CA0D72">
            <w:pPr>
              <w:pStyle w:val="Table"/>
              <w:ind w:right="-3"/>
            </w:pPr>
            <w:r w:rsidRPr="008A6475">
              <w:t>9 (3–27)</w:t>
            </w:r>
          </w:p>
        </w:tc>
        <w:tc>
          <w:tcPr>
            <w:tcW w:w="1360" w:type="dxa"/>
          </w:tcPr>
          <w:p w14:paraId="2736A35C" w14:textId="77777777" w:rsidR="00BA04E5" w:rsidRPr="008A6475" w:rsidRDefault="00BA04E5" w:rsidP="00CA0D72">
            <w:pPr>
              <w:pStyle w:val="Table"/>
              <w:ind w:right="-3"/>
            </w:pPr>
            <w:r w:rsidRPr="008A6475">
              <w:t>65 (46%)</w:t>
            </w:r>
          </w:p>
        </w:tc>
        <w:tc>
          <w:tcPr>
            <w:tcW w:w="1380" w:type="dxa"/>
          </w:tcPr>
          <w:p w14:paraId="7625D5D6" w14:textId="77777777" w:rsidR="00BA04E5" w:rsidRPr="008A6475" w:rsidRDefault="00BA04E5" w:rsidP="00CA0D72">
            <w:pPr>
              <w:pStyle w:val="Table"/>
              <w:ind w:right="-3"/>
            </w:pPr>
            <w:r w:rsidRPr="008A6475">
              <w:t>91 (50–119)</w:t>
            </w:r>
          </w:p>
        </w:tc>
        <w:tc>
          <w:tcPr>
            <w:tcW w:w="1043" w:type="dxa"/>
          </w:tcPr>
          <w:p w14:paraId="248975A5" w14:textId="77777777" w:rsidR="00BA04E5" w:rsidRPr="008A6475" w:rsidRDefault="00BA04E5" w:rsidP="00CA0D72">
            <w:pPr>
              <w:pStyle w:val="Table"/>
              <w:ind w:right="-3"/>
            </w:pPr>
            <w:r w:rsidRPr="008A6475">
              <w:t>18 (13%)</w:t>
            </w:r>
          </w:p>
        </w:tc>
      </w:tr>
      <w:tr w:rsidR="00BA04E5" w:rsidRPr="008A6475" w14:paraId="150D0EA9" w14:textId="77777777" w:rsidTr="00F53196">
        <w:tc>
          <w:tcPr>
            <w:tcW w:w="1186" w:type="dxa"/>
          </w:tcPr>
          <w:p w14:paraId="7E143AD0" w14:textId="77777777" w:rsidR="00BA04E5" w:rsidRPr="008A6475" w:rsidRDefault="00BA04E5" w:rsidP="00CA0D72">
            <w:pPr>
              <w:pStyle w:val="Table"/>
              <w:ind w:right="-3"/>
            </w:pPr>
            <w:r w:rsidRPr="008A6475">
              <w:t>TAS</w:t>
            </w:r>
          </w:p>
        </w:tc>
        <w:tc>
          <w:tcPr>
            <w:tcW w:w="1375" w:type="dxa"/>
          </w:tcPr>
          <w:p w14:paraId="69213B84" w14:textId="77777777" w:rsidR="00BA04E5" w:rsidRPr="008A6475" w:rsidRDefault="00BA04E5" w:rsidP="00CA0D72">
            <w:pPr>
              <w:pStyle w:val="Table"/>
              <w:ind w:right="-3"/>
            </w:pPr>
            <w:r w:rsidRPr="008A6475">
              <w:t>Community</w:t>
            </w:r>
          </w:p>
        </w:tc>
        <w:tc>
          <w:tcPr>
            <w:tcW w:w="1614" w:type="dxa"/>
          </w:tcPr>
          <w:p w14:paraId="3AF51DD5" w14:textId="77777777" w:rsidR="00BA04E5" w:rsidRPr="008A6475" w:rsidRDefault="00BA04E5" w:rsidP="00CA0D72">
            <w:pPr>
              <w:pStyle w:val="Table"/>
              <w:ind w:right="-3"/>
            </w:pPr>
            <w:r w:rsidRPr="008A6475">
              <w:t>24 (75%)</w:t>
            </w:r>
          </w:p>
        </w:tc>
        <w:tc>
          <w:tcPr>
            <w:tcW w:w="1614" w:type="dxa"/>
          </w:tcPr>
          <w:p w14:paraId="688636EA" w14:textId="77777777" w:rsidR="00BA04E5" w:rsidRPr="008A6475" w:rsidRDefault="00BA04E5" w:rsidP="00CA0D72">
            <w:pPr>
              <w:pStyle w:val="Table"/>
              <w:ind w:right="-3"/>
            </w:pPr>
            <w:r w:rsidRPr="008A6475">
              <w:t>15 (2–25)</w:t>
            </w:r>
          </w:p>
        </w:tc>
        <w:tc>
          <w:tcPr>
            <w:tcW w:w="1360" w:type="dxa"/>
          </w:tcPr>
          <w:p w14:paraId="7FF5943B" w14:textId="77777777" w:rsidR="00BA04E5" w:rsidRPr="008A6475" w:rsidRDefault="00BA04E5" w:rsidP="00CA0D72">
            <w:pPr>
              <w:pStyle w:val="Table"/>
              <w:ind w:right="-3"/>
            </w:pPr>
            <w:r w:rsidRPr="008A6475">
              <w:t>3 (9%)</w:t>
            </w:r>
          </w:p>
        </w:tc>
        <w:tc>
          <w:tcPr>
            <w:tcW w:w="1380" w:type="dxa"/>
          </w:tcPr>
          <w:p w14:paraId="0B44AADA" w14:textId="77777777" w:rsidR="00BA04E5" w:rsidRPr="008A6475" w:rsidRDefault="00BA04E5" w:rsidP="00CA0D72">
            <w:pPr>
              <w:pStyle w:val="Table"/>
              <w:ind w:right="-3"/>
            </w:pPr>
            <w:r w:rsidRPr="008A6475">
              <w:t xml:space="preserve">- </w:t>
            </w:r>
          </w:p>
        </w:tc>
        <w:tc>
          <w:tcPr>
            <w:tcW w:w="1043" w:type="dxa"/>
          </w:tcPr>
          <w:p w14:paraId="645B13A2" w14:textId="77777777" w:rsidR="00BA04E5" w:rsidRPr="008A6475" w:rsidRDefault="00BA04E5" w:rsidP="00CA0D72">
            <w:pPr>
              <w:pStyle w:val="Table"/>
              <w:ind w:right="-3"/>
            </w:pPr>
            <w:r w:rsidRPr="008A6475">
              <w:t>3 (9%)</w:t>
            </w:r>
          </w:p>
        </w:tc>
      </w:tr>
      <w:tr w:rsidR="00BA04E5" w:rsidRPr="008A6475" w14:paraId="1F026DF1" w14:textId="77777777" w:rsidTr="00F53196">
        <w:tc>
          <w:tcPr>
            <w:tcW w:w="1186" w:type="dxa"/>
          </w:tcPr>
          <w:p w14:paraId="30F836F2" w14:textId="56C8F34A" w:rsidR="00BA04E5" w:rsidRPr="008A6475" w:rsidRDefault="00F53196" w:rsidP="00CA0D72">
            <w:pPr>
              <w:pStyle w:val="Table"/>
              <w:ind w:right="-3"/>
            </w:pPr>
            <w:r w:rsidRPr="008A6475">
              <w:t>TAS</w:t>
            </w:r>
          </w:p>
        </w:tc>
        <w:tc>
          <w:tcPr>
            <w:tcW w:w="1375" w:type="dxa"/>
          </w:tcPr>
          <w:p w14:paraId="3D60BBAE" w14:textId="77777777" w:rsidR="00BA04E5" w:rsidRPr="008A6475" w:rsidRDefault="00BA04E5" w:rsidP="00CA0D72">
            <w:pPr>
              <w:pStyle w:val="Table"/>
              <w:ind w:right="-3"/>
            </w:pPr>
            <w:r w:rsidRPr="008A6475">
              <w:t>Residential</w:t>
            </w:r>
          </w:p>
        </w:tc>
        <w:tc>
          <w:tcPr>
            <w:tcW w:w="1614" w:type="dxa"/>
          </w:tcPr>
          <w:p w14:paraId="430CCCEA" w14:textId="77777777" w:rsidR="00BA04E5" w:rsidRPr="008A6475" w:rsidRDefault="00BA04E5" w:rsidP="00CA0D72">
            <w:pPr>
              <w:pStyle w:val="Table"/>
              <w:ind w:right="-3"/>
            </w:pPr>
            <w:r w:rsidRPr="008A6475">
              <w:t>54 (98%)</w:t>
            </w:r>
          </w:p>
        </w:tc>
        <w:tc>
          <w:tcPr>
            <w:tcW w:w="1614" w:type="dxa"/>
          </w:tcPr>
          <w:p w14:paraId="5D1E0A84" w14:textId="77777777" w:rsidR="00BA04E5" w:rsidRPr="008A6475" w:rsidRDefault="00BA04E5" w:rsidP="00CA0D72">
            <w:pPr>
              <w:pStyle w:val="Table"/>
              <w:ind w:right="-3"/>
            </w:pPr>
            <w:r w:rsidRPr="008A6475">
              <w:t>58 (35–84)</w:t>
            </w:r>
          </w:p>
        </w:tc>
        <w:tc>
          <w:tcPr>
            <w:tcW w:w="1360" w:type="dxa"/>
          </w:tcPr>
          <w:p w14:paraId="64865E2A" w14:textId="77777777" w:rsidR="00BA04E5" w:rsidRPr="008A6475" w:rsidRDefault="00BA04E5" w:rsidP="00CA0D72">
            <w:pPr>
              <w:pStyle w:val="Table"/>
              <w:ind w:right="-3"/>
            </w:pPr>
            <w:r w:rsidRPr="008A6475">
              <w:t>11 (19%)</w:t>
            </w:r>
          </w:p>
        </w:tc>
        <w:tc>
          <w:tcPr>
            <w:tcW w:w="1380" w:type="dxa"/>
          </w:tcPr>
          <w:p w14:paraId="11D766E6" w14:textId="77777777" w:rsidR="00BA04E5" w:rsidRPr="008A6475" w:rsidRDefault="00BA04E5" w:rsidP="00CA0D72">
            <w:pPr>
              <w:pStyle w:val="Table"/>
              <w:ind w:right="-3"/>
            </w:pPr>
            <w:r w:rsidRPr="008A6475">
              <w:t>86 (28–139)</w:t>
            </w:r>
          </w:p>
        </w:tc>
        <w:tc>
          <w:tcPr>
            <w:tcW w:w="1043" w:type="dxa"/>
          </w:tcPr>
          <w:p w14:paraId="0F933FC7" w14:textId="77777777" w:rsidR="00BA04E5" w:rsidRPr="008A6475" w:rsidRDefault="00BA04E5" w:rsidP="00CA0D72">
            <w:pPr>
              <w:pStyle w:val="Table"/>
              <w:ind w:right="-3"/>
            </w:pPr>
            <w:r w:rsidRPr="008A6475">
              <w:t>3 (5%)</w:t>
            </w:r>
          </w:p>
        </w:tc>
      </w:tr>
      <w:tr w:rsidR="00BA04E5" w:rsidRPr="008A6475" w14:paraId="4F7BD05E" w14:textId="77777777" w:rsidTr="00F53196">
        <w:tc>
          <w:tcPr>
            <w:tcW w:w="1186" w:type="dxa"/>
          </w:tcPr>
          <w:p w14:paraId="3B407651" w14:textId="77777777" w:rsidR="00BA04E5" w:rsidRPr="008A6475" w:rsidRDefault="00BA04E5" w:rsidP="00CA0D72">
            <w:pPr>
              <w:pStyle w:val="Table"/>
              <w:ind w:right="-3"/>
            </w:pPr>
            <w:r w:rsidRPr="008A6475">
              <w:t>VIC</w:t>
            </w:r>
          </w:p>
        </w:tc>
        <w:tc>
          <w:tcPr>
            <w:tcW w:w="1375" w:type="dxa"/>
          </w:tcPr>
          <w:p w14:paraId="3307CB02" w14:textId="77777777" w:rsidR="00BA04E5" w:rsidRPr="008A6475" w:rsidRDefault="00BA04E5" w:rsidP="00CA0D72">
            <w:pPr>
              <w:pStyle w:val="Table"/>
              <w:ind w:right="-3"/>
            </w:pPr>
            <w:r w:rsidRPr="008A6475">
              <w:t>Community</w:t>
            </w:r>
          </w:p>
        </w:tc>
        <w:tc>
          <w:tcPr>
            <w:tcW w:w="1614" w:type="dxa"/>
          </w:tcPr>
          <w:p w14:paraId="4D03CD70" w14:textId="77777777" w:rsidR="00BA04E5" w:rsidRPr="008A6475" w:rsidRDefault="00BA04E5" w:rsidP="00CA0D72">
            <w:pPr>
              <w:pStyle w:val="Table"/>
              <w:ind w:right="-3"/>
            </w:pPr>
            <w:r w:rsidRPr="008A6475">
              <w:t>90 (54%)</w:t>
            </w:r>
          </w:p>
        </w:tc>
        <w:tc>
          <w:tcPr>
            <w:tcW w:w="1614" w:type="dxa"/>
          </w:tcPr>
          <w:p w14:paraId="25ED26FE" w14:textId="77777777" w:rsidR="00BA04E5" w:rsidRPr="008A6475" w:rsidRDefault="00BA04E5" w:rsidP="00CA0D72">
            <w:pPr>
              <w:pStyle w:val="Table"/>
              <w:ind w:right="-3"/>
            </w:pPr>
            <w:r w:rsidRPr="008A6475">
              <w:t>14 (3–37)</w:t>
            </w:r>
          </w:p>
        </w:tc>
        <w:tc>
          <w:tcPr>
            <w:tcW w:w="1360" w:type="dxa"/>
          </w:tcPr>
          <w:p w14:paraId="15FDA7EE" w14:textId="77777777" w:rsidR="00BA04E5" w:rsidRPr="008A6475" w:rsidRDefault="00BA04E5" w:rsidP="00CA0D72">
            <w:pPr>
              <w:pStyle w:val="Table"/>
              <w:ind w:right="-3"/>
            </w:pPr>
            <w:r w:rsidRPr="008A6475">
              <w:t>14 (7%)</w:t>
            </w:r>
          </w:p>
        </w:tc>
        <w:tc>
          <w:tcPr>
            <w:tcW w:w="1380" w:type="dxa"/>
          </w:tcPr>
          <w:p w14:paraId="3F201E24" w14:textId="77777777" w:rsidR="00BA04E5" w:rsidRPr="008A6475" w:rsidRDefault="00BA04E5" w:rsidP="00CA0D72">
            <w:pPr>
              <w:pStyle w:val="Table"/>
              <w:ind w:right="-3"/>
            </w:pPr>
            <w:r w:rsidRPr="008A6475">
              <w:t>104 (67–114)</w:t>
            </w:r>
          </w:p>
        </w:tc>
        <w:tc>
          <w:tcPr>
            <w:tcW w:w="1043" w:type="dxa"/>
          </w:tcPr>
          <w:p w14:paraId="4E312C42" w14:textId="77777777" w:rsidR="00BA04E5" w:rsidRPr="008A6475" w:rsidRDefault="00BA04E5" w:rsidP="00CA0D72">
            <w:pPr>
              <w:pStyle w:val="Table"/>
              <w:ind w:right="-3"/>
            </w:pPr>
            <w:r w:rsidRPr="008A6475">
              <w:t>21 (10%)</w:t>
            </w:r>
          </w:p>
        </w:tc>
      </w:tr>
      <w:tr w:rsidR="00BA04E5" w:rsidRPr="008A6475" w14:paraId="64270161" w14:textId="77777777" w:rsidTr="00F53196">
        <w:tc>
          <w:tcPr>
            <w:tcW w:w="1186" w:type="dxa"/>
          </w:tcPr>
          <w:p w14:paraId="5BF591AB" w14:textId="42F81FE0" w:rsidR="00BA04E5" w:rsidRPr="008A6475" w:rsidRDefault="00F53196" w:rsidP="00CA0D72">
            <w:pPr>
              <w:pStyle w:val="Table"/>
              <w:ind w:right="-3"/>
            </w:pPr>
            <w:r w:rsidRPr="008A6475">
              <w:t>VIC</w:t>
            </w:r>
          </w:p>
        </w:tc>
        <w:tc>
          <w:tcPr>
            <w:tcW w:w="1375" w:type="dxa"/>
          </w:tcPr>
          <w:p w14:paraId="76E2400F" w14:textId="77777777" w:rsidR="00BA04E5" w:rsidRPr="008A6475" w:rsidRDefault="00BA04E5" w:rsidP="00CA0D72">
            <w:pPr>
              <w:pStyle w:val="Table"/>
              <w:ind w:right="-3"/>
            </w:pPr>
            <w:r w:rsidRPr="008A6475">
              <w:t>Residential</w:t>
            </w:r>
          </w:p>
        </w:tc>
        <w:tc>
          <w:tcPr>
            <w:tcW w:w="1614" w:type="dxa"/>
          </w:tcPr>
          <w:p w14:paraId="60C071B7" w14:textId="77777777" w:rsidR="00BA04E5" w:rsidRPr="008A6475" w:rsidRDefault="00BA04E5" w:rsidP="00CA0D72">
            <w:pPr>
              <w:pStyle w:val="Table"/>
              <w:ind w:right="-3"/>
            </w:pPr>
            <w:r w:rsidRPr="008A6475">
              <w:t>152 (32%)</w:t>
            </w:r>
          </w:p>
        </w:tc>
        <w:tc>
          <w:tcPr>
            <w:tcW w:w="1614" w:type="dxa"/>
          </w:tcPr>
          <w:p w14:paraId="51D75378" w14:textId="77777777" w:rsidR="00BA04E5" w:rsidRPr="008A6475" w:rsidRDefault="00BA04E5" w:rsidP="00CA0D72">
            <w:pPr>
              <w:pStyle w:val="Table"/>
              <w:ind w:right="-3"/>
            </w:pPr>
            <w:r w:rsidRPr="008A6475">
              <w:t>12 (5–33)</w:t>
            </w:r>
          </w:p>
        </w:tc>
        <w:tc>
          <w:tcPr>
            <w:tcW w:w="1360" w:type="dxa"/>
          </w:tcPr>
          <w:p w14:paraId="4CAA0234" w14:textId="77777777" w:rsidR="00BA04E5" w:rsidRPr="008A6475" w:rsidRDefault="00BA04E5" w:rsidP="00CA0D72">
            <w:pPr>
              <w:pStyle w:val="Table"/>
              <w:ind w:right="-3"/>
            </w:pPr>
            <w:r w:rsidRPr="008A6475">
              <w:t>450 (70%)</w:t>
            </w:r>
          </w:p>
        </w:tc>
        <w:tc>
          <w:tcPr>
            <w:tcW w:w="1380" w:type="dxa"/>
          </w:tcPr>
          <w:p w14:paraId="3123560A" w14:textId="77777777" w:rsidR="00BA04E5" w:rsidRPr="008A6475" w:rsidRDefault="00BA04E5" w:rsidP="00CA0D72">
            <w:pPr>
              <w:pStyle w:val="Table"/>
              <w:ind w:right="-3"/>
            </w:pPr>
            <w:r w:rsidRPr="008A6475">
              <w:t>125 (83–150)</w:t>
            </w:r>
          </w:p>
        </w:tc>
        <w:tc>
          <w:tcPr>
            <w:tcW w:w="1043" w:type="dxa"/>
          </w:tcPr>
          <w:p w14:paraId="33A88C9C" w14:textId="77777777" w:rsidR="00BA04E5" w:rsidRPr="008A6475" w:rsidRDefault="00BA04E5" w:rsidP="00CA0D72">
            <w:pPr>
              <w:pStyle w:val="Table"/>
              <w:ind w:right="-3"/>
            </w:pPr>
            <w:r w:rsidRPr="008A6475">
              <w:t>155 (24%)</w:t>
            </w:r>
          </w:p>
        </w:tc>
      </w:tr>
      <w:tr w:rsidR="00BA04E5" w:rsidRPr="008A6475" w14:paraId="3FD451D3" w14:textId="77777777" w:rsidTr="00F53196">
        <w:tc>
          <w:tcPr>
            <w:tcW w:w="1186" w:type="dxa"/>
          </w:tcPr>
          <w:p w14:paraId="476CD5BB" w14:textId="77777777" w:rsidR="00BA04E5" w:rsidRPr="008A6475" w:rsidRDefault="00BA04E5" w:rsidP="00CA0D72">
            <w:pPr>
              <w:pStyle w:val="Table"/>
              <w:ind w:right="-3"/>
            </w:pPr>
            <w:r w:rsidRPr="008A6475">
              <w:t>WA</w:t>
            </w:r>
          </w:p>
        </w:tc>
        <w:tc>
          <w:tcPr>
            <w:tcW w:w="1375" w:type="dxa"/>
          </w:tcPr>
          <w:p w14:paraId="35504B90" w14:textId="77777777" w:rsidR="00BA04E5" w:rsidRPr="008A6475" w:rsidRDefault="00BA04E5" w:rsidP="00CA0D72">
            <w:pPr>
              <w:pStyle w:val="Table"/>
              <w:ind w:right="-3"/>
            </w:pPr>
            <w:r w:rsidRPr="008A6475">
              <w:t>Community</w:t>
            </w:r>
          </w:p>
        </w:tc>
        <w:tc>
          <w:tcPr>
            <w:tcW w:w="1614" w:type="dxa"/>
          </w:tcPr>
          <w:p w14:paraId="646FAAFA" w14:textId="77777777" w:rsidR="00BA04E5" w:rsidRPr="008A6475" w:rsidRDefault="00BA04E5" w:rsidP="00CA0D72">
            <w:pPr>
              <w:pStyle w:val="Table"/>
              <w:ind w:right="-3"/>
            </w:pPr>
            <w:r w:rsidRPr="008A6475">
              <w:t>16 (47%)</w:t>
            </w:r>
          </w:p>
        </w:tc>
        <w:tc>
          <w:tcPr>
            <w:tcW w:w="1614" w:type="dxa"/>
          </w:tcPr>
          <w:p w14:paraId="2AFF2698" w14:textId="77777777" w:rsidR="00BA04E5" w:rsidRPr="008A6475" w:rsidRDefault="00BA04E5" w:rsidP="00CA0D72">
            <w:pPr>
              <w:pStyle w:val="Table"/>
              <w:ind w:right="-3"/>
            </w:pPr>
            <w:r w:rsidRPr="008A6475">
              <w:t>10 (1–21)</w:t>
            </w:r>
          </w:p>
        </w:tc>
        <w:tc>
          <w:tcPr>
            <w:tcW w:w="1360" w:type="dxa"/>
          </w:tcPr>
          <w:p w14:paraId="19784CAB" w14:textId="77777777" w:rsidR="00BA04E5" w:rsidRPr="008A6475" w:rsidRDefault="00BA04E5" w:rsidP="00CA0D72">
            <w:pPr>
              <w:pStyle w:val="Table"/>
              <w:ind w:right="-3"/>
            </w:pPr>
            <w:r w:rsidRPr="008A6475">
              <w:t>1 (3%)</w:t>
            </w:r>
          </w:p>
        </w:tc>
        <w:tc>
          <w:tcPr>
            <w:tcW w:w="1380" w:type="dxa"/>
          </w:tcPr>
          <w:p w14:paraId="3721FF7C" w14:textId="77777777" w:rsidR="00BA04E5" w:rsidRPr="008A6475" w:rsidRDefault="00BA04E5" w:rsidP="00CA0D72">
            <w:pPr>
              <w:pStyle w:val="Table"/>
              <w:ind w:right="-3"/>
            </w:pPr>
            <w:r w:rsidRPr="008A6475">
              <w:t xml:space="preserve">- </w:t>
            </w:r>
          </w:p>
        </w:tc>
        <w:tc>
          <w:tcPr>
            <w:tcW w:w="1043" w:type="dxa"/>
          </w:tcPr>
          <w:p w14:paraId="2E52F6D7" w14:textId="77777777" w:rsidR="00BA04E5" w:rsidRPr="008A6475" w:rsidRDefault="00BA04E5" w:rsidP="00CA0D72">
            <w:pPr>
              <w:pStyle w:val="Table"/>
              <w:ind w:right="-3"/>
            </w:pPr>
            <w:r w:rsidRPr="008A6475">
              <w:t>5 (14%)</w:t>
            </w:r>
          </w:p>
        </w:tc>
      </w:tr>
      <w:tr w:rsidR="00BA04E5" w:rsidRPr="008A6475" w14:paraId="39ED3AFD" w14:textId="77777777" w:rsidTr="00F53196">
        <w:tc>
          <w:tcPr>
            <w:tcW w:w="1186" w:type="dxa"/>
          </w:tcPr>
          <w:p w14:paraId="4F53DC93" w14:textId="789A8031" w:rsidR="00BA04E5" w:rsidRPr="008A6475" w:rsidRDefault="00F53196" w:rsidP="00CA0D72">
            <w:pPr>
              <w:pStyle w:val="Table"/>
              <w:ind w:right="-3"/>
            </w:pPr>
            <w:r w:rsidRPr="008A6475">
              <w:t>WA</w:t>
            </w:r>
          </w:p>
        </w:tc>
        <w:tc>
          <w:tcPr>
            <w:tcW w:w="1375" w:type="dxa"/>
          </w:tcPr>
          <w:p w14:paraId="5F41D3D5" w14:textId="77777777" w:rsidR="00BA04E5" w:rsidRPr="008A6475" w:rsidRDefault="00BA04E5" w:rsidP="00CA0D72">
            <w:pPr>
              <w:pStyle w:val="Table"/>
              <w:ind w:right="-3"/>
            </w:pPr>
            <w:r w:rsidRPr="008A6475">
              <w:t>Residential</w:t>
            </w:r>
          </w:p>
        </w:tc>
        <w:tc>
          <w:tcPr>
            <w:tcW w:w="1614" w:type="dxa"/>
          </w:tcPr>
          <w:p w14:paraId="7B6889D0" w14:textId="77777777" w:rsidR="00BA04E5" w:rsidRPr="008A6475" w:rsidRDefault="00BA04E5" w:rsidP="00CA0D72">
            <w:pPr>
              <w:pStyle w:val="Table"/>
              <w:ind w:right="-3"/>
            </w:pPr>
            <w:r w:rsidRPr="008A6475">
              <w:t>33 (60%)</w:t>
            </w:r>
          </w:p>
        </w:tc>
        <w:tc>
          <w:tcPr>
            <w:tcW w:w="1614" w:type="dxa"/>
          </w:tcPr>
          <w:p w14:paraId="747BDEEE" w14:textId="77777777" w:rsidR="00BA04E5" w:rsidRPr="008A6475" w:rsidRDefault="00BA04E5" w:rsidP="00CA0D72">
            <w:pPr>
              <w:pStyle w:val="Table"/>
              <w:ind w:right="-3"/>
            </w:pPr>
            <w:r w:rsidRPr="008A6475">
              <w:t>34 (13–64)</w:t>
            </w:r>
          </w:p>
        </w:tc>
        <w:tc>
          <w:tcPr>
            <w:tcW w:w="1360" w:type="dxa"/>
          </w:tcPr>
          <w:p w14:paraId="4F243FBB" w14:textId="77777777" w:rsidR="00BA04E5" w:rsidRPr="008A6475" w:rsidRDefault="00BA04E5" w:rsidP="00CA0D72">
            <w:pPr>
              <w:pStyle w:val="Table"/>
              <w:ind w:right="-3"/>
            </w:pPr>
            <w:r w:rsidRPr="008A6475">
              <w:t>26 (46%)</w:t>
            </w:r>
          </w:p>
        </w:tc>
        <w:tc>
          <w:tcPr>
            <w:tcW w:w="1380" w:type="dxa"/>
          </w:tcPr>
          <w:p w14:paraId="3CADB8BC" w14:textId="77777777" w:rsidR="00BA04E5" w:rsidRPr="008A6475" w:rsidRDefault="00BA04E5" w:rsidP="00CA0D72">
            <w:pPr>
              <w:pStyle w:val="Table"/>
              <w:ind w:right="-3"/>
            </w:pPr>
            <w:r w:rsidRPr="008A6475">
              <w:t>90 (48–115)</w:t>
            </w:r>
          </w:p>
        </w:tc>
        <w:tc>
          <w:tcPr>
            <w:tcW w:w="1043" w:type="dxa"/>
          </w:tcPr>
          <w:p w14:paraId="6F94C8EE" w14:textId="77777777" w:rsidR="00BA04E5" w:rsidRPr="008A6475" w:rsidRDefault="00BA04E5" w:rsidP="00CA0D72">
            <w:pPr>
              <w:pStyle w:val="Table"/>
              <w:ind w:right="-3"/>
            </w:pPr>
            <w:r w:rsidRPr="008A6475">
              <w:t>9 (16%)</w:t>
            </w:r>
          </w:p>
        </w:tc>
      </w:tr>
      <w:tr w:rsidR="00BA04E5" w:rsidRPr="008A6475" w14:paraId="25893639" w14:textId="77777777" w:rsidTr="00F53196">
        <w:tc>
          <w:tcPr>
            <w:tcW w:w="1186" w:type="dxa"/>
          </w:tcPr>
          <w:p w14:paraId="5CFCBE5F" w14:textId="77777777" w:rsidR="00BA04E5" w:rsidRPr="008A6475" w:rsidRDefault="00BA04E5" w:rsidP="00CA0D72">
            <w:pPr>
              <w:pStyle w:val="Table"/>
              <w:ind w:right="-3"/>
            </w:pPr>
            <w:r w:rsidRPr="008A6475">
              <w:t>National</w:t>
            </w:r>
          </w:p>
        </w:tc>
        <w:tc>
          <w:tcPr>
            <w:tcW w:w="1375" w:type="dxa"/>
          </w:tcPr>
          <w:p w14:paraId="672020C5" w14:textId="77777777" w:rsidR="00BA04E5" w:rsidRPr="008A6475" w:rsidRDefault="00BA04E5" w:rsidP="00CA0D72">
            <w:pPr>
              <w:pStyle w:val="Table"/>
              <w:ind w:right="-3"/>
            </w:pPr>
            <w:r w:rsidRPr="008A6475">
              <w:t>Community</w:t>
            </w:r>
          </w:p>
        </w:tc>
        <w:tc>
          <w:tcPr>
            <w:tcW w:w="1614" w:type="dxa"/>
          </w:tcPr>
          <w:p w14:paraId="569612BC" w14:textId="77777777" w:rsidR="00BA04E5" w:rsidRPr="008A6475" w:rsidRDefault="00BA04E5" w:rsidP="00CA0D72">
            <w:pPr>
              <w:pStyle w:val="Table"/>
              <w:ind w:right="-3"/>
            </w:pPr>
            <w:r w:rsidRPr="008A6475">
              <w:t>502 (51%)</w:t>
            </w:r>
          </w:p>
        </w:tc>
        <w:tc>
          <w:tcPr>
            <w:tcW w:w="1614" w:type="dxa"/>
          </w:tcPr>
          <w:p w14:paraId="5659A916" w14:textId="77777777" w:rsidR="00BA04E5" w:rsidRPr="008A6475" w:rsidRDefault="00BA04E5" w:rsidP="00CA0D72">
            <w:pPr>
              <w:pStyle w:val="Table"/>
              <w:ind w:right="-3"/>
            </w:pPr>
            <w:r w:rsidRPr="008A6475">
              <w:t>13 (3–31)</w:t>
            </w:r>
          </w:p>
        </w:tc>
        <w:tc>
          <w:tcPr>
            <w:tcW w:w="1360" w:type="dxa"/>
          </w:tcPr>
          <w:p w14:paraId="48B89552" w14:textId="77777777" w:rsidR="00BA04E5" w:rsidRPr="008A6475" w:rsidRDefault="00BA04E5" w:rsidP="00CA0D72">
            <w:pPr>
              <w:pStyle w:val="Table"/>
              <w:ind w:right="-3"/>
            </w:pPr>
            <w:r w:rsidRPr="008A6475">
              <w:t>87 (7%)</w:t>
            </w:r>
          </w:p>
        </w:tc>
        <w:tc>
          <w:tcPr>
            <w:tcW w:w="1380" w:type="dxa"/>
          </w:tcPr>
          <w:p w14:paraId="6C454CF1" w14:textId="77777777" w:rsidR="00BA04E5" w:rsidRPr="008A6475" w:rsidRDefault="00BA04E5" w:rsidP="00CA0D72">
            <w:pPr>
              <w:pStyle w:val="Table"/>
              <w:ind w:right="-3"/>
            </w:pPr>
            <w:r w:rsidRPr="008A6475">
              <w:t>92 (55–120)</w:t>
            </w:r>
          </w:p>
        </w:tc>
        <w:tc>
          <w:tcPr>
            <w:tcW w:w="1043" w:type="dxa"/>
          </w:tcPr>
          <w:p w14:paraId="39A5B7CE" w14:textId="77777777" w:rsidR="00BA04E5" w:rsidRPr="008A6475" w:rsidRDefault="00BA04E5" w:rsidP="00CA0D72">
            <w:pPr>
              <w:pStyle w:val="Table"/>
              <w:ind w:right="-3"/>
            </w:pPr>
            <w:r w:rsidRPr="008A6475">
              <w:t>106 (9%)</w:t>
            </w:r>
          </w:p>
        </w:tc>
      </w:tr>
      <w:tr w:rsidR="00BA04E5" w:rsidRPr="008A6475" w14:paraId="7369C159" w14:textId="77777777" w:rsidTr="00F53196">
        <w:tc>
          <w:tcPr>
            <w:tcW w:w="1186" w:type="dxa"/>
          </w:tcPr>
          <w:p w14:paraId="1BF20120" w14:textId="681B3930" w:rsidR="00BA04E5" w:rsidRPr="008A6475" w:rsidRDefault="00F53196" w:rsidP="00CA0D72">
            <w:pPr>
              <w:pStyle w:val="Table"/>
              <w:ind w:right="-3"/>
            </w:pPr>
            <w:r w:rsidRPr="008A6475">
              <w:t>National</w:t>
            </w:r>
          </w:p>
        </w:tc>
        <w:tc>
          <w:tcPr>
            <w:tcW w:w="1375" w:type="dxa"/>
          </w:tcPr>
          <w:p w14:paraId="2E21E8FD" w14:textId="77777777" w:rsidR="00BA04E5" w:rsidRPr="008A6475" w:rsidRDefault="00BA04E5" w:rsidP="00CA0D72">
            <w:pPr>
              <w:pStyle w:val="Table"/>
              <w:ind w:right="-3"/>
            </w:pPr>
            <w:r w:rsidRPr="008A6475">
              <w:t>Residential</w:t>
            </w:r>
          </w:p>
        </w:tc>
        <w:tc>
          <w:tcPr>
            <w:tcW w:w="1614" w:type="dxa"/>
          </w:tcPr>
          <w:p w14:paraId="65F40CDF" w14:textId="77777777" w:rsidR="00BA04E5" w:rsidRPr="008A6475" w:rsidRDefault="00BA04E5" w:rsidP="00CA0D72">
            <w:pPr>
              <w:pStyle w:val="Table"/>
              <w:ind w:right="-3"/>
            </w:pPr>
            <w:r w:rsidRPr="008A6475">
              <w:t>340 (43%)</w:t>
            </w:r>
          </w:p>
        </w:tc>
        <w:tc>
          <w:tcPr>
            <w:tcW w:w="1614" w:type="dxa"/>
          </w:tcPr>
          <w:p w14:paraId="5E9EB47B" w14:textId="77777777" w:rsidR="00BA04E5" w:rsidRPr="008A6475" w:rsidRDefault="00BA04E5" w:rsidP="00CA0D72">
            <w:pPr>
              <w:pStyle w:val="Table"/>
              <w:ind w:right="-3"/>
            </w:pPr>
            <w:r w:rsidRPr="008A6475">
              <w:t>18 (6–49)</w:t>
            </w:r>
          </w:p>
        </w:tc>
        <w:tc>
          <w:tcPr>
            <w:tcW w:w="1360" w:type="dxa"/>
          </w:tcPr>
          <w:p w14:paraId="097EBAFD" w14:textId="77777777" w:rsidR="00BA04E5" w:rsidRPr="008A6475" w:rsidRDefault="00BA04E5" w:rsidP="00CA0D72">
            <w:pPr>
              <w:pStyle w:val="Table"/>
              <w:ind w:right="-3"/>
            </w:pPr>
            <w:r w:rsidRPr="008A6475">
              <w:t>595 (58%)</w:t>
            </w:r>
          </w:p>
        </w:tc>
        <w:tc>
          <w:tcPr>
            <w:tcW w:w="1380" w:type="dxa"/>
          </w:tcPr>
          <w:p w14:paraId="5DD82964" w14:textId="77777777" w:rsidR="00BA04E5" w:rsidRPr="008A6475" w:rsidRDefault="00BA04E5" w:rsidP="00CA0D72">
            <w:pPr>
              <w:pStyle w:val="Table"/>
              <w:ind w:right="-3"/>
            </w:pPr>
            <w:r w:rsidRPr="008A6475">
              <w:t>116 (72–145)</w:t>
            </w:r>
          </w:p>
        </w:tc>
        <w:tc>
          <w:tcPr>
            <w:tcW w:w="1043" w:type="dxa"/>
          </w:tcPr>
          <w:p w14:paraId="48B8C4FC" w14:textId="77777777" w:rsidR="00BA04E5" w:rsidRPr="008A6475" w:rsidRDefault="00BA04E5" w:rsidP="00CA0D72">
            <w:pPr>
              <w:pStyle w:val="Table"/>
              <w:ind w:right="-3"/>
            </w:pPr>
            <w:r w:rsidRPr="008A6475">
              <w:t>209 (20%)</w:t>
            </w:r>
          </w:p>
        </w:tc>
      </w:tr>
    </w:tbl>
    <w:p w14:paraId="3B2B7050" w14:textId="77777777" w:rsidR="008D12D0" w:rsidRPr="00384C54" w:rsidRDefault="008D12D0" w:rsidP="00CA0D72">
      <w:pPr>
        <w:tabs>
          <w:tab w:val="left" w:pos="1065"/>
          <w:tab w:val="left" w:pos="2684"/>
          <w:tab w:val="left" w:pos="3828"/>
          <w:tab w:val="left" w:pos="5109"/>
          <w:tab w:val="left" w:pos="6237"/>
          <w:tab w:val="left" w:pos="7655"/>
        </w:tabs>
        <w:spacing w:before="20" w:after="40"/>
        <w:ind w:right="-3"/>
        <w:rPr>
          <w:sz w:val="22"/>
          <w:szCs w:val="22"/>
        </w:rPr>
      </w:pPr>
    </w:p>
    <w:p w14:paraId="047D6A54" w14:textId="77777777" w:rsidR="005D7ABA" w:rsidRDefault="003A0CBE" w:rsidP="00CA0D72">
      <w:pPr>
        <w:pStyle w:val="Heading2"/>
        <w:ind w:right="-3"/>
      </w:pPr>
      <w:bookmarkStart w:id="65" w:name="_Toc402348911"/>
      <w:r w:rsidRPr="003A0CBE">
        <w:t>3.7. Residential aged care admissions</w:t>
      </w:r>
      <w:bookmarkEnd w:id="65"/>
    </w:p>
    <w:p w14:paraId="66FB6C11" w14:textId="77777777" w:rsidR="005D7ABA" w:rsidRDefault="003A0CBE" w:rsidP="00CA0D72">
      <w:pPr>
        <w:ind w:right="-3"/>
      </w:pPr>
      <w:r w:rsidRPr="003A0CBE">
        <w:t>A total of 22% of TC recipients were admitted to residential aged care in the three months post ACAT approval (National Evaluation of the Transition Care Program 2008), and not unexpectedly this was 4% among recipients of TC only in a community setting and 45% among the recipients of TC only in a residential setting. This agrees very closely with the national discharge destination data from the Models of Transition Care Report (National Evaluation of the Transition Care Program 2007a) which showed that overall 14.8% of TC recipients were discharged to high level residential aged care, and 7.0% of TC recipients were discharged to low-level residential aged care.  There was a strong positive correlation observed between the proportion of TC places that were allocated to residential-based TC and the rate of admissions to residential aged care.  The state with the largest residential-based TC component, Victoria, also had the highest rate of discharge to residential aged care (49.4%), whereas Queensland had only 1.6% of TC recipients discharged to residential aged care.</w:t>
      </w:r>
    </w:p>
    <w:p w14:paraId="483AB61F" w14:textId="77777777" w:rsidR="005D7ABA" w:rsidRDefault="003A0CBE" w:rsidP="00CA0D72">
      <w:pPr>
        <w:ind w:right="-3"/>
      </w:pPr>
      <w:r w:rsidRPr="003A0CBE">
        <w:t>As shown in Table 3.6, at six months post ACAT approval, 28% of TC recipients had been admitted to residential aged care, and this rate was much higher among those who received TC only in a residential setting (58%) than those who received TC only in a community setting (7%).</w:t>
      </w:r>
    </w:p>
    <w:p w14:paraId="64C4DD32" w14:textId="77777777" w:rsidR="005D7ABA" w:rsidRDefault="003A0CBE" w:rsidP="00CA0D72">
      <w:pPr>
        <w:pStyle w:val="Heading2"/>
        <w:ind w:right="-3"/>
      </w:pPr>
      <w:bookmarkStart w:id="66" w:name="_Toc402348912"/>
      <w:r w:rsidRPr="003A0CBE">
        <w:lastRenderedPageBreak/>
        <w:t>3.8. Survival</w:t>
      </w:r>
      <w:bookmarkEnd w:id="66"/>
    </w:p>
    <w:p w14:paraId="1CC98D00" w14:textId="0F69B156" w:rsidR="005D7ABA" w:rsidRDefault="003A0CBE" w:rsidP="00CA0D72">
      <w:pPr>
        <w:ind w:right="-3"/>
      </w:pPr>
      <w:r w:rsidRPr="003A0CBE">
        <w:t>The Final Report of the Controlled Comparison Study and Costs and Effects Study (National Evaluation of the Transition Care Program 2008) also demonstrated that 8% of TC recipients died within three months of the ACAT approval for TC, and this was significantly higher among those who received TC only in a residential setting (14%) versus those who received TC only in a community setting (5%) or a combination of service types (4%).  This death rate is markedly higher than the 2.2% of TC recipients who had a discharge reason of 'death' reported in the Models of Transition Care Report (National Evaluation of the Transition Care Program 2007a).  It is possible that a sizeable proportion of TC recipients who were discharged from TC to hospital died during the hospital readmission that directly followed their stay in TC.</w:t>
      </w:r>
    </w:p>
    <w:p w14:paraId="54E433DB" w14:textId="77777777" w:rsidR="005D7ABA" w:rsidRDefault="003A0CBE" w:rsidP="00CA0D72">
      <w:pPr>
        <w:ind w:right="-3"/>
      </w:pPr>
      <w:r w:rsidRPr="003A0CBE">
        <w:t>By six months post ACAT approval, 14% of TC recipients had died, and this was greater among those who received TC only in a residential setting (20%) than those who received TC only in a community setting (9%; see Table 3.6).  The proportion of deaths by six months post ACAT approval was greater among the recipients aged 85 years or more (16%) than among the recipients aged less than 85 years (11%).  When further broken down by type of TC received, the difference between age group was more striking.  Among those who received TC only in a community setting, the proportion of recipients who had died was 8% among the younger recipients and 10% among the older recipients.  In contrast, among the recipients who received TC only in a residential setting, 18% of those aged less than 85 years were dead at six months and 23% of those aged 85 years or more were dead at six months suggesting that for almost a quarter of those moving to residential-based TC end of life management issues needed to be addressed.</w:t>
      </w:r>
    </w:p>
    <w:p w14:paraId="6F080ED0" w14:textId="77777777" w:rsidR="005D7ABA" w:rsidRDefault="006077F0" w:rsidP="00CA0D72">
      <w:pPr>
        <w:pStyle w:val="Heading1"/>
        <w:ind w:right="-3"/>
      </w:pPr>
      <w:r>
        <w:br w:type="page"/>
      </w:r>
      <w:bookmarkStart w:id="67" w:name="_Toc402348913"/>
      <w:r w:rsidRPr="006077F0">
        <w:lastRenderedPageBreak/>
        <w:t>4. How did variations between Transition Care services affect outcomes?</w:t>
      </w:r>
      <w:bookmarkEnd w:id="67"/>
    </w:p>
    <w:p w14:paraId="169D77DB" w14:textId="77777777" w:rsidR="005D7ABA" w:rsidRDefault="006077F0" w:rsidP="00CA0D72">
      <w:pPr>
        <w:pStyle w:val="Heading2"/>
        <w:ind w:right="-3"/>
      </w:pPr>
      <w:bookmarkStart w:id="68" w:name="_Toc402348914"/>
      <w:r>
        <w:t>Key points</w:t>
      </w:r>
      <w:bookmarkEnd w:id="68"/>
    </w:p>
    <w:p w14:paraId="07AD8CA0" w14:textId="77777777" w:rsidR="005D7ABA" w:rsidRDefault="006077F0" w:rsidP="00F53196">
      <w:pPr>
        <w:pStyle w:val="Normal-Dot"/>
        <w:numPr>
          <w:ilvl w:val="0"/>
          <w:numId w:val="22"/>
        </w:numPr>
        <w:ind w:right="-3"/>
      </w:pPr>
      <w:r w:rsidRPr="00F53196">
        <w:t>Recipients of TC only in a community setting had better physical functioning both at admission to and discharge from TC, they were more likely than recipients of TC only in a residential setting or combination TC recipients to have a hospital readmission, and less likely to have an admission to residential aged care during the 3 and 6 months post ACAT approval.</w:t>
      </w:r>
    </w:p>
    <w:p w14:paraId="06F9F125" w14:textId="77777777" w:rsidR="005D7ABA" w:rsidRDefault="006077F0" w:rsidP="00F53196">
      <w:pPr>
        <w:pStyle w:val="Normal-Dot"/>
        <w:numPr>
          <w:ilvl w:val="0"/>
          <w:numId w:val="22"/>
        </w:numPr>
        <w:ind w:right="-3"/>
      </w:pPr>
      <w:r w:rsidRPr="00F53196">
        <w:t>Length of stay in TC appeared to have only a weak relationship with changes in physical functioning for all types of TC.</w:t>
      </w:r>
    </w:p>
    <w:p w14:paraId="752FF38D" w14:textId="77777777" w:rsidR="005D7ABA" w:rsidRDefault="006077F0" w:rsidP="00F53196">
      <w:pPr>
        <w:pStyle w:val="Normal-Dot"/>
        <w:numPr>
          <w:ilvl w:val="0"/>
          <w:numId w:val="22"/>
        </w:numPr>
        <w:ind w:right="-3"/>
      </w:pPr>
      <w:r w:rsidRPr="00F53196">
        <w:t>Analyses that adjusted for the effects of jurisdictional, regional, service and individual level characteristics demonstrated that greater nursing and allied health staffing provisions per person per week reduced the risk of hospital readmissions and residential aged care admissions, respectively, among TC recipients in the six months post ACAT approval.</w:t>
      </w:r>
    </w:p>
    <w:p w14:paraId="3ADDED25" w14:textId="77777777" w:rsidR="005D7ABA" w:rsidRDefault="006077F0" w:rsidP="00CA0D72">
      <w:pPr>
        <w:pStyle w:val="Heading2"/>
        <w:ind w:right="-3"/>
      </w:pPr>
      <w:bookmarkStart w:id="69" w:name="_Toc402348915"/>
      <w:r w:rsidRPr="006077F0">
        <w:t>4.1. What affects individual level outcomes?</w:t>
      </w:r>
      <w:bookmarkEnd w:id="69"/>
    </w:p>
    <w:p w14:paraId="0DDA0EE5" w14:textId="77777777" w:rsidR="005D7ABA" w:rsidRDefault="006077F0" w:rsidP="00CA0D72">
      <w:pPr>
        <w:ind w:right="-3"/>
      </w:pPr>
      <w:r w:rsidRPr="006077F0">
        <w:t>Service characteristics during the TC episode appeared to have an impact on the outcomes for TC recipients.  The setting of the TC place (community/residential or a combination of both) had a distinct impact on function, as measured by the MBI.  Those recipients who received TC only in a community setting entered with an average MBI of 75.2 units (SD 18.0) and were discharged with an average MBI of 86.0 (SD 17.5). For those who received TC only in a residential setting, the mean MBI on admission to TC was 51.6 units (SD 25.1) and the mean MBI at discharge from TC was 62.3 (SD 27.7).  Those who received a combination of community-based and residential-based TC services were intermediate between these average values.  The mean MBI on admission for the combination group was 63.0 (SD 21.1) and on discharge was 78.8 (SD 22.7).  While there were some difficulties with the recording of discharge destination, there was also a strong positive correlation between the proportion of TC places that were residential-based TC and the rate of admissions to residential aged care.  The percentage of hospital readmissions was also influenced by the type of TC.  Recipients of community-based places were more likely to have a hospital readmission by three months (39% versus 35% for residential or combination places) and by six months (51% versus 43% for residential places).  Admissions to residential aged care were more likely for recipients of residential-based TC places than community-based TC places at both three months (45% versus 4%) and six months (58% versus 7%).</w:t>
      </w:r>
    </w:p>
    <w:p w14:paraId="43722E66" w14:textId="77777777" w:rsidR="005D7ABA" w:rsidRDefault="006077F0" w:rsidP="00CA0D72">
      <w:pPr>
        <w:ind w:right="-3"/>
      </w:pPr>
      <w:r w:rsidRPr="006077F0">
        <w:t>In order to examine the characteristics of each service and their effects on the outcomes for recipients, services were grouped into three clusters based on 14 variables including regional, service, recipient, and staffing characteristics (National Evaluation of the Transition Care Program 2007a).  There appeared to be no significant difference between the clusters for physical functioning, as measured by admission or discharge MBI, the change in the MBI score or MBI efficiency.  Differences were found for discharge destination with the highest proportion of recipients discharged to the community from the predominantly community cluster (P&lt;0.001).  Similarly, the proportion of recipients discharged to hospital was highest from the predominantly community cluster while the proportion discharged to residential aged care was the lowest from the same group.</w:t>
      </w:r>
    </w:p>
    <w:p w14:paraId="02FCEC9D" w14:textId="017A1487" w:rsidR="006077F0" w:rsidRPr="006077F0" w:rsidRDefault="006077F0" w:rsidP="00CA0D72">
      <w:pPr>
        <w:ind w:right="-3"/>
      </w:pPr>
    </w:p>
    <w:p w14:paraId="32E4B3C7" w14:textId="77777777" w:rsidR="005D7ABA" w:rsidRDefault="006077F0" w:rsidP="00CA0D72">
      <w:pPr>
        <w:ind w:right="-3"/>
      </w:pPr>
      <w:r w:rsidRPr="006077F0">
        <w:t xml:space="preserve">There were significant yet weak relationships between length of TC stay and the change in physical functioning (MBI) for the recipients of TC only in a community setting (r=0.186), </w:t>
      </w:r>
      <w:r w:rsidRPr="006077F0">
        <w:lastRenderedPageBreak/>
        <w:t>recipients of TC only in a residential setting (r=0.266), and the recipients of combination places (r=0.261).</w:t>
      </w:r>
    </w:p>
    <w:p w14:paraId="298A1442" w14:textId="77777777" w:rsidR="005D7ABA" w:rsidRDefault="006077F0" w:rsidP="00CA0D72">
      <w:pPr>
        <w:ind w:right="-3"/>
      </w:pPr>
      <w:r w:rsidRPr="006077F0">
        <w:t>Those recipients who received TC only in a community setting and were readmitted to hospital during the three months post ACAT approval had a shorter length of stay in TC (45 versus 62 days), had a lower MBI score at admission (72 versus 76 units), had lower MBI score at discharge (80 versus 87 units) and a smaller improvement in their MBI score from admission to discharge (8 versus 11 units) in comparison to those with no hospital readmission.  In contrast, recipients of TC only in a residential setting who were admitted to hospital during the three months post ACAT approval had higher MBI scores on admission (53 versus 49 units) and discharge (67 versus 61 units), with no differences in length of TC stay or the change in MBI from admission to discharge.  For recipients of combination TC places, those who had a hospital readmission during the follow-up period had a shorter length of stay in TC than those who did not go to hospital (59 versus 70 days), but they were not different in terms of physical functioning.</w:t>
      </w:r>
    </w:p>
    <w:p w14:paraId="4ACA7632" w14:textId="77777777" w:rsidR="005D7ABA" w:rsidRDefault="006077F0" w:rsidP="00CA0D72">
      <w:pPr>
        <w:ind w:right="-3"/>
      </w:pPr>
      <w:r w:rsidRPr="006077F0">
        <w:t>Regardless of the setting of TC (community-based, residential-based or a combination), recipients who were admitted to residential aged care by three and six months post ACAT approval had a significantly shorter length of stay in TC, significantly lower physical functioning (MBI) at admission to and discharge from TC and a significantly smaller increase in physical functioning at discharge from TC (all p &lt;0.05).  Recipients who died had a shorter TC length of stay and lower MBI at admission to and discharge from TC.</w:t>
      </w:r>
    </w:p>
    <w:p w14:paraId="322B3AD2" w14:textId="77777777" w:rsidR="005D7ABA" w:rsidRDefault="006077F0" w:rsidP="00CA0D72">
      <w:pPr>
        <w:ind w:right="-3"/>
      </w:pPr>
      <w:r w:rsidRPr="006077F0">
        <w:t>The presence of a co-resident carer appeared to have no impact on admissions to residential aged care or readmissions to hospital at either the three or six months post ACAT approval, regardless of the type of TC.  More recipients of TC only in a residential setting with a co-resident carer died in the six month post ACAT approval period than their contemporaries without a carer (17% vs. 12%).</w:t>
      </w:r>
    </w:p>
    <w:p w14:paraId="21E37A1F" w14:textId="77777777" w:rsidR="005D7ABA" w:rsidRDefault="006077F0" w:rsidP="00CA0D72">
      <w:pPr>
        <w:ind w:right="-3"/>
      </w:pPr>
      <w:r w:rsidRPr="006077F0">
        <w:t>Multiple logistic regression models were fit to assess the effects of jurisdictional, regional, service and individual level characteristics on the incidence of hospital readmissions and residential aged care admissions in the six months post ACAT approval among the 2,443 TC recipients.  The variables that were considered as possible predictors of the two outcomes were drawn from the Regional Characterization, Models of Transition Care, and Data Linkage Components reports from the evaluation (National Evaluation of the Transition Care Program 2007a; National Evaluation of the Transition Care Program 2007c; National Evaluation of the Transition Care Program 2008).  The variables were:</w:t>
      </w:r>
    </w:p>
    <w:p w14:paraId="165E0465" w14:textId="77777777" w:rsidR="005D7ABA" w:rsidRDefault="006077F0" w:rsidP="00CA0D72">
      <w:pPr>
        <w:ind w:right="-3"/>
      </w:pPr>
      <w:r w:rsidRPr="006077F0">
        <w:t xml:space="preserve">Individual level </w:t>
      </w:r>
      <w:r>
        <w:br/>
      </w:r>
      <w:r w:rsidRPr="006077F0">
        <w:t>-</w:t>
      </w:r>
      <w:r>
        <w:t xml:space="preserve"> </w:t>
      </w:r>
      <w:r w:rsidRPr="006077F0">
        <w:t xml:space="preserve">Age at approval </w:t>
      </w:r>
      <w:r>
        <w:br/>
      </w:r>
      <w:r w:rsidRPr="006077F0">
        <w:t>-</w:t>
      </w:r>
      <w:r>
        <w:t xml:space="preserve"> </w:t>
      </w:r>
      <w:r w:rsidRPr="006077F0">
        <w:t xml:space="preserve">Gender </w:t>
      </w:r>
      <w:r>
        <w:br/>
      </w:r>
      <w:r w:rsidRPr="006077F0">
        <w:t>-</w:t>
      </w:r>
      <w:r>
        <w:t xml:space="preserve"> </w:t>
      </w:r>
      <w:r w:rsidRPr="006077F0">
        <w:t xml:space="preserve">MBI at admission </w:t>
      </w:r>
      <w:r>
        <w:br/>
      </w:r>
      <w:r w:rsidRPr="006077F0">
        <w:t>-</w:t>
      </w:r>
      <w:r>
        <w:t xml:space="preserve"> </w:t>
      </w:r>
      <w:r w:rsidRPr="006077F0">
        <w:t>Type of TC (community, residential or combination)</w:t>
      </w:r>
    </w:p>
    <w:p w14:paraId="0CE3EC56" w14:textId="77777777" w:rsidR="005D7ABA" w:rsidRDefault="006077F0" w:rsidP="00CA0D72">
      <w:pPr>
        <w:ind w:right="-3"/>
      </w:pPr>
      <w:r w:rsidRPr="006077F0">
        <w:t xml:space="preserve">Service level </w:t>
      </w:r>
      <w:r>
        <w:br/>
      </w:r>
      <w:r w:rsidRPr="006077F0">
        <w:t>-</w:t>
      </w:r>
      <w:r>
        <w:t xml:space="preserve"> </w:t>
      </w:r>
      <w:r w:rsidRPr="006077F0">
        <w:t xml:space="preserve">Sub-contractor </w:t>
      </w:r>
      <w:r>
        <w:br/>
      </w:r>
      <w:r w:rsidRPr="006077F0">
        <w:t>-</w:t>
      </w:r>
      <w:r>
        <w:t xml:space="preserve"> </w:t>
      </w:r>
      <w:r w:rsidRPr="006077F0">
        <w:t xml:space="preserve">Location (major city vs. other) </w:t>
      </w:r>
      <w:r>
        <w:br/>
      </w:r>
      <w:r w:rsidRPr="006077F0">
        <w:t>-</w:t>
      </w:r>
      <w:r>
        <w:t xml:space="preserve"> </w:t>
      </w:r>
      <w:r w:rsidRPr="006077F0">
        <w:t xml:space="preserve">Service delivery (team vs. non-team) </w:t>
      </w:r>
      <w:r>
        <w:br/>
      </w:r>
      <w:r w:rsidRPr="006077F0">
        <w:t>-</w:t>
      </w:r>
      <w:r>
        <w:t xml:space="preserve"> </w:t>
      </w:r>
      <w:r w:rsidRPr="006077F0">
        <w:t xml:space="preserve">Service location (hospital vs. non-hospital) </w:t>
      </w:r>
      <w:r>
        <w:br/>
      </w:r>
      <w:r w:rsidRPr="006077F0">
        <w:t>-</w:t>
      </w:r>
      <w:r>
        <w:t xml:space="preserve"> </w:t>
      </w:r>
      <w:r w:rsidRPr="006077F0">
        <w:t xml:space="preserve">Model of TC (predominantly community, residential, mixed) </w:t>
      </w:r>
      <w:r>
        <w:br/>
      </w:r>
      <w:r w:rsidRPr="006077F0">
        <w:t>-</w:t>
      </w:r>
      <w:r>
        <w:t xml:space="preserve"> </w:t>
      </w:r>
      <w:r w:rsidRPr="006077F0">
        <w:t xml:space="preserve">Size of service (&lt;40, &gt;40) </w:t>
      </w:r>
      <w:r>
        <w:br/>
      </w:r>
      <w:r w:rsidRPr="006077F0">
        <w:t>-</w:t>
      </w:r>
      <w:r>
        <w:t xml:space="preserve"> </w:t>
      </w:r>
      <w:r w:rsidRPr="006077F0">
        <w:t xml:space="preserve">Allied health hours per place per week </w:t>
      </w:r>
      <w:r>
        <w:br/>
      </w:r>
      <w:r w:rsidRPr="006077F0">
        <w:t>-</w:t>
      </w:r>
      <w:r>
        <w:t xml:space="preserve"> </w:t>
      </w:r>
      <w:r w:rsidRPr="006077F0">
        <w:t>Nursing hours per place per week</w:t>
      </w:r>
    </w:p>
    <w:p w14:paraId="3960BD93" w14:textId="77777777" w:rsidR="005D7ABA" w:rsidRDefault="006077F0" w:rsidP="00CA0D72">
      <w:pPr>
        <w:ind w:right="-3"/>
      </w:pPr>
      <w:r w:rsidRPr="006077F0">
        <w:t xml:space="preserve">Regional level </w:t>
      </w:r>
      <w:r>
        <w:br/>
      </w:r>
      <w:r w:rsidRPr="006077F0">
        <w:t>-</w:t>
      </w:r>
      <w:r>
        <w:t xml:space="preserve"> </w:t>
      </w:r>
      <w:r w:rsidRPr="006077F0">
        <w:t xml:space="preserve">Number of hospital beds per 1,000 older people </w:t>
      </w:r>
      <w:r>
        <w:br/>
      </w:r>
      <w:r w:rsidRPr="006077F0">
        <w:t>-</w:t>
      </w:r>
      <w:r>
        <w:t xml:space="preserve"> </w:t>
      </w:r>
      <w:r w:rsidRPr="006077F0">
        <w:t>Number of residential aged care places per 1,000 older people</w:t>
      </w:r>
    </w:p>
    <w:p w14:paraId="1F29A3C2" w14:textId="77777777" w:rsidR="005D7ABA" w:rsidRDefault="006077F0" w:rsidP="00CA0D72">
      <w:pPr>
        <w:ind w:right="-3"/>
      </w:pPr>
      <w:r w:rsidRPr="006077F0">
        <w:lastRenderedPageBreak/>
        <w:t xml:space="preserve">Jurisdictional level </w:t>
      </w:r>
      <w:r>
        <w:br/>
      </w:r>
      <w:r w:rsidRPr="006077F0">
        <w:t>-</w:t>
      </w:r>
      <w:r>
        <w:t xml:space="preserve"> S</w:t>
      </w:r>
      <w:r w:rsidRPr="006077F0">
        <w:t>tate</w:t>
      </w:r>
    </w:p>
    <w:p w14:paraId="0221E619" w14:textId="77777777" w:rsidR="005D7ABA" w:rsidRDefault="006077F0" w:rsidP="00CA0D72">
      <w:pPr>
        <w:ind w:right="-3"/>
      </w:pPr>
      <w:r w:rsidRPr="006077F0">
        <w:t>The variables drawn from the Models of Transition Care deserve elaboration.</w:t>
      </w:r>
    </w:p>
    <w:p w14:paraId="2C093B6E" w14:textId="77777777" w:rsidR="005D7ABA" w:rsidRDefault="006077F0" w:rsidP="00CA0D72">
      <w:pPr>
        <w:ind w:right="-3"/>
      </w:pPr>
      <w:r w:rsidRPr="006077F0">
        <w:t>'Sub-contractor' refers to the sub-contracting arrangements that were reported by TC services in the Quality Reports and/or supplied by the Department of Health and Ageing (National Evaluation of the Transition Care Program 2007a).  The location of each TC service was classified as major city, inner regional, outer regional, remote, or very remote and collapsed to major city or other due to the smaller number of services located in non-metropolitan regions.  Team service delivery reflected employed staff making team decisions about the care of each TC recipient or other.  Non-team service delivery reflected TC services which purchased nursing, allied health or personal care services as necessary without team-based decision making.  Service location was based on the physical location of the service and was classified as hospital-based or non-hospital based.  The model of TC was based on the cluster solution presented in the Models of Transition Care Report, in which services clustered according to three main groups, namely predominantly community, residential, and mixed.  The size of the service related to the number of operational places, and this was collapsed to two groups of &lt;20 places and &gt;20 places.  Variables that represented the provision of total allied health hours per operational place per week and total nursing hours per operational place per week, as presented in the Quarterly Reports, were also included in the analyses (National Evaluation of the Transition Care Program 2007a).</w:t>
      </w:r>
    </w:p>
    <w:p w14:paraId="366E1319" w14:textId="77777777" w:rsidR="005D7ABA" w:rsidRDefault="006077F0" w:rsidP="00CA0D72">
      <w:pPr>
        <w:ind w:right="-3"/>
      </w:pPr>
      <w:r w:rsidRPr="006077F0">
        <w:t>Because of notable differences in the residential aged care admissions between Victoria and the other states, the Victorian residential aged care admissions were excluded from the model.  Similarly, the pattern of hospital readmissions appears to differ in Tasmania and elsewhere and therefore the effects of the variables on hospital readmissions were examined without the Tasmanian hospital data.</w:t>
      </w:r>
    </w:p>
    <w:p w14:paraId="74670784" w14:textId="7939B8A9" w:rsidR="00F07A2D" w:rsidRPr="006077F0" w:rsidRDefault="006077F0" w:rsidP="00CA0D72">
      <w:pPr>
        <w:ind w:right="-3"/>
      </w:pPr>
      <w:r w:rsidRPr="006077F0">
        <w:t xml:space="preserve">In terms of hospital readmissions, males, services with subcontracting arrangements, and lower nursing hours per place per week were associated with an increased risk of hospital readmission over the six months post ACAT approval, as described in Table 4.1. </w:t>
      </w:r>
      <w:r w:rsidR="00F07A2D">
        <w:br/>
      </w:r>
    </w:p>
    <w:p w14:paraId="2F984FC9" w14:textId="77777777" w:rsidR="006077F0" w:rsidRPr="00342208" w:rsidRDefault="006077F0" w:rsidP="00F53196">
      <w:pPr>
        <w:pStyle w:val="Heading3"/>
      </w:pPr>
      <w:bookmarkStart w:id="70" w:name="_Toc402348916"/>
      <w:r w:rsidRPr="00342208">
        <w:t>Table 4.1: Risk of hospital readmission in six months post ACAT approval</w:t>
      </w:r>
      <w:bookmarkEnd w:id="70"/>
      <w:r w:rsidRPr="00342208">
        <w:t xml:space="preserve"> </w:t>
      </w:r>
    </w:p>
    <w:tbl>
      <w:tblPr>
        <w:tblStyle w:val="TableGrid"/>
        <w:tblW w:w="0" w:type="auto"/>
        <w:tblLook w:val="01E0" w:firstRow="1" w:lastRow="1" w:firstColumn="1" w:lastColumn="1" w:noHBand="0" w:noVBand="0"/>
        <w:tblDescription w:val="Table 4.1: Risk of hospital readmission in six months post ACAT approval "/>
      </w:tblPr>
      <w:tblGrid>
        <w:gridCol w:w="3652"/>
        <w:gridCol w:w="2282"/>
        <w:gridCol w:w="1701"/>
      </w:tblGrid>
      <w:tr w:rsidR="00AB2002" w:rsidRPr="00ED1C92" w14:paraId="53DF7A40" w14:textId="77777777" w:rsidTr="00F53196">
        <w:trPr>
          <w:tblHeader/>
        </w:trPr>
        <w:tc>
          <w:tcPr>
            <w:tcW w:w="3652" w:type="dxa"/>
          </w:tcPr>
          <w:p w14:paraId="01399D07" w14:textId="77777777" w:rsidR="00AB2002" w:rsidRPr="00ED1C92" w:rsidRDefault="00AB2002" w:rsidP="00CA0D72">
            <w:pPr>
              <w:pStyle w:val="Table"/>
              <w:tabs>
                <w:tab w:val="clear" w:pos="1418"/>
                <w:tab w:val="clear" w:pos="3969"/>
                <w:tab w:val="clear" w:pos="6946"/>
              </w:tabs>
              <w:ind w:right="-3"/>
              <w:rPr>
                <w:b/>
              </w:rPr>
            </w:pPr>
            <w:r w:rsidRPr="00ED1C92">
              <w:rPr>
                <w:b/>
              </w:rPr>
              <w:t>Variable</w:t>
            </w:r>
          </w:p>
        </w:tc>
        <w:tc>
          <w:tcPr>
            <w:tcW w:w="2282" w:type="dxa"/>
          </w:tcPr>
          <w:p w14:paraId="1A49C234" w14:textId="77777777" w:rsidR="00AB2002" w:rsidRPr="00ED1C92" w:rsidRDefault="00AB2002" w:rsidP="00CA0D72">
            <w:pPr>
              <w:pStyle w:val="Table"/>
              <w:tabs>
                <w:tab w:val="clear" w:pos="1418"/>
                <w:tab w:val="clear" w:pos="3969"/>
                <w:tab w:val="clear" w:pos="6946"/>
              </w:tabs>
              <w:ind w:right="-3"/>
              <w:rPr>
                <w:b/>
              </w:rPr>
            </w:pPr>
            <w:r w:rsidRPr="00ED1C92">
              <w:rPr>
                <w:b/>
              </w:rPr>
              <w:t>OR</w:t>
            </w:r>
          </w:p>
        </w:tc>
        <w:tc>
          <w:tcPr>
            <w:tcW w:w="1701" w:type="dxa"/>
          </w:tcPr>
          <w:p w14:paraId="1AAC0243" w14:textId="77777777" w:rsidR="00AB2002" w:rsidRPr="00ED1C92" w:rsidRDefault="00AB2002" w:rsidP="00CA0D72">
            <w:pPr>
              <w:pStyle w:val="Table"/>
              <w:tabs>
                <w:tab w:val="clear" w:pos="1418"/>
                <w:tab w:val="clear" w:pos="3969"/>
                <w:tab w:val="clear" w:pos="6946"/>
              </w:tabs>
              <w:ind w:right="-3"/>
              <w:rPr>
                <w:b/>
              </w:rPr>
            </w:pPr>
            <w:r w:rsidRPr="00ED1C92">
              <w:rPr>
                <w:b/>
              </w:rPr>
              <w:t>95%CI</w:t>
            </w:r>
          </w:p>
        </w:tc>
      </w:tr>
      <w:tr w:rsidR="00AB2002" w:rsidRPr="00ED1C92" w14:paraId="0C28C3C5" w14:textId="77777777" w:rsidTr="00F53196">
        <w:tc>
          <w:tcPr>
            <w:tcW w:w="3652" w:type="dxa"/>
          </w:tcPr>
          <w:p w14:paraId="3F61CA65" w14:textId="77777777" w:rsidR="00AB2002" w:rsidRPr="00ED1C92" w:rsidRDefault="00AB2002" w:rsidP="00CA0D72">
            <w:pPr>
              <w:pStyle w:val="Table"/>
              <w:tabs>
                <w:tab w:val="clear" w:pos="1418"/>
                <w:tab w:val="clear" w:pos="3969"/>
                <w:tab w:val="clear" w:pos="6946"/>
              </w:tabs>
              <w:ind w:right="-3"/>
            </w:pPr>
            <w:r w:rsidRPr="00ED1C92">
              <w:t>Sex</w:t>
            </w:r>
          </w:p>
        </w:tc>
        <w:tc>
          <w:tcPr>
            <w:tcW w:w="2282" w:type="dxa"/>
          </w:tcPr>
          <w:p w14:paraId="259E5E75" w14:textId="77777777" w:rsidR="00AB2002" w:rsidRPr="00ED1C92" w:rsidRDefault="00AB2002" w:rsidP="00CA0D72">
            <w:pPr>
              <w:pStyle w:val="Table"/>
              <w:tabs>
                <w:tab w:val="clear" w:pos="1418"/>
                <w:tab w:val="clear" w:pos="3969"/>
                <w:tab w:val="clear" w:pos="6946"/>
              </w:tabs>
              <w:ind w:right="-3"/>
            </w:pPr>
          </w:p>
        </w:tc>
        <w:tc>
          <w:tcPr>
            <w:tcW w:w="1701" w:type="dxa"/>
          </w:tcPr>
          <w:p w14:paraId="479A7935" w14:textId="77777777" w:rsidR="00AB2002" w:rsidRPr="00ED1C92" w:rsidRDefault="00AB2002" w:rsidP="00CA0D72">
            <w:pPr>
              <w:pStyle w:val="Table"/>
              <w:tabs>
                <w:tab w:val="clear" w:pos="1418"/>
                <w:tab w:val="clear" w:pos="3969"/>
                <w:tab w:val="clear" w:pos="6946"/>
              </w:tabs>
              <w:ind w:right="-3"/>
            </w:pPr>
          </w:p>
        </w:tc>
      </w:tr>
      <w:tr w:rsidR="00AB2002" w:rsidRPr="00ED1C92" w14:paraId="06AC0360" w14:textId="77777777" w:rsidTr="00F53196">
        <w:tc>
          <w:tcPr>
            <w:tcW w:w="3652" w:type="dxa"/>
          </w:tcPr>
          <w:p w14:paraId="12EB040F" w14:textId="77777777" w:rsidR="00AB2002" w:rsidRPr="00ED1C92" w:rsidRDefault="00AB2002" w:rsidP="00CA0D72">
            <w:pPr>
              <w:pStyle w:val="Table"/>
              <w:tabs>
                <w:tab w:val="clear" w:pos="1418"/>
                <w:tab w:val="clear" w:pos="3969"/>
                <w:tab w:val="clear" w:pos="6946"/>
              </w:tabs>
              <w:ind w:right="-3"/>
            </w:pPr>
            <w:r>
              <w:t xml:space="preserve">   </w:t>
            </w:r>
            <w:r w:rsidRPr="00ED1C92">
              <w:t>Male (referent)</w:t>
            </w:r>
          </w:p>
        </w:tc>
        <w:tc>
          <w:tcPr>
            <w:tcW w:w="2282" w:type="dxa"/>
          </w:tcPr>
          <w:p w14:paraId="5D075C5C" w14:textId="77777777" w:rsidR="00AB2002" w:rsidRPr="00ED1C92" w:rsidRDefault="00AB2002" w:rsidP="00CA0D72">
            <w:pPr>
              <w:pStyle w:val="Table"/>
              <w:tabs>
                <w:tab w:val="clear" w:pos="1418"/>
                <w:tab w:val="clear" w:pos="3969"/>
                <w:tab w:val="clear" w:pos="6946"/>
              </w:tabs>
              <w:ind w:right="-3"/>
            </w:pPr>
            <w:r w:rsidRPr="00ED1C92">
              <w:t>1</w:t>
            </w:r>
          </w:p>
        </w:tc>
        <w:tc>
          <w:tcPr>
            <w:tcW w:w="1701" w:type="dxa"/>
          </w:tcPr>
          <w:p w14:paraId="7E6F1600" w14:textId="77777777" w:rsidR="00AB2002" w:rsidRPr="00ED1C92" w:rsidRDefault="00AB2002" w:rsidP="00CA0D72">
            <w:pPr>
              <w:pStyle w:val="Table"/>
              <w:tabs>
                <w:tab w:val="clear" w:pos="1418"/>
                <w:tab w:val="clear" w:pos="3969"/>
                <w:tab w:val="clear" w:pos="6946"/>
              </w:tabs>
              <w:ind w:right="-3"/>
            </w:pPr>
          </w:p>
        </w:tc>
      </w:tr>
      <w:tr w:rsidR="00AB2002" w:rsidRPr="00ED1C92" w14:paraId="4FDFCFB0" w14:textId="77777777" w:rsidTr="00F53196">
        <w:tc>
          <w:tcPr>
            <w:tcW w:w="3652" w:type="dxa"/>
          </w:tcPr>
          <w:p w14:paraId="100A39A4" w14:textId="77777777" w:rsidR="00AB2002" w:rsidRPr="00ED1C92" w:rsidRDefault="00AB2002" w:rsidP="00CA0D72">
            <w:pPr>
              <w:pStyle w:val="Table"/>
              <w:tabs>
                <w:tab w:val="clear" w:pos="1418"/>
                <w:tab w:val="clear" w:pos="3969"/>
                <w:tab w:val="clear" w:pos="6946"/>
              </w:tabs>
              <w:ind w:right="-3"/>
            </w:pPr>
            <w:r>
              <w:t xml:space="preserve">   </w:t>
            </w:r>
            <w:r w:rsidRPr="00ED1C92">
              <w:t>Female</w:t>
            </w:r>
          </w:p>
        </w:tc>
        <w:tc>
          <w:tcPr>
            <w:tcW w:w="2282" w:type="dxa"/>
          </w:tcPr>
          <w:p w14:paraId="73521228" w14:textId="77777777" w:rsidR="00AB2002" w:rsidRPr="00ED1C92" w:rsidRDefault="00AB2002" w:rsidP="00CA0D72">
            <w:pPr>
              <w:pStyle w:val="Table"/>
              <w:tabs>
                <w:tab w:val="clear" w:pos="1418"/>
                <w:tab w:val="clear" w:pos="3969"/>
                <w:tab w:val="clear" w:pos="6946"/>
              </w:tabs>
              <w:ind w:right="-3"/>
            </w:pPr>
            <w:r w:rsidRPr="00ED1C92">
              <w:t>0.71</w:t>
            </w:r>
          </w:p>
        </w:tc>
        <w:tc>
          <w:tcPr>
            <w:tcW w:w="1701" w:type="dxa"/>
          </w:tcPr>
          <w:p w14:paraId="2E8F709C" w14:textId="77777777" w:rsidR="00AB2002" w:rsidRPr="00ED1C92" w:rsidRDefault="00AB2002" w:rsidP="00CA0D72">
            <w:pPr>
              <w:pStyle w:val="Table"/>
              <w:tabs>
                <w:tab w:val="clear" w:pos="1418"/>
                <w:tab w:val="clear" w:pos="3969"/>
                <w:tab w:val="clear" w:pos="6946"/>
              </w:tabs>
              <w:ind w:right="-3"/>
            </w:pPr>
            <w:r w:rsidRPr="00ED1C92">
              <w:t>0.57 – 0.89</w:t>
            </w:r>
          </w:p>
        </w:tc>
      </w:tr>
      <w:tr w:rsidR="00AB2002" w:rsidRPr="00ED1C92" w14:paraId="02704A8D" w14:textId="77777777" w:rsidTr="00F53196">
        <w:tc>
          <w:tcPr>
            <w:tcW w:w="3652" w:type="dxa"/>
          </w:tcPr>
          <w:p w14:paraId="582F638F" w14:textId="77777777" w:rsidR="00AB2002" w:rsidRPr="00ED1C92" w:rsidRDefault="00AB2002" w:rsidP="00CA0D72">
            <w:pPr>
              <w:pStyle w:val="Table"/>
              <w:tabs>
                <w:tab w:val="clear" w:pos="1418"/>
                <w:tab w:val="clear" w:pos="3969"/>
                <w:tab w:val="clear" w:pos="6946"/>
              </w:tabs>
              <w:ind w:right="-3"/>
            </w:pPr>
            <w:r w:rsidRPr="00ED1C92">
              <w:t>Nursing hours per place per week</w:t>
            </w:r>
          </w:p>
        </w:tc>
        <w:tc>
          <w:tcPr>
            <w:tcW w:w="2282" w:type="dxa"/>
          </w:tcPr>
          <w:p w14:paraId="2D0B4FE0" w14:textId="77777777" w:rsidR="00AB2002" w:rsidRPr="00ED1C92" w:rsidRDefault="00AB2002" w:rsidP="00CA0D72">
            <w:pPr>
              <w:pStyle w:val="Table"/>
              <w:tabs>
                <w:tab w:val="clear" w:pos="1418"/>
                <w:tab w:val="clear" w:pos="3969"/>
                <w:tab w:val="clear" w:pos="6946"/>
              </w:tabs>
              <w:ind w:right="-3"/>
              <w:jc w:val="both"/>
            </w:pPr>
            <w:r w:rsidRPr="00ED1C92">
              <w:t>0.96</w:t>
            </w:r>
          </w:p>
        </w:tc>
        <w:tc>
          <w:tcPr>
            <w:tcW w:w="1701" w:type="dxa"/>
          </w:tcPr>
          <w:p w14:paraId="2603FF92" w14:textId="77777777" w:rsidR="00AB2002" w:rsidRPr="00ED1C92" w:rsidRDefault="00AB2002" w:rsidP="00CA0D72">
            <w:pPr>
              <w:pStyle w:val="Table"/>
              <w:tabs>
                <w:tab w:val="clear" w:pos="1418"/>
                <w:tab w:val="clear" w:pos="3969"/>
                <w:tab w:val="clear" w:pos="6946"/>
              </w:tabs>
              <w:ind w:right="-3"/>
            </w:pPr>
            <w:r w:rsidRPr="00ED1C92">
              <w:t>0.94 – 0.98</w:t>
            </w:r>
          </w:p>
        </w:tc>
      </w:tr>
      <w:tr w:rsidR="00AB2002" w:rsidRPr="00ED1C92" w14:paraId="6DCFE57C" w14:textId="77777777" w:rsidTr="00F53196">
        <w:tc>
          <w:tcPr>
            <w:tcW w:w="3652" w:type="dxa"/>
          </w:tcPr>
          <w:p w14:paraId="28E8B3C7" w14:textId="77777777" w:rsidR="00AB2002" w:rsidRPr="00ED1C92" w:rsidRDefault="00AB2002" w:rsidP="00CA0D72">
            <w:pPr>
              <w:pStyle w:val="Table"/>
              <w:tabs>
                <w:tab w:val="clear" w:pos="1418"/>
                <w:tab w:val="clear" w:pos="3969"/>
                <w:tab w:val="clear" w:pos="6946"/>
              </w:tabs>
              <w:ind w:right="-3"/>
            </w:pPr>
            <w:r w:rsidRPr="00ED1C92">
              <w:t>Subcontractor</w:t>
            </w:r>
            <w:r w:rsidRPr="00AB2002">
              <w:rPr>
                <w:vertAlign w:val="superscript"/>
              </w:rPr>
              <w:t>2</w:t>
            </w:r>
          </w:p>
        </w:tc>
        <w:tc>
          <w:tcPr>
            <w:tcW w:w="2282" w:type="dxa"/>
          </w:tcPr>
          <w:p w14:paraId="0245A7C0" w14:textId="77777777" w:rsidR="00AB2002" w:rsidRPr="00ED1C92" w:rsidRDefault="00AB2002" w:rsidP="00CA0D72">
            <w:pPr>
              <w:pStyle w:val="Table"/>
              <w:tabs>
                <w:tab w:val="clear" w:pos="1418"/>
                <w:tab w:val="clear" w:pos="3969"/>
                <w:tab w:val="clear" w:pos="6946"/>
              </w:tabs>
              <w:ind w:right="-3"/>
            </w:pPr>
          </w:p>
        </w:tc>
        <w:tc>
          <w:tcPr>
            <w:tcW w:w="1701" w:type="dxa"/>
          </w:tcPr>
          <w:p w14:paraId="45411BAF" w14:textId="77777777" w:rsidR="00AB2002" w:rsidRPr="00ED1C92" w:rsidRDefault="00AB2002" w:rsidP="00CA0D72">
            <w:pPr>
              <w:pStyle w:val="Table"/>
              <w:tabs>
                <w:tab w:val="clear" w:pos="1418"/>
                <w:tab w:val="clear" w:pos="3969"/>
                <w:tab w:val="clear" w:pos="6946"/>
              </w:tabs>
              <w:ind w:right="-3"/>
            </w:pPr>
          </w:p>
        </w:tc>
      </w:tr>
      <w:tr w:rsidR="00AB2002" w:rsidRPr="00ED1C92" w14:paraId="61AB799D" w14:textId="77777777" w:rsidTr="00F53196">
        <w:tc>
          <w:tcPr>
            <w:tcW w:w="3652" w:type="dxa"/>
          </w:tcPr>
          <w:p w14:paraId="5BA3BFE1" w14:textId="77777777" w:rsidR="00AB2002" w:rsidRPr="00ED1C92" w:rsidRDefault="00AB2002" w:rsidP="00CA0D72">
            <w:pPr>
              <w:pStyle w:val="Table"/>
              <w:tabs>
                <w:tab w:val="clear" w:pos="1418"/>
                <w:tab w:val="clear" w:pos="3969"/>
                <w:tab w:val="clear" w:pos="6946"/>
              </w:tabs>
              <w:ind w:right="-3"/>
            </w:pPr>
            <w:r>
              <w:t xml:space="preserve">   </w:t>
            </w:r>
            <w:r w:rsidRPr="00ED1C92">
              <w:t>No (referent)</w:t>
            </w:r>
          </w:p>
        </w:tc>
        <w:tc>
          <w:tcPr>
            <w:tcW w:w="2282" w:type="dxa"/>
          </w:tcPr>
          <w:p w14:paraId="340501EA" w14:textId="77777777" w:rsidR="00AB2002" w:rsidRPr="00ED1C92" w:rsidRDefault="00AB2002" w:rsidP="00CA0D72">
            <w:pPr>
              <w:pStyle w:val="Table"/>
              <w:tabs>
                <w:tab w:val="clear" w:pos="1418"/>
                <w:tab w:val="clear" w:pos="3969"/>
                <w:tab w:val="clear" w:pos="6946"/>
              </w:tabs>
              <w:ind w:right="-3"/>
            </w:pPr>
            <w:r w:rsidRPr="00ED1C92">
              <w:t>1</w:t>
            </w:r>
          </w:p>
        </w:tc>
        <w:tc>
          <w:tcPr>
            <w:tcW w:w="1701" w:type="dxa"/>
          </w:tcPr>
          <w:p w14:paraId="3F274C6B" w14:textId="77777777" w:rsidR="00AB2002" w:rsidRPr="00ED1C92" w:rsidRDefault="00AB2002" w:rsidP="00CA0D72">
            <w:pPr>
              <w:pStyle w:val="Table"/>
              <w:tabs>
                <w:tab w:val="clear" w:pos="1418"/>
                <w:tab w:val="clear" w:pos="3969"/>
                <w:tab w:val="clear" w:pos="6946"/>
              </w:tabs>
              <w:ind w:right="-3"/>
            </w:pPr>
          </w:p>
        </w:tc>
      </w:tr>
      <w:tr w:rsidR="00AB2002" w:rsidRPr="00ED1C92" w14:paraId="5C58C631" w14:textId="77777777" w:rsidTr="00F53196">
        <w:tc>
          <w:tcPr>
            <w:tcW w:w="3652" w:type="dxa"/>
          </w:tcPr>
          <w:p w14:paraId="0A656696" w14:textId="77777777" w:rsidR="00AB2002" w:rsidRPr="00ED1C92" w:rsidRDefault="00AB2002" w:rsidP="00CA0D72">
            <w:pPr>
              <w:pStyle w:val="Table"/>
              <w:tabs>
                <w:tab w:val="clear" w:pos="1418"/>
                <w:tab w:val="clear" w:pos="3969"/>
                <w:tab w:val="clear" w:pos="6946"/>
              </w:tabs>
              <w:ind w:right="-3"/>
            </w:pPr>
            <w:r>
              <w:t xml:space="preserve">   Yes</w:t>
            </w:r>
          </w:p>
        </w:tc>
        <w:tc>
          <w:tcPr>
            <w:tcW w:w="2282" w:type="dxa"/>
          </w:tcPr>
          <w:p w14:paraId="6F1D4734" w14:textId="77777777" w:rsidR="00AB2002" w:rsidRPr="00ED1C92" w:rsidRDefault="00AB2002" w:rsidP="00CA0D72">
            <w:pPr>
              <w:pStyle w:val="Table"/>
              <w:tabs>
                <w:tab w:val="clear" w:pos="1418"/>
                <w:tab w:val="clear" w:pos="3969"/>
                <w:tab w:val="clear" w:pos="6946"/>
              </w:tabs>
              <w:ind w:right="-3"/>
            </w:pPr>
            <w:r w:rsidRPr="00ED1C92">
              <w:t>1.37</w:t>
            </w:r>
          </w:p>
        </w:tc>
        <w:tc>
          <w:tcPr>
            <w:tcW w:w="1701" w:type="dxa"/>
          </w:tcPr>
          <w:p w14:paraId="5141975E" w14:textId="77777777" w:rsidR="00AB2002" w:rsidRPr="00ED1C92" w:rsidRDefault="00AB2002" w:rsidP="00CA0D72">
            <w:pPr>
              <w:pStyle w:val="Table"/>
              <w:tabs>
                <w:tab w:val="clear" w:pos="1418"/>
                <w:tab w:val="clear" w:pos="3969"/>
                <w:tab w:val="clear" w:pos="6946"/>
              </w:tabs>
              <w:ind w:right="-3"/>
            </w:pPr>
            <w:r w:rsidRPr="00ED1C92">
              <w:t>1.11 – 1.69</w:t>
            </w:r>
          </w:p>
        </w:tc>
      </w:tr>
    </w:tbl>
    <w:p w14:paraId="10BA7AC2" w14:textId="77777777" w:rsidR="005D7ABA" w:rsidRDefault="006077F0" w:rsidP="00CA0D72">
      <w:pPr>
        <w:pStyle w:val="Note"/>
        <w:ind w:right="-3"/>
      </w:pPr>
      <w:r w:rsidRPr="006077F0">
        <w:t>OR - Odds ratio</w:t>
      </w:r>
    </w:p>
    <w:p w14:paraId="37913D84" w14:textId="37DF688B" w:rsidR="00342208" w:rsidRPr="006077F0" w:rsidRDefault="00342208" w:rsidP="00CA0D72">
      <w:pPr>
        <w:pStyle w:val="Note"/>
        <w:ind w:right="-3"/>
      </w:pPr>
    </w:p>
    <w:p w14:paraId="03FD5BF3" w14:textId="77777777" w:rsidR="005D7ABA" w:rsidRDefault="00F07A2D" w:rsidP="00CA0D72">
      <w:pPr>
        <w:ind w:right="-3"/>
      </w:pPr>
      <w:r>
        <w:br/>
      </w:r>
      <w:r w:rsidR="006077F0" w:rsidRPr="006077F0">
        <w:t xml:space="preserve">As summarized in Table 4.2, residential aged care admissions were affected by a number of different variables.  Increasing age, a lower MBI at admission to TC, and receiving TC only in a residential setting increased the risk of a residential aged care admission.  The TC services that offered residential-based or both residential-based and community-based places were associated with an increased risk of residential aged care admission.  Another service characteristic that affected the risk of residential aged care admission was the provision of allied health hours, such that risk of residential aged care admission decreased by 21% for every additional hour of allied health services per place per week.  The ACAT regions with a greater number of hospital beds </w:t>
      </w:r>
      <w:r w:rsidR="006077F0" w:rsidRPr="006077F0">
        <w:lastRenderedPageBreak/>
        <w:t>per 1,000 older people were associated with a reduced risk of residential aged care admissions.  The risk was also significantly lower in New South Wales and Queensland than in the other jurisdictions, probably reflecting the large community components of the TC programs in these states.</w:t>
      </w:r>
    </w:p>
    <w:p w14:paraId="2C67FAA2" w14:textId="5D042B48" w:rsidR="000C03DC" w:rsidRDefault="000C03DC" w:rsidP="00F53196">
      <w:pPr>
        <w:pStyle w:val="Heading4"/>
      </w:pPr>
      <w:r w:rsidRPr="000C03DC">
        <w:t xml:space="preserve">Table 4.2: Risk of residential aged care admission in the six months post ACAT approval </w:t>
      </w:r>
    </w:p>
    <w:tbl>
      <w:tblPr>
        <w:tblStyle w:val="TableGrid"/>
        <w:tblW w:w="10031" w:type="dxa"/>
        <w:tblLook w:val="01E0" w:firstRow="1" w:lastRow="1" w:firstColumn="1" w:lastColumn="1" w:noHBand="0" w:noVBand="0"/>
        <w:tblDescription w:val="Table 4.2: Risk of residential aged care admission in the six months post ACAT approval"/>
      </w:tblPr>
      <w:tblGrid>
        <w:gridCol w:w="4503"/>
        <w:gridCol w:w="2551"/>
        <w:gridCol w:w="2977"/>
      </w:tblGrid>
      <w:tr w:rsidR="00AB2002" w:rsidRPr="00F53196" w14:paraId="0AE3727B" w14:textId="77777777" w:rsidTr="00F53196">
        <w:trPr>
          <w:tblHeader/>
        </w:trPr>
        <w:tc>
          <w:tcPr>
            <w:tcW w:w="4503" w:type="dxa"/>
          </w:tcPr>
          <w:p w14:paraId="2C06F337" w14:textId="77777777" w:rsidR="00AB2002" w:rsidRPr="00F53196" w:rsidRDefault="00AB2002" w:rsidP="00CA0D72">
            <w:pPr>
              <w:pStyle w:val="Table"/>
              <w:tabs>
                <w:tab w:val="clear" w:pos="1418"/>
                <w:tab w:val="clear" w:pos="3969"/>
                <w:tab w:val="clear" w:pos="6946"/>
              </w:tabs>
              <w:ind w:right="-3"/>
              <w:rPr>
                <w:b/>
              </w:rPr>
            </w:pPr>
            <w:r w:rsidRPr="00F53196">
              <w:rPr>
                <w:b/>
              </w:rPr>
              <w:t>Variable</w:t>
            </w:r>
          </w:p>
        </w:tc>
        <w:tc>
          <w:tcPr>
            <w:tcW w:w="2551" w:type="dxa"/>
          </w:tcPr>
          <w:p w14:paraId="21AD6112" w14:textId="77777777" w:rsidR="00AB2002" w:rsidRPr="00F53196" w:rsidRDefault="00AB2002" w:rsidP="00CA0D72">
            <w:pPr>
              <w:pStyle w:val="Table"/>
              <w:tabs>
                <w:tab w:val="clear" w:pos="1418"/>
                <w:tab w:val="clear" w:pos="3969"/>
                <w:tab w:val="clear" w:pos="6946"/>
              </w:tabs>
              <w:ind w:right="-3"/>
              <w:rPr>
                <w:b/>
              </w:rPr>
            </w:pPr>
            <w:r w:rsidRPr="00F53196">
              <w:rPr>
                <w:b/>
              </w:rPr>
              <w:t>OR</w:t>
            </w:r>
          </w:p>
        </w:tc>
        <w:tc>
          <w:tcPr>
            <w:tcW w:w="2977" w:type="dxa"/>
          </w:tcPr>
          <w:p w14:paraId="1371AC16" w14:textId="77777777" w:rsidR="00AB2002" w:rsidRPr="00F53196" w:rsidRDefault="00AB2002" w:rsidP="00CA0D72">
            <w:pPr>
              <w:pStyle w:val="Table"/>
              <w:tabs>
                <w:tab w:val="clear" w:pos="1418"/>
                <w:tab w:val="clear" w:pos="3969"/>
                <w:tab w:val="clear" w:pos="6946"/>
              </w:tabs>
              <w:ind w:right="-3"/>
              <w:rPr>
                <w:b/>
              </w:rPr>
            </w:pPr>
            <w:r w:rsidRPr="00F53196">
              <w:rPr>
                <w:b/>
              </w:rPr>
              <w:t>95%CI</w:t>
            </w:r>
          </w:p>
        </w:tc>
      </w:tr>
      <w:tr w:rsidR="00AB2002" w:rsidRPr="00F53196" w14:paraId="5A546F63" w14:textId="77777777" w:rsidTr="00F53196">
        <w:tc>
          <w:tcPr>
            <w:tcW w:w="4503" w:type="dxa"/>
          </w:tcPr>
          <w:p w14:paraId="52AB8BC9" w14:textId="77777777" w:rsidR="00AB2002" w:rsidRPr="00F53196" w:rsidRDefault="00AB2002" w:rsidP="00CA0D72">
            <w:pPr>
              <w:pStyle w:val="Table"/>
              <w:tabs>
                <w:tab w:val="clear" w:pos="1418"/>
                <w:tab w:val="clear" w:pos="3969"/>
                <w:tab w:val="clear" w:pos="6946"/>
              </w:tabs>
              <w:ind w:right="-3"/>
            </w:pPr>
            <w:r w:rsidRPr="00F53196">
              <w:t>Age</w:t>
            </w:r>
          </w:p>
        </w:tc>
        <w:tc>
          <w:tcPr>
            <w:tcW w:w="2551" w:type="dxa"/>
          </w:tcPr>
          <w:p w14:paraId="1A1E7337" w14:textId="77777777" w:rsidR="00AB2002" w:rsidRPr="00F53196" w:rsidRDefault="00AB2002" w:rsidP="00CA0D72">
            <w:pPr>
              <w:pStyle w:val="Table"/>
              <w:tabs>
                <w:tab w:val="clear" w:pos="1418"/>
                <w:tab w:val="clear" w:pos="3969"/>
                <w:tab w:val="clear" w:pos="6946"/>
              </w:tabs>
              <w:ind w:right="-3"/>
            </w:pPr>
            <w:r w:rsidRPr="00F53196">
              <w:t>1.05</w:t>
            </w:r>
          </w:p>
        </w:tc>
        <w:tc>
          <w:tcPr>
            <w:tcW w:w="2977" w:type="dxa"/>
          </w:tcPr>
          <w:p w14:paraId="1D36CC9D" w14:textId="77777777" w:rsidR="00AB2002" w:rsidRPr="00F53196" w:rsidRDefault="00AB2002" w:rsidP="00CA0D72">
            <w:pPr>
              <w:pStyle w:val="Table"/>
              <w:tabs>
                <w:tab w:val="clear" w:pos="1418"/>
                <w:tab w:val="clear" w:pos="3969"/>
                <w:tab w:val="clear" w:pos="6946"/>
              </w:tabs>
              <w:ind w:right="-3"/>
            </w:pPr>
            <w:r w:rsidRPr="00F53196">
              <w:t>1.02–1.07</w:t>
            </w:r>
          </w:p>
        </w:tc>
      </w:tr>
      <w:tr w:rsidR="00AB2002" w:rsidRPr="00F53196" w14:paraId="4077D306" w14:textId="77777777" w:rsidTr="00F53196">
        <w:tc>
          <w:tcPr>
            <w:tcW w:w="4503" w:type="dxa"/>
          </w:tcPr>
          <w:p w14:paraId="74420653" w14:textId="77777777" w:rsidR="00AB2002" w:rsidRPr="00F53196" w:rsidRDefault="00AB2002" w:rsidP="00CA0D72">
            <w:pPr>
              <w:pStyle w:val="Table"/>
              <w:tabs>
                <w:tab w:val="clear" w:pos="1418"/>
                <w:tab w:val="clear" w:pos="3969"/>
                <w:tab w:val="clear" w:pos="6946"/>
              </w:tabs>
              <w:ind w:right="-3"/>
            </w:pPr>
            <w:r w:rsidRPr="00F53196">
              <w:t>MBI on admission</w:t>
            </w:r>
            <w:r w:rsidRPr="00F53196">
              <w:rPr>
                <w:vertAlign w:val="superscript"/>
              </w:rPr>
              <w:t>2</w:t>
            </w:r>
          </w:p>
        </w:tc>
        <w:tc>
          <w:tcPr>
            <w:tcW w:w="2551" w:type="dxa"/>
          </w:tcPr>
          <w:p w14:paraId="23F9846E" w14:textId="77777777" w:rsidR="00AB2002" w:rsidRPr="00F53196" w:rsidRDefault="00AB2002" w:rsidP="00CA0D72">
            <w:pPr>
              <w:pStyle w:val="Table"/>
              <w:tabs>
                <w:tab w:val="clear" w:pos="1418"/>
                <w:tab w:val="clear" w:pos="3969"/>
                <w:tab w:val="clear" w:pos="6946"/>
              </w:tabs>
              <w:ind w:right="-3"/>
            </w:pPr>
            <w:r w:rsidRPr="00F53196">
              <w:t>0.99</w:t>
            </w:r>
          </w:p>
        </w:tc>
        <w:tc>
          <w:tcPr>
            <w:tcW w:w="2977" w:type="dxa"/>
          </w:tcPr>
          <w:p w14:paraId="365A478E" w14:textId="77777777" w:rsidR="00AB2002" w:rsidRPr="00F53196" w:rsidRDefault="00AB2002" w:rsidP="00CA0D72">
            <w:pPr>
              <w:pStyle w:val="Table"/>
              <w:tabs>
                <w:tab w:val="clear" w:pos="1418"/>
                <w:tab w:val="clear" w:pos="3969"/>
                <w:tab w:val="clear" w:pos="6946"/>
              </w:tabs>
              <w:ind w:right="-3"/>
            </w:pPr>
            <w:r w:rsidRPr="00F53196">
              <w:t>0.98–0.99</w:t>
            </w:r>
          </w:p>
        </w:tc>
      </w:tr>
      <w:tr w:rsidR="00AB2002" w:rsidRPr="00F53196" w14:paraId="377EFCAC" w14:textId="77777777" w:rsidTr="00F53196">
        <w:tc>
          <w:tcPr>
            <w:tcW w:w="4503" w:type="dxa"/>
          </w:tcPr>
          <w:p w14:paraId="4FE76F1C" w14:textId="77777777" w:rsidR="00AB2002" w:rsidRPr="00F53196" w:rsidRDefault="00AB2002" w:rsidP="00CA0D72">
            <w:pPr>
              <w:pStyle w:val="Table"/>
              <w:tabs>
                <w:tab w:val="clear" w:pos="1418"/>
                <w:tab w:val="clear" w:pos="3969"/>
                <w:tab w:val="clear" w:pos="6946"/>
              </w:tabs>
              <w:ind w:right="-3"/>
            </w:pPr>
            <w:r w:rsidRPr="00F53196">
              <w:t>Type of TC</w:t>
            </w:r>
          </w:p>
        </w:tc>
        <w:tc>
          <w:tcPr>
            <w:tcW w:w="2551" w:type="dxa"/>
          </w:tcPr>
          <w:p w14:paraId="7C9E6E85" w14:textId="77777777" w:rsidR="00AB2002" w:rsidRPr="00F53196" w:rsidRDefault="00AB2002" w:rsidP="00CA0D72">
            <w:pPr>
              <w:pStyle w:val="Table"/>
              <w:tabs>
                <w:tab w:val="clear" w:pos="1418"/>
                <w:tab w:val="clear" w:pos="3969"/>
                <w:tab w:val="clear" w:pos="6946"/>
              </w:tabs>
              <w:ind w:right="-3"/>
            </w:pPr>
          </w:p>
        </w:tc>
        <w:tc>
          <w:tcPr>
            <w:tcW w:w="2977" w:type="dxa"/>
          </w:tcPr>
          <w:p w14:paraId="6502CCFD" w14:textId="77777777" w:rsidR="00AB2002" w:rsidRPr="00F53196" w:rsidRDefault="00AB2002" w:rsidP="00CA0D72">
            <w:pPr>
              <w:pStyle w:val="Table"/>
              <w:tabs>
                <w:tab w:val="clear" w:pos="1418"/>
                <w:tab w:val="clear" w:pos="3969"/>
                <w:tab w:val="clear" w:pos="6946"/>
              </w:tabs>
              <w:ind w:right="-3"/>
            </w:pPr>
          </w:p>
        </w:tc>
      </w:tr>
      <w:tr w:rsidR="00AB2002" w:rsidRPr="00F53196" w14:paraId="5173F6E1" w14:textId="77777777" w:rsidTr="00F53196">
        <w:tc>
          <w:tcPr>
            <w:tcW w:w="4503" w:type="dxa"/>
          </w:tcPr>
          <w:p w14:paraId="1DB02881" w14:textId="77777777" w:rsidR="00AB2002" w:rsidRPr="00F53196" w:rsidRDefault="00AB2002" w:rsidP="00CA0D72">
            <w:pPr>
              <w:pStyle w:val="Table"/>
              <w:tabs>
                <w:tab w:val="clear" w:pos="1418"/>
                <w:tab w:val="clear" w:pos="3969"/>
                <w:tab w:val="clear" w:pos="6946"/>
              </w:tabs>
              <w:ind w:right="-3"/>
            </w:pPr>
            <w:r w:rsidRPr="00F53196">
              <w:t xml:space="preserve">  Community (referent)</w:t>
            </w:r>
          </w:p>
        </w:tc>
        <w:tc>
          <w:tcPr>
            <w:tcW w:w="2551" w:type="dxa"/>
          </w:tcPr>
          <w:p w14:paraId="0A0EA46C" w14:textId="77777777" w:rsidR="00AB2002" w:rsidRPr="00F53196" w:rsidRDefault="00AB2002" w:rsidP="00CA0D72">
            <w:pPr>
              <w:pStyle w:val="Table"/>
              <w:tabs>
                <w:tab w:val="clear" w:pos="1418"/>
                <w:tab w:val="clear" w:pos="3969"/>
                <w:tab w:val="clear" w:pos="6946"/>
              </w:tabs>
              <w:ind w:right="-3"/>
            </w:pPr>
            <w:r w:rsidRPr="00F53196">
              <w:t>1</w:t>
            </w:r>
          </w:p>
        </w:tc>
        <w:tc>
          <w:tcPr>
            <w:tcW w:w="2977" w:type="dxa"/>
          </w:tcPr>
          <w:p w14:paraId="6EC6889E" w14:textId="77777777" w:rsidR="00AB2002" w:rsidRPr="00F53196" w:rsidRDefault="00AB2002" w:rsidP="00CA0D72">
            <w:pPr>
              <w:pStyle w:val="Table"/>
              <w:tabs>
                <w:tab w:val="clear" w:pos="1418"/>
                <w:tab w:val="clear" w:pos="3969"/>
                <w:tab w:val="clear" w:pos="6946"/>
              </w:tabs>
              <w:ind w:right="-3"/>
            </w:pPr>
          </w:p>
        </w:tc>
      </w:tr>
      <w:tr w:rsidR="00AB2002" w:rsidRPr="00F53196" w14:paraId="2ABE4A57" w14:textId="77777777" w:rsidTr="00F53196">
        <w:tc>
          <w:tcPr>
            <w:tcW w:w="4503" w:type="dxa"/>
          </w:tcPr>
          <w:p w14:paraId="68D2FBB7"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Residential</w:t>
            </w:r>
          </w:p>
        </w:tc>
        <w:tc>
          <w:tcPr>
            <w:tcW w:w="2551" w:type="dxa"/>
          </w:tcPr>
          <w:p w14:paraId="010F7D7E" w14:textId="77777777" w:rsidR="00AB2002" w:rsidRPr="00F53196" w:rsidRDefault="00AB2002" w:rsidP="00CA0D72">
            <w:pPr>
              <w:pStyle w:val="Table"/>
              <w:tabs>
                <w:tab w:val="clear" w:pos="1418"/>
                <w:tab w:val="clear" w:pos="3969"/>
                <w:tab w:val="clear" w:pos="6946"/>
              </w:tabs>
              <w:ind w:right="-3"/>
            </w:pPr>
            <w:r w:rsidRPr="00F53196">
              <w:t>6.93</w:t>
            </w:r>
          </w:p>
        </w:tc>
        <w:tc>
          <w:tcPr>
            <w:tcW w:w="2977" w:type="dxa"/>
          </w:tcPr>
          <w:p w14:paraId="4A4DEE5D" w14:textId="77777777" w:rsidR="00AB2002" w:rsidRPr="00F53196" w:rsidRDefault="00AB2002" w:rsidP="00CA0D72">
            <w:pPr>
              <w:pStyle w:val="Table"/>
              <w:tabs>
                <w:tab w:val="clear" w:pos="1418"/>
                <w:tab w:val="clear" w:pos="3969"/>
                <w:tab w:val="clear" w:pos="6946"/>
              </w:tabs>
              <w:ind w:right="-3"/>
            </w:pPr>
            <w:r w:rsidRPr="00F53196">
              <w:t>3.81–12.6</w:t>
            </w:r>
          </w:p>
        </w:tc>
      </w:tr>
      <w:tr w:rsidR="00AB2002" w:rsidRPr="00F53196" w14:paraId="01B3DD1E" w14:textId="77777777" w:rsidTr="00F53196">
        <w:tc>
          <w:tcPr>
            <w:tcW w:w="4503" w:type="dxa"/>
          </w:tcPr>
          <w:p w14:paraId="6136C7C4"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Combination</w:t>
            </w:r>
          </w:p>
        </w:tc>
        <w:tc>
          <w:tcPr>
            <w:tcW w:w="2551" w:type="dxa"/>
          </w:tcPr>
          <w:p w14:paraId="0D9A9415" w14:textId="77777777" w:rsidR="00AB2002" w:rsidRPr="00F53196" w:rsidRDefault="00AB2002" w:rsidP="00CA0D72">
            <w:pPr>
              <w:pStyle w:val="Table"/>
              <w:tabs>
                <w:tab w:val="clear" w:pos="1418"/>
                <w:tab w:val="clear" w:pos="3969"/>
                <w:tab w:val="clear" w:pos="6946"/>
              </w:tabs>
              <w:ind w:right="-3"/>
            </w:pPr>
            <w:r w:rsidRPr="00F53196">
              <w:t>1.05</w:t>
            </w:r>
          </w:p>
        </w:tc>
        <w:tc>
          <w:tcPr>
            <w:tcW w:w="2977" w:type="dxa"/>
          </w:tcPr>
          <w:p w14:paraId="7E2F8FFD" w14:textId="77777777" w:rsidR="00AB2002" w:rsidRPr="00F53196" w:rsidRDefault="00AB2002" w:rsidP="00CA0D72">
            <w:pPr>
              <w:pStyle w:val="Table"/>
              <w:tabs>
                <w:tab w:val="clear" w:pos="1418"/>
                <w:tab w:val="clear" w:pos="3969"/>
                <w:tab w:val="clear" w:pos="6946"/>
              </w:tabs>
              <w:ind w:right="-3"/>
            </w:pPr>
            <w:r w:rsidRPr="00F53196">
              <w:t>0.46–2.41</w:t>
            </w:r>
          </w:p>
        </w:tc>
      </w:tr>
      <w:tr w:rsidR="00AB2002" w:rsidRPr="00F53196" w14:paraId="52FE6714" w14:textId="77777777" w:rsidTr="00F53196">
        <w:tc>
          <w:tcPr>
            <w:tcW w:w="4503" w:type="dxa"/>
          </w:tcPr>
          <w:p w14:paraId="6C367348" w14:textId="77777777" w:rsidR="00AB2002" w:rsidRPr="00F53196" w:rsidRDefault="00AB2002" w:rsidP="00CA0D72">
            <w:pPr>
              <w:pStyle w:val="Table"/>
              <w:tabs>
                <w:tab w:val="clear" w:pos="1418"/>
                <w:tab w:val="clear" w:pos="3969"/>
                <w:tab w:val="clear" w:pos="6946"/>
              </w:tabs>
              <w:ind w:right="-3"/>
            </w:pPr>
            <w:r w:rsidRPr="00F53196">
              <w:t>Model of TC</w:t>
            </w:r>
          </w:p>
        </w:tc>
        <w:tc>
          <w:tcPr>
            <w:tcW w:w="2551" w:type="dxa"/>
          </w:tcPr>
          <w:p w14:paraId="7FF17183" w14:textId="77777777" w:rsidR="00AB2002" w:rsidRPr="00F53196" w:rsidRDefault="00AB2002" w:rsidP="00CA0D72">
            <w:pPr>
              <w:pStyle w:val="Table"/>
              <w:tabs>
                <w:tab w:val="clear" w:pos="1418"/>
                <w:tab w:val="clear" w:pos="3969"/>
                <w:tab w:val="clear" w:pos="6946"/>
              </w:tabs>
              <w:ind w:right="-3"/>
            </w:pPr>
          </w:p>
        </w:tc>
        <w:tc>
          <w:tcPr>
            <w:tcW w:w="2977" w:type="dxa"/>
          </w:tcPr>
          <w:p w14:paraId="6C9CB5FC" w14:textId="77777777" w:rsidR="00AB2002" w:rsidRPr="00F53196" w:rsidRDefault="00AB2002" w:rsidP="00CA0D72">
            <w:pPr>
              <w:pStyle w:val="Table"/>
              <w:tabs>
                <w:tab w:val="clear" w:pos="1418"/>
                <w:tab w:val="clear" w:pos="3969"/>
                <w:tab w:val="clear" w:pos="6946"/>
              </w:tabs>
              <w:ind w:right="-3"/>
            </w:pPr>
          </w:p>
        </w:tc>
      </w:tr>
      <w:tr w:rsidR="00AB2002" w:rsidRPr="00F53196" w14:paraId="04071988" w14:textId="77777777" w:rsidTr="00F53196">
        <w:tc>
          <w:tcPr>
            <w:tcW w:w="4503" w:type="dxa"/>
          </w:tcPr>
          <w:p w14:paraId="04C53EB7" w14:textId="77777777" w:rsidR="00AB2002" w:rsidRPr="00F53196" w:rsidRDefault="00AB2002" w:rsidP="00CA0D72">
            <w:pPr>
              <w:pStyle w:val="Table"/>
              <w:tabs>
                <w:tab w:val="clear" w:pos="1418"/>
                <w:tab w:val="clear" w:pos="3969"/>
                <w:tab w:val="clear" w:pos="6946"/>
              </w:tabs>
              <w:ind w:right="-3"/>
            </w:pPr>
            <w:r w:rsidRPr="00F53196">
              <w:t xml:space="preserve">  Predominantly community</w:t>
            </w:r>
          </w:p>
        </w:tc>
        <w:tc>
          <w:tcPr>
            <w:tcW w:w="2551" w:type="dxa"/>
          </w:tcPr>
          <w:p w14:paraId="1E039ACB" w14:textId="77777777" w:rsidR="00AB2002" w:rsidRPr="00F53196" w:rsidRDefault="00AB2002" w:rsidP="00CA0D72">
            <w:pPr>
              <w:pStyle w:val="Table"/>
              <w:tabs>
                <w:tab w:val="clear" w:pos="1418"/>
                <w:tab w:val="clear" w:pos="3969"/>
                <w:tab w:val="clear" w:pos="6946"/>
              </w:tabs>
              <w:ind w:right="-3"/>
            </w:pPr>
            <w:r w:rsidRPr="00F53196">
              <w:t>1</w:t>
            </w:r>
          </w:p>
        </w:tc>
        <w:tc>
          <w:tcPr>
            <w:tcW w:w="2977" w:type="dxa"/>
          </w:tcPr>
          <w:p w14:paraId="0B562CF3" w14:textId="77777777" w:rsidR="00AB2002" w:rsidRPr="00F53196" w:rsidRDefault="00AB2002" w:rsidP="00CA0D72">
            <w:pPr>
              <w:pStyle w:val="Table"/>
              <w:tabs>
                <w:tab w:val="clear" w:pos="1418"/>
                <w:tab w:val="clear" w:pos="3969"/>
                <w:tab w:val="clear" w:pos="6946"/>
              </w:tabs>
              <w:ind w:right="-3"/>
            </w:pPr>
          </w:p>
        </w:tc>
      </w:tr>
      <w:tr w:rsidR="00AB2002" w:rsidRPr="00F53196" w14:paraId="623A763B" w14:textId="77777777" w:rsidTr="00F53196">
        <w:tc>
          <w:tcPr>
            <w:tcW w:w="4503" w:type="dxa"/>
          </w:tcPr>
          <w:p w14:paraId="1F6B332D"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Residential</w:t>
            </w:r>
          </w:p>
        </w:tc>
        <w:tc>
          <w:tcPr>
            <w:tcW w:w="2551" w:type="dxa"/>
          </w:tcPr>
          <w:p w14:paraId="6E9704BC" w14:textId="77777777" w:rsidR="00AB2002" w:rsidRPr="00F53196" w:rsidRDefault="00AB2002" w:rsidP="00CA0D72">
            <w:pPr>
              <w:pStyle w:val="Table"/>
              <w:tabs>
                <w:tab w:val="clear" w:pos="1418"/>
                <w:tab w:val="clear" w:pos="3969"/>
                <w:tab w:val="clear" w:pos="6946"/>
              </w:tabs>
              <w:ind w:right="-3"/>
            </w:pPr>
            <w:r w:rsidRPr="00F53196">
              <w:t>5.58</w:t>
            </w:r>
          </w:p>
        </w:tc>
        <w:tc>
          <w:tcPr>
            <w:tcW w:w="2977" w:type="dxa"/>
          </w:tcPr>
          <w:p w14:paraId="329D93C3" w14:textId="77777777" w:rsidR="00AB2002" w:rsidRPr="00F53196" w:rsidRDefault="00AB2002" w:rsidP="00CA0D72">
            <w:pPr>
              <w:pStyle w:val="Table"/>
              <w:tabs>
                <w:tab w:val="clear" w:pos="1418"/>
                <w:tab w:val="clear" w:pos="3969"/>
                <w:tab w:val="clear" w:pos="6946"/>
              </w:tabs>
              <w:ind w:right="-3"/>
            </w:pPr>
            <w:r w:rsidRPr="00F53196">
              <w:t>2.11–14.75</w:t>
            </w:r>
          </w:p>
        </w:tc>
      </w:tr>
      <w:tr w:rsidR="00AB2002" w:rsidRPr="00F53196" w14:paraId="04E2D4BA" w14:textId="77777777" w:rsidTr="00F53196">
        <w:tc>
          <w:tcPr>
            <w:tcW w:w="4503" w:type="dxa"/>
          </w:tcPr>
          <w:p w14:paraId="77D69FD4"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Mixture</w:t>
            </w:r>
          </w:p>
        </w:tc>
        <w:tc>
          <w:tcPr>
            <w:tcW w:w="2551" w:type="dxa"/>
          </w:tcPr>
          <w:p w14:paraId="7FBE8584" w14:textId="77777777" w:rsidR="00AB2002" w:rsidRPr="00F53196" w:rsidRDefault="00AB2002" w:rsidP="00CA0D72">
            <w:pPr>
              <w:pStyle w:val="Table"/>
              <w:tabs>
                <w:tab w:val="clear" w:pos="1418"/>
                <w:tab w:val="clear" w:pos="3969"/>
                <w:tab w:val="clear" w:pos="6946"/>
              </w:tabs>
              <w:ind w:right="-3"/>
            </w:pPr>
            <w:r w:rsidRPr="00F53196">
              <w:t>6.65</w:t>
            </w:r>
          </w:p>
        </w:tc>
        <w:tc>
          <w:tcPr>
            <w:tcW w:w="2977" w:type="dxa"/>
          </w:tcPr>
          <w:p w14:paraId="4B1522BF" w14:textId="77777777" w:rsidR="00AB2002" w:rsidRPr="00F53196" w:rsidRDefault="00AB2002" w:rsidP="00CA0D72">
            <w:pPr>
              <w:pStyle w:val="Table"/>
              <w:tabs>
                <w:tab w:val="clear" w:pos="1418"/>
                <w:tab w:val="clear" w:pos="3969"/>
                <w:tab w:val="clear" w:pos="6946"/>
              </w:tabs>
              <w:ind w:right="-3"/>
            </w:pPr>
            <w:r w:rsidRPr="00F53196">
              <w:t>2.4–18.39</w:t>
            </w:r>
          </w:p>
        </w:tc>
      </w:tr>
      <w:tr w:rsidR="00AB2002" w:rsidRPr="00F53196" w14:paraId="594FEA6E" w14:textId="77777777" w:rsidTr="00F53196">
        <w:tc>
          <w:tcPr>
            <w:tcW w:w="4503" w:type="dxa"/>
          </w:tcPr>
          <w:p w14:paraId="0D07A729" w14:textId="77777777" w:rsidR="00AB2002" w:rsidRPr="00F53196" w:rsidRDefault="00AB2002" w:rsidP="00CA0D72">
            <w:pPr>
              <w:pStyle w:val="Table"/>
              <w:tabs>
                <w:tab w:val="clear" w:pos="1418"/>
                <w:tab w:val="clear" w:pos="3969"/>
                <w:tab w:val="clear" w:pos="6946"/>
              </w:tabs>
              <w:ind w:right="-3"/>
            </w:pPr>
            <w:r w:rsidRPr="00F53196">
              <w:t>Total allied hours per place per week</w:t>
            </w:r>
          </w:p>
        </w:tc>
        <w:tc>
          <w:tcPr>
            <w:tcW w:w="2551" w:type="dxa"/>
          </w:tcPr>
          <w:p w14:paraId="79A47D39" w14:textId="77777777" w:rsidR="00AB2002" w:rsidRPr="00F53196" w:rsidRDefault="00AB2002" w:rsidP="00CA0D72">
            <w:pPr>
              <w:pStyle w:val="Table"/>
              <w:tabs>
                <w:tab w:val="clear" w:pos="1418"/>
                <w:tab w:val="clear" w:pos="3969"/>
                <w:tab w:val="clear" w:pos="6946"/>
              </w:tabs>
              <w:ind w:right="-3"/>
            </w:pPr>
            <w:r w:rsidRPr="00F53196">
              <w:t>0.79</w:t>
            </w:r>
          </w:p>
        </w:tc>
        <w:tc>
          <w:tcPr>
            <w:tcW w:w="2977" w:type="dxa"/>
          </w:tcPr>
          <w:p w14:paraId="3664EFCA" w14:textId="77777777" w:rsidR="00AB2002" w:rsidRPr="00F53196" w:rsidRDefault="00AB2002" w:rsidP="00CA0D72">
            <w:pPr>
              <w:pStyle w:val="Table"/>
              <w:tabs>
                <w:tab w:val="clear" w:pos="1418"/>
                <w:tab w:val="clear" w:pos="3969"/>
                <w:tab w:val="clear" w:pos="6946"/>
              </w:tabs>
              <w:ind w:right="-3"/>
            </w:pPr>
            <w:r w:rsidRPr="00F53196">
              <w:t>0.67–0.94</w:t>
            </w:r>
          </w:p>
        </w:tc>
      </w:tr>
      <w:tr w:rsidR="00AB2002" w:rsidRPr="00F53196" w14:paraId="3F567FDC" w14:textId="77777777" w:rsidTr="00F53196">
        <w:tc>
          <w:tcPr>
            <w:tcW w:w="4503" w:type="dxa"/>
          </w:tcPr>
          <w:p w14:paraId="69E153D4" w14:textId="77777777" w:rsidR="00AB2002" w:rsidRPr="00F53196" w:rsidRDefault="00AB2002" w:rsidP="00CA0D72">
            <w:pPr>
              <w:pStyle w:val="Table"/>
              <w:tabs>
                <w:tab w:val="clear" w:pos="1418"/>
                <w:tab w:val="clear" w:pos="3969"/>
                <w:tab w:val="clear" w:pos="6946"/>
              </w:tabs>
              <w:ind w:right="-3"/>
            </w:pPr>
            <w:r w:rsidRPr="00F53196">
              <w:t>Total hospital beds per 1,000 older people</w:t>
            </w:r>
          </w:p>
        </w:tc>
        <w:tc>
          <w:tcPr>
            <w:tcW w:w="2551" w:type="dxa"/>
          </w:tcPr>
          <w:p w14:paraId="0459CC01" w14:textId="77777777" w:rsidR="00AB2002" w:rsidRPr="00F53196" w:rsidRDefault="00AB2002" w:rsidP="00CA0D72">
            <w:pPr>
              <w:pStyle w:val="Table"/>
              <w:tabs>
                <w:tab w:val="clear" w:pos="1418"/>
                <w:tab w:val="clear" w:pos="3969"/>
                <w:tab w:val="clear" w:pos="6946"/>
              </w:tabs>
              <w:ind w:right="-3"/>
            </w:pPr>
            <w:r w:rsidRPr="00F53196">
              <w:t>0.99</w:t>
            </w:r>
          </w:p>
        </w:tc>
        <w:tc>
          <w:tcPr>
            <w:tcW w:w="2977" w:type="dxa"/>
          </w:tcPr>
          <w:p w14:paraId="03F3E9A1" w14:textId="77777777" w:rsidR="00AB2002" w:rsidRPr="00F53196" w:rsidRDefault="00AB2002" w:rsidP="00CA0D72">
            <w:pPr>
              <w:pStyle w:val="Table"/>
              <w:tabs>
                <w:tab w:val="clear" w:pos="1418"/>
                <w:tab w:val="clear" w:pos="3969"/>
                <w:tab w:val="clear" w:pos="6946"/>
              </w:tabs>
              <w:ind w:right="-3"/>
            </w:pPr>
            <w:r w:rsidRPr="00F53196">
              <w:t>0.98–1</w:t>
            </w:r>
          </w:p>
        </w:tc>
      </w:tr>
      <w:tr w:rsidR="00AB2002" w:rsidRPr="00F53196" w14:paraId="44C8B72B" w14:textId="77777777" w:rsidTr="00F53196">
        <w:tc>
          <w:tcPr>
            <w:tcW w:w="4503" w:type="dxa"/>
          </w:tcPr>
          <w:p w14:paraId="7473E180" w14:textId="77777777" w:rsidR="00AB2002" w:rsidRPr="00F53196" w:rsidRDefault="00AB2002" w:rsidP="00CA0D72">
            <w:pPr>
              <w:pStyle w:val="Table"/>
              <w:tabs>
                <w:tab w:val="clear" w:pos="1418"/>
                <w:tab w:val="clear" w:pos="3969"/>
                <w:tab w:val="clear" w:pos="6946"/>
              </w:tabs>
              <w:ind w:right="-3"/>
            </w:pPr>
            <w:r w:rsidRPr="00F53196">
              <w:t>State</w:t>
            </w:r>
          </w:p>
        </w:tc>
        <w:tc>
          <w:tcPr>
            <w:tcW w:w="2551" w:type="dxa"/>
          </w:tcPr>
          <w:p w14:paraId="1C9EEFC0" w14:textId="77777777" w:rsidR="00AB2002" w:rsidRPr="00F53196" w:rsidRDefault="00AB2002" w:rsidP="00CA0D72">
            <w:pPr>
              <w:pStyle w:val="Table"/>
              <w:tabs>
                <w:tab w:val="clear" w:pos="1418"/>
                <w:tab w:val="clear" w:pos="3969"/>
                <w:tab w:val="clear" w:pos="6946"/>
              </w:tabs>
              <w:ind w:right="-3"/>
            </w:pPr>
          </w:p>
        </w:tc>
        <w:tc>
          <w:tcPr>
            <w:tcW w:w="2977" w:type="dxa"/>
          </w:tcPr>
          <w:p w14:paraId="18606328" w14:textId="77777777" w:rsidR="00AB2002" w:rsidRPr="00F53196" w:rsidRDefault="00AB2002" w:rsidP="00CA0D72">
            <w:pPr>
              <w:pStyle w:val="Table"/>
              <w:tabs>
                <w:tab w:val="clear" w:pos="1418"/>
                <w:tab w:val="clear" w:pos="3969"/>
                <w:tab w:val="clear" w:pos="6946"/>
              </w:tabs>
              <w:ind w:right="-3"/>
            </w:pPr>
          </w:p>
        </w:tc>
      </w:tr>
      <w:tr w:rsidR="00AB2002" w:rsidRPr="00F53196" w14:paraId="3A251812" w14:textId="77777777" w:rsidTr="00F53196">
        <w:tc>
          <w:tcPr>
            <w:tcW w:w="4503" w:type="dxa"/>
          </w:tcPr>
          <w:p w14:paraId="6327CAF4" w14:textId="77777777" w:rsidR="00AB2002" w:rsidRPr="00F53196" w:rsidRDefault="00AB2002" w:rsidP="00CA0D72">
            <w:pPr>
              <w:pStyle w:val="Table"/>
              <w:tabs>
                <w:tab w:val="clear" w:pos="1418"/>
                <w:tab w:val="clear" w:pos="3969"/>
                <w:tab w:val="clear" w:pos="6946"/>
              </w:tabs>
              <w:ind w:right="-3"/>
            </w:pPr>
            <w:r w:rsidRPr="00F53196">
              <w:t xml:space="preserve">  ACT</w:t>
            </w:r>
          </w:p>
        </w:tc>
        <w:tc>
          <w:tcPr>
            <w:tcW w:w="2551" w:type="dxa"/>
          </w:tcPr>
          <w:p w14:paraId="08A1E6C8" w14:textId="77777777" w:rsidR="00AB2002" w:rsidRPr="00F53196" w:rsidRDefault="00AB2002" w:rsidP="00CA0D72">
            <w:pPr>
              <w:pStyle w:val="Table"/>
              <w:tabs>
                <w:tab w:val="clear" w:pos="1418"/>
                <w:tab w:val="clear" w:pos="3969"/>
                <w:tab w:val="clear" w:pos="6946"/>
              </w:tabs>
              <w:ind w:right="-3"/>
            </w:pPr>
            <w:r w:rsidRPr="00F53196">
              <w:t>1</w:t>
            </w:r>
          </w:p>
        </w:tc>
        <w:tc>
          <w:tcPr>
            <w:tcW w:w="2977" w:type="dxa"/>
          </w:tcPr>
          <w:p w14:paraId="461F4EF6" w14:textId="77777777" w:rsidR="00AB2002" w:rsidRPr="00F53196" w:rsidRDefault="00AB2002" w:rsidP="00CA0D72">
            <w:pPr>
              <w:pStyle w:val="Table"/>
              <w:tabs>
                <w:tab w:val="clear" w:pos="1418"/>
                <w:tab w:val="clear" w:pos="3969"/>
                <w:tab w:val="clear" w:pos="6946"/>
              </w:tabs>
              <w:ind w:right="-3"/>
            </w:pPr>
          </w:p>
        </w:tc>
      </w:tr>
      <w:tr w:rsidR="00AB2002" w:rsidRPr="00F53196" w14:paraId="7B1E6678" w14:textId="77777777" w:rsidTr="00F53196">
        <w:tc>
          <w:tcPr>
            <w:tcW w:w="4503" w:type="dxa"/>
          </w:tcPr>
          <w:p w14:paraId="3C19492D"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NSW</w:t>
            </w:r>
          </w:p>
        </w:tc>
        <w:tc>
          <w:tcPr>
            <w:tcW w:w="2551" w:type="dxa"/>
          </w:tcPr>
          <w:p w14:paraId="311906A2" w14:textId="77777777" w:rsidR="00AB2002" w:rsidRPr="00F53196" w:rsidRDefault="00AB2002" w:rsidP="00CA0D72">
            <w:pPr>
              <w:pStyle w:val="Table"/>
              <w:tabs>
                <w:tab w:val="clear" w:pos="1418"/>
                <w:tab w:val="clear" w:pos="3969"/>
                <w:tab w:val="clear" w:pos="6946"/>
              </w:tabs>
              <w:ind w:right="-3"/>
            </w:pPr>
            <w:r w:rsidRPr="00F53196">
              <w:t>0.15</w:t>
            </w:r>
          </w:p>
        </w:tc>
        <w:tc>
          <w:tcPr>
            <w:tcW w:w="2977" w:type="dxa"/>
          </w:tcPr>
          <w:p w14:paraId="2820530A" w14:textId="77777777" w:rsidR="00AB2002" w:rsidRPr="00F53196" w:rsidRDefault="00AB2002" w:rsidP="00CA0D72">
            <w:pPr>
              <w:pStyle w:val="Table"/>
              <w:tabs>
                <w:tab w:val="clear" w:pos="1418"/>
                <w:tab w:val="clear" w:pos="3969"/>
                <w:tab w:val="clear" w:pos="6946"/>
              </w:tabs>
              <w:ind w:right="-3"/>
            </w:pPr>
            <w:r w:rsidRPr="00F53196">
              <w:t>0.04–0.54</w:t>
            </w:r>
          </w:p>
        </w:tc>
      </w:tr>
      <w:tr w:rsidR="00AB2002" w:rsidRPr="00F53196" w14:paraId="7FCE5D54" w14:textId="77777777" w:rsidTr="00F53196">
        <w:tc>
          <w:tcPr>
            <w:tcW w:w="4503" w:type="dxa"/>
          </w:tcPr>
          <w:p w14:paraId="584E0081"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QLD</w:t>
            </w:r>
          </w:p>
        </w:tc>
        <w:tc>
          <w:tcPr>
            <w:tcW w:w="2551" w:type="dxa"/>
          </w:tcPr>
          <w:p w14:paraId="437638E5" w14:textId="77777777" w:rsidR="00AB2002" w:rsidRPr="00F53196" w:rsidRDefault="00AB2002" w:rsidP="00CA0D72">
            <w:pPr>
              <w:pStyle w:val="Table"/>
              <w:tabs>
                <w:tab w:val="clear" w:pos="1418"/>
                <w:tab w:val="clear" w:pos="3969"/>
                <w:tab w:val="clear" w:pos="6946"/>
              </w:tabs>
              <w:ind w:right="-3"/>
            </w:pPr>
            <w:r w:rsidRPr="00F53196">
              <w:t>0.12</w:t>
            </w:r>
          </w:p>
        </w:tc>
        <w:tc>
          <w:tcPr>
            <w:tcW w:w="2977" w:type="dxa"/>
          </w:tcPr>
          <w:p w14:paraId="29716F7A" w14:textId="77777777" w:rsidR="00AB2002" w:rsidRPr="00F53196" w:rsidRDefault="00AB2002" w:rsidP="00CA0D72">
            <w:pPr>
              <w:pStyle w:val="Table"/>
              <w:tabs>
                <w:tab w:val="clear" w:pos="1418"/>
                <w:tab w:val="clear" w:pos="3969"/>
                <w:tab w:val="clear" w:pos="6946"/>
              </w:tabs>
              <w:ind w:right="-3"/>
            </w:pPr>
            <w:r w:rsidRPr="00F53196">
              <w:t>0.03–0.52</w:t>
            </w:r>
          </w:p>
        </w:tc>
      </w:tr>
      <w:tr w:rsidR="00AB2002" w:rsidRPr="00F53196" w14:paraId="5ED9ECD4" w14:textId="77777777" w:rsidTr="00F53196">
        <w:tc>
          <w:tcPr>
            <w:tcW w:w="4503" w:type="dxa"/>
          </w:tcPr>
          <w:p w14:paraId="2ADF60B2"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SA</w:t>
            </w:r>
          </w:p>
        </w:tc>
        <w:tc>
          <w:tcPr>
            <w:tcW w:w="2551" w:type="dxa"/>
          </w:tcPr>
          <w:p w14:paraId="568D45D5" w14:textId="77777777" w:rsidR="00AB2002" w:rsidRPr="00F53196" w:rsidRDefault="00AB2002" w:rsidP="00CA0D72">
            <w:pPr>
              <w:pStyle w:val="Table"/>
              <w:tabs>
                <w:tab w:val="clear" w:pos="1418"/>
                <w:tab w:val="clear" w:pos="3969"/>
                <w:tab w:val="clear" w:pos="6946"/>
              </w:tabs>
              <w:ind w:right="-3"/>
            </w:pPr>
            <w:r w:rsidRPr="00F53196">
              <w:t>0.55</w:t>
            </w:r>
          </w:p>
        </w:tc>
        <w:tc>
          <w:tcPr>
            <w:tcW w:w="2977" w:type="dxa"/>
          </w:tcPr>
          <w:p w14:paraId="04BCECED" w14:textId="77777777" w:rsidR="00AB2002" w:rsidRPr="00F53196" w:rsidRDefault="00AB2002" w:rsidP="00CA0D72">
            <w:pPr>
              <w:pStyle w:val="Table"/>
              <w:tabs>
                <w:tab w:val="clear" w:pos="1418"/>
                <w:tab w:val="clear" w:pos="3969"/>
                <w:tab w:val="clear" w:pos="6946"/>
              </w:tabs>
              <w:ind w:right="-3"/>
            </w:pPr>
            <w:r w:rsidRPr="00F53196">
              <w:t>0.21–1.42</w:t>
            </w:r>
          </w:p>
        </w:tc>
      </w:tr>
      <w:tr w:rsidR="00AB2002" w:rsidRPr="00F53196" w14:paraId="7098977F" w14:textId="77777777" w:rsidTr="00F53196">
        <w:tc>
          <w:tcPr>
            <w:tcW w:w="4503" w:type="dxa"/>
          </w:tcPr>
          <w:p w14:paraId="695F6BB6"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TAS</w:t>
            </w:r>
          </w:p>
        </w:tc>
        <w:tc>
          <w:tcPr>
            <w:tcW w:w="2551" w:type="dxa"/>
          </w:tcPr>
          <w:p w14:paraId="0CB41823" w14:textId="77777777" w:rsidR="00AB2002" w:rsidRPr="00F53196" w:rsidRDefault="00AB2002" w:rsidP="00CA0D72">
            <w:pPr>
              <w:pStyle w:val="Table"/>
              <w:tabs>
                <w:tab w:val="clear" w:pos="1418"/>
                <w:tab w:val="clear" w:pos="3969"/>
                <w:tab w:val="clear" w:pos="6946"/>
              </w:tabs>
              <w:ind w:right="-3"/>
            </w:pPr>
            <w:r w:rsidRPr="00F53196">
              <w:t>0.67</w:t>
            </w:r>
          </w:p>
        </w:tc>
        <w:tc>
          <w:tcPr>
            <w:tcW w:w="2977" w:type="dxa"/>
          </w:tcPr>
          <w:p w14:paraId="740EA338" w14:textId="77777777" w:rsidR="00AB2002" w:rsidRPr="00F53196" w:rsidRDefault="00AB2002" w:rsidP="00CA0D72">
            <w:pPr>
              <w:pStyle w:val="Table"/>
              <w:tabs>
                <w:tab w:val="clear" w:pos="1418"/>
                <w:tab w:val="clear" w:pos="3969"/>
                <w:tab w:val="clear" w:pos="6946"/>
              </w:tabs>
              <w:ind w:right="-3"/>
            </w:pPr>
            <w:r w:rsidRPr="00F53196">
              <w:t>0.25–1.83</w:t>
            </w:r>
          </w:p>
        </w:tc>
      </w:tr>
      <w:tr w:rsidR="00AB2002" w:rsidRPr="00F53196" w14:paraId="56A5EC29" w14:textId="77777777" w:rsidTr="00F53196">
        <w:tc>
          <w:tcPr>
            <w:tcW w:w="4503" w:type="dxa"/>
          </w:tcPr>
          <w:p w14:paraId="28F8E297" w14:textId="77777777" w:rsidR="00AB2002" w:rsidRPr="00F53196" w:rsidRDefault="00AB2002" w:rsidP="00CA0D72">
            <w:pPr>
              <w:pStyle w:val="Table"/>
              <w:tabs>
                <w:tab w:val="clear" w:pos="1418"/>
                <w:tab w:val="clear" w:pos="3969"/>
                <w:tab w:val="clear" w:pos="6946"/>
              </w:tabs>
              <w:ind w:right="-3"/>
            </w:pPr>
            <w:r w:rsidRPr="00F53196">
              <w:t xml:space="preserve">  VIC</w:t>
            </w:r>
          </w:p>
        </w:tc>
        <w:tc>
          <w:tcPr>
            <w:tcW w:w="2551" w:type="dxa"/>
          </w:tcPr>
          <w:p w14:paraId="6F1993A5" w14:textId="77777777" w:rsidR="00AB2002" w:rsidRPr="00F53196" w:rsidRDefault="00AB2002" w:rsidP="00CA0D72">
            <w:pPr>
              <w:pStyle w:val="Table"/>
              <w:tabs>
                <w:tab w:val="clear" w:pos="1418"/>
                <w:tab w:val="clear" w:pos="3969"/>
                <w:tab w:val="clear" w:pos="6946"/>
              </w:tabs>
              <w:ind w:right="-3"/>
            </w:pPr>
            <w:r w:rsidRPr="00F53196">
              <w:t>-</w:t>
            </w:r>
          </w:p>
        </w:tc>
        <w:tc>
          <w:tcPr>
            <w:tcW w:w="2977" w:type="dxa"/>
          </w:tcPr>
          <w:p w14:paraId="43420426" w14:textId="77777777" w:rsidR="00AB2002" w:rsidRPr="00F53196" w:rsidRDefault="00AB2002" w:rsidP="00CA0D72">
            <w:pPr>
              <w:pStyle w:val="Table"/>
              <w:tabs>
                <w:tab w:val="clear" w:pos="1418"/>
                <w:tab w:val="clear" w:pos="3969"/>
                <w:tab w:val="clear" w:pos="6946"/>
              </w:tabs>
              <w:ind w:right="-3"/>
            </w:pPr>
          </w:p>
        </w:tc>
      </w:tr>
      <w:tr w:rsidR="00AB2002" w:rsidRPr="00F53196" w14:paraId="2B7AAB78" w14:textId="77777777" w:rsidTr="00F53196">
        <w:tc>
          <w:tcPr>
            <w:tcW w:w="4503" w:type="dxa"/>
          </w:tcPr>
          <w:p w14:paraId="3661D03D" w14:textId="77777777" w:rsidR="00AB2002" w:rsidRPr="00F53196" w:rsidRDefault="00AB2002" w:rsidP="00CA0D72">
            <w:pPr>
              <w:pStyle w:val="Table"/>
              <w:tabs>
                <w:tab w:val="clear" w:pos="1418"/>
                <w:tab w:val="clear" w:pos="3969"/>
                <w:tab w:val="clear" w:pos="6946"/>
              </w:tabs>
              <w:ind w:right="-3"/>
              <w:rPr>
                <w:iCs/>
              </w:rPr>
            </w:pPr>
            <w:r w:rsidRPr="00F53196">
              <w:rPr>
                <w:iCs/>
              </w:rPr>
              <w:t xml:space="preserve">  WA</w:t>
            </w:r>
          </w:p>
        </w:tc>
        <w:tc>
          <w:tcPr>
            <w:tcW w:w="2551" w:type="dxa"/>
          </w:tcPr>
          <w:p w14:paraId="617E8ADA" w14:textId="77777777" w:rsidR="00AB2002" w:rsidRPr="00F53196" w:rsidRDefault="00AB2002" w:rsidP="00CA0D72">
            <w:pPr>
              <w:pStyle w:val="Table"/>
              <w:tabs>
                <w:tab w:val="clear" w:pos="1418"/>
                <w:tab w:val="clear" w:pos="3969"/>
                <w:tab w:val="clear" w:pos="6946"/>
              </w:tabs>
              <w:ind w:right="-3"/>
            </w:pPr>
            <w:r w:rsidRPr="00F53196">
              <w:t>1.76</w:t>
            </w:r>
          </w:p>
        </w:tc>
        <w:tc>
          <w:tcPr>
            <w:tcW w:w="2977" w:type="dxa"/>
          </w:tcPr>
          <w:p w14:paraId="4EA1AD1A" w14:textId="77777777" w:rsidR="00AB2002" w:rsidRPr="00F53196" w:rsidRDefault="00AB2002" w:rsidP="00CA0D72">
            <w:pPr>
              <w:pStyle w:val="Table"/>
              <w:tabs>
                <w:tab w:val="clear" w:pos="1418"/>
                <w:tab w:val="clear" w:pos="3969"/>
                <w:tab w:val="clear" w:pos="6946"/>
              </w:tabs>
              <w:ind w:right="-3"/>
            </w:pPr>
            <w:r w:rsidRPr="00F53196">
              <w:t>0.7–4.42</w:t>
            </w:r>
          </w:p>
        </w:tc>
      </w:tr>
    </w:tbl>
    <w:p w14:paraId="1C10D916" w14:textId="77777777" w:rsidR="00E719F3" w:rsidRPr="000C03DC" w:rsidRDefault="00E719F3" w:rsidP="00CA0D72">
      <w:pPr>
        <w:ind w:right="-3"/>
        <w:rPr>
          <w:b/>
        </w:rPr>
      </w:pPr>
    </w:p>
    <w:p w14:paraId="5AFD27AE" w14:textId="77777777" w:rsidR="005D7ABA" w:rsidRDefault="000C03DC" w:rsidP="00CA0D72">
      <w:pPr>
        <w:pStyle w:val="Heading2"/>
        <w:ind w:right="-3"/>
      </w:pPr>
      <w:bookmarkStart w:id="71" w:name="_Toc402348917"/>
      <w:r w:rsidRPr="000C03DC">
        <w:t xml:space="preserve">4.2. </w:t>
      </w:r>
      <w:r w:rsidRPr="000C03DC">
        <w:tab/>
        <w:t>Jurisdictional variations in health and aged care service provision</w:t>
      </w:r>
      <w:bookmarkEnd w:id="71"/>
    </w:p>
    <w:p w14:paraId="2EA4BFC2" w14:textId="77777777" w:rsidR="005D7ABA" w:rsidRDefault="000C03DC" w:rsidP="00CA0D72">
      <w:pPr>
        <w:ind w:right="-3"/>
      </w:pPr>
      <w:r w:rsidRPr="000C03DC">
        <w:t>At a jurisdictional level, estimates of the residential aged care provision ratio, acute beds and rehabilitation/geriatric evaluation and management beds per 1,000 older people are presented in Table 4.3 for the 2005/06 period.  This table highlights the differences between states and territories in terms of the provision of acute and rehabilitation/Geriatric Evaluation and Management (GEM) beds in particular.  The more extensive services for older people in Victoria contrasts with Tasmania and Queensland where there are fewer rehabilitation and GEM beds but more acute beds per 1,000 older people.  It is important to bear in mind that in Table 4.3, the older population in NT was estimated from a composite of the number of Aboriginal or Torres Strait Islander Australians aged at least 50 years, and non-Aboriginal Australians aged 70 years or more.  In other jurisdictions and for the national figure, 70 years was used as the lower limit for older age.</w:t>
      </w:r>
    </w:p>
    <w:p w14:paraId="19275FC3" w14:textId="3CE8161A" w:rsidR="000C03DC" w:rsidRPr="000C03DC" w:rsidRDefault="000C03DC" w:rsidP="00CA0D72">
      <w:pPr>
        <w:ind w:right="-3"/>
      </w:pPr>
    </w:p>
    <w:p w14:paraId="169174A3" w14:textId="77777777" w:rsidR="00553DB4" w:rsidRDefault="00422555" w:rsidP="00CA0D72">
      <w:pPr>
        <w:ind w:right="-3"/>
        <w:rPr>
          <w:b/>
        </w:rPr>
      </w:pPr>
      <w:r>
        <w:rPr>
          <w:b/>
        </w:rPr>
        <w:br w:type="page"/>
      </w:r>
    </w:p>
    <w:p w14:paraId="65345EEA" w14:textId="77777777" w:rsidR="000C03DC" w:rsidRPr="000C03DC" w:rsidRDefault="000C03DC" w:rsidP="00CA0D72">
      <w:pPr>
        <w:ind w:right="-3"/>
        <w:rPr>
          <w:b/>
        </w:rPr>
      </w:pPr>
      <w:r w:rsidRPr="000C03DC">
        <w:rPr>
          <w:b/>
        </w:rPr>
        <w:lastRenderedPageBreak/>
        <w:t xml:space="preserve">Table 4.3: Distribution of population, aged care places, and hospital beds per 1,000 older people by state/territory for the 2005/06 period </w:t>
      </w:r>
    </w:p>
    <w:tbl>
      <w:tblPr>
        <w:tblStyle w:val="TableGrid"/>
        <w:tblW w:w="9889" w:type="dxa"/>
        <w:tblLayout w:type="fixed"/>
        <w:tblLook w:val="0000" w:firstRow="0" w:lastRow="0" w:firstColumn="0" w:lastColumn="0" w:noHBand="0" w:noVBand="0"/>
        <w:tblDescription w:val="Table 4.3: Distribution of population, aged care places, and hospital beds per 1,000 older people by state/territory for the 2005/06 period "/>
      </w:tblPr>
      <w:tblGrid>
        <w:gridCol w:w="1101"/>
        <w:gridCol w:w="1559"/>
        <w:gridCol w:w="1276"/>
        <w:gridCol w:w="1275"/>
        <w:gridCol w:w="1418"/>
        <w:gridCol w:w="1701"/>
        <w:gridCol w:w="1559"/>
      </w:tblGrid>
      <w:tr w:rsidR="00F6268C" w:rsidRPr="00CC28CD" w14:paraId="04E4C42C" w14:textId="77777777" w:rsidTr="00F6268C">
        <w:trPr>
          <w:trHeight w:val="1275"/>
          <w:tblHeader/>
        </w:trPr>
        <w:tc>
          <w:tcPr>
            <w:tcW w:w="1101" w:type="dxa"/>
            <w:noWrap/>
          </w:tcPr>
          <w:p w14:paraId="0BAF83DF" w14:textId="77777777" w:rsidR="00F6268C" w:rsidRPr="00CC28CD" w:rsidRDefault="00F6268C" w:rsidP="001C757F">
            <w:pPr>
              <w:pStyle w:val="Table"/>
              <w:ind w:right="-3"/>
            </w:pPr>
            <w:r>
              <w:t>State Territory</w:t>
            </w:r>
          </w:p>
        </w:tc>
        <w:tc>
          <w:tcPr>
            <w:tcW w:w="1559" w:type="dxa"/>
          </w:tcPr>
          <w:p w14:paraId="6762AF0B" w14:textId="77777777" w:rsidR="00F6268C" w:rsidRPr="00CC28CD" w:rsidRDefault="00F6268C" w:rsidP="001C757F">
            <w:pPr>
              <w:pStyle w:val="Table"/>
              <w:ind w:right="-3"/>
            </w:pPr>
            <w:r w:rsidRPr="00CC28CD">
              <w:t>Total</w:t>
            </w:r>
            <w:r w:rsidRPr="00CC28CD">
              <w:br/>
              <w:t>population</w:t>
            </w:r>
            <w:r w:rsidRPr="00CC28CD">
              <w:rPr>
                <w:vertAlign w:val="superscript"/>
              </w:rPr>
              <w:t>1</w:t>
            </w:r>
          </w:p>
        </w:tc>
        <w:tc>
          <w:tcPr>
            <w:tcW w:w="1276" w:type="dxa"/>
          </w:tcPr>
          <w:p w14:paraId="4FE21934" w14:textId="77777777" w:rsidR="00F6268C" w:rsidRPr="00CC28CD" w:rsidRDefault="00F6268C" w:rsidP="001C757F">
            <w:pPr>
              <w:pStyle w:val="Table"/>
              <w:ind w:right="-3"/>
            </w:pPr>
            <w:r w:rsidRPr="00CC28CD">
              <w:t>%</w:t>
            </w:r>
            <w:r w:rsidRPr="00CC28CD">
              <w:br/>
              <w:t>Population</w:t>
            </w:r>
            <w:r w:rsidRPr="00CC28CD">
              <w:br/>
              <w:t>Older</w:t>
            </w:r>
          </w:p>
        </w:tc>
        <w:tc>
          <w:tcPr>
            <w:tcW w:w="1275" w:type="dxa"/>
          </w:tcPr>
          <w:p w14:paraId="2FEDC26C" w14:textId="77777777" w:rsidR="00F6268C" w:rsidRPr="00CC28CD" w:rsidRDefault="00F6268C" w:rsidP="001C757F">
            <w:pPr>
              <w:pStyle w:val="Table"/>
              <w:ind w:right="-3"/>
            </w:pPr>
            <w:r w:rsidRPr="00CC28CD">
              <w:t>Residential</w:t>
            </w:r>
            <w:r w:rsidRPr="00CC28CD">
              <w:br/>
              <w:t>aged care</w:t>
            </w:r>
            <w:r w:rsidRPr="00CC28CD">
              <w:br/>
              <w:t>provision</w:t>
            </w:r>
            <w:r w:rsidRPr="00CC28CD">
              <w:br/>
              <w:t>ratio</w:t>
            </w:r>
          </w:p>
        </w:tc>
        <w:tc>
          <w:tcPr>
            <w:tcW w:w="1418" w:type="dxa"/>
          </w:tcPr>
          <w:p w14:paraId="4F487D9A" w14:textId="77777777" w:rsidR="00F6268C" w:rsidRPr="00CC28CD" w:rsidRDefault="00F6268C" w:rsidP="001C757F">
            <w:pPr>
              <w:pStyle w:val="Table"/>
              <w:ind w:right="-3"/>
            </w:pPr>
            <w:r w:rsidRPr="00CC28CD">
              <w:t>Acute beds</w:t>
            </w:r>
            <w:r w:rsidRPr="00CC28CD">
              <w:br/>
              <w:t>/ 1,000</w:t>
            </w:r>
            <w:r w:rsidRPr="00CC28CD">
              <w:br/>
              <w:t>older</w:t>
            </w:r>
            <w:r w:rsidRPr="00CC28CD">
              <w:br/>
              <w:t>people</w:t>
            </w:r>
          </w:p>
        </w:tc>
        <w:tc>
          <w:tcPr>
            <w:tcW w:w="1701" w:type="dxa"/>
          </w:tcPr>
          <w:p w14:paraId="2B076B04" w14:textId="77777777" w:rsidR="00F6268C" w:rsidRPr="00CC28CD" w:rsidRDefault="00F6268C" w:rsidP="001C757F">
            <w:pPr>
              <w:pStyle w:val="Table"/>
              <w:ind w:right="-3"/>
            </w:pPr>
            <w:r w:rsidRPr="00CC28CD">
              <w:t>Rehabilitation</w:t>
            </w:r>
            <w:r w:rsidRPr="00CC28CD">
              <w:br/>
              <w:t>+ GEM beds /</w:t>
            </w:r>
            <w:r w:rsidRPr="00CC28CD">
              <w:br/>
              <w:t>1,000 older</w:t>
            </w:r>
            <w:r w:rsidRPr="00CC28CD">
              <w:br/>
              <w:t>people</w:t>
            </w:r>
            <w:r w:rsidRPr="00CC28CD">
              <w:rPr>
                <w:vertAlign w:val="superscript"/>
              </w:rPr>
              <w:t>2</w:t>
            </w:r>
          </w:p>
        </w:tc>
        <w:tc>
          <w:tcPr>
            <w:tcW w:w="1559" w:type="dxa"/>
          </w:tcPr>
          <w:p w14:paraId="56A14BC6" w14:textId="77777777" w:rsidR="00F6268C" w:rsidRPr="00CC28CD" w:rsidRDefault="00F6268C" w:rsidP="001C757F">
            <w:pPr>
              <w:pStyle w:val="Table"/>
              <w:ind w:right="-3"/>
            </w:pPr>
            <w:r w:rsidRPr="00CC28CD">
              <w:t>Allocated</w:t>
            </w:r>
            <w:r w:rsidRPr="00CC28CD">
              <w:br/>
              <w:t>Transition</w:t>
            </w:r>
            <w:r w:rsidRPr="00CC28CD">
              <w:br/>
              <w:t>Care places</w:t>
            </w:r>
            <w:r w:rsidRPr="00CC28CD">
              <w:br/>
              <w:t>/ 1,000 older</w:t>
            </w:r>
            <w:r w:rsidRPr="00CC28CD">
              <w:br/>
              <w:t>people</w:t>
            </w:r>
          </w:p>
        </w:tc>
      </w:tr>
      <w:tr w:rsidR="00F6268C" w:rsidRPr="00CC28CD" w14:paraId="0BD2DE24" w14:textId="77777777" w:rsidTr="00F6268C">
        <w:trPr>
          <w:trHeight w:val="255"/>
        </w:trPr>
        <w:tc>
          <w:tcPr>
            <w:tcW w:w="1101" w:type="dxa"/>
            <w:noWrap/>
          </w:tcPr>
          <w:p w14:paraId="57468C46" w14:textId="77777777" w:rsidR="00F6268C" w:rsidRPr="00CC28CD" w:rsidRDefault="00F6268C" w:rsidP="001C757F">
            <w:pPr>
              <w:pStyle w:val="Table"/>
              <w:ind w:right="-3"/>
            </w:pPr>
            <w:r w:rsidRPr="00CC28CD">
              <w:t>ACT</w:t>
            </w:r>
          </w:p>
        </w:tc>
        <w:tc>
          <w:tcPr>
            <w:tcW w:w="1559" w:type="dxa"/>
            <w:noWrap/>
          </w:tcPr>
          <w:p w14:paraId="48802D6D" w14:textId="77777777" w:rsidR="00F6268C" w:rsidRPr="00CC28CD" w:rsidRDefault="00F6268C" w:rsidP="001C757F">
            <w:pPr>
              <w:pStyle w:val="Table"/>
              <w:ind w:right="-3"/>
            </w:pPr>
            <w:r w:rsidRPr="00CC28CD">
              <w:t>328,817</w:t>
            </w:r>
          </w:p>
        </w:tc>
        <w:tc>
          <w:tcPr>
            <w:tcW w:w="1276" w:type="dxa"/>
            <w:noWrap/>
          </w:tcPr>
          <w:p w14:paraId="785B79D3" w14:textId="77777777" w:rsidR="00F6268C" w:rsidRPr="00CC28CD" w:rsidRDefault="00F6268C" w:rsidP="001C757F">
            <w:pPr>
              <w:pStyle w:val="Table"/>
              <w:ind w:right="-3"/>
            </w:pPr>
            <w:r w:rsidRPr="00CC28CD">
              <w:t>6.7</w:t>
            </w:r>
          </w:p>
        </w:tc>
        <w:tc>
          <w:tcPr>
            <w:tcW w:w="1275" w:type="dxa"/>
            <w:noWrap/>
          </w:tcPr>
          <w:p w14:paraId="685D7B93" w14:textId="77777777" w:rsidR="00F6268C" w:rsidRPr="00CC28CD" w:rsidRDefault="00F6268C" w:rsidP="001C757F">
            <w:pPr>
              <w:pStyle w:val="Table"/>
              <w:ind w:right="-3"/>
            </w:pPr>
            <w:r w:rsidRPr="00CC28CD">
              <w:t>72.1</w:t>
            </w:r>
          </w:p>
        </w:tc>
        <w:tc>
          <w:tcPr>
            <w:tcW w:w="1418" w:type="dxa"/>
            <w:noWrap/>
          </w:tcPr>
          <w:p w14:paraId="655AB434" w14:textId="77777777" w:rsidR="00F6268C" w:rsidRPr="00CC28CD" w:rsidRDefault="00F6268C" w:rsidP="001C757F">
            <w:pPr>
              <w:pStyle w:val="Table"/>
              <w:ind w:right="-3"/>
            </w:pPr>
            <w:r w:rsidRPr="00CC28CD">
              <w:t>32.8</w:t>
            </w:r>
          </w:p>
        </w:tc>
        <w:tc>
          <w:tcPr>
            <w:tcW w:w="1701" w:type="dxa"/>
            <w:noWrap/>
          </w:tcPr>
          <w:p w14:paraId="63C02E1E" w14:textId="77777777" w:rsidR="00F6268C" w:rsidRPr="00CC28CD" w:rsidRDefault="00F6268C" w:rsidP="001C757F">
            <w:pPr>
              <w:pStyle w:val="Table"/>
              <w:ind w:right="-3"/>
            </w:pPr>
            <w:r w:rsidRPr="00CC28CD">
              <w:t>2.6</w:t>
            </w:r>
          </w:p>
        </w:tc>
        <w:tc>
          <w:tcPr>
            <w:tcW w:w="1559" w:type="dxa"/>
            <w:noWrap/>
          </w:tcPr>
          <w:p w14:paraId="5EB61F12" w14:textId="77777777" w:rsidR="00F6268C" w:rsidRPr="00CC28CD" w:rsidRDefault="00F6268C" w:rsidP="001C757F">
            <w:pPr>
              <w:pStyle w:val="Table"/>
              <w:ind w:right="-3"/>
            </w:pPr>
            <w:r w:rsidRPr="00CC28CD">
              <w:t>1.58</w:t>
            </w:r>
          </w:p>
        </w:tc>
      </w:tr>
      <w:tr w:rsidR="00F6268C" w:rsidRPr="00CC28CD" w14:paraId="53CEDE99" w14:textId="77777777" w:rsidTr="00F6268C">
        <w:trPr>
          <w:trHeight w:val="255"/>
        </w:trPr>
        <w:tc>
          <w:tcPr>
            <w:tcW w:w="1101" w:type="dxa"/>
            <w:noWrap/>
          </w:tcPr>
          <w:p w14:paraId="33A0D46F" w14:textId="77777777" w:rsidR="00F6268C" w:rsidRPr="00CC28CD" w:rsidRDefault="00F6268C" w:rsidP="001C757F">
            <w:pPr>
              <w:pStyle w:val="Table"/>
              <w:ind w:right="-3"/>
            </w:pPr>
            <w:r w:rsidRPr="00CC28CD">
              <w:t>NSW</w:t>
            </w:r>
          </w:p>
        </w:tc>
        <w:tc>
          <w:tcPr>
            <w:tcW w:w="1559" w:type="dxa"/>
            <w:noWrap/>
          </w:tcPr>
          <w:p w14:paraId="3C02797F" w14:textId="77777777" w:rsidR="00F6268C" w:rsidRPr="00CC28CD" w:rsidRDefault="00F6268C" w:rsidP="001C757F">
            <w:pPr>
              <w:pStyle w:val="Table"/>
              <w:ind w:right="-3"/>
            </w:pPr>
            <w:r w:rsidRPr="00CC28CD">
              <w:t>6,827,694</w:t>
            </w:r>
          </w:p>
        </w:tc>
        <w:tc>
          <w:tcPr>
            <w:tcW w:w="1276" w:type="dxa"/>
            <w:noWrap/>
          </w:tcPr>
          <w:p w14:paraId="45FBC871" w14:textId="77777777" w:rsidR="00F6268C" w:rsidRPr="00CC28CD" w:rsidRDefault="00F6268C" w:rsidP="001C757F">
            <w:pPr>
              <w:pStyle w:val="Table"/>
              <w:ind w:right="-3"/>
            </w:pPr>
            <w:r w:rsidRPr="00CC28CD">
              <w:t>9.9</w:t>
            </w:r>
          </w:p>
        </w:tc>
        <w:tc>
          <w:tcPr>
            <w:tcW w:w="1275" w:type="dxa"/>
            <w:noWrap/>
          </w:tcPr>
          <w:p w14:paraId="67455F94" w14:textId="77777777" w:rsidR="00F6268C" w:rsidRPr="00CC28CD" w:rsidRDefault="00F6268C" w:rsidP="001C757F">
            <w:pPr>
              <w:pStyle w:val="Table"/>
              <w:ind w:right="-3"/>
            </w:pPr>
            <w:r w:rsidRPr="00CC28CD">
              <w:t>82.8</w:t>
            </w:r>
          </w:p>
        </w:tc>
        <w:tc>
          <w:tcPr>
            <w:tcW w:w="1418" w:type="dxa"/>
            <w:noWrap/>
          </w:tcPr>
          <w:p w14:paraId="6B70AA5F" w14:textId="77777777" w:rsidR="00F6268C" w:rsidRPr="00CC28CD" w:rsidRDefault="00F6268C" w:rsidP="001C757F">
            <w:pPr>
              <w:pStyle w:val="Table"/>
              <w:ind w:right="-3"/>
            </w:pPr>
            <w:r w:rsidRPr="00CC28CD">
              <w:t>24.7</w:t>
            </w:r>
          </w:p>
        </w:tc>
        <w:tc>
          <w:tcPr>
            <w:tcW w:w="1701" w:type="dxa"/>
            <w:noWrap/>
          </w:tcPr>
          <w:p w14:paraId="5C44F725" w14:textId="77777777" w:rsidR="00F6268C" w:rsidRPr="00CC28CD" w:rsidRDefault="00F6268C" w:rsidP="001C757F">
            <w:pPr>
              <w:pStyle w:val="Table"/>
              <w:ind w:right="-3"/>
            </w:pPr>
            <w:r w:rsidRPr="00CC28CD">
              <w:t>2.8</w:t>
            </w:r>
          </w:p>
        </w:tc>
        <w:tc>
          <w:tcPr>
            <w:tcW w:w="1559" w:type="dxa"/>
            <w:noWrap/>
          </w:tcPr>
          <w:p w14:paraId="5CCA3136" w14:textId="77777777" w:rsidR="00F6268C" w:rsidRPr="00CC28CD" w:rsidRDefault="00F6268C" w:rsidP="001C757F">
            <w:pPr>
              <w:pStyle w:val="Table"/>
              <w:ind w:right="-3"/>
            </w:pPr>
            <w:r w:rsidRPr="00CC28CD">
              <w:t>1.04</w:t>
            </w:r>
          </w:p>
        </w:tc>
      </w:tr>
      <w:tr w:rsidR="00F6268C" w:rsidRPr="00CC28CD" w14:paraId="530A82D9" w14:textId="77777777" w:rsidTr="00F6268C">
        <w:trPr>
          <w:trHeight w:val="255"/>
        </w:trPr>
        <w:tc>
          <w:tcPr>
            <w:tcW w:w="1101" w:type="dxa"/>
            <w:noWrap/>
          </w:tcPr>
          <w:p w14:paraId="423E88B2" w14:textId="77777777" w:rsidR="00F6268C" w:rsidRPr="00CC28CD" w:rsidRDefault="00F6268C" w:rsidP="001C757F">
            <w:pPr>
              <w:pStyle w:val="Table"/>
              <w:ind w:right="-3"/>
            </w:pPr>
            <w:r w:rsidRPr="00CC28CD">
              <w:t>NT</w:t>
            </w:r>
          </w:p>
        </w:tc>
        <w:tc>
          <w:tcPr>
            <w:tcW w:w="1559" w:type="dxa"/>
            <w:noWrap/>
          </w:tcPr>
          <w:p w14:paraId="740EEAD4" w14:textId="77777777" w:rsidR="00F6268C" w:rsidRPr="00CC28CD" w:rsidRDefault="00F6268C" w:rsidP="001C757F">
            <w:pPr>
              <w:pStyle w:val="Table"/>
              <w:ind w:right="-3"/>
            </w:pPr>
            <w:r w:rsidRPr="00CC28CD">
              <w:t>206,688</w:t>
            </w:r>
          </w:p>
        </w:tc>
        <w:tc>
          <w:tcPr>
            <w:tcW w:w="1276" w:type="dxa"/>
            <w:noWrap/>
          </w:tcPr>
          <w:p w14:paraId="7B53C2DE" w14:textId="77777777" w:rsidR="00F6268C" w:rsidRPr="00CC28CD" w:rsidRDefault="00F6268C" w:rsidP="001C757F">
            <w:pPr>
              <w:pStyle w:val="Table"/>
              <w:ind w:right="-3"/>
            </w:pPr>
            <w:r w:rsidRPr="00CC28CD">
              <w:t>7.8</w:t>
            </w:r>
          </w:p>
        </w:tc>
        <w:tc>
          <w:tcPr>
            <w:tcW w:w="1275" w:type="dxa"/>
            <w:noWrap/>
          </w:tcPr>
          <w:p w14:paraId="5767C897" w14:textId="77777777" w:rsidR="00F6268C" w:rsidRPr="00CC28CD" w:rsidRDefault="00F6268C" w:rsidP="001C757F">
            <w:pPr>
              <w:pStyle w:val="Table"/>
              <w:ind w:right="-3"/>
            </w:pPr>
            <w:r w:rsidRPr="00CC28CD">
              <w:t>27</w:t>
            </w:r>
          </w:p>
        </w:tc>
        <w:tc>
          <w:tcPr>
            <w:tcW w:w="1418" w:type="dxa"/>
            <w:noWrap/>
          </w:tcPr>
          <w:p w14:paraId="43873221" w14:textId="77777777" w:rsidR="00F6268C" w:rsidRPr="00CC28CD" w:rsidRDefault="00F6268C" w:rsidP="001C757F">
            <w:pPr>
              <w:pStyle w:val="Table"/>
              <w:ind w:right="-3"/>
            </w:pPr>
            <w:r w:rsidRPr="00CC28CD">
              <w:t>41.2</w:t>
            </w:r>
          </w:p>
        </w:tc>
        <w:tc>
          <w:tcPr>
            <w:tcW w:w="1701" w:type="dxa"/>
            <w:noWrap/>
          </w:tcPr>
          <w:p w14:paraId="349AFDB2" w14:textId="77777777" w:rsidR="00F6268C" w:rsidRPr="00CC28CD" w:rsidRDefault="00F6268C" w:rsidP="001C757F">
            <w:pPr>
              <w:pStyle w:val="Table"/>
              <w:ind w:right="-3"/>
            </w:pPr>
            <w:r w:rsidRPr="00CC28CD">
              <w:t>0.9</w:t>
            </w:r>
          </w:p>
        </w:tc>
        <w:tc>
          <w:tcPr>
            <w:tcW w:w="1559" w:type="dxa"/>
            <w:noWrap/>
          </w:tcPr>
          <w:p w14:paraId="39036A1C" w14:textId="77777777" w:rsidR="00F6268C" w:rsidRPr="00CC28CD" w:rsidRDefault="00F6268C" w:rsidP="001C757F">
            <w:pPr>
              <w:pStyle w:val="Table"/>
              <w:ind w:right="-3"/>
            </w:pPr>
            <w:r w:rsidRPr="00CC28CD">
              <w:t>0.99</w:t>
            </w:r>
          </w:p>
        </w:tc>
      </w:tr>
      <w:tr w:rsidR="00F6268C" w:rsidRPr="00CC28CD" w14:paraId="1D79DC70" w14:textId="77777777" w:rsidTr="00F6268C">
        <w:trPr>
          <w:trHeight w:val="255"/>
        </w:trPr>
        <w:tc>
          <w:tcPr>
            <w:tcW w:w="1101" w:type="dxa"/>
            <w:noWrap/>
          </w:tcPr>
          <w:p w14:paraId="554A8E08" w14:textId="77777777" w:rsidR="00F6268C" w:rsidRPr="00CC28CD" w:rsidRDefault="00F6268C" w:rsidP="001C757F">
            <w:pPr>
              <w:pStyle w:val="Table"/>
              <w:ind w:right="-3"/>
            </w:pPr>
            <w:r w:rsidRPr="00CC28CD">
              <w:t>QLD</w:t>
            </w:r>
          </w:p>
        </w:tc>
        <w:tc>
          <w:tcPr>
            <w:tcW w:w="1559" w:type="dxa"/>
            <w:noWrap/>
          </w:tcPr>
          <w:p w14:paraId="2837A286" w14:textId="77777777" w:rsidR="00F6268C" w:rsidRPr="00CC28CD" w:rsidRDefault="00F6268C" w:rsidP="001C757F">
            <w:pPr>
              <w:pStyle w:val="Table"/>
              <w:ind w:right="-3"/>
            </w:pPr>
            <w:r w:rsidRPr="00CC28CD">
              <w:t>4,053,444</w:t>
            </w:r>
          </w:p>
        </w:tc>
        <w:tc>
          <w:tcPr>
            <w:tcW w:w="1276" w:type="dxa"/>
            <w:noWrap/>
          </w:tcPr>
          <w:p w14:paraId="7962AB71" w14:textId="77777777" w:rsidR="00F6268C" w:rsidRPr="00CC28CD" w:rsidRDefault="00F6268C" w:rsidP="001C757F">
            <w:pPr>
              <w:pStyle w:val="Table"/>
              <w:ind w:right="-3"/>
            </w:pPr>
            <w:r w:rsidRPr="00CC28CD">
              <w:t>8.5</w:t>
            </w:r>
          </w:p>
        </w:tc>
        <w:tc>
          <w:tcPr>
            <w:tcW w:w="1275" w:type="dxa"/>
            <w:noWrap/>
          </w:tcPr>
          <w:p w14:paraId="59581A2A" w14:textId="77777777" w:rsidR="00F6268C" w:rsidRPr="00CC28CD" w:rsidRDefault="00F6268C" w:rsidP="001C757F">
            <w:pPr>
              <w:pStyle w:val="Table"/>
              <w:ind w:right="-3"/>
            </w:pPr>
            <w:r w:rsidRPr="00CC28CD">
              <w:t>84.6</w:t>
            </w:r>
          </w:p>
        </w:tc>
        <w:tc>
          <w:tcPr>
            <w:tcW w:w="1418" w:type="dxa"/>
            <w:noWrap/>
          </w:tcPr>
          <w:p w14:paraId="23F0B0B9" w14:textId="77777777" w:rsidR="00F6268C" w:rsidRPr="00CC28CD" w:rsidRDefault="00F6268C" w:rsidP="001C757F">
            <w:pPr>
              <w:pStyle w:val="Table"/>
              <w:ind w:right="-3"/>
            </w:pPr>
            <w:r w:rsidRPr="00CC28CD">
              <w:t>26.8</w:t>
            </w:r>
          </w:p>
        </w:tc>
        <w:tc>
          <w:tcPr>
            <w:tcW w:w="1701" w:type="dxa"/>
            <w:noWrap/>
          </w:tcPr>
          <w:p w14:paraId="63B87F86" w14:textId="77777777" w:rsidR="00F6268C" w:rsidRPr="00CC28CD" w:rsidRDefault="00F6268C" w:rsidP="001C757F">
            <w:pPr>
              <w:pStyle w:val="Table"/>
              <w:ind w:right="-3"/>
            </w:pPr>
            <w:r w:rsidRPr="00CC28CD">
              <w:t>2.2</w:t>
            </w:r>
          </w:p>
        </w:tc>
        <w:tc>
          <w:tcPr>
            <w:tcW w:w="1559" w:type="dxa"/>
            <w:noWrap/>
          </w:tcPr>
          <w:p w14:paraId="38011B1C" w14:textId="77777777" w:rsidR="00F6268C" w:rsidRPr="00CC28CD" w:rsidRDefault="00F6268C" w:rsidP="001C757F">
            <w:pPr>
              <w:pStyle w:val="Table"/>
              <w:ind w:right="-3"/>
            </w:pPr>
            <w:r w:rsidRPr="00CC28CD">
              <w:t>1.02</w:t>
            </w:r>
          </w:p>
        </w:tc>
      </w:tr>
      <w:tr w:rsidR="00F6268C" w:rsidRPr="00CC28CD" w14:paraId="56D913E7" w14:textId="77777777" w:rsidTr="00F6268C">
        <w:trPr>
          <w:trHeight w:val="255"/>
        </w:trPr>
        <w:tc>
          <w:tcPr>
            <w:tcW w:w="1101" w:type="dxa"/>
            <w:noWrap/>
          </w:tcPr>
          <w:p w14:paraId="670A714D" w14:textId="77777777" w:rsidR="00F6268C" w:rsidRPr="00CC28CD" w:rsidRDefault="00F6268C" w:rsidP="001C757F">
            <w:pPr>
              <w:pStyle w:val="Table"/>
              <w:ind w:right="-3"/>
            </w:pPr>
            <w:r w:rsidRPr="00CC28CD">
              <w:t>SA</w:t>
            </w:r>
          </w:p>
        </w:tc>
        <w:tc>
          <w:tcPr>
            <w:tcW w:w="1559" w:type="dxa"/>
            <w:noWrap/>
          </w:tcPr>
          <w:p w14:paraId="16A99528" w14:textId="77777777" w:rsidR="00F6268C" w:rsidRPr="00CC28CD" w:rsidRDefault="00F6268C" w:rsidP="001C757F">
            <w:pPr>
              <w:pStyle w:val="Table"/>
              <w:ind w:right="-3"/>
            </w:pPr>
            <w:r w:rsidRPr="00CC28CD">
              <w:t>1,554,656</w:t>
            </w:r>
          </w:p>
        </w:tc>
        <w:tc>
          <w:tcPr>
            <w:tcW w:w="1276" w:type="dxa"/>
            <w:noWrap/>
          </w:tcPr>
          <w:p w14:paraId="02CBCE84" w14:textId="77777777" w:rsidR="00F6268C" w:rsidRPr="00CC28CD" w:rsidRDefault="00F6268C" w:rsidP="001C757F">
            <w:pPr>
              <w:pStyle w:val="Table"/>
              <w:ind w:right="-3"/>
            </w:pPr>
            <w:r w:rsidRPr="00CC28CD">
              <w:t>11.2</w:t>
            </w:r>
          </w:p>
        </w:tc>
        <w:tc>
          <w:tcPr>
            <w:tcW w:w="1275" w:type="dxa"/>
            <w:noWrap/>
          </w:tcPr>
          <w:p w14:paraId="5FBE4D28" w14:textId="77777777" w:rsidR="00F6268C" w:rsidRPr="00CC28CD" w:rsidRDefault="00F6268C" w:rsidP="001C757F">
            <w:pPr>
              <w:pStyle w:val="Table"/>
              <w:ind w:right="-3"/>
            </w:pPr>
            <w:r w:rsidRPr="00CC28CD">
              <w:t>90.3</w:t>
            </w:r>
          </w:p>
        </w:tc>
        <w:tc>
          <w:tcPr>
            <w:tcW w:w="1418" w:type="dxa"/>
            <w:noWrap/>
          </w:tcPr>
          <w:p w14:paraId="22A2E202" w14:textId="77777777" w:rsidR="00F6268C" w:rsidRPr="00CC28CD" w:rsidRDefault="00F6268C" w:rsidP="001C757F">
            <w:pPr>
              <w:pStyle w:val="Table"/>
              <w:ind w:right="-3"/>
            </w:pPr>
            <w:r w:rsidRPr="00CC28CD">
              <w:t>25.2</w:t>
            </w:r>
          </w:p>
        </w:tc>
        <w:tc>
          <w:tcPr>
            <w:tcW w:w="1701" w:type="dxa"/>
            <w:noWrap/>
          </w:tcPr>
          <w:p w14:paraId="5DC5357A" w14:textId="77777777" w:rsidR="00F6268C" w:rsidRPr="00CC28CD" w:rsidRDefault="00F6268C" w:rsidP="001C757F">
            <w:pPr>
              <w:pStyle w:val="Table"/>
              <w:ind w:right="-3"/>
            </w:pPr>
            <w:r w:rsidRPr="00CC28CD">
              <w:t>2.7</w:t>
            </w:r>
          </w:p>
        </w:tc>
        <w:tc>
          <w:tcPr>
            <w:tcW w:w="1559" w:type="dxa"/>
            <w:noWrap/>
          </w:tcPr>
          <w:p w14:paraId="71A15F7C" w14:textId="77777777" w:rsidR="00F6268C" w:rsidRPr="00CC28CD" w:rsidRDefault="00F6268C" w:rsidP="001C757F">
            <w:pPr>
              <w:pStyle w:val="Table"/>
              <w:ind w:right="-3"/>
            </w:pPr>
            <w:r w:rsidRPr="00CC28CD">
              <w:t>1.01</w:t>
            </w:r>
          </w:p>
        </w:tc>
      </w:tr>
      <w:tr w:rsidR="00F6268C" w:rsidRPr="00CC28CD" w14:paraId="2D4CA153" w14:textId="77777777" w:rsidTr="00F6268C">
        <w:trPr>
          <w:trHeight w:val="255"/>
        </w:trPr>
        <w:tc>
          <w:tcPr>
            <w:tcW w:w="1101" w:type="dxa"/>
            <w:noWrap/>
          </w:tcPr>
          <w:p w14:paraId="60DD687F" w14:textId="77777777" w:rsidR="00F6268C" w:rsidRPr="00CC28CD" w:rsidRDefault="00F6268C" w:rsidP="001C757F">
            <w:pPr>
              <w:pStyle w:val="Table"/>
              <w:ind w:right="-3"/>
            </w:pPr>
            <w:r w:rsidRPr="00CC28CD">
              <w:t>TAS</w:t>
            </w:r>
          </w:p>
        </w:tc>
        <w:tc>
          <w:tcPr>
            <w:tcW w:w="1559" w:type="dxa"/>
            <w:noWrap/>
          </w:tcPr>
          <w:p w14:paraId="28FEB956" w14:textId="77777777" w:rsidR="00F6268C" w:rsidRPr="00CC28CD" w:rsidRDefault="00F6268C" w:rsidP="001C757F">
            <w:pPr>
              <w:pStyle w:val="Table"/>
              <w:ind w:right="-3"/>
            </w:pPr>
            <w:r w:rsidRPr="00CC28CD">
              <w:t>488,948</w:t>
            </w:r>
          </w:p>
        </w:tc>
        <w:tc>
          <w:tcPr>
            <w:tcW w:w="1276" w:type="dxa"/>
            <w:noWrap/>
          </w:tcPr>
          <w:p w14:paraId="4F18F2FB" w14:textId="77777777" w:rsidR="00F6268C" w:rsidRPr="00CC28CD" w:rsidRDefault="00F6268C" w:rsidP="001C757F">
            <w:pPr>
              <w:pStyle w:val="Table"/>
              <w:ind w:right="-3"/>
            </w:pPr>
            <w:r w:rsidRPr="00CC28CD">
              <w:t>10.3</w:t>
            </w:r>
          </w:p>
        </w:tc>
        <w:tc>
          <w:tcPr>
            <w:tcW w:w="1275" w:type="dxa"/>
            <w:noWrap/>
          </w:tcPr>
          <w:p w14:paraId="0B2E5FC1" w14:textId="77777777" w:rsidR="00F6268C" w:rsidRPr="00CC28CD" w:rsidRDefault="00F6268C" w:rsidP="001C757F">
            <w:pPr>
              <w:pStyle w:val="Table"/>
              <w:ind w:right="-3"/>
            </w:pPr>
            <w:r w:rsidRPr="00CC28CD">
              <w:t>86.3</w:t>
            </w:r>
          </w:p>
        </w:tc>
        <w:tc>
          <w:tcPr>
            <w:tcW w:w="1418" w:type="dxa"/>
            <w:noWrap/>
          </w:tcPr>
          <w:p w14:paraId="0D1C170E" w14:textId="77777777" w:rsidR="00F6268C" w:rsidRPr="00CC28CD" w:rsidRDefault="00F6268C" w:rsidP="001C757F">
            <w:pPr>
              <w:pStyle w:val="Table"/>
              <w:ind w:right="-3"/>
            </w:pPr>
            <w:r w:rsidRPr="00CC28CD">
              <w:t>26</w:t>
            </w:r>
          </w:p>
        </w:tc>
        <w:tc>
          <w:tcPr>
            <w:tcW w:w="1701" w:type="dxa"/>
            <w:noWrap/>
          </w:tcPr>
          <w:p w14:paraId="09AD2072" w14:textId="77777777" w:rsidR="00F6268C" w:rsidRPr="00CC28CD" w:rsidRDefault="00F6268C" w:rsidP="001C757F">
            <w:pPr>
              <w:pStyle w:val="Table"/>
              <w:ind w:right="-3"/>
            </w:pPr>
            <w:r w:rsidRPr="00CC28CD">
              <w:t>1.7</w:t>
            </w:r>
          </w:p>
        </w:tc>
        <w:tc>
          <w:tcPr>
            <w:tcW w:w="1559" w:type="dxa"/>
            <w:noWrap/>
          </w:tcPr>
          <w:p w14:paraId="51C27D45" w14:textId="77777777" w:rsidR="00F6268C" w:rsidRPr="00CC28CD" w:rsidRDefault="00F6268C" w:rsidP="001C757F">
            <w:pPr>
              <w:pStyle w:val="Table"/>
              <w:ind w:right="-3"/>
            </w:pPr>
            <w:r w:rsidRPr="00CC28CD">
              <w:t>1.13</w:t>
            </w:r>
          </w:p>
        </w:tc>
      </w:tr>
      <w:tr w:rsidR="00F6268C" w:rsidRPr="00CC28CD" w14:paraId="194904B0" w14:textId="77777777" w:rsidTr="00F6268C">
        <w:trPr>
          <w:trHeight w:val="255"/>
        </w:trPr>
        <w:tc>
          <w:tcPr>
            <w:tcW w:w="1101" w:type="dxa"/>
            <w:noWrap/>
          </w:tcPr>
          <w:p w14:paraId="6FD5BE26" w14:textId="77777777" w:rsidR="00F6268C" w:rsidRPr="00CC28CD" w:rsidRDefault="00F6268C" w:rsidP="001C757F">
            <w:pPr>
              <w:pStyle w:val="Table"/>
              <w:ind w:right="-3"/>
            </w:pPr>
            <w:r w:rsidRPr="00CC28CD">
              <w:t>VIC</w:t>
            </w:r>
          </w:p>
        </w:tc>
        <w:tc>
          <w:tcPr>
            <w:tcW w:w="1559" w:type="dxa"/>
            <w:noWrap/>
          </w:tcPr>
          <w:p w14:paraId="75EC9F34" w14:textId="77777777" w:rsidR="00F6268C" w:rsidRPr="00CC28CD" w:rsidRDefault="00F6268C" w:rsidP="001C757F">
            <w:pPr>
              <w:pStyle w:val="Table"/>
              <w:ind w:right="-3"/>
            </w:pPr>
            <w:r w:rsidRPr="00CC28CD">
              <w:t>5,091,666</w:t>
            </w:r>
          </w:p>
        </w:tc>
        <w:tc>
          <w:tcPr>
            <w:tcW w:w="1276" w:type="dxa"/>
            <w:noWrap/>
          </w:tcPr>
          <w:p w14:paraId="11A48135" w14:textId="77777777" w:rsidR="00F6268C" w:rsidRPr="00CC28CD" w:rsidRDefault="00F6268C" w:rsidP="001C757F">
            <w:pPr>
              <w:pStyle w:val="Table"/>
              <w:ind w:right="-3"/>
            </w:pPr>
            <w:r w:rsidRPr="00CC28CD">
              <w:t>9.8</w:t>
            </w:r>
          </w:p>
        </w:tc>
        <w:tc>
          <w:tcPr>
            <w:tcW w:w="1275" w:type="dxa"/>
            <w:noWrap/>
          </w:tcPr>
          <w:p w14:paraId="6EFD96B5" w14:textId="77777777" w:rsidR="00F6268C" w:rsidRPr="00CC28CD" w:rsidRDefault="00F6268C" w:rsidP="001C757F">
            <w:pPr>
              <w:pStyle w:val="Table"/>
              <w:ind w:right="-3"/>
            </w:pPr>
            <w:r w:rsidRPr="00CC28CD">
              <w:t>85.1</w:t>
            </w:r>
          </w:p>
        </w:tc>
        <w:tc>
          <w:tcPr>
            <w:tcW w:w="1418" w:type="dxa"/>
            <w:noWrap/>
          </w:tcPr>
          <w:p w14:paraId="118B9066" w14:textId="77777777" w:rsidR="00F6268C" w:rsidRPr="00CC28CD" w:rsidRDefault="00F6268C" w:rsidP="001C757F">
            <w:pPr>
              <w:pStyle w:val="Table"/>
              <w:ind w:right="-3"/>
            </w:pPr>
            <w:r w:rsidRPr="00CC28CD">
              <w:t>24.9</w:t>
            </w:r>
          </w:p>
        </w:tc>
        <w:tc>
          <w:tcPr>
            <w:tcW w:w="1701" w:type="dxa"/>
            <w:noWrap/>
          </w:tcPr>
          <w:p w14:paraId="322F4916" w14:textId="77777777" w:rsidR="00F6268C" w:rsidRPr="00CC28CD" w:rsidRDefault="00F6268C" w:rsidP="001C757F">
            <w:pPr>
              <w:pStyle w:val="Table"/>
              <w:ind w:right="-3"/>
            </w:pPr>
            <w:r w:rsidRPr="00CC28CD">
              <w:t>4.2</w:t>
            </w:r>
          </w:p>
        </w:tc>
        <w:tc>
          <w:tcPr>
            <w:tcW w:w="1559" w:type="dxa"/>
            <w:noWrap/>
          </w:tcPr>
          <w:p w14:paraId="5B139507" w14:textId="77777777" w:rsidR="00F6268C" w:rsidRPr="00CC28CD" w:rsidRDefault="00F6268C" w:rsidP="001C757F">
            <w:pPr>
              <w:pStyle w:val="Table"/>
              <w:ind w:right="-3"/>
            </w:pPr>
            <w:r w:rsidRPr="00CC28CD">
              <w:t>1.01</w:t>
            </w:r>
          </w:p>
        </w:tc>
      </w:tr>
      <w:tr w:rsidR="00F6268C" w:rsidRPr="00CC28CD" w14:paraId="7534C855" w14:textId="77777777" w:rsidTr="00F6268C">
        <w:trPr>
          <w:trHeight w:val="255"/>
        </w:trPr>
        <w:tc>
          <w:tcPr>
            <w:tcW w:w="1101" w:type="dxa"/>
            <w:noWrap/>
          </w:tcPr>
          <w:p w14:paraId="214590EE" w14:textId="77777777" w:rsidR="00F6268C" w:rsidRPr="00CC28CD" w:rsidRDefault="00F6268C" w:rsidP="001C757F">
            <w:pPr>
              <w:pStyle w:val="Table"/>
              <w:ind w:right="-3"/>
            </w:pPr>
            <w:r w:rsidRPr="00CC28CD">
              <w:t>WA</w:t>
            </w:r>
          </w:p>
        </w:tc>
        <w:tc>
          <w:tcPr>
            <w:tcW w:w="1559" w:type="dxa"/>
            <w:noWrap/>
          </w:tcPr>
          <w:p w14:paraId="04D5CEC2" w14:textId="77777777" w:rsidR="00F6268C" w:rsidRPr="00CC28CD" w:rsidRDefault="00F6268C" w:rsidP="001C757F">
            <w:pPr>
              <w:pStyle w:val="Table"/>
              <w:ind w:right="-3"/>
            </w:pPr>
            <w:r w:rsidRPr="00CC28CD">
              <w:t>2,050,884</w:t>
            </w:r>
          </w:p>
        </w:tc>
        <w:tc>
          <w:tcPr>
            <w:tcW w:w="1276" w:type="dxa"/>
            <w:noWrap/>
          </w:tcPr>
          <w:p w14:paraId="1969A938" w14:textId="77777777" w:rsidR="00F6268C" w:rsidRPr="00CC28CD" w:rsidRDefault="00F6268C" w:rsidP="001C757F">
            <w:pPr>
              <w:pStyle w:val="Table"/>
              <w:ind w:right="-3"/>
            </w:pPr>
            <w:r w:rsidRPr="00CC28CD">
              <w:t>8.3</w:t>
            </w:r>
          </w:p>
        </w:tc>
        <w:tc>
          <w:tcPr>
            <w:tcW w:w="1275" w:type="dxa"/>
            <w:noWrap/>
          </w:tcPr>
          <w:p w14:paraId="058D7A6D" w14:textId="77777777" w:rsidR="00F6268C" w:rsidRPr="00CC28CD" w:rsidRDefault="00F6268C" w:rsidP="001C757F">
            <w:pPr>
              <w:pStyle w:val="Table"/>
              <w:ind w:right="-3"/>
            </w:pPr>
            <w:r w:rsidRPr="00CC28CD">
              <w:t>80.9</w:t>
            </w:r>
          </w:p>
        </w:tc>
        <w:tc>
          <w:tcPr>
            <w:tcW w:w="1418" w:type="dxa"/>
            <w:noWrap/>
          </w:tcPr>
          <w:p w14:paraId="1F9E5A1A" w14:textId="77777777" w:rsidR="00F6268C" w:rsidRPr="00CC28CD" w:rsidRDefault="00F6268C" w:rsidP="001C757F">
            <w:pPr>
              <w:pStyle w:val="Table"/>
              <w:ind w:right="-3"/>
            </w:pPr>
            <w:r w:rsidRPr="00CC28CD">
              <w:t>26</w:t>
            </w:r>
          </w:p>
        </w:tc>
        <w:tc>
          <w:tcPr>
            <w:tcW w:w="1701" w:type="dxa"/>
            <w:noWrap/>
          </w:tcPr>
          <w:p w14:paraId="18F35B42" w14:textId="77777777" w:rsidR="00F6268C" w:rsidRPr="00CC28CD" w:rsidRDefault="00F6268C" w:rsidP="001C757F">
            <w:pPr>
              <w:pStyle w:val="Table"/>
              <w:ind w:right="-3"/>
            </w:pPr>
            <w:r w:rsidRPr="00CC28CD">
              <w:t>2.4</w:t>
            </w:r>
          </w:p>
        </w:tc>
        <w:tc>
          <w:tcPr>
            <w:tcW w:w="1559" w:type="dxa"/>
            <w:noWrap/>
          </w:tcPr>
          <w:p w14:paraId="4B00B536" w14:textId="77777777" w:rsidR="00F6268C" w:rsidRPr="00CC28CD" w:rsidRDefault="00F6268C" w:rsidP="001C757F">
            <w:pPr>
              <w:pStyle w:val="Table"/>
              <w:ind w:right="-3"/>
            </w:pPr>
            <w:r w:rsidRPr="00CC28CD">
              <w:t>0.94</w:t>
            </w:r>
          </w:p>
        </w:tc>
      </w:tr>
      <w:tr w:rsidR="00F6268C" w:rsidRPr="00CC28CD" w14:paraId="1A64D4FA" w14:textId="77777777" w:rsidTr="00F6268C">
        <w:trPr>
          <w:trHeight w:val="255"/>
        </w:trPr>
        <w:tc>
          <w:tcPr>
            <w:tcW w:w="1101" w:type="dxa"/>
            <w:noWrap/>
          </w:tcPr>
          <w:p w14:paraId="04F65E6B" w14:textId="77777777" w:rsidR="00F6268C" w:rsidRPr="00CC28CD" w:rsidRDefault="00F6268C" w:rsidP="001C757F">
            <w:pPr>
              <w:pStyle w:val="Table"/>
              <w:ind w:right="-3"/>
            </w:pPr>
            <w:r w:rsidRPr="00CC28CD">
              <w:t>Total</w:t>
            </w:r>
          </w:p>
        </w:tc>
        <w:tc>
          <w:tcPr>
            <w:tcW w:w="1559" w:type="dxa"/>
            <w:noWrap/>
          </w:tcPr>
          <w:p w14:paraId="7A90D3CF" w14:textId="77777777" w:rsidR="00F6268C" w:rsidRPr="00CC28CD" w:rsidRDefault="00F6268C" w:rsidP="001C757F">
            <w:pPr>
              <w:pStyle w:val="Table"/>
              <w:ind w:right="-3"/>
            </w:pPr>
            <w:r w:rsidRPr="00CC28CD">
              <w:t>20,602,797</w:t>
            </w:r>
          </w:p>
        </w:tc>
        <w:tc>
          <w:tcPr>
            <w:tcW w:w="1276" w:type="dxa"/>
            <w:noWrap/>
          </w:tcPr>
          <w:p w14:paraId="211A9B18" w14:textId="77777777" w:rsidR="00F6268C" w:rsidRPr="00CC28CD" w:rsidRDefault="00F6268C" w:rsidP="001C757F">
            <w:pPr>
              <w:pStyle w:val="Table"/>
              <w:ind w:right="-3"/>
            </w:pPr>
            <w:r w:rsidRPr="00CC28CD">
              <w:t>9.4</w:t>
            </w:r>
          </w:p>
        </w:tc>
        <w:tc>
          <w:tcPr>
            <w:tcW w:w="1275" w:type="dxa"/>
            <w:noWrap/>
          </w:tcPr>
          <w:p w14:paraId="14BCBAF8" w14:textId="77777777" w:rsidR="00F6268C" w:rsidRPr="00CC28CD" w:rsidRDefault="00F6268C" w:rsidP="001C757F">
            <w:pPr>
              <w:pStyle w:val="Table"/>
              <w:ind w:right="-3"/>
            </w:pPr>
            <w:r w:rsidRPr="00CC28CD">
              <w:t>84.2</w:t>
            </w:r>
          </w:p>
        </w:tc>
        <w:tc>
          <w:tcPr>
            <w:tcW w:w="1418" w:type="dxa"/>
            <w:noWrap/>
          </w:tcPr>
          <w:p w14:paraId="275D6801" w14:textId="77777777" w:rsidR="00F6268C" w:rsidRPr="00CC28CD" w:rsidRDefault="00F6268C" w:rsidP="001C757F">
            <w:pPr>
              <w:pStyle w:val="Table"/>
              <w:ind w:right="-3"/>
            </w:pPr>
            <w:r w:rsidRPr="00CC28CD">
              <w:t>25.7</w:t>
            </w:r>
          </w:p>
        </w:tc>
        <w:tc>
          <w:tcPr>
            <w:tcW w:w="1701" w:type="dxa"/>
            <w:noWrap/>
          </w:tcPr>
          <w:p w14:paraId="456BB2C6" w14:textId="77777777" w:rsidR="00F6268C" w:rsidRPr="00CC28CD" w:rsidRDefault="00F6268C" w:rsidP="001C757F">
            <w:pPr>
              <w:pStyle w:val="Table"/>
              <w:ind w:right="-3"/>
            </w:pPr>
            <w:r w:rsidRPr="00CC28CD">
              <w:t>3</w:t>
            </w:r>
          </w:p>
        </w:tc>
        <w:tc>
          <w:tcPr>
            <w:tcW w:w="1559" w:type="dxa"/>
            <w:noWrap/>
          </w:tcPr>
          <w:p w14:paraId="4FB6298D" w14:textId="77777777" w:rsidR="00F6268C" w:rsidRPr="00CC28CD" w:rsidRDefault="00F6268C" w:rsidP="001C757F">
            <w:pPr>
              <w:pStyle w:val="Table"/>
              <w:ind w:right="-3"/>
            </w:pPr>
            <w:r w:rsidRPr="00CC28CD">
              <w:t>1.03</w:t>
            </w:r>
          </w:p>
        </w:tc>
      </w:tr>
    </w:tbl>
    <w:p w14:paraId="29FAD269" w14:textId="77777777" w:rsidR="00CC28CD" w:rsidRDefault="00CC28CD" w:rsidP="00CA0D72">
      <w:pPr>
        <w:pStyle w:val="Note"/>
        <w:ind w:right="-3"/>
      </w:pPr>
    </w:p>
    <w:p w14:paraId="7276B694" w14:textId="77777777" w:rsidR="005D7ABA" w:rsidRDefault="000C03DC" w:rsidP="00CA0D72">
      <w:pPr>
        <w:pStyle w:val="Note"/>
        <w:ind w:right="-3"/>
      </w:pPr>
      <w:r w:rsidRPr="000C03DC">
        <w:t>1: Includes estimated resident population in unknown area; NSW=1,170; NT=33,184; SA-4,881; VIC=466.</w:t>
      </w:r>
    </w:p>
    <w:p w14:paraId="7D5704EF" w14:textId="77777777" w:rsidR="005D7ABA" w:rsidRDefault="000C03DC" w:rsidP="00CA0D72">
      <w:pPr>
        <w:pStyle w:val="Note"/>
        <w:ind w:right="-3"/>
      </w:pPr>
      <w:r w:rsidRPr="000C03DC">
        <w:t>2: Includes rehabilitation and Geriatric Evaluation and Management beds</w:t>
      </w:r>
    </w:p>
    <w:p w14:paraId="4DA04E32" w14:textId="4F474CB8" w:rsidR="000C03DC" w:rsidRDefault="000C03DC" w:rsidP="00CA0D72">
      <w:pPr>
        <w:ind w:right="-3"/>
      </w:pPr>
    </w:p>
    <w:p w14:paraId="7B92C2C0" w14:textId="77777777" w:rsidR="005D7ABA" w:rsidRDefault="000C03DC" w:rsidP="00CA0D72">
      <w:pPr>
        <w:ind w:right="-3"/>
      </w:pPr>
      <w:r w:rsidRPr="000C03DC">
        <w:t>So as to aid in the identification of ACAT regions that were relatively well or poorly serviced in terms of aged care places and hospital beds, Figure 4.1 displays a composite of the total number of mainstream and flexible aged care places per 1,000 older people and the total number of hospital beds per 1,000 older people for the 2005/06 period (National Evaluation of the Transition Care Program 2007c).  To create this figure, a score of 1 was assigned to the ACAT regions in the lowest quintile of aged care places per 1,000 older people, a score of 2 assigned to those in the second quintile, and so on through to a score of 5 for those in the top quintile.  A similar scoring regime was used for the number of hospital beds per 1,000 older people.  These two sets of scores were then summed to give a composite indicator of aged care places and estimated hospital beds per 1,000 older people, which ranged between 2 and 10.  Areas which were in the lowest quintile for both aged care places and hospital beds per 1,000 older people scored 2 (represented as green areas on the map) while areas that were in the highest quintile for both indicators scored 10, shown as pink areas on the map in Figure 4.1.</w:t>
      </w:r>
    </w:p>
    <w:p w14:paraId="5C63E2BE" w14:textId="77777777" w:rsidR="005D7ABA" w:rsidRDefault="000C03DC" w:rsidP="00CA0D72">
      <w:pPr>
        <w:ind w:right="-3"/>
      </w:pPr>
      <w:r w:rsidRPr="000C03DC">
        <w:t>It is important to note that the definition of a rehabilitation episode of care includes psychiatric rehabilitation which appears to have led to some differences in reporting approaches from jurisdictions (Australian Institute of Health and Welfare 2005).</w:t>
      </w:r>
    </w:p>
    <w:p w14:paraId="02D6BE20" w14:textId="77777777" w:rsidR="005D7ABA" w:rsidRDefault="000D26F0" w:rsidP="00F6268C">
      <w:pPr>
        <w:pStyle w:val="Heading3"/>
      </w:pPr>
      <w:r>
        <w:br w:type="page"/>
      </w:r>
      <w:bookmarkStart w:id="72" w:name="_Toc402348918"/>
      <w:r w:rsidR="000C03DC" w:rsidRPr="000C03DC">
        <w:lastRenderedPageBreak/>
        <w:t>Figure 4.1: Composite indicator of number of aged care places and number of hospital beds per 1,000 older people for 2005/06 period</w:t>
      </w:r>
      <w:bookmarkEnd w:id="72"/>
    </w:p>
    <w:p w14:paraId="510B5DF7" w14:textId="7EFE74E0" w:rsidR="000D26F0" w:rsidRDefault="00CA0D72" w:rsidP="00FF7979">
      <w:r>
        <w:rPr>
          <w:noProof/>
        </w:rPr>
        <w:drawing>
          <wp:inline distT="0" distB="0" distL="0" distR="0" wp14:anchorId="423D411C" wp14:editId="42F79E39">
            <wp:extent cx="6207125" cy="4295140"/>
            <wp:effectExtent l="0" t="0" r="0" b="0"/>
            <wp:docPr id="43" name="Picture 43" descr="National Map of Aged Care Assessment Planning Regions showing a composite indicator of number of aged care places and number of hospital beds per 1,000 older people for 2005/06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ational Map of Aged Care Assessment Planning Regions showing a composite indicator of number of aged care places and number of hospital beds per 1,000 older people for 2005/06 perio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7125" cy="4295140"/>
                    </a:xfrm>
                    <a:prstGeom prst="rect">
                      <a:avLst/>
                    </a:prstGeom>
                    <a:noFill/>
                    <a:ln>
                      <a:noFill/>
                    </a:ln>
                  </pic:spPr>
                </pic:pic>
              </a:graphicData>
            </a:graphic>
          </wp:inline>
        </w:drawing>
      </w:r>
    </w:p>
    <w:p w14:paraId="0D41697D" w14:textId="77777777" w:rsidR="005D7ABA" w:rsidRDefault="000D26F0" w:rsidP="00CA0D72">
      <w:pPr>
        <w:pStyle w:val="Heading1"/>
        <w:ind w:right="-3"/>
      </w:pPr>
      <w:r>
        <w:br w:type="page"/>
      </w:r>
      <w:bookmarkStart w:id="73" w:name="_Toc402348919"/>
      <w:r>
        <w:lastRenderedPageBreak/>
        <w:t>5.  C</w:t>
      </w:r>
      <w:r w:rsidR="00533847" w:rsidRPr="00533847">
        <w:t>omparison of Transition Care recipients with other groups of frail older people</w:t>
      </w:r>
      <w:bookmarkEnd w:id="73"/>
    </w:p>
    <w:p w14:paraId="2B8B9B1B" w14:textId="77777777" w:rsidR="005D7ABA" w:rsidRDefault="00533847" w:rsidP="00CA0D72">
      <w:pPr>
        <w:pStyle w:val="Heading2"/>
        <w:ind w:right="-3"/>
      </w:pPr>
      <w:bookmarkStart w:id="74" w:name="_Toc402348920"/>
      <w:r w:rsidRPr="00533847">
        <w:t>Key points</w:t>
      </w:r>
      <w:bookmarkEnd w:id="74"/>
    </w:p>
    <w:p w14:paraId="570F6009" w14:textId="77777777" w:rsidR="005D7ABA" w:rsidRDefault="00533847" w:rsidP="00F6268C">
      <w:pPr>
        <w:pStyle w:val="Normal-Dot"/>
        <w:numPr>
          <w:ilvl w:val="0"/>
          <w:numId w:val="23"/>
        </w:numPr>
        <w:ind w:right="-3"/>
      </w:pPr>
      <w:r w:rsidRPr="00F6268C">
        <w:t>Comparison of outcomes for those who received TC only in a residential setting with outcomes from Victorian GEM units showed GEM units admitted more disabled people and achieved shifts in the MBI more rapidly than residential-based TC.</w:t>
      </w:r>
    </w:p>
    <w:p w14:paraId="6082D205" w14:textId="77777777" w:rsidR="005D7ABA" w:rsidRDefault="00533847" w:rsidP="00F6268C">
      <w:pPr>
        <w:pStyle w:val="Normal-Dot"/>
        <w:numPr>
          <w:ilvl w:val="0"/>
          <w:numId w:val="23"/>
        </w:numPr>
        <w:ind w:right="-3"/>
      </w:pPr>
      <w:r w:rsidRPr="00F6268C">
        <w:t>Older people in both control groups had a higher risk of hospital readmission in the six months post ACAT approval than the TC recipients.</w:t>
      </w:r>
    </w:p>
    <w:p w14:paraId="01B225FC" w14:textId="77777777" w:rsidR="005D7ABA" w:rsidRDefault="00533847" w:rsidP="00F6268C">
      <w:pPr>
        <w:pStyle w:val="Normal-Dot"/>
        <w:numPr>
          <w:ilvl w:val="0"/>
          <w:numId w:val="23"/>
        </w:numPr>
        <w:ind w:right="-3"/>
      </w:pPr>
      <w:r w:rsidRPr="00F6268C">
        <w:t>Older people in both control groups had a greater hazard (risk) of a residential aged care admission in the six months post ACAT approval than those who received TC only in a community setting.</w:t>
      </w:r>
    </w:p>
    <w:p w14:paraId="713F88B4" w14:textId="77777777" w:rsidR="005D7ABA" w:rsidRDefault="00533847" w:rsidP="00F6268C">
      <w:pPr>
        <w:pStyle w:val="Normal-Dot"/>
        <w:numPr>
          <w:ilvl w:val="0"/>
          <w:numId w:val="23"/>
        </w:numPr>
        <w:ind w:right="-3"/>
      </w:pPr>
      <w:r w:rsidRPr="00F6268C">
        <w:t>Older people who received TC only in a residential setting had a seven fold increase in hazard of residential aged care admission compared with those who received TC only in a community setting.  TC in a residential-based setting alone did not prevent an aged care admission.</w:t>
      </w:r>
    </w:p>
    <w:p w14:paraId="2E3A0063" w14:textId="77777777" w:rsidR="005D7ABA" w:rsidRDefault="00533847" w:rsidP="00CA0D72">
      <w:pPr>
        <w:pStyle w:val="Heading2"/>
        <w:ind w:right="-3"/>
      </w:pPr>
      <w:bookmarkStart w:id="75" w:name="_Toc402348921"/>
      <w:r w:rsidRPr="00533847">
        <w:t>5.1. External comparison of Transition Care recipients to Australasian Rehabilitation Outcomes Centre and Geriatric Evaluation and Management units</w:t>
      </w:r>
      <w:bookmarkEnd w:id="75"/>
    </w:p>
    <w:p w14:paraId="2A518AF4" w14:textId="77777777" w:rsidR="005D7ABA" w:rsidRDefault="00533847" w:rsidP="00CA0D72">
      <w:pPr>
        <w:ind w:right="-3"/>
      </w:pPr>
      <w:r w:rsidRPr="00533847">
        <w:t xml:space="preserve">Evidence was drawn from several sources to ascertain how the outcomes for recipients of TC compared to the outcomes for other older people who were approved for other </w:t>
      </w:r>
      <w:proofErr w:type="spellStart"/>
      <w:r w:rsidRPr="00533847">
        <w:t>post acute</w:t>
      </w:r>
      <w:proofErr w:type="spellEnd"/>
      <w:r w:rsidRPr="00533847">
        <w:t xml:space="preserve"> care and aged care programs.</w:t>
      </w:r>
    </w:p>
    <w:p w14:paraId="334923C9" w14:textId="77777777" w:rsidR="005D7ABA" w:rsidRDefault="00533847" w:rsidP="00CA0D72">
      <w:pPr>
        <w:ind w:right="-3"/>
      </w:pPr>
      <w:r w:rsidRPr="00533847">
        <w:t>The first external comparison was made with data concerning rehabilitation units, extracted by the Australian Rehabilitation Outcomes Centre (AROC).  Data for persons aged 65 years or more who were admitted for a reason of Debility in the 2006/07 year were analysed.  This admission condition represents older people who were selected to enter rehabilitation units on the basis of their functional ability and their anticipated capacity to make functional gains.  It is reasonable to assume that this group is fitter than those ACAT assessed and approved for TC.</w:t>
      </w:r>
    </w:p>
    <w:p w14:paraId="47EB3E03" w14:textId="154C82F8" w:rsidR="005D7ABA" w:rsidRDefault="00533847" w:rsidP="00CA0D72">
      <w:pPr>
        <w:ind w:right="-3"/>
      </w:pPr>
      <w:r w:rsidRPr="00533847">
        <w:t xml:space="preserve">Two points must be borne in mind in interpreting Table 5.1.  Rehabilitation units have higher staffing to patient ratios than TC units and this contributes to the apparently better MBI efficiency.  A second point that must be considered is that the Functional Independence Measure (FIM) and not MBI </w:t>
      </w:r>
      <w:proofErr w:type="gramStart"/>
      <w:r w:rsidRPr="00533847">
        <w:t>is</w:t>
      </w:r>
      <w:proofErr w:type="gramEnd"/>
      <w:r w:rsidRPr="00533847">
        <w:t xml:space="preserve"> reported to the AROC by contributing rehabilitation units.  The FIM averages were converted to MBI by use of the formula:</w:t>
      </w:r>
    </w:p>
    <w:p w14:paraId="376244B0" w14:textId="77777777" w:rsidR="005D7ABA" w:rsidRDefault="00533847" w:rsidP="00CA0D72">
      <w:pPr>
        <w:ind w:right="-3"/>
      </w:pPr>
      <w:r w:rsidRPr="00533847">
        <w:t>Estimated MBI = (FIM - 18)/0.67 (Eagar, Gordon et al. 2001).</w:t>
      </w:r>
    </w:p>
    <w:p w14:paraId="0B256C0B" w14:textId="77777777" w:rsidR="005D7ABA" w:rsidRDefault="00533847" w:rsidP="00CA0D72">
      <w:pPr>
        <w:ind w:right="-3"/>
      </w:pPr>
      <w:r w:rsidRPr="00533847">
        <w:t>It is important to note that this conversion is based on a regression equation and the random error associated with the conversion is not taken into account.</w:t>
      </w:r>
    </w:p>
    <w:p w14:paraId="062D4EAF" w14:textId="77777777" w:rsidR="005D7ABA" w:rsidRDefault="00533847" w:rsidP="00CA0D72">
      <w:pPr>
        <w:ind w:right="-3"/>
      </w:pPr>
      <w:r w:rsidRPr="00533847">
        <w:t>The TC Program data were drawn from the Australian Government Department of Health and Ageing COGNOS database for the 2006/07 financial year, to cover the same period as the AROC data. As Table 5.1 demonstrates, those in rehabilitation units make larger gains more quickly than those in TC.  It confirms that in general the TC group were different to the rehabilitation group, as indeed is appropriate given the selection criteria for TC.</w:t>
      </w:r>
    </w:p>
    <w:p w14:paraId="1E0A7953" w14:textId="35AE98EB" w:rsidR="00533847" w:rsidRPr="00533847" w:rsidRDefault="00533847" w:rsidP="00F6268C">
      <w:pPr>
        <w:pStyle w:val="Heading3"/>
      </w:pPr>
      <w:bookmarkStart w:id="76" w:name="_Toc402348922"/>
      <w:r w:rsidRPr="00533847">
        <w:t xml:space="preserve">Table 5.1: Estimated Modified </w:t>
      </w:r>
      <w:proofErr w:type="spellStart"/>
      <w:r w:rsidRPr="00533847">
        <w:t>Barthel</w:t>
      </w:r>
      <w:proofErr w:type="spellEnd"/>
      <w:r w:rsidRPr="00533847">
        <w:t xml:space="preserve"> Index efficiencies from the Australasian Rehabilitation Outcomes Centre 2006/07</w:t>
      </w:r>
      <w:bookmarkEnd w:id="76"/>
      <w:r w:rsidRPr="00533847">
        <w:t xml:space="preserve"> </w:t>
      </w:r>
    </w:p>
    <w:tbl>
      <w:tblPr>
        <w:tblStyle w:val="TableGrid"/>
        <w:tblW w:w="9799" w:type="dxa"/>
        <w:tblLook w:val="0000" w:firstRow="0" w:lastRow="0" w:firstColumn="0" w:lastColumn="0" w:noHBand="0" w:noVBand="0"/>
        <w:tblDescription w:val="Table 5.1: Estimated Modified Barthel Index efficiencies from the Australasian Rehabilitation Outcomes Centre 2006/07 "/>
      </w:tblPr>
      <w:tblGrid>
        <w:gridCol w:w="1293"/>
        <w:gridCol w:w="1843"/>
        <w:gridCol w:w="1843"/>
        <w:gridCol w:w="1843"/>
        <w:gridCol w:w="1134"/>
        <w:gridCol w:w="1843"/>
      </w:tblGrid>
      <w:tr w:rsidR="00731E92" w:rsidRPr="00731E92" w14:paraId="4A1A4BB4" w14:textId="77777777" w:rsidTr="00F6268C">
        <w:trPr>
          <w:trHeight w:val="255"/>
          <w:tblHeader/>
        </w:trPr>
        <w:tc>
          <w:tcPr>
            <w:tcW w:w="1293" w:type="dxa"/>
            <w:noWrap/>
          </w:tcPr>
          <w:p w14:paraId="12DD2DE9" w14:textId="77777777" w:rsidR="00341B34" w:rsidRPr="00731E92" w:rsidRDefault="00341B34" w:rsidP="00CA0D72">
            <w:pPr>
              <w:pStyle w:val="Table"/>
              <w:ind w:right="-3"/>
              <w:rPr>
                <w:b/>
              </w:rPr>
            </w:pPr>
            <w:r w:rsidRPr="00731E92">
              <w:rPr>
                <w:b/>
              </w:rPr>
              <w:t>Age Group</w:t>
            </w:r>
          </w:p>
        </w:tc>
        <w:tc>
          <w:tcPr>
            <w:tcW w:w="1843" w:type="dxa"/>
            <w:noWrap/>
          </w:tcPr>
          <w:p w14:paraId="4A37056E" w14:textId="77777777" w:rsidR="00341B34" w:rsidRPr="00731E92" w:rsidRDefault="00341B34" w:rsidP="00CA0D72">
            <w:pPr>
              <w:pStyle w:val="Table"/>
              <w:ind w:right="-3"/>
              <w:jc w:val="center"/>
              <w:rPr>
                <w:b/>
              </w:rPr>
            </w:pPr>
            <w:r w:rsidRPr="00731E92">
              <w:rPr>
                <w:b/>
              </w:rPr>
              <w:t>Admission MBI</w:t>
            </w:r>
          </w:p>
        </w:tc>
        <w:tc>
          <w:tcPr>
            <w:tcW w:w="1843" w:type="dxa"/>
            <w:noWrap/>
          </w:tcPr>
          <w:p w14:paraId="3BD8393C" w14:textId="77777777" w:rsidR="00341B34" w:rsidRPr="00731E92" w:rsidRDefault="00341B34" w:rsidP="00CA0D72">
            <w:pPr>
              <w:pStyle w:val="Table"/>
              <w:ind w:right="-3"/>
              <w:jc w:val="center"/>
              <w:rPr>
                <w:b/>
              </w:rPr>
            </w:pPr>
            <w:r w:rsidRPr="00731E92">
              <w:rPr>
                <w:b/>
              </w:rPr>
              <w:t>Discharge MBI</w:t>
            </w:r>
          </w:p>
        </w:tc>
        <w:tc>
          <w:tcPr>
            <w:tcW w:w="1843" w:type="dxa"/>
            <w:noWrap/>
          </w:tcPr>
          <w:p w14:paraId="71187854" w14:textId="77777777" w:rsidR="00341B34" w:rsidRPr="00731E92" w:rsidRDefault="00341B34" w:rsidP="00CA0D72">
            <w:pPr>
              <w:pStyle w:val="Table"/>
              <w:ind w:right="-3"/>
              <w:jc w:val="center"/>
              <w:rPr>
                <w:b/>
              </w:rPr>
            </w:pPr>
            <w:r w:rsidRPr="00731E92">
              <w:rPr>
                <w:b/>
              </w:rPr>
              <w:t>Change in MBI</w:t>
            </w:r>
          </w:p>
        </w:tc>
        <w:tc>
          <w:tcPr>
            <w:tcW w:w="1134" w:type="dxa"/>
            <w:noWrap/>
          </w:tcPr>
          <w:p w14:paraId="52CD1DEF" w14:textId="77777777" w:rsidR="00341B34" w:rsidRPr="00731E92" w:rsidRDefault="00341B34" w:rsidP="00CA0D72">
            <w:pPr>
              <w:pStyle w:val="Table"/>
              <w:ind w:right="-3"/>
              <w:jc w:val="center"/>
              <w:rPr>
                <w:b/>
              </w:rPr>
            </w:pPr>
            <w:r w:rsidRPr="00731E92">
              <w:rPr>
                <w:b/>
              </w:rPr>
              <w:t>LOS</w:t>
            </w:r>
          </w:p>
        </w:tc>
        <w:tc>
          <w:tcPr>
            <w:tcW w:w="1843" w:type="dxa"/>
            <w:noWrap/>
          </w:tcPr>
          <w:p w14:paraId="22023790" w14:textId="77777777" w:rsidR="00341B34" w:rsidRPr="00731E92" w:rsidRDefault="00341B34" w:rsidP="00CA0D72">
            <w:pPr>
              <w:pStyle w:val="Table"/>
              <w:ind w:right="-3"/>
              <w:jc w:val="center"/>
              <w:rPr>
                <w:b/>
              </w:rPr>
            </w:pPr>
            <w:r w:rsidRPr="00731E92">
              <w:rPr>
                <w:b/>
              </w:rPr>
              <w:t>MBI Efficiency</w:t>
            </w:r>
          </w:p>
        </w:tc>
      </w:tr>
      <w:tr w:rsidR="00341B34" w14:paraId="2F49B008" w14:textId="77777777" w:rsidTr="00F6268C">
        <w:trPr>
          <w:trHeight w:val="255"/>
        </w:trPr>
        <w:tc>
          <w:tcPr>
            <w:tcW w:w="1293" w:type="dxa"/>
            <w:noWrap/>
          </w:tcPr>
          <w:p w14:paraId="6DD721AA" w14:textId="77777777" w:rsidR="00341B34" w:rsidRPr="00731E92" w:rsidRDefault="00341B34" w:rsidP="00CA0D72">
            <w:pPr>
              <w:pStyle w:val="Table"/>
              <w:ind w:right="-3"/>
            </w:pPr>
            <w:r w:rsidRPr="00731E92">
              <w:lastRenderedPageBreak/>
              <w:t>65-69</w:t>
            </w:r>
          </w:p>
        </w:tc>
        <w:tc>
          <w:tcPr>
            <w:tcW w:w="1843" w:type="dxa"/>
            <w:noWrap/>
          </w:tcPr>
          <w:p w14:paraId="71335876" w14:textId="77777777" w:rsidR="00341B34" w:rsidRPr="00731E92" w:rsidRDefault="00341B34" w:rsidP="00CA0D72">
            <w:pPr>
              <w:pStyle w:val="Table"/>
              <w:ind w:right="-3"/>
              <w:jc w:val="center"/>
            </w:pPr>
            <w:r w:rsidRPr="00731E92">
              <w:t>52.2</w:t>
            </w:r>
          </w:p>
        </w:tc>
        <w:tc>
          <w:tcPr>
            <w:tcW w:w="1843" w:type="dxa"/>
            <w:noWrap/>
          </w:tcPr>
          <w:p w14:paraId="59D5A1AC" w14:textId="77777777" w:rsidR="00341B34" w:rsidRPr="00731E92" w:rsidRDefault="00341B34" w:rsidP="00CA0D72">
            <w:pPr>
              <w:pStyle w:val="Table"/>
              <w:ind w:right="-3"/>
              <w:jc w:val="center"/>
            </w:pPr>
            <w:r w:rsidRPr="00731E92">
              <w:t>71.2</w:t>
            </w:r>
          </w:p>
        </w:tc>
        <w:tc>
          <w:tcPr>
            <w:tcW w:w="1843" w:type="dxa"/>
            <w:noWrap/>
          </w:tcPr>
          <w:p w14:paraId="73A83898" w14:textId="77777777" w:rsidR="00341B34" w:rsidRPr="00731E92" w:rsidRDefault="00341B34" w:rsidP="00CA0D72">
            <w:pPr>
              <w:pStyle w:val="Table"/>
              <w:ind w:right="-3"/>
              <w:jc w:val="center"/>
            </w:pPr>
            <w:r w:rsidRPr="00731E92">
              <w:t>19</w:t>
            </w:r>
          </w:p>
        </w:tc>
        <w:tc>
          <w:tcPr>
            <w:tcW w:w="1134" w:type="dxa"/>
            <w:noWrap/>
          </w:tcPr>
          <w:p w14:paraId="17901BC1" w14:textId="77777777" w:rsidR="00341B34" w:rsidRPr="00731E92" w:rsidRDefault="00341B34" w:rsidP="00CA0D72">
            <w:pPr>
              <w:pStyle w:val="Table"/>
              <w:ind w:right="-3"/>
              <w:jc w:val="center"/>
            </w:pPr>
            <w:r w:rsidRPr="00731E92">
              <w:t>23.3</w:t>
            </w:r>
          </w:p>
        </w:tc>
        <w:tc>
          <w:tcPr>
            <w:tcW w:w="1843" w:type="dxa"/>
            <w:noWrap/>
          </w:tcPr>
          <w:p w14:paraId="0E856A3F" w14:textId="77777777" w:rsidR="00341B34" w:rsidRPr="00731E92" w:rsidRDefault="00341B34" w:rsidP="00CA0D72">
            <w:pPr>
              <w:pStyle w:val="Table"/>
              <w:ind w:right="-3"/>
              <w:jc w:val="center"/>
            </w:pPr>
            <w:r w:rsidRPr="00731E92">
              <w:t>0.82</w:t>
            </w:r>
          </w:p>
        </w:tc>
      </w:tr>
      <w:tr w:rsidR="00341B34" w14:paraId="5BB7A91D" w14:textId="77777777" w:rsidTr="00F6268C">
        <w:trPr>
          <w:trHeight w:val="255"/>
        </w:trPr>
        <w:tc>
          <w:tcPr>
            <w:tcW w:w="1293" w:type="dxa"/>
            <w:noWrap/>
          </w:tcPr>
          <w:p w14:paraId="38F2DEC6" w14:textId="77777777" w:rsidR="00341B34" w:rsidRPr="00731E92" w:rsidRDefault="00341B34" w:rsidP="00CA0D72">
            <w:pPr>
              <w:pStyle w:val="Table"/>
              <w:ind w:right="-3"/>
            </w:pPr>
            <w:r w:rsidRPr="00731E92">
              <w:t>70-74</w:t>
            </w:r>
          </w:p>
        </w:tc>
        <w:tc>
          <w:tcPr>
            <w:tcW w:w="1843" w:type="dxa"/>
            <w:noWrap/>
          </w:tcPr>
          <w:p w14:paraId="585930CA" w14:textId="77777777" w:rsidR="00341B34" w:rsidRPr="00731E92" w:rsidRDefault="00341B34" w:rsidP="00CA0D72">
            <w:pPr>
              <w:pStyle w:val="Table"/>
              <w:ind w:right="-3"/>
              <w:jc w:val="center"/>
            </w:pPr>
            <w:r w:rsidRPr="00731E92">
              <w:t>53.7</w:t>
            </w:r>
          </w:p>
        </w:tc>
        <w:tc>
          <w:tcPr>
            <w:tcW w:w="1843" w:type="dxa"/>
            <w:noWrap/>
          </w:tcPr>
          <w:p w14:paraId="70B18D92" w14:textId="77777777" w:rsidR="00341B34" w:rsidRPr="00731E92" w:rsidRDefault="00341B34" w:rsidP="00CA0D72">
            <w:pPr>
              <w:pStyle w:val="Table"/>
              <w:ind w:right="-3"/>
              <w:jc w:val="center"/>
            </w:pPr>
            <w:r w:rsidRPr="00731E92">
              <w:t>76</w:t>
            </w:r>
          </w:p>
        </w:tc>
        <w:tc>
          <w:tcPr>
            <w:tcW w:w="1843" w:type="dxa"/>
            <w:noWrap/>
          </w:tcPr>
          <w:p w14:paraId="66911239" w14:textId="77777777" w:rsidR="00341B34" w:rsidRPr="00731E92" w:rsidRDefault="00341B34" w:rsidP="00CA0D72">
            <w:pPr>
              <w:pStyle w:val="Table"/>
              <w:ind w:right="-3"/>
              <w:jc w:val="center"/>
            </w:pPr>
            <w:r w:rsidRPr="00731E92">
              <w:t>22.3</w:t>
            </w:r>
          </w:p>
        </w:tc>
        <w:tc>
          <w:tcPr>
            <w:tcW w:w="1134" w:type="dxa"/>
            <w:noWrap/>
          </w:tcPr>
          <w:p w14:paraId="6674FC08" w14:textId="77777777" w:rsidR="00341B34" w:rsidRPr="00731E92" w:rsidRDefault="00341B34" w:rsidP="00CA0D72">
            <w:pPr>
              <w:pStyle w:val="Table"/>
              <w:ind w:right="-3"/>
              <w:jc w:val="center"/>
            </w:pPr>
            <w:r w:rsidRPr="00731E92">
              <w:t>21.2</w:t>
            </w:r>
          </w:p>
        </w:tc>
        <w:tc>
          <w:tcPr>
            <w:tcW w:w="1843" w:type="dxa"/>
            <w:noWrap/>
          </w:tcPr>
          <w:p w14:paraId="30F5AB41" w14:textId="77777777" w:rsidR="00341B34" w:rsidRPr="00731E92" w:rsidRDefault="00341B34" w:rsidP="00CA0D72">
            <w:pPr>
              <w:pStyle w:val="Table"/>
              <w:ind w:right="-3"/>
              <w:jc w:val="center"/>
            </w:pPr>
            <w:r w:rsidRPr="00731E92">
              <w:t>1.05</w:t>
            </w:r>
          </w:p>
        </w:tc>
      </w:tr>
      <w:tr w:rsidR="00341B34" w14:paraId="2E69B49C" w14:textId="77777777" w:rsidTr="00F6268C">
        <w:trPr>
          <w:trHeight w:val="255"/>
        </w:trPr>
        <w:tc>
          <w:tcPr>
            <w:tcW w:w="1293" w:type="dxa"/>
            <w:noWrap/>
          </w:tcPr>
          <w:p w14:paraId="2FDFA8D5" w14:textId="77777777" w:rsidR="00341B34" w:rsidRPr="00731E92" w:rsidRDefault="00341B34" w:rsidP="00CA0D72">
            <w:pPr>
              <w:pStyle w:val="Table"/>
              <w:ind w:right="-3"/>
            </w:pPr>
            <w:r w:rsidRPr="00731E92">
              <w:t>75-79</w:t>
            </w:r>
          </w:p>
        </w:tc>
        <w:tc>
          <w:tcPr>
            <w:tcW w:w="1843" w:type="dxa"/>
            <w:noWrap/>
          </w:tcPr>
          <w:p w14:paraId="325CD16A" w14:textId="77777777" w:rsidR="00341B34" w:rsidRPr="00731E92" w:rsidRDefault="00341B34" w:rsidP="00CA0D72">
            <w:pPr>
              <w:pStyle w:val="Table"/>
              <w:ind w:right="-3"/>
              <w:jc w:val="center"/>
            </w:pPr>
            <w:r w:rsidRPr="00731E92">
              <w:t>53.7</w:t>
            </w:r>
          </w:p>
        </w:tc>
        <w:tc>
          <w:tcPr>
            <w:tcW w:w="1843" w:type="dxa"/>
            <w:noWrap/>
          </w:tcPr>
          <w:p w14:paraId="2DDAA7C6" w14:textId="77777777" w:rsidR="00341B34" w:rsidRPr="00731E92" w:rsidRDefault="00341B34" w:rsidP="00CA0D72">
            <w:pPr>
              <w:pStyle w:val="Table"/>
              <w:ind w:right="-3"/>
              <w:jc w:val="center"/>
            </w:pPr>
            <w:r w:rsidRPr="00731E92">
              <w:t>76</w:t>
            </w:r>
          </w:p>
        </w:tc>
        <w:tc>
          <w:tcPr>
            <w:tcW w:w="1843" w:type="dxa"/>
            <w:noWrap/>
          </w:tcPr>
          <w:p w14:paraId="38632FB8" w14:textId="77777777" w:rsidR="00341B34" w:rsidRPr="00731E92" w:rsidRDefault="00341B34" w:rsidP="00CA0D72">
            <w:pPr>
              <w:pStyle w:val="Table"/>
              <w:ind w:right="-3"/>
              <w:jc w:val="center"/>
            </w:pPr>
            <w:r w:rsidRPr="00731E92">
              <w:t>22.3</w:t>
            </w:r>
          </w:p>
        </w:tc>
        <w:tc>
          <w:tcPr>
            <w:tcW w:w="1134" w:type="dxa"/>
            <w:noWrap/>
          </w:tcPr>
          <w:p w14:paraId="502A890C" w14:textId="77777777" w:rsidR="00341B34" w:rsidRPr="00731E92" w:rsidRDefault="00341B34" w:rsidP="00CA0D72">
            <w:pPr>
              <w:pStyle w:val="Table"/>
              <w:ind w:right="-3"/>
              <w:jc w:val="center"/>
            </w:pPr>
            <w:r w:rsidRPr="00731E92">
              <w:t>21</w:t>
            </w:r>
          </w:p>
        </w:tc>
        <w:tc>
          <w:tcPr>
            <w:tcW w:w="1843" w:type="dxa"/>
            <w:noWrap/>
          </w:tcPr>
          <w:p w14:paraId="0AD87E15" w14:textId="77777777" w:rsidR="00341B34" w:rsidRPr="00731E92" w:rsidRDefault="00341B34" w:rsidP="00CA0D72">
            <w:pPr>
              <w:pStyle w:val="Table"/>
              <w:ind w:right="-3"/>
              <w:jc w:val="center"/>
            </w:pPr>
            <w:r w:rsidRPr="00731E92">
              <w:t>1.06</w:t>
            </w:r>
          </w:p>
        </w:tc>
      </w:tr>
      <w:tr w:rsidR="00341B34" w14:paraId="47C94C6C" w14:textId="77777777" w:rsidTr="00F6268C">
        <w:trPr>
          <w:trHeight w:val="255"/>
        </w:trPr>
        <w:tc>
          <w:tcPr>
            <w:tcW w:w="1293" w:type="dxa"/>
            <w:noWrap/>
          </w:tcPr>
          <w:p w14:paraId="28429B5E" w14:textId="77777777" w:rsidR="00341B34" w:rsidRPr="00731E92" w:rsidRDefault="00341B34" w:rsidP="00CA0D72">
            <w:pPr>
              <w:pStyle w:val="Table"/>
              <w:ind w:right="-3"/>
            </w:pPr>
            <w:r w:rsidRPr="00731E92">
              <w:t>80-84</w:t>
            </w:r>
          </w:p>
        </w:tc>
        <w:tc>
          <w:tcPr>
            <w:tcW w:w="1843" w:type="dxa"/>
            <w:noWrap/>
          </w:tcPr>
          <w:p w14:paraId="1E4F1EB2" w14:textId="77777777" w:rsidR="00341B34" w:rsidRPr="00731E92" w:rsidRDefault="00341B34" w:rsidP="00CA0D72">
            <w:pPr>
              <w:pStyle w:val="Table"/>
              <w:ind w:right="-3"/>
              <w:jc w:val="center"/>
            </w:pPr>
            <w:r w:rsidRPr="00731E92">
              <w:t>51.6</w:t>
            </w:r>
          </w:p>
        </w:tc>
        <w:tc>
          <w:tcPr>
            <w:tcW w:w="1843" w:type="dxa"/>
            <w:noWrap/>
          </w:tcPr>
          <w:p w14:paraId="5C595952" w14:textId="77777777" w:rsidR="00341B34" w:rsidRPr="00731E92" w:rsidRDefault="00341B34" w:rsidP="00CA0D72">
            <w:pPr>
              <w:pStyle w:val="Table"/>
              <w:ind w:right="-3"/>
              <w:jc w:val="center"/>
            </w:pPr>
            <w:r w:rsidRPr="00731E92">
              <w:t>70.6</w:t>
            </w:r>
          </w:p>
        </w:tc>
        <w:tc>
          <w:tcPr>
            <w:tcW w:w="1843" w:type="dxa"/>
            <w:noWrap/>
          </w:tcPr>
          <w:p w14:paraId="6AC483A4" w14:textId="77777777" w:rsidR="00341B34" w:rsidRPr="00731E92" w:rsidRDefault="00341B34" w:rsidP="00CA0D72">
            <w:pPr>
              <w:pStyle w:val="Table"/>
              <w:ind w:right="-3"/>
              <w:jc w:val="center"/>
            </w:pPr>
            <w:r w:rsidRPr="00731E92">
              <w:t>19</w:t>
            </w:r>
          </w:p>
        </w:tc>
        <w:tc>
          <w:tcPr>
            <w:tcW w:w="1134" w:type="dxa"/>
            <w:noWrap/>
          </w:tcPr>
          <w:p w14:paraId="0FFB1727" w14:textId="77777777" w:rsidR="00341B34" w:rsidRPr="00731E92" w:rsidRDefault="00341B34" w:rsidP="00CA0D72">
            <w:pPr>
              <w:pStyle w:val="Table"/>
              <w:ind w:right="-3"/>
              <w:jc w:val="center"/>
            </w:pPr>
            <w:r w:rsidRPr="00731E92">
              <w:t>21.4</w:t>
            </w:r>
          </w:p>
        </w:tc>
        <w:tc>
          <w:tcPr>
            <w:tcW w:w="1843" w:type="dxa"/>
            <w:noWrap/>
          </w:tcPr>
          <w:p w14:paraId="2EB3EE4A" w14:textId="77777777" w:rsidR="00341B34" w:rsidRPr="00731E92" w:rsidRDefault="00341B34" w:rsidP="00CA0D72">
            <w:pPr>
              <w:pStyle w:val="Table"/>
              <w:ind w:right="-3"/>
              <w:jc w:val="center"/>
            </w:pPr>
            <w:r w:rsidRPr="00731E92">
              <w:t>0.89</w:t>
            </w:r>
          </w:p>
        </w:tc>
      </w:tr>
      <w:tr w:rsidR="00341B34" w14:paraId="7A76E9C6" w14:textId="77777777" w:rsidTr="00F6268C">
        <w:trPr>
          <w:trHeight w:val="255"/>
        </w:trPr>
        <w:tc>
          <w:tcPr>
            <w:tcW w:w="1293" w:type="dxa"/>
            <w:noWrap/>
          </w:tcPr>
          <w:p w14:paraId="1085A647" w14:textId="77777777" w:rsidR="00341B34" w:rsidRPr="00731E92" w:rsidRDefault="00341B34" w:rsidP="00CA0D72">
            <w:pPr>
              <w:pStyle w:val="Table"/>
              <w:ind w:right="-3"/>
            </w:pPr>
            <w:r w:rsidRPr="00731E92">
              <w:t>85-89</w:t>
            </w:r>
          </w:p>
        </w:tc>
        <w:tc>
          <w:tcPr>
            <w:tcW w:w="1843" w:type="dxa"/>
            <w:noWrap/>
          </w:tcPr>
          <w:p w14:paraId="72489981" w14:textId="77777777" w:rsidR="00341B34" w:rsidRPr="00731E92" w:rsidRDefault="00341B34" w:rsidP="00CA0D72">
            <w:pPr>
              <w:pStyle w:val="Table"/>
              <w:ind w:right="-3"/>
              <w:jc w:val="center"/>
            </w:pPr>
            <w:r w:rsidRPr="00731E92">
              <w:t>52.7</w:t>
            </w:r>
          </w:p>
        </w:tc>
        <w:tc>
          <w:tcPr>
            <w:tcW w:w="1843" w:type="dxa"/>
            <w:noWrap/>
          </w:tcPr>
          <w:p w14:paraId="6635CE0A" w14:textId="77777777" w:rsidR="00341B34" w:rsidRPr="00731E92" w:rsidRDefault="00341B34" w:rsidP="00CA0D72">
            <w:pPr>
              <w:pStyle w:val="Table"/>
              <w:ind w:right="-3"/>
              <w:jc w:val="center"/>
            </w:pPr>
            <w:r w:rsidRPr="00731E92">
              <w:t>71.8</w:t>
            </w:r>
          </w:p>
        </w:tc>
        <w:tc>
          <w:tcPr>
            <w:tcW w:w="1843" w:type="dxa"/>
            <w:noWrap/>
          </w:tcPr>
          <w:p w14:paraId="392E504B" w14:textId="77777777" w:rsidR="00341B34" w:rsidRPr="00731E92" w:rsidRDefault="00341B34" w:rsidP="00CA0D72">
            <w:pPr>
              <w:pStyle w:val="Table"/>
              <w:ind w:right="-3"/>
              <w:jc w:val="center"/>
            </w:pPr>
            <w:r w:rsidRPr="00731E92">
              <w:t>19.1</w:t>
            </w:r>
          </w:p>
        </w:tc>
        <w:tc>
          <w:tcPr>
            <w:tcW w:w="1134" w:type="dxa"/>
            <w:noWrap/>
          </w:tcPr>
          <w:p w14:paraId="40CB0DFC" w14:textId="77777777" w:rsidR="00341B34" w:rsidRPr="00731E92" w:rsidRDefault="00341B34" w:rsidP="00CA0D72">
            <w:pPr>
              <w:pStyle w:val="Table"/>
              <w:ind w:right="-3"/>
              <w:jc w:val="center"/>
            </w:pPr>
            <w:r w:rsidRPr="00731E92">
              <w:t>19.8</w:t>
            </w:r>
          </w:p>
        </w:tc>
        <w:tc>
          <w:tcPr>
            <w:tcW w:w="1843" w:type="dxa"/>
            <w:noWrap/>
          </w:tcPr>
          <w:p w14:paraId="48E453FD" w14:textId="77777777" w:rsidR="00341B34" w:rsidRPr="00731E92" w:rsidRDefault="00341B34" w:rsidP="00CA0D72">
            <w:pPr>
              <w:pStyle w:val="Table"/>
              <w:ind w:right="-3"/>
              <w:jc w:val="center"/>
            </w:pPr>
            <w:r w:rsidRPr="00731E92">
              <w:t>0.97</w:t>
            </w:r>
          </w:p>
        </w:tc>
      </w:tr>
      <w:tr w:rsidR="00341B34" w14:paraId="1F0393F4" w14:textId="77777777" w:rsidTr="00F6268C">
        <w:trPr>
          <w:trHeight w:val="255"/>
        </w:trPr>
        <w:tc>
          <w:tcPr>
            <w:tcW w:w="1293" w:type="dxa"/>
            <w:noWrap/>
          </w:tcPr>
          <w:p w14:paraId="3EF33B1A" w14:textId="77777777" w:rsidR="00341B34" w:rsidRPr="00731E92" w:rsidRDefault="00341B34" w:rsidP="00CA0D72">
            <w:pPr>
              <w:pStyle w:val="Table"/>
              <w:ind w:right="-3"/>
            </w:pPr>
            <w:r w:rsidRPr="00731E92">
              <w:t>90-94</w:t>
            </w:r>
          </w:p>
        </w:tc>
        <w:tc>
          <w:tcPr>
            <w:tcW w:w="1843" w:type="dxa"/>
            <w:noWrap/>
          </w:tcPr>
          <w:p w14:paraId="142F3D20" w14:textId="77777777" w:rsidR="00341B34" w:rsidRPr="00731E92" w:rsidRDefault="00341B34" w:rsidP="00CA0D72">
            <w:pPr>
              <w:pStyle w:val="Table"/>
              <w:ind w:right="-3"/>
              <w:jc w:val="center"/>
            </w:pPr>
            <w:r w:rsidRPr="00731E92">
              <w:t>48.4</w:t>
            </w:r>
          </w:p>
        </w:tc>
        <w:tc>
          <w:tcPr>
            <w:tcW w:w="1843" w:type="dxa"/>
            <w:noWrap/>
          </w:tcPr>
          <w:p w14:paraId="73489E95" w14:textId="77777777" w:rsidR="00341B34" w:rsidRPr="00731E92" w:rsidRDefault="00341B34" w:rsidP="00CA0D72">
            <w:pPr>
              <w:pStyle w:val="Table"/>
              <w:ind w:right="-3"/>
              <w:jc w:val="center"/>
            </w:pPr>
            <w:r w:rsidRPr="00731E92">
              <w:t>68.8</w:t>
            </w:r>
          </w:p>
        </w:tc>
        <w:tc>
          <w:tcPr>
            <w:tcW w:w="1843" w:type="dxa"/>
            <w:noWrap/>
          </w:tcPr>
          <w:p w14:paraId="43F8AF8B" w14:textId="77777777" w:rsidR="00341B34" w:rsidRPr="00731E92" w:rsidRDefault="00341B34" w:rsidP="00CA0D72">
            <w:pPr>
              <w:pStyle w:val="Table"/>
              <w:ind w:right="-3"/>
              <w:jc w:val="center"/>
            </w:pPr>
            <w:r w:rsidRPr="00731E92">
              <w:t>20.4</w:t>
            </w:r>
          </w:p>
        </w:tc>
        <w:tc>
          <w:tcPr>
            <w:tcW w:w="1134" w:type="dxa"/>
            <w:noWrap/>
          </w:tcPr>
          <w:p w14:paraId="36733340" w14:textId="77777777" w:rsidR="00341B34" w:rsidRPr="00731E92" w:rsidRDefault="00341B34" w:rsidP="00CA0D72">
            <w:pPr>
              <w:pStyle w:val="Table"/>
              <w:ind w:right="-3"/>
              <w:jc w:val="center"/>
            </w:pPr>
            <w:r w:rsidRPr="00731E92">
              <w:t>20.3</w:t>
            </w:r>
          </w:p>
        </w:tc>
        <w:tc>
          <w:tcPr>
            <w:tcW w:w="1843" w:type="dxa"/>
            <w:noWrap/>
          </w:tcPr>
          <w:p w14:paraId="7C81EA39" w14:textId="77777777" w:rsidR="00341B34" w:rsidRPr="00731E92" w:rsidRDefault="00341B34" w:rsidP="00CA0D72">
            <w:pPr>
              <w:pStyle w:val="Table"/>
              <w:ind w:right="-3"/>
              <w:jc w:val="center"/>
            </w:pPr>
            <w:r w:rsidRPr="00731E92">
              <w:t>1.01</w:t>
            </w:r>
          </w:p>
        </w:tc>
      </w:tr>
      <w:tr w:rsidR="00341B34" w14:paraId="3F9F9C8A" w14:textId="77777777" w:rsidTr="00F6268C">
        <w:trPr>
          <w:trHeight w:val="255"/>
        </w:trPr>
        <w:tc>
          <w:tcPr>
            <w:tcW w:w="1293" w:type="dxa"/>
            <w:noWrap/>
          </w:tcPr>
          <w:p w14:paraId="674FCC3C" w14:textId="77777777" w:rsidR="00341B34" w:rsidRPr="00731E92" w:rsidRDefault="00341B34" w:rsidP="00CA0D72">
            <w:pPr>
              <w:pStyle w:val="Table"/>
              <w:ind w:right="-3"/>
            </w:pPr>
            <w:r w:rsidRPr="00731E92">
              <w:t>95+</w:t>
            </w:r>
          </w:p>
        </w:tc>
        <w:tc>
          <w:tcPr>
            <w:tcW w:w="1843" w:type="dxa"/>
            <w:noWrap/>
          </w:tcPr>
          <w:p w14:paraId="7B5AF668" w14:textId="77777777" w:rsidR="00341B34" w:rsidRPr="00731E92" w:rsidRDefault="00341B34" w:rsidP="00CA0D72">
            <w:pPr>
              <w:pStyle w:val="Table"/>
              <w:ind w:right="-3"/>
              <w:jc w:val="center"/>
            </w:pPr>
            <w:r w:rsidRPr="00731E92">
              <w:t>48.4</w:t>
            </w:r>
          </w:p>
        </w:tc>
        <w:tc>
          <w:tcPr>
            <w:tcW w:w="1843" w:type="dxa"/>
            <w:noWrap/>
          </w:tcPr>
          <w:p w14:paraId="6BABE119" w14:textId="77777777" w:rsidR="00341B34" w:rsidRPr="00731E92" w:rsidRDefault="00341B34" w:rsidP="00CA0D72">
            <w:pPr>
              <w:pStyle w:val="Table"/>
              <w:ind w:right="-3"/>
              <w:jc w:val="center"/>
            </w:pPr>
            <w:r w:rsidRPr="00731E92">
              <w:t>60.1</w:t>
            </w:r>
          </w:p>
        </w:tc>
        <w:tc>
          <w:tcPr>
            <w:tcW w:w="1843" w:type="dxa"/>
            <w:noWrap/>
          </w:tcPr>
          <w:p w14:paraId="3BE77CE2" w14:textId="77777777" w:rsidR="00341B34" w:rsidRPr="00731E92" w:rsidRDefault="00341B34" w:rsidP="00CA0D72">
            <w:pPr>
              <w:pStyle w:val="Table"/>
              <w:ind w:right="-3"/>
              <w:jc w:val="center"/>
            </w:pPr>
            <w:r w:rsidRPr="00731E92">
              <w:t>11.7</w:t>
            </w:r>
          </w:p>
        </w:tc>
        <w:tc>
          <w:tcPr>
            <w:tcW w:w="1134" w:type="dxa"/>
            <w:noWrap/>
          </w:tcPr>
          <w:p w14:paraId="3AAECD3B" w14:textId="77777777" w:rsidR="00341B34" w:rsidRPr="00731E92" w:rsidRDefault="00341B34" w:rsidP="00CA0D72">
            <w:pPr>
              <w:pStyle w:val="Table"/>
              <w:ind w:right="-3"/>
              <w:jc w:val="center"/>
            </w:pPr>
            <w:r w:rsidRPr="00731E92">
              <w:t>20.9</w:t>
            </w:r>
          </w:p>
        </w:tc>
        <w:tc>
          <w:tcPr>
            <w:tcW w:w="1843" w:type="dxa"/>
            <w:noWrap/>
          </w:tcPr>
          <w:p w14:paraId="5F04362F" w14:textId="77777777" w:rsidR="00341B34" w:rsidRPr="00731E92" w:rsidRDefault="00341B34" w:rsidP="00CA0D72">
            <w:pPr>
              <w:pStyle w:val="Table"/>
              <w:ind w:right="-3"/>
              <w:jc w:val="center"/>
            </w:pPr>
            <w:r w:rsidRPr="00731E92">
              <w:t>0.56</w:t>
            </w:r>
          </w:p>
        </w:tc>
      </w:tr>
      <w:tr w:rsidR="00341B34" w14:paraId="6FA38E31" w14:textId="77777777" w:rsidTr="00F6268C">
        <w:trPr>
          <w:trHeight w:val="255"/>
        </w:trPr>
        <w:tc>
          <w:tcPr>
            <w:tcW w:w="1293" w:type="dxa"/>
            <w:noWrap/>
          </w:tcPr>
          <w:p w14:paraId="69453073" w14:textId="77777777" w:rsidR="00341B34" w:rsidRPr="00731E92" w:rsidRDefault="00341B34" w:rsidP="00CA0D72">
            <w:pPr>
              <w:pStyle w:val="Table"/>
              <w:ind w:right="-3"/>
            </w:pPr>
            <w:r w:rsidRPr="00731E92">
              <w:t>Overall</w:t>
            </w:r>
          </w:p>
        </w:tc>
        <w:tc>
          <w:tcPr>
            <w:tcW w:w="1843" w:type="dxa"/>
            <w:noWrap/>
          </w:tcPr>
          <w:p w14:paraId="1E608F36" w14:textId="77777777" w:rsidR="00341B34" w:rsidRPr="00731E92" w:rsidRDefault="00341B34" w:rsidP="00CA0D72">
            <w:pPr>
              <w:pStyle w:val="Table"/>
              <w:ind w:right="-3"/>
              <w:jc w:val="center"/>
            </w:pPr>
            <w:r w:rsidRPr="00731E92">
              <w:t>52.1</w:t>
            </w:r>
          </w:p>
        </w:tc>
        <w:tc>
          <w:tcPr>
            <w:tcW w:w="1843" w:type="dxa"/>
            <w:noWrap/>
          </w:tcPr>
          <w:p w14:paraId="7962BF83" w14:textId="77777777" w:rsidR="00341B34" w:rsidRPr="00731E92" w:rsidRDefault="00341B34" w:rsidP="00CA0D72">
            <w:pPr>
              <w:pStyle w:val="Table"/>
              <w:ind w:right="-3"/>
              <w:jc w:val="center"/>
            </w:pPr>
            <w:r w:rsidRPr="00731E92">
              <w:t>72.1</w:t>
            </w:r>
          </w:p>
        </w:tc>
        <w:tc>
          <w:tcPr>
            <w:tcW w:w="1843" w:type="dxa"/>
            <w:noWrap/>
          </w:tcPr>
          <w:p w14:paraId="5C5A0DEF" w14:textId="77777777" w:rsidR="00341B34" w:rsidRPr="00731E92" w:rsidRDefault="00341B34" w:rsidP="00CA0D72">
            <w:pPr>
              <w:pStyle w:val="Table"/>
              <w:ind w:right="-3"/>
              <w:jc w:val="center"/>
            </w:pPr>
            <w:r w:rsidRPr="00731E92">
              <w:t>20</w:t>
            </w:r>
          </w:p>
        </w:tc>
        <w:tc>
          <w:tcPr>
            <w:tcW w:w="1134" w:type="dxa"/>
            <w:noWrap/>
          </w:tcPr>
          <w:p w14:paraId="05D561B8" w14:textId="77777777" w:rsidR="00341B34" w:rsidRPr="00731E92" w:rsidRDefault="00341B34" w:rsidP="00CA0D72">
            <w:pPr>
              <w:pStyle w:val="Table"/>
              <w:ind w:right="-3"/>
              <w:jc w:val="center"/>
            </w:pPr>
            <w:r w:rsidRPr="00731E92">
              <w:t>20.9</w:t>
            </w:r>
          </w:p>
        </w:tc>
        <w:tc>
          <w:tcPr>
            <w:tcW w:w="1843" w:type="dxa"/>
            <w:noWrap/>
          </w:tcPr>
          <w:p w14:paraId="661285CA" w14:textId="77777777" w:rsidR="00341B34" w:rsidRPr="00731E92" w:rsidRDefault="00341B34" w:rsidP="00CA0D72">
            <w:pPr>
              <w:pStyle w:val="Table"/>
              <w:ind w:right="-3"/>
              <w:jc w:val="center"/>
            </w:pPr>
            <w:r w:rsidRPr="00731E92">
              <w:t>0.96</w:t>
            </w:r>
          </w:p>
        </w:tc>
      </w:tr>
      <w:tr w:rsidR="00CA03AB" w14:paraId="7E9901B0" w14:textId="77777777" w:rsidTr="00F6268C">
        <w:trPr>
          <w:trHeight w:val="255"/>
        </w:trPr>
        <w:tc>
          <w:tcPr>
            <w:tcW w:w="1293" w:type="dxa"/>
            <w:noWrap/>
          </w:tcPr>
          <w:p w14:paraId="7092D8A5" w14:textId="77777777" w:rsidR="00341B34" w:rsidRPr="00731E92" w:rsidRDefault="00341B34" w:rsidP="00CA0D72">
            <w:pPr>
              <w:pStyle w:val="Table"/>
              <w:ind w:right="-3"/>
            </w:pPr>
            <w:r w:rsidRPr="00731E92">
              <w:t>TC</w:t>
            </w:r>
            <w:r w:rsidRPr="00731E92">
              <w:rPr>
                <w:vertAlign w:val="superscript"/>
              </w:rPr>
              <w:t>1</w:t>
            </w:r>
          </w:p>
        </w:tc>
        <w:tc>
          <w:tcPr>
            <w:tcW w:w="1843" w:type="dxa"/>
            <w:noWrap/>
          </w:tcPr>
          <w:p w14:paraId="4C8E32E4" w14:textId="77777777" w:rsidR="00341B34" w:rsidRPr="00731E92" w:rsidRDefault="00341B34" w:rsidP="00CA0D72">
            <w:pPr>
              <w:pStyle w:val="Table"/>
              <w:ind w:right="-3"/>
              <w:jc w:val="center"/>
            </w:pPr>
            <w:r w:rsidRPr="00731E92">
              <w:t>66.8</w:t>
            </w:r>
          </w:p>
        </w:tc>
        <w:tc>
          <w:tcPr>
            <w:tcW w:w="1843" w:type="dxa"/>
            <w:noWrap/>
          </w:tcPr>
          <w:p w14:paraId="064345E6" w14:textId="77777777" w:rsidR="00341B34" w:rsidRPr="00731E92" w:rsidRDefault="00341B34" w:rsidP="00CA0D72">
            <w:pPr>
              <w:pStyle w:val="Table"/>
              <w:ind w:right="-3"/>
              <w:jc w:val="center"/>
            </w:pPr>
            <w:r w:rsidRPr="00731E92">
              <w:t>76.9</w:t>
            </w:r>
          </w:p>
        </w:tc>
        <w:tc>
          <w:tcPr>
            <w:tcW w:w="1843" w:type="dxa"/>
            <w:noWrap/>
          </w:tcPr>
          <w:p w14:paraId="5DDD3FB3" w14:textId="77777777" w:rsidR="00341B34" w:rsidRPr="00731E92" w:rsidRDefault="00341B34" w:rsidP="00CA0D72">
            <w:pPr>
              <w:pStyle w:val="Table"/>
              <w:ind w:right="-3"/>
              <w:jc w:val="center"/>
            </w:pPr>
            <w:r w:rsidRPr="00731E92">
              <w:t>10.1</w:t>
            </w:r>
          </w:p>
        </w:tc>
        <w:tc>
          <w:tcPr>
            <w:tcW w:w="1134" w:type="dxa"/>
            <w:noWrap/>
          </w:tcPr>
          <w:p w14:paraId="0BE1AA3F" w14:textId="77777777" w:rsidR="00341B34" w:rsidRPr="00731E92" w:rsidRDefault="00341B34" w:rsidP="00CA0D72">
            <w:pPr>
              <w:pStyle w:val="Table"/>
              <w:ind w:right="-3"/>
              <w:jc w:val="center"/>
            </w:pPr>
            <w:r w:rsidRPr="00731E92">
              <w:t>54.7</w:t>
            </w:r>
          </w:p>
        </w:tc>
        <w:tc>
          <w:tcPr>
            <w:tcW w:w="1843" w:type="dxa"/>
            <w:noWrap/>
          </w:tcPr>
          <w:p w14:paraId="6B4CDBCC" w14:textId="77777777" w:rsidR="00341B34" w:rsidRPr="00731E92" w:rsidRDefault="00341B34" w:rsidP="00CA0D72">
            <w:pPr>
              <w:pStyle w:val="Table"/>
              <w:ind w:right="-3"/>
              <w:jc w:val="center"/>
            </w:pPr>
            <w:r w:rsidRPr="00731E92">
              <w:t>0.18</w:t>
            </w:r>
          </w:p>
        </w:tc>
      </w:tr>
    </w:tbl>
    <w:p w14:paraId="3DCE184B" w14:textId="77777777" w:rsidR="005D7ABA" w:rsidRDefault="00341B34" w:rsidP="00CA0D72">
      <w:pPr>
        <w:pStyle w:val="Note"/>
        <w:ind w:right="-3"/>
      </w:pPr>
      <w:r w:rsidRPr="00341B34">
        <w:rPr>
          <w:sz w:val="24"/>
          <w:szCs w:val="24"/>
          <w:vertAlign w:val="superscript"/>
        </w:rPr>
        <w:t xml:space="preserve"> </w:t>
      </w:r>
      <w:r w:rsidR="00533847" w:rsidRPr="00341B34">
        <w:rPr>
          <w:sz w:val="24"/>
          <w:szCs w:val="24"/>
          <w:vertAlign w:val="superscript"/>
        </w:rPr>
        <w:t>1</w:t>
      </w:r>
      <w:r w:rsidR="00533847" w:rsidRPr="00533847">
        <w:t xml:space="preserve"> Cumulative data from COGNOS 2006/07 year</w:t>
      </w:r>
    </w:p>
    <w:p w14:paraId="6C4816C5" w14:textId="133044DA" w:rsidR="00533847" w:rsidRDefault="00533847" w:rsidP="00CA0D72">
      <w:pPr>
        <w:ind w:right="-3"/>
      </w:pPr>
    </w:p>
    <w:p w14:paraId="195F37B9" w14:textId="77777777" w:rsidR="005D7ABA" w:rsidRDefault="00533847" w:rsidP="00CA0D72">
      <w:pPr>
        <w:ind w:right="-3"/>
      </w:pPr>
      <w:r w:rsidRPr="00533847">
        <w:t xml:space="preserve">A second external comparison was between the MBI efficiencies of the Victorian GEM units and TC delivered only in a residential setting, to examine the efficiency of the TC model relative to the GEM units.  Data were drawn from the TC Program Management Data </w:t>
      </w:r>
      <w:proofErr w:type="gramStart"/>
      <w:r w:rsidRPr="00533847">
        <w:t>Set</w:t>
      </w:r>
      <w:proofErr w:type="gramEnd"/>
      <w:r w:rsidRPr="00533847">
        <w:t xml:space="preserve"> managed by the Australian Government Department of Health and Ageing (the COGNOS database) for the 2006/07 financial year, to cover the same period as the GEM efficiency data (</w:t>
      </w:r>
      <w:proofErr w:type="spellStart"/>
      <w:r w:rsidRPr="00533847">
        <w:t>pers</w:t>
      </w:r>
      <w:proofErr w:type="spellEnd"/>
      <w:r w:rsidRPr="00533847">
        <w:t xml:space="preserve"> comm. N Doran 2008).</w:t>
      </w:r>
    </w:p>
    <w:p w14:paraId="3BB3D9CC" w14:textId="77777777" w:rsidR="005D7ABA" w:rsidRDefault="00533847" w:rsidP="00CA0D72">
      <w:pPr>
        <w:ind w:right="-3"/>
      </w:pPr>
      <w:r w:rsidRPr="00533847">
        <w:t>As Table 5.2 demonstrates, the GEM units have greater efficiency in terms of functional gain per day.  It also suggests that the Victorian GEM units are taking more disabled older people than the TC in residential-based programs in some states.  This does raise the possibility that TC delivered in a residential-based setting is being used as a substitute for GEM programs.  The lower efficiencies seen in most TC programs which are likely to be associated with poorer flows through hospitals also raise questions about whether this approach is cost effective.  It is possible that increases in staffing numbers at these sites would increase the efficiencies by reducing the time taken to achieve functional gains.</w:t>
      </w:r>
    </w:p>
    <w:p w14:paraId="768EE6A0" w14:textId="77777777" w:rsidR="005D7ABA" w:rsidRDefault="00533847" w:rsidP="00CA0D72">
      <w:pPr>
        <w:ind w:right="-3"/>
      </w:pPr>
      <w:r w:rsidRPr="00533847">
        <w:t>The efficiencies for the Tasmanian and NSW recipients of TC only in a residential setting appeared closest in efficiency to the Victorian GEM units, while the WA residential model and NT residential model appeared least efficient.  However, the length of time of operation of the TCP in each jurisdiction is not taken into account in this finding, and this may explain the lower efficiencies among jurisdictions with newer services.  The Victorian TC services accepted more disabled older people than other jurisdictions and appear to have focused on avoiding functional decline and optimizing discharge outcomes rather than on returning home.</w:t>
      </w:r>
    </w:p>
    <w:p w14:paraId="2168F583" w14:textId="77777777" w:rsidR="005D7ABA" w:rsidRDefault="00533847" w:rsidP="00CA0D72">
      <w:pPr>
        <w:ind w:right="-3"/>
      </w:pPr>
      <w:r w:rsidRPr="00533847">
        <w:t>There are limitations in making these comparisons using administrative data and then drawing conclusions about the quality of services.  It is unclear at what point on the trajectory of recovery the individuals in each group have reached when the comparisons are drawn and they may be at different points.  The time post event is thought to be an important predictor of outcome.  Timing of measurement may be more important than site of care in explaining differences in outcomes.  As we do not have the timing since first presentation we may be measuring outcomes at different times at each site of care.  Nevertheless this is the only evidence currently available.</w:t>
      </w:r>
    </w:p>
    <w:p w14:paraId="7D6B8E7A" w14:textId="633272BF" w:rsidR="00CA03AB" w:rsidRDefault="00CA03AB" w:rsidP="00CA0D72">
      <w:pPr>
        <w:ind w:right="-3"/>
        <w:rPr>
          <w:b/>
        </w:rPr>
      </w:pPr>
      <w:r>
        <w:rPr>
          <w:b/>
        </w:rPr>
        <w:br w:type="page"/>
      </w:r>
      <w:r w:rsidR="00533847" w:rsidRPr="00533847">
        <w:rPr>
          <w:b/>
        </w:rPr>
        <w:lastRenderedPageBreak/>
        <w:t xml:space="preserve">Table 5.2: Modified </w:t>
      </w:r>
      <w:proofErr w:type="spellStart"/>
      <w:r w:rsidR="00533847" w:rsidRPr="00533847">
        <w:rPr>
          <w:b/>
        </w:rPr>
        <w:t>Barthel</w:t>
      </w:r>
      <w:proofErr w:type="spellEnd"/>
      <w:r w:rsidR="00533847" w:rsidRPr="00533847">
        <w:rPr>
          <w:b/>
        </w:rPr>
        <w:t xml:space="preserve"> Index efficiency at jurisdictional level for Victorian Geriatric Evaluation and Management units vs. Transition Care delivered only in a residential setting for 2006/07 period </w:t>
      </w:r>
      <w:r>
        <w:rPr>
          <w:b/>
        </w:rPr>
        <w:br/>
      </w:r>
    </w:p>
    <w:tbl>
      <w:tblPr>
        <w:tblStyle w:val="TableGrid"/>
        <w:tblW w:w="9765" w:type="dxa"/>
        <w:tblLook w:val="0000" w:firstRow="0" w:lastRow="0" w:firstColumn="0" w:lastColumn="0" w:noHBand="0" w:noVBand="0"/>
        <w:tblDescription w:val="Table 5.2: Modified Barthel Index efficiency at jurisdictional level for Victorian Geriatric Evaluation and Management units vs. Transition Care delivered only in a residential setting for 2006/07 period"/>
      </w:tblPr>
      <w:tblGrid>
        <w:gridCol w:w="2002"/>
        <w:gridCol w:w="1843"/>
        <w:gridCol w:w="1842"/>
        <w:gridCol w:w="1701"/>
        <w:gridCol w:w="1134"/>
        <w:gridCol w:w="1243"/>
      </w:tblGrid>
      <w:tr w:rsidR="00CA03AB" w:rsidRPr="00CA03AB" w14:paraId="1C62D504" w14:textId="77777777" w:rsidTr="00F6268C">
        <w:trPr>
          <w:trHeight w:val="255"/>
          <w:tblHeader/>
        </w:trPr>
        <w:tc>
          <w:tcPr>
            <w:tcW w:w="2002" w:type="dxa"/>
            <w:noWrap/>
          </w:tcPr>
          <w:p w14:paraId="2245D622" w14:textId="77777777" w:rsidR="00CA03AB" w:rsidRPr="00CA03AB" w:rsidRDefault="00CA03AB" w:rsidP="00CA0D72">
            <w:pPr>
              <w:pStyle w:val="Table"/>
              <w:ind w:right="-3"/>
              <w:rPr>
                <w:b/>
              </w:rPr>
            </w:pPr>
            <w:r w:rsidRPr="00CA03AB">
              <w:rPr>
                <w:b/>
              </w:rPr>
              <w:t>MBI</w:t>
            </w:r>
          </w:p>
        </w:tc>
        <w:tc>
          <w:tcPr>
            <w:tcW w:w="1843" w:type="dxa"/>
            <w:noWrap/>
          </w:tcPr>
          <w:p w14:paraId="6C349AE9" w14:textId="77777777" w:rsidR="00CA03AB" w:rsidRPr="00CA03AB" w:rsidRDefault="00CA03AB" w:rsidP="00CA0D72">
            <w:pPr>
              <w:pStyle w:val="Table"/>
              <w:ind w:right="-3"/>
              <w:rPr>
                <w:b/>
              </w:rPr>
            </w:pPr>
            <w:r w:rsidRPr="00CA03AB">
              <w:rPr>
                <w:b/>
              </w:rPr>
              <w:t>MBI Admission</w:t>
            </w:r>
          </w:p>
        </w:tc>
        <w:tc>
          <w:tcPr>
            <w:tcW w:w="1842" w:type="dxa"/>
            <w:noWrap/>
          </w:tcPr>
          <w:p w14:paraId="3927BE34" w14:textId="77777777" w:rsidR="00CA03AB" w:rsidRPr="00CA03AB" w:rsidRDefault="00CA03AB" w:rsidP="00CA0D72">
            <w:pPr>
              <w:pStyle w:val="Table"/>
              <w:ind w:right="-3"/>
              <w:rPr>
                <w:b/>
              </w:rPr>
            </w:pPr>
            <w:r w:rsidRPr="00CA03AB">
              <w:rPr>
                <w:b/>
              </w:rPr>
              <w:t>MBI Discharge</w:t>
            </w:r>
          </w:p>
        </w:tc>
        <w:tc>
          <w:tcPr>
            <w:tcW w:w="1701" w:type="dxa"/>
            <w:noWrap/>
          </w:tcPr>
          <w:p w14:paraId="44B89766" w14:textId="77777777" w:rsidR="00CA03AB" w:rsidRPr="00CA03AB" w:rsidRDefault="00CA03AB" w:rsidP="00CA0D72">
            <w:pPr>
              <w:pStyle w:val="Table"/>
              <w:ind w:right="-3"/>
              <w:rPr>
                <w:b/>
              </w:rPr>
            </w:pPr>
            <w:r w:rsidRPr="00CA03AB">
              <w:rPr>
                <w:b/>
              </w:rPr>
              <w:t>MBI Change</w:t>
            </w:r>
          </w:p>
        </w:tc>
        <w:tc>
          <w:tcPr>
            <w:tcW w:w="1134" w:type="dxa"/>
            <w:noWrap/>
          </w:tcPr>
          <w:p w14:paraId="7894FAF8" w14:textId="77777777" w:rsidR="00CA03AB" w:rsidRPr="00CA03AB" w:rsidRDefault="00CA03AB" w:rsidP="00CA0D72">
            <w:pPr>
              <w:pStyle w:val="Table"/>
              <w:ind w:right="-3"/>
              <w:rPr>
                <w:b/>
              </w:rPr>
            </w:pPr>
            <w:r w:rsidRPr="00CA03AB">
              <w:rPr>
                <w:b/>
              </w:rPr>
              <w:t>LOS</w:t>
            </w:r>
          </w:p>
        </w:tc>
        <w:tc>
          <w:tcPr>
            <w:tcW w:w="1243" w:type="dxa"/>
            <w:noWrap/>
          </w:tcPr>
          <w:p w14:paraId="066CF0E9" w14:textId="77777777" w:rsidR="00CA03AB" w:rsidRPr="00CA03AB" w:rsidRDefault="00CA03AB" w:rsidP="00CA0D72">
            <w:pPr>
              <w:pStyle w:val="Table"/>
              <w:ind w:right="-3"/>
              <w:rPr>
                <w:b/>
              </w:rPr>
            </w:pPr>
            <w:r w:rsidRPr="00CA03AB">
              <w:rPr>
                <w:b/>
              </w:rPr>
              <w:t>Efficiency</w:t>
            </w:r>
          </w:p>
        </w:tc>
      </w:tr>
      <w:tr w:rsidR="00CA03AB" w:rsidRPr="00CA03AB" w14:paraId="2BC8CBE0" w14:textId="77777777" w:rsidTr="00F6268C">
        <w:trPr>
          <w:trHeight w:val="255"/>
        </w:trPr>
        <w:tc>
          <w:tcPr>
            <w:tcW w:w="2002" w:type="dxa"/>
            <w:noWrap/>
          </w:tcPr>
          <w:p w14:paraId="1692C10A" w14:textId="77777777" w:rsidR="00CA03AB" w:rsidRPr="00CA03AB" w:rsidRDefault="00CA03AB" w:rsidP="00CA0D72">
            <w:pPr>
              <w:pStyle w:val="Table"/>
              <w:ind w:right="-3"/>
            </w:pPr>
            <w:r w:rsidRPr="00CA03AB">
              <w:t>VIC GEM</w:t>
            </w:r>
          </w:p>
        </w:tc>
        <w:tc>
          <w:tcPr>
            <w:tcW w:w="1843" w:type="dxa"/>
            <w:noWrap/>
          </w:tcPr>
          <w:p w14:paraId="17045428" w14:textId="77777777" w:rsidR="00CA03AB" w:rsidRPr="00CA03AB" w:rsidRDefault="00CA03AB" w:rsidP="00CA0D72">
            <w:pPr>
              <w:pStyle w:val="Table"/>
              <w:ind w:right="-3"/>
            </w:pPr>
            <w:r w:rsidRPr="00CA03AB">
              <w:t>47.3</w:t>
            </w:r>
          </w:p>
        </w:tc>
        <w:tc>
          <w:tcPr>
            <w:tcW w:w="1842" w:type="dxa"/>
            <w:noWrap/>
          </w:tcPr>
          <w:p w14:paraId="1C1D4CDD" w14:textId="77777777" w:rsidR="00CA03AB" w:rsidRPr="00CA03AB" w:rsidRDefault="00CA03AB" w:rsidP="00CA0D72">
            <w:pPr>
              <w:pStyle w:val="Table"/>
              <w:ind w:right="-3"/>
            </w:pPr>
            <w:r w:rsidRPr="00CA03AB">
              <w:t>59.3</w:t>
            </w:r>
          </w:p>
        </w:tc>
        <w:tc>
          <w:tcPr>
            <w:tcW w:w="1701" w:type="dxa"/>
            <w:noWrap/>
          </w:tcPr>
          <w:p w14:paraId="2B1A74F5" w14:textId="77777777" w:rsidR="00CA03AB" w:rsidRPr="00CA03AB" w:rsidRDefault="00CA03AB" w:rsidP="00CA0D72">
            <w:pPr>
              <w:pStyle w:val="Table"/>
              <w:ind w:right="-3"/>
            </w:pPr>
            <w:r w:rsidRPr="00CA03AB">
              <w:t>12</w:t>
            </w:r>
          </w:p>
        </w:tc>
        <w:tc>
          <w:tcPr>
            <w:tcW w:w="1134" w:type="dxa"/>
            <w:noWrap/>
          </w:tcPr>
          <w:p w14:paraId="31059719" w14:textId="77777777" w:rsidR="00CA03AB" w:rsidRPr="00CA03AB" w:rsidRDefault="00CA03AB" w:rsidP="00CA0D72">
            <w:pPr>
              <w:pStyle w:val="Table"/>
              <w:ind w:right="-3"/>
            </w:pPr>
            <w:r w:rsidRPr="00CA03AB">
              <w:t>26.7</w:t>
            </w:r>
          </w:p>
        </w:tc>
        <w:tc>
          <w:tcPr>
            <w:tcW w:w="1243" w:type="dxa"/>
            <w:noWrap/>
          </w:tcPr>
          <w:p w14:paraId="3E82677C" w14:textId="77777777" w:rsidR="00CA03AB" w:rsidRPr="00CA03AB" w:rsidRDefault="00CA03AB" w:rsidP="00CA0D72">
            <w:pPr>
              <w:pStyle w:val="Table"/>
              <w:ind w:right="-3"/>
            </w:pPr>
            <w:r w:rsidRPr="00CA03AB">
              <w:t>0.45</w:t>
            </w:r>
          </w:p>
        </w:tc>
      </w:tr>
      <w:tr w:rsidR="00CA03AB" w:rsidRPr="00CA03AB" w14:paraId="56468380" w14:textId="77777777" w:rsidTr="00F6268C">
        <w:trPr>
          <w:trHeight w:val="255"/>
        </w:trPr>
        <w:tc>
          <w:tcPr>
            <w:tcW w:w="2002" w:type="dxa"/>
            <w:noWrap/>
          </w:tcPr>
          <w:p w14:paraId="51422352" w14:textId="77777777" w:rsidR="00CA03AB" w:rsidRPr="00CA03AB" w:rsidRDefault="00CA03AB" w:rsidP="00CA0D72">
            <w:pPr>
              <w:pStyle w:val="Table"/>
              <w:ind w:right="-3"/>
            </w:pPr>
            <w:r w:rsidRPr="00CA03AB">
              <w:t>ACT residential</w:t>
            </w:r>
          </w:p>
        </w:tc>
        <w:tc>
          <w:tcPr>
            <w:tcW w:w="1843" w:type="dxa"/>
            <w:noWrap/>
          </w:tcPr>
          <w:p w14:paraId="7151DD8C" w14:textId="77777777" w:rsidR="00CA03AB" w:rsidRPr="00CA03AB" w:rsidRDefault="00CA03AB" w:rsidP="00CA0D72">
            <w:pPr>
              <w:pStyle w:val="Table"/>
              <w:ind w:right="-3"/>
            </w:pPr>
            <w:r w:rsidRPr="00CA03AB">
              <w:t>71.3</w:t>
            </w:r>
          </w:p>
        </w:tc>
        <w:tc>
          <w:tcPr>
            <w:tcW w:w="1842" w:type="dxa"/>
            <w:noWrap/>
          </w:tcPr>
          <w:p w14:paraId="6CAD3F1D" w14:textId="77777777" w:rsidR="00CA03AB" w:rsidRPr="00CA03AB" w:rsidRDefault="00CA03AB" w:rsidP="00CA0D72">
            <w:pPr>
              <w:pStyle w:val="Table"/>
              <w:ind w:right="-3"/>
            </w:pPr>
            <w:r w:rsidRPr="00CA03AB">
              <w:t>84.5</w:t>
            </w:r>
          </w:p>
        </w:tc>
        <w:tc>
          <w:tcPr>
            <w:tcW w:w="1701" w:type="dxa"/>
            <w:noWrap/>
          </w:tcPr>
          <w:p w14:paraId="4D5B3418" w14:textId="77777777" w:rsidR="00CA03AB" w:rsidRPr="00CA03AB" w:rsidRDefault="00CA03AB" w:rsidP="00CA0D72">
            <w:pPr>
              <w:pStyle w:val="Table"/>
              <w:ind w:right="-3"/>
            </w:pPr>
            <w:r w:rsidRPr="00CA03AB">
              <w:t>13.2</w:t>
            </w:r>
          </w:p>
        </w:tc>
        <w:tc>
          <w:tcPr>
            <w:tcW w:w="1134" w:type="dxa"/>
            <w:noWrap/>
          </w:tcPr>
          <w:p w14:paraId="3EEA6099" w14:textId="77777777" w:rsidR="00CA03AB" w:rsidRPr="00CA03AB" w:rsidRDefault="00CA03AB" w:rsidP="00CA0D72">
            <w:pPr>
              <w:pStyle w:val="Table"/>
              <w:ind w:right="-3"/>
            </w:pPr>
            <w:r w:rsidRPr="00CA03AB">
              <w:t>36</w:t>
            </w:r>
          </w:p>
        </w:tc>
        <w:tc>
          <w:tcPr>
            <w:tcW w:w="1243" w:type="dxa"/>
            <w:noWrap/>
          </w:tcPr>
          <w:p w14:paraId="4088AC4B" w14:textId="77777777" w:rsidR="00CA03AB" w:rsidRPr="00CA03AB" w:rsidRDefault="00CA03AB" w:rsidP="00CA0D72">
            <w:pPr>
              <w:pStyle w:val="Table"/>
              <w:ind w:right="-3"/>
            </w:pPr>
            <w:r w:rsidRPr="00CA03AB">
              <w:t>0.37</w:t>
            </w:r>
          </w:p>
        </w:tc>
      </w:tr>
      <w:tr w:rsidR="00CA03AB" w:rsidRPr="00CA03AB" w14:paraId="49618834" w14:textId="77777777" w:rsidTr="00F6268C">
        <w:trPr>
          <w:trHeight w:val="255"/>
        </w:trPr>
        <w:tc>
          <w:tcPr>
            <w:tcW w:w="2002" w:type="dxa"/>
            <w:noWrap/>
          </w:tcPr>
          <w:p w14:paraId="6A2F9F90" w14:textId="77777777" w:rsidR="00CA03AB" w:rsidRPr="00CA03AB" w:rsidRDefault="00CA03AB" w:rsidP="00CA0D72">
            <w:pPr>
              <w:pStyle w:val="Table"/>
              <w:ind w:right="-3"/>
            </w:pPr>
            <w:r w:rsidRPr="00CA03AB">
              <w:t>NSW residential</w:t>
            </w:r>
          </w:p>
        </w:tc>
        <w:tc>
          <w:tcPr>
            <w:tcW w:w="1843" w:type="dxa"/>
            <w:noWrap/>
          </w:tcPr>
          <w:p w14:paraId="40093DE4" w14:textId="77777777" w:rsidR="00CA03AB" w:rsidRPr="00CA03AB" w:rsidRDefault="00CA03AB" w:rsidP="00CA0D72">
            <w:pPr>
              <w:pStyle w:val="Table"/>
              <w:ind w:right="-3"/>
            </w:pPr>
            <w:r w:rsidRPr="00CA03AB">
              <w:t>64.5</w:t>
            </w:r>
          </w:p>
        </w:tc>
        <w:tc>
          <w:tcPr>
            <w:tcW w:w="1842" w:type="dxa"/>
            <w:noWrap/>
          </w:tcPr>
          <w:p w14:paraId="3D9820DB" w14:textId="77777777" w:rsidR="00CA03AB" w:rsidRPr="00CA03AB" w:rsidRDefault="00CA03AB" w:rsidP="00CA0D72">
            <w:pPr>
              <w:pStyle w:val="Table"/>
              <w:ind w:right="-3"/>
            </w:pPr>
            <w:r w:rsidRPr="00CA03AB">
              <w:t>80.2</w:t>
            </w:r>
          </w:p>
        </w:tc>
        <w:tc>
          <w:tcPr>
            <w:tcW w:w="1701" w:type="dxa"/>
            <w:noWrap/>
          </w:tcPr>
          <w:p w14:paraId="103140E9" w14:textId="77777777" w:rsidR="00CA03AB" w:rsidRPr="00CA03AB" w:rsidRDefault="00CA03AB" w:rsidP="00CA0D72">
            <w:pPr>
              <w:pStyle w:val="Table"/>
              <w:ind w:right="-3"/>
            </w:pPr>
            <w:r w:rsidRPr="00CA03AB">
              <w:t>15.7</w:t>
            </w:r>
          </w:p>
        </w:tc>
        <w:tc>
          <w:tcPr>
            <w:tcW w:w="1134" w:type="dxa"/>
            <w:noWrap/>
          </w:tcPr>
          <w:p w14:paraId="4C93EBD5" w14:textId="77777777" w:rsidR="00CA03AB" w:rsidRPr="00CA03AB" w:rsidRDefault="00CA03AB" w:rsidP="00CA0D72">
            <w:pPr>
              <w:pStyle w:val="Table"/>
              <w:ind w:right="-3"/>
            </w:pPr>
            <w:r w:rsidRPr="00CA03AB">
              <w:t>38.9</w:t>
            </w:r>
          </w:p>
        </w:tc>
        <w:tc>
          <w:tcPr>
            <w:tcW w:w="1243" w:type="dxa"/>
            <w:noWrap/>
          </w:tcPr>
          <w:p w14:paraId="61CB2544" w14:textId="77777777" w:rsidR="00CA03AB" w:rsidRPr="00CA03AB" w:rsidRDefault="00CA03AB" w:rsidP="00CA0D72">
            <w:pPr>
              <w:pStyle w:val="Table"/>
              <w:ind w:right="-3"/>
            </w:pPr>
            <w:r w:rsidRPr="00CA03AB">
              <w:t>0.4</w:t>
            </w:r>
          </w:p>
        </w:tc>
      </w:tr>
      <w:tr w:rsidR="00CA03AB" w:rsidRPr="00CA03AB" w14:paraId="09E85CD1" w14:textId="77777777" w:rsidTr="00F6268C">
        <w:trPr>
          <w:trHeight w:val="255"/>
        </w:trPr>
        <w:tc>
          <w:tcPr>
            <w:tcW w:w="2002" w:type="dxa"/>
            <w:noWrap/>
          </w:tcPr>
          <w:p w14:paraId="3DB31F50" w14:textId="77777777" w:rsidR="00CA03AB" w:rsidRPr="00CA03AB" w:rsidRDefault="00CA03AB" w:rsidP="00CA0D72">
            <w:pPr>
              <w:pStyle w:val="Table"/>
              <w:ind w:right="-3"/>
            </w:pPr>
            <w:r w:rsidRPr="00CA03AB">
              <w:t>NT residential</w:t>
            </w:r>
          </w:p>
        </w:tc>
        <w:tc>
          <w:tcPr>
            <w:tcW w:w="1843" w:type="dxa"/>
            <w:noWrap/>
          </w:tcPr>
          <w:p w14:paraId="1BC51389" w14:textId="77777777" w:rsidR="00CA03AB" w:rsidRPr="00CA03AB" w:rsidRDefault="00CA03AB" w:rsidP="00CA0D72">
            <w:pPr>
              <w:pStyle w:val="Table"/>
              <w:ind w:right="-3"/>
            </w:pPr>
            <w:r w:rsidRPr="00CA03AB">
              <w:t>48.4</w:t>
            </w:r>
          </w:p>
        </w:tc>
        <w:tc>
          <w:tcPr>
            <w:tcW w:w="1842" w:type="dxa"/>
            <w:noWrap/>
          </w:tcPr>
          <w:p w14:paraId="728B2F94" w14:textId="77777777" w:rsidR="00CA03AB" w:rsidRPr="00CA03AB" w:rsidRDefault="00CA03AB" w:rsidP="00CA0D72">
            <w:pPr>
              <w:pStyle w:val="Table"/>
              <w:ind w:right="-3"/>
            </w:pPr>
            <w:r w:rsidRPr="00CA03AB">
              <w:t>59.9</w:t>
            </w:r>
          </w:p>
        </w:tc>
        <w:tc>
          <w:tcPr>
            <w:tcW w:w="1701" w:type="dxa"/>
            <w:noWrap/>
          </w:tcPr>
          <w:p w14:paraId="60AD4589" w14:textId="77777777" w:rsidR="00CA03AB" w:rsidRPr="00CA03AB" w:rsidRDefault="00CA03AB" w:rsidP="00CA0D72">
            <w:pPr>
              <w:pStyle w:val="Table"/>
              <w:ind w:right="-3"/>
            </w:pPr>
            <w:r w:rsidRPr="00CA03AB">
              <w:t>11.5</w:t>
            </w:r>
          </w:p>
        </w:tc>
        <w:tc>
          <w:tcPr>
            <w:tcW w:w="1134" w:type="dxa"/>
            <w:noWrap/>
          </w:tcPr>
          <w:p w14:paraId="725193E0" w14:textId="77777777" w:rsidR="00CA03AB" w:rsidRPr="00CA03AB" w:rsidRDefault="00CA03AB" w:rsidP="00CA0D72">
            <w:pPr>
              <w:pStyle w:val="Table"/>
              <w:ind w:right="-3"/>
            </w:pPr>
            <w:r w:rsidRPr="00CA03AB">
              <w:t>34.9</w:t>
            </w:r>
          </w:p>
        </w:tc>
        <w:tc>
          <w:tcPr>
            <w:tcW w:w="1243" w:type="dxa"/>
            <w:noWrap/>
          </w:tcPr>
          <w:p w14:paraId="3EA2E2EC" w14:textId="77777777" w:rsidR="00CA03AB" w:rsidRPr="00CA03AB" w:rsidRDefault="00CA03AB" w:rsidP="00CA0D72">
            <w:pPr>
              <w:pStyle w:val="Table"/>
              <w:ind w:right="-3"/>
            </w:pPr>
            <w:r w:rsidRPr="00CA03AB">
              <w:t>0.33</w:t>
            </w:r>
          </w:p>
        </w:tc>
      </w:tr>
      <w:tr w:rsidR="00CA03AB" w:rsidRPr="00CA03AB" w14:paraId="2ADA8DEE" w14:textId="77777777" w:rsidTr="00F6268C">
        <w:trPr>
          <w:trHeight w:val="255"/>
        </w:trPr>
        <w:tc>
          <w:tcPr>
            <w:tcW w:w="2002" w:type="dxa"/>
            <w:noWrap/>
          </w:tcPr>
          <w:p w14:paraId="323D72AD" w14:textId="77777777" w:rsidR="00CA03AB" w:rsidRPr="00CA03AB" w:rsidRDefault="00CA03AB" w:rsidP="00CA0D72">
            <w:pPr>
              <w:pStyle w:val="Table"/>
              <w:ind w:right="-3"/>
            </w:pPr>
            <w:r w:rsidRPr="00CA03AB">
              <w:t>SA residential</w:t>
            </w:r>
          </w:p>
        </w:tc>
        <w:tc>
          <w:tcPr>
            <w:tcW w:w="1843" w:type="dxa"/>
            <w:noWrap/>
          </w:tcPr>
          <w:p w14:paraId="7A652BE3" w14:textId="77777777" w:rsidR="00CA03AB" w:rsidRPr="00CA03AB" w:rsidRDefault="00CA03AB" w:rsidP="00CA0D72">
            <w:pPr>
              <w:pStyle w:val="Table"/>
              <w:ind w:right="-3"/>
            </w:pPr>
            <w:r w:rsidRPr="00CA03AB">
              <w:t>55</w:t>
            </w:r>
          </w:p>
        </w:tc>
        <w:tc>
          <w:tcPr>
            <w:tcW w:w="1842" w:type="dxa"/>
            <w:noWrap/>
          </w:tcPr>
          <w:p w14:paraId="1651A9E4" w14:textId="77777777" w:rsidR="00CA03AB" w:rsidRPr="00CA03AB" w:rsidRDefault="00CA03AB" w:rsidP="00CA0D72">
            <w:pPr>
              <w:pStyle w:val="Table"/>
              <w:ind w:right="-3"/>
            </w:pPr>
            <w:r w:rsidRPr="00CA03AB">
              <w:t>73.9</w:t>
            </w:r>
          </w:p>
        </w:tc>
        <w:tc>
          <w:tcPr>
            <w:tcW w:w="1701" w:type="dxa"/>
            <w:noWrap/>
          </w:tcPr>
          <w:p w14:paraId="55EF3E0F" w14:textId="77777777" w:rsidR="00CA03AB" w:rsidRPr="00CA03AB" w:rsidRDefault="00CA03AB" w:rsidP="00CA0D72">
            <w:pPr>
              <w:pStyle w:val="Table"/>
              <w:ind w:right="-3"/>
            </w:pPr>
            <w:r w:rsidRPr="00CA03AB">
              <w:t>18.9</w:t>
            </w:r>
          </w:p>
        </w:tc>
        <w:tc>
          <w:tcPr>
            <w:tcW w:w="1134" w:type="dxa"/>
            <w:noWrap/>
          </w:tcPr>
          <w:p w14:paraId="562CA20F" w14:textId="77777777" w:rsidR="00CA03AB" w:rsidRPr="00CA03AB" w:rsidRDefault="00CA03AB" w:rsidP="00CA0D72">
            <w:pPr>
              <w:pStyle w:val="Table"/>
              <w:ind w:right="-3"/>
            </w:pPr>
            <w:r w:rsidRPr="00CA03AB">
              <w:t>55.2</w:t>
            </w:r>
          </w:p>
        </w:tc>
        <w:tc>
          <w:tcPr>
            <w:tcW w:w="1243" w:type="dxa"/>
            <w:noWrap/>
          </w:tcPr>
          <w:p w14:paraId="095206C6" w14:textId="77777777" w:rsidR="00CA03AB" w:rsidRPr="00CA03AB" w:rsidRDefault="00CA03AB" w:rsidP="00CA0D72">
            <w:pPr>
              <w:pStyle w:val="Table"/>
              <w:ind w:right="-3"/>
            </w:pPr>
            <w:r w:rsidRPr="00CA03AB">
              <w:t>0.34</w:t>
            </w:r>
          </w:p>
        </w:tc>
      </w:tr>
      <w:tr w:rsidR="00CA03AB" w:rsidRPr="00CA03AB" w14:paraId="38EE9966" w14:textId="77777777" w:rsidTr="00F6268C">
        <w:trPr>
          <w:trHeight w:val="255"/>
        </w:trPr>
        <w:tc>
          <w:tcPr>
            <w:tcW w:w="2002" w:type="dxa"/>
            <w:noWrap/>
          </w:tcPr>
          <w:p w14:paraId="1D83BF8D" w14:textId="77777777" w:rsidR="00CA03AB" w:rsidRPr="00CA03AB" w:rsidRDefault="00CA03AB" w:rsidP="00CA0D72">
            <w:pPr>
              <w:pStyle w:val="Table"/>
              <w:ind w:right="-3"/>
            </w:pPr>
            <w:r w:rsidRPr="00CA03AB">
              <w:t>TAS residential</w:t>
            </w:r>
          </w:p>
        </w:tc>
        <w:tc>
          <w:tcPr>
            <w:tcW w:w="1843" w:type="dxa"/>
            <w:noWrap/>
          </w:tcPr>
          <w:p w14:paraId="625840C3" w14:textId="77777777" w:rsidR="00CA03AB" w:rsidRPr="00CA03AB" w:rsidRDefault="00CA03AB" w:rsidP="00CA0D72">
            <w:pPr>
              <w:pStyle w:val="Table"/>
              <w:ind w:right="-3"/>
            </w:pPr>
            <w:r w:rsidRPr="00CA03AB">
              <w:t>66.8</w:t>
            </w:r>
          </w:p>
        </w:tc>
        <w:tc>
          <w:tcPr>
            <w:tcW w:w="1842" w:type="dxa"/>
            <w:noWrap/>
          </w:tcPr>
          <w:p w14:paraId="6EB9700C" w14:textId="77777777" w:rsidR="00CA03AB" w:rsidRPr="00CA03AB" w:rsidRDefault="00CA03AB" w:rsidP="00CA0D72">
            <w:pPr>
              <w:pStyle w:val="Table"/>
              <w:ind w:right="-3"/>
            </w:pPr>
            <w:r w:rsidRPr="00CA03AB">
              <w:t>88.9</w:t>
            </w:r>
          </w:p>
        </w:tc>
        <w:tc>
          <w:tcPr>
            <w:tcW w:w="1701" w:type="dxa"/>
            <w:noWrap/>
          </w:tcPr>
          <w:p w14:paraId="5B0C7C30" w14:textId="77777777" w:rsidR="00CA03AB" w:rsidRPr="00CA03AB" w:rsidRDefault="00CA03AB" w:rsidP="00CA0D72">
            <w:pPr>
              <w:pStyle w:val="Table"/>
              <w:ind w:right="-3"/>
            </w:pPr>
            <w:r w:rsidRPr="00CA03AB">
              <w:t>22.1</w:t>
            </w:r>
          </w:p>
        </w:tc>
        <w:tc>
          <w:tcPr>
            <w:tcW w:w="1134" w:type="dxa"/>
            <w:noWrap/>
          </w:tcPr>
          <w:p w14:paraId="090512A2" w14:textId="77777777" w:rsidR="00CA03AB" w:rsidRPr="00CA03AB" w:rsidRDefault="00CA03AB" w:rsidP="00CA0D72">
            <w:pPr>
              <w:pStyle w:val="Table"/>
              <w:ind w:right="-3"/>
            </w:pPr>
            <w:r w:rsidRPr="00CA03AB">
              <w:t>51.5</w:t>
            </w:r>
          </w:p>
        </w:tc>
        <w:tc>
          <w:tcPr>
            <w:tcW w:w="1243" w:type="dxa"/>
            <w:noWrap/>
          </w:tcPr>
          <w:p w14:paraId="22A8987C" w14:textId="77777777" w:rsidR="00CA03AB" w:rsidRPr="00CA03AB" w:rsidRDefault="00CA03AB" w:rsidP="00CA0D72">
            <w:pPr>
              <w:pStyle w:val="Table"/>
              <w:ind w:right="-3"/>
            </w:pPr>
            <w:r w:rsidRPr="00CA03AB">
              <w:t>0.43</w:t>
            </w:r>
          </w:p>
        </w:tc>
      </w:tr>
      <w:tr w:rsidR="00CA03AB" w:rsidRPr="00CA03AB" w14:paraId="307E54F2" w14:textId="77777777" w:rsidTr="00F6268C">
        <w:trPr>
          <w:trHeight w:val="255"/>
        </w:trPr>
        <w:tc>
          <w:tcPr>
            <w:tcW w:w="2002" w:type="dxa"/>
            <w:noWrap/>
          </w:tcPr>
          <w:p w14:paraId="347FBB6B" w14:textId="77777777" w:rsidR="00CA03AB" w:rsidRPr="00CA03AB" w:rsidRDefault="00CA03AB" w:rsidP="00CA0D72">
            <w:pPr>
              <w:pStyle w:val="Table"/>
              <w:ind w:right="-3"/>
            </w:pPr>
            <w:r w:rsidRPr="00CA03AB">
              <w:t>VIC residential</w:t>
            </w:r>
          </w:p>
        </w:tc>
        <w:tc>
          <w:tcPr>
            <w:tcW w:w="1843" w:type="dxa"/>
            <w:noWrap/>
          </w:tcPr>
          <w:p w14:paraId="2345B7C9" w14:textId="77777777" w:rsidR="00CA03AB" w:rsidRPr="00CA03AB" w:rsidRDefault="00CA03AB" w:rsidP="00CA0D72">
            <w:pPr>
              <w:pStyle w:val="Table"/>
              <w:ind w:right="-3"/>
            </w:pPr>
            <w:r w:rsidRPr="00CA03AB">
              <w:t>50.3</w:t>
            </w:r>
          </w:p>
        </w:tc>
        <w:tc>
          <w:tcPr>
            <w:tcW w:w="1842" w:type="dxa"/>
            <w:noWrap/>
          </w:tcPr>
          <w:p w14:paraId="44A87189" w14:textId="77777777" w:rsidR="00CA03AB" w:rsidRPr="00CA03AB" w:rsidRDefault="00CA03AB" w:rsidP="00CA0D72">
            <w:pPr>
              <w:pStyle w:val="Table"/>
              <w:ind w:right="-3"/>
            </w:pPr>
            <w:r w:rsidRPr="00CA03AB">
              <w:t>54.7</w:t>
            </w:r>
          </w:p>
        </w:tc>
        <w:tc>
          <w:tcPr>
            <w:tcW w:w="1701" w:type="dxa"/>
            <w:noWrap/>
          </w:tcPr>
          <w:p w14:paraId="0D18749B" w14:textId="77777777" w:rsidR="00CA03AB" w:rsidRPr="00CA03AB" w:rsidRDefault="00CA03AB" w:rsidP="00CA0D72">
            <w:pPr>
              <w:pStyle w:val="Table"/>
              <w:ind w:right="-3"/>
            </w:pPr>
            <w:r w:rsidRPr="00CA03AB">
              <w:t>4.4</w:t>
            </w:r>
          </w:p>
        </w:tc>
        <w:tc>
          <w:tcPr>
            <w:tcW w:w="1134" w:type="dxa"/>
            <w:noWrap/>
          </w:tcPr>
          <w:p w14:paraId="7E3E1DFF" w14:textId="77777777" w:rsidR="00CA03AB" w:rsidRPr="00CA03AB" w:rsidRDefault="00CA03AB" w:rsidP="00CA0D72">
            <w:pPr>
              <w:pStyle w:val="Table"/>
              <w:ind w:right="-3"/>
            </w:pPr>
            <w:r w:rsidRPr="00CA03AB">
              <w:t>36.2</w:t>
            </w:r>
          </w:p>
        </w:tc>
        <w:tc>
          <w:tcPr>
            <w:tcW w:w="1243" w:type="dxa"/>
            <w:noWrap/>
          </w:tcPr>
          <w:p w14:paraId="3011A89D" w14:textId="77777777" w:rsidR="00CA03AB" w:rsidRPr="00CA03AB" w:rsidRDefault="00CA03AB" w:rsidP="00CA0D72">
            <w:pPr>
              <w:pStyle w:val="Table"/>
              <w:ind w:right="-3"/>
            </w:pPr>
            <w:r w:rsidRPr="00CA03AB">
              <w:t>0.12</w:t>
            </w:r>
          </w:p>
        </w:tc>
      </w:tr>
      <w:tr w:rsidR="00CA03AB" w:rsidRPr="00CA03AB" w14:paraId="2F03119B" w14:textId="77777777" w:rsidTr="00F6268C">
        <w:trPr>
          <w:trHeight w:val="255"/>
        </w:trPr>
        <w:tc>
          <w:tcPr>
            <w:tcW w:w="2002" w:type="dxa"/>
            <w:noWrap/>
          </w:tcPr>
          <w:p w14:paraId="798D8D72" w14:textId="77777777" w:rsidR="00CA03AB" w:rsidRPr="00CA03AB" w:rsidRDefault="00CA03AB" w:rsidP="00CA0D72">
            <w:pPr>
              <w:pStyle w:val="Table"/>
              <w:ind w:right="-3"/>
            </w:pPr>
            <w:r w:rsidRPr="00CA03AB">
              <w:t>WA residential</w:t>
            </w:r>
          </w:p>
        </w:tc>
        <w:tc>
          <w:tcPr>
            <w:tcW w:w="1843" w:type="dxa"/>
            <w:noWrap/>
          </w:tcPr>
          <w:p w14:paraId="46783DD5" w14:textId="77777777" w:rsidR="00CA03AB" w:rsidRPr="00CA03AB" w:rsidRDefault="00CA03AB" w:rsidP="00CA0D72">
            <w:pPr>
              <w:pStyle w:val="Table"/>
              <w:ind w:right="-3"/>
            </w:pPr>
            <w:r w:rsidRPr="00CA03AB">
              <w:t>54.7</w:t>
            </w:r>
          </w:p>
        </w:tc>
        <w:tc>
          <w:tcPr>
            <w:tcW w:w="1842" w:type="dxa"/>
            <w:noWrap/>
          </w:tcPr>
          <w:p w14:paraId="0DE8F21E" w14:textId="77777777" w:rsidR="00CA03AB" w:rsidRPr="00CA03AB" w:rsidRDefault="00CA03AB" w:rsidP="00CA0D72">
            <w:pPr>
              <w:pStyle w:val="Table"/>
              <w:ind w:right="-3"/>
            </w:pPr>
            <w:r w:rsidRPr="00CA03AB">
              <w:t>65.7</w:t>
            </w:r>
          </w:p>
        </w:tc>
        <w:tc>
          <w:tcPr>
            <w:tcW w:w="1701" w:type="dxa"/>
            <w:noWrap/>
          </w:tcPr>
          <w:p w14:paraId="3C9D254B" w14:textId="77777777" w:rsidR="00CA03AB" w:rsidRPr="00CA03AB" w:rsidRDefault="00CA03AB" w:rsidP="00CA0D72">
            <w:pPr>
              <w:pStyle w:val="Table"/>
              <w:ind w:right="-3"/>
            </w:pPr>
            <w:r w:rsidRPr="00CA03AB">
              <w:t>11</w:t>
            </w:r>
          </w:p>
        </w:tc>
        <w:tc>
          <w:tcPr>
            <w:tcW w:w="1134" w:type="dxa"/>
            <w:noWrap/>
          </w:tcPr>
          <w:p w14:paraId="73AC7127" w14:textId="77777777" w:rsidR="00CA03AB" w:rsidRPr="00CA03AB" w:rsidRDefault="00CA03AB" w:rsidP="00CA0D72">
            <w:pPr>
              <w:pStyle w:val="Table"/>
              <w:ind w:right="-3"/>
            </w:pPr>
            <w:r w:rsidRPr="00CA03AB">
              <w:t>54.5</w:t>
            </w:r>
          </w:p>
        </w:tc>
        <w:tc>
          <w:tcPr>
            <w:tcW w:w="1243" w:type="dxa"/>
            <w:noWrap/>
          </w:tcPr>
          <w:p w14:paraId="397DED3D" w14:textId="77777777" w:rsidR="00CA03AB" w:rsidRPr="00CA03AB" w:rsidRDefault="00CA03AB" w:rsidP="00CA0D72">
            <w:pPr>
              <w:pStyle w:val="Table"/>
              <w:ind w:right="-3"/>
            </w:pPr>
            <w:r w:rsidRPr="00CA03AB">
              <w:t>0.2</w:t>
            </w:r>
          </w:p>
        </w:tc>
      </w:tr>
    </w:tbl>
    <w:p w14:paraId="23C735FC" w14:textId="77777777" w:rsidR="00CA03AB" w:rsidRPr="00533847" w:rsidRDefault="00CA03AB" w:rsidP="00CA0D72">
      <w:pPr>
        <w:ind w:right="-3"/>
        <w:rPr>
          <w:b/>
        </w:rPr>
      </w:pPr>
    </w:p>
    <w:p w14:paraId="4653B4BC" w14:textId="77777777" w:rsidR="005D7ABA" w:rsidRDefault="00533847" w:rsidP="00CA0D72">
      <w:pPr>
        <w:pStyle w:val="Heading2"/>
        <w:ind w:right="-3"/>
      </w:pPr>
      <w:bookmarkStart w:id="77" w:name="_Toc402348923"/>
      <w:r w:rsidRPr="00533847">
        <w:t>5.2. Comparisons based on data linkage</w:t>
      </w:r>
      <w:bookmarkEnd w:id="77"/>
    </w:p>
    <w:p w14:paraId="5FEF6D15" w14:textId="77777777" w:rsidR="005D7ABA" w:rsidRDefault="00533847" w:rsidP="00CA0D72">
      <w:pPr>
        <w:ind w:right="-3"/>
      </w:pPr>
      <w:r w:rsidRPr="00533847">
        <w:t>The Controlled Comparison and Costs and Effects Study (National Evaluation of the Transition Care Program 2008) used two other groups of frail older people recently discharged from hospital to assess the impact of the program.  These comparisons suggested that the TCP offered some prevention of readmission and movement into residential aged care.</w:t>
      </w:r>
    </w:p>
    <w:p w14:paraId="3C997E99" w14:textId="77777777" w:rsidR="005D7ABA" w:rsidRDefault="00533847" w:rsidP="00CA0D72">
      <w:pPr>
        <w:ind w:right="-3"/>
      </w:pPr>
      <w:r w:rsidRPr="00533847">
        <w:t>The two groups that were compared to the TC recipients in the data linkage study (National Evaluation of the Transition Care Program 2008) were drawn from the ACAT assessments of people between 1 October 2006 and 31 March 2007 that took place in the hospital setting (acute care or other inpatient care).  The two groups were:</w:t>
      </w:r>
    </w:p>
    <w:p w14:paraId="2E728271" w14:textId="77777777" w:rsidR="005D7ABA" w:rsidRDefault="00533847" w:rsidP="00CA0D72">
      <w:pPr>
        <w:pStyle w:val="Normal-Dot"/>
        <w:ind w:left="0" w:right="-3"/>
      </w:pPr>
      <w:r w:rsidRPr="00533847">
        <w:t>Control 1: People who were approved for a TC place with their ACAT assessment taking place in hospital but had not been discharged from TC by 30 September 2007 and</w:t>
      </w:r>
    </w:p>
    <w:p w14:paraId="6105B153" w14:textId="77777777" w:rsidR="005D7ABA" w:rsidRDefault="00533847" w:rsidP="00CA0D72">
      <w:pPr>
        <w:pStyle w:val="Normal-Dot"/>
        <w:ind w:left="0" w:right="-3"/>
      </w:pPr>
      <w:r w:rsidRPr="00533847">
        <w:t>Control 2: People who were approved for a CACP only.  Note that this does not distinguish between those who actually received a CACP and those who were approved but did not receive a CACP.</w:t>
      </w:r>
    </w:p>
    <w:p w14:paraId="2856F22A" w14:textId="77777777" w:rsidR="005D7ABA" w:rsidRDefault="00533847" w:rsidP="00CA0D72">
      <w:pPr>
        <w:ind w:right="-3"/>
      </w:pPr>
      <w:r w:rsidRPr="00533847">
        <w:t>Tables 5.3 and 5.4 summarise hospital readmissions and residential aged care admissions at three and six months post ACAT approval at a jurisdictional and national level for TC recipients versus Control 1 and Control 2. The results from this table are discussed below.</w:t>
      </w:r>
    </w:p>
    <w:p w14:paraId="3F4679DA" w14:textId="3270B184" w:rsidR="00533847" w:rsidRPr="00533847" w:rsidRDefault="00533847" w:rsidP="00CA0D72">
      <w:pPr>
        <w:ind w:right="-3"/>
      </w:pPr>
    </w:p>
    <w:p w14:paraId="0DBD7757" w14:textId="77777777" w:rsidR="00533847" w:rsidRPr="00533847" w:rsidRDefault="00171F72" w:rsidP="00F6268C">
      <w:pPr>
        <w:pStyle w:val="Heading3"/>
      </w:pPr>
      <w:r>
        <w:br w:type="page"/>
      </w:r>
      <w:bookmarkStart w:id="78" w:name="_Toc402348924"/>
      <w:r w:rsidR="00533847" w:rsidRPr="00533847">
        <w:lastRenderedPageBreak/>
        <w:t>Table 5.3: Hospital readmissions, residential aged care admissions, and deaths for Transition Care recipients, Control 1 and Control 2 at three months post ACAT approval</w:t>
      </w:r>
      <w:bookmarkEnd w:id="78"/>
      <w:r w:rsidR="00533847" w:rsidRPr="00533847">
        <w:t xml:space="preserve"> </w:t>
      </w:r>
    </w:p>
    <w:tbl>
      <w:tblPr>
        <w:tblStyle w:val="TableGrid"/>
        <w:tblW w:w="10028" w:type="dxa"/>
        <w:tblLook w:val="0000" w:firstRow="0" w:lastRow="0" w:firstColumn="0" w:lastColumn="0" w:noHBand="0" w:noVBand="0"/>
        <w:tblDescription w:val="Table 5.3: Hospital readmissions, residential aged care admissions, and deaths for Transition Care recipients, Control 1 and Control 2 at three months post ACAT approval "/>
      </w:tblPr>
      <w:tblGrid>
        <w:gridCol w:w="1186"/>
        <w:gridCol w:w="1254"/>
        <w:gridCol w:w="1547"/>
        <w:gridCol w:w="1547"/>
        <w:gridCol w:w="1360"/>
        <w:gridCol w:w="1431"/>
        <w:gridCol w:w="1809"/>
      </w:tblGrid>
      <w:tr w:rsidR="00F6268C" w:rsidRPr="00171F72" w14:paraId="1B4A5CD4" w14:textId="77777777" w:rsidTr="00F6268C">
        <w:trPr>
          <w:trHeight w:val="255"/>
          <w:tblHeader/>
        </w:trPr>
        <w:tc>
          <w:tcPr>
            <w:tcW w:w="1080" w:type="dxa"/>
            <w:noWrap/>
          </w:tcPr>
          <w:p w14:paraId="5A0119C5" w14:textId="0D920F45" w:rsidR="00F6268C" w:rsidRPr="00F6268C" w:rsidRDefault="00F6268C" w:rsidP="00CA0D72">
            <w:pPr>
              <w:pStyle w:val="Table"/>
              <w:ind w:right="-3"/>
              <w:rPr>
                <w:b/>
              </w:rPr>
            </w:pPr>
            <w:r w:rsidRPr="00F6268C">
              <w:rPr>
                <w:b/>
              </w:rPr>
              <w:t>State / Territory</w:t>
            </w:r>
          </w:p>
        </w:tc>
        <w:tc>
          <w:tcPr>
            <w:tcW w:w="1254" w:type="dxa"/>
            <w:noWrap/>
          </w:tcPr>
          <w:p w14:paraId="77466FC2" w14:textId="1A0959F5" w:rsidR="00F6268C" w:rsidRPr="00F6268C" w:rsidRDefault="00F6268C" w:rsidP="00CA0D72">
            <w:pPr>
              <w:pStyle w:val="Table"/>
              <w:ind w:right="-3"/>
              <w:rPr>
                <w:b/>
              </w:rPr>
            </w:pPr>
            <w:r>
              <w:rPr>
                <w:b/>
              </w:rPr>
              <w:t>Control</w:t>
            </w:r>
          </w:p>
        </w:tc>
        <w:tc>
          <w:tcPr>
            <w:tcW w:w="1547" w:type="dxa"/>
            <w:noWrap/>
          </w:tcPr>
          <w:p w14:paraId="643A5378" w14:textId="7718605D" w:rsidR="00F6268C" w:rsidRPr="00F6268C" w:rsidRDefault="00F6268C" w:rsidP="00CA0D72">
            <w:pPr>
              <w:pStyle w:val="Table"/>
              <w:ind w:right="-3"/>
              <w:rPr>
                <w:b/>
              </w:rPr>
            </w:pPr>
            <w:r w:rsidRPr="00F6268C">
              <w:rPr>
                <w:b/>
              </w:rPr>
              <w:t xml:space="preserve">Hospital </w:t>
            </w:r>
            <w:proofErr w:type="gramStart"/>
            <w:r w:rsidRPr="00F6268C">
              <w:rPr>
                <w:b/>
              </w:rPr>
              <w:t>readmissions  -</w:t>
            </w:r>
            <w:proofErr w:type="gramEnd"/>
            <w:r w:rsidRPr="00F6268C">
              <w:rPr>
                <w:b/>
              </w:rPr>
              <w:t xml:space="preserve"> n (%)</w:t>
            </w:r>
          </w:p>
        </w:tc>
        <w:tc>
          <w:tcPr>
            <w:tcW w:w="1547" w:type="dxa"/>
            <w:noWrap/>
          </w:tcPr>
          <w:p w14:paraId="2CA1154F" w14:textId="7D35D408" w:rsidR="00F6268C" w:rsidRPr="00F6268C" w:rsidRDefault="00F6268C" w:rsidP="00CA0D72">
            <w:pPr>
              <w:pStyle w:val="Table"/>
              <w:ind w:right="-3"/>
              <w:rPr>
                <w:b/>
              </w:rPr>
            </w:pPr>
            <w:r w:rsidRPr="00F6268C">
              <w:rPr>
                <w:b/>
              </w:rPr>
              <w:t>Hospital readmissions  - LOS (IQR)</w:t>
            </w:r>
          </w:p>
        </w:tc>
        <w:tc>
          <w:tcPr>
            <w:tcW w:w="1360" w:type="dxa"/>
            <w:noWrap/>
          </w:tcPr>
          <w:p w14:paraId="3ABB550F" w14:textId="151427AD" w:rsidR="00F6268C" w:rsidRPr="00F6268C" w:rsidRDefault="00F6268C" w:rsidP="00CA0D72">
            <w:pPr>
              <w:pStyle w:val="Table"/>
              <w:tabs>
                <w:tab w:val="clear" w:pos="3969"/>
              </w:tabs>
              <w:ind w:right="-3"/>
              <w:rPr>
                <w:b/>
              </w:rPr>
            </w:pPr>
            <w:r w:rsidRPr="00F6268C">
              <w:rPr>
                <w:b/>
              </w:rPr>
              <w:t xml:space="preserve">Residential aged </w:t>
            </w:r>
            <w:proofErr w:type="gramStart"/>
            <w:r w:rsidRPr="00F6268C">
              <w:rPr>
                <w:b/>
              </w:rPr>
              <w:t>care  -</w:t>
            </w:r>
            <w:proofErr w:type="gramEnd"/>
            <w:r w:rsidRPr="00F6268C">
              <w:rPr>
                <w:b/>
              </w:rPr>
              <w:t xml:space="preserve"> n (%)</w:t>
            </w:r>
          </w:p>
        </w:tc>
        <w:tc>
          <w:tcPr>
            <w:tcW w:w="1431" w:type="dxa"/>
            <w:noWrap/>
          </w:tcPr>
          <w:p w14:paraId="3FBB06BA" w14:textId="4142D98F" w:rsidR="00F6268C" w:rsidRPr="00F6268C" w:rsidRDefault="00F6268C" w:rsidP="00CA0D72">
            <w:pPr>
              <w:pStyle w:val="Table"/>
              <w:ind w:right="-3"/>
              <w:rPr>
                <w:b/>
              </w:rPr>
            </w:pPr>
            <w:r w:rsidRPr="00F6268C">
              <w:rPr>
                <w:b/>
              </w:rPr>
              <w:t>Residential aged care  - LOS (IQR)</w:t>
            </w:r>
          </w:p>
        </w:tc>
        <w:tc>
          <w:tcPr>
            <w:tcW w:w="1809" w:type="dxa"/>
            <w:noWrap/>
          </w:tcPr>
          <w:p w14:paraId="04FDE517" w14:textId="3CA12841" w:rsidR="00F6268C" w:rsidRPr="00F6268C" w:rsidRDefault="00F6268C" w:rsidP="00CA0D72">
            <w:pPr>
              <w:pStyle w:val="Table"/>
              <w:ind w:right="-3"/>
              <w:rPr>
                <w:b/>
              </w:rPr>
            </w:pPr>
            <w:r w:rsidRPr="00F6268C">
              <w:rPr>
                <w:b/>
              </w:rPr>
              <w:t xml:space="preserve">Dead at three </w:t>
            </w:r>
            <w:proofErr w:type="gramStart"/>
            <w:r w:rsidRPr="00F6268C">
              <w:rPr>
                <w:b/>
              </w:rPr>
              <w:t>months  -</w:t>
            </w:r>
            <w:proofErr w:type="gramEnd"/>
            <w:r w:rsidRPr="00F6268C">
              <w:rPr>
                <w:b/>
              </w:rPr>
              <w:t xml:space="preserve"> n (%)</w:t>
            </w:r>
          </w:p>
        </w:tc>
      </w:tr>
      <w:tr w:rsidR="00171F72" w:rsidRPr="00171F72" w14:paraId="0614BAB2" w14:textId="77777777" w:rsidTr="00F6268C">
        <w:trPr>
          <w:trHeight w:val="255"/>
        </w:trPr>
        <w:tc>
          <w:tcPr>
            <w:tcW w:w="1080" w:type="dxa"/>
            <w:noWrap/>
          </w:tcPr>
          <w:p w14:paraId="7ACD9232" w14:textId="77777777" w:rsidR="00171F72" w:rsidRPr="00171F72" w:rsidRDefault="00171F72" w:rsidP="00CA0D72">
            <w:pPr>
              <w:pStyle w:val="Table"/>
              <w:ind w:right="-3"/>
            </w:pPr>
            <w:r w:rsidRPr="00171F72">
              <w:t>ACT</w:t>
            </w:r>
          </w:p>
        </w:tc>
        <w:tc>
          <w:tcPr>
            <w:tcW w:w="1254" w:type="dxa"/>
            <w:noWrap/>
          </w:tcPr>
          <w:p w14:paraId="3B6E843F" w14:textId="77777777" w:rsidR="00171F72" w:rsidRPr="00171F72" w:rsidRDefault="00171F72" w:rsidP="00CA0D72">
            <w:pPr>
              <w:pStyle w:val="Table"/>
              <w:ind w:right="-3"/>
            </w:pPr>
            <w:r w:rsidRPr="00171F72">
              <w:t>TC</w:t>
            </w:r>
          </w:p>
        </w:tc>
        <w:tc>
          <w:tcPr>
            <w:tcW w:w="1547" w:type="dxa"/>
            <w:noWrap/>
          </w:tcPr>
          <w:p w14:paraId="19D436F0" w14:textId="77777777" w:rsidR="00171F72" w:rsidRPr="00171F72" w:rsidRDefault="00171F72" w:rsidP="00CA0D72">
            <w:pPr>
              <w:pStyle w:val="Table"/>
              <w:ind w:right="-3"/>
            </w:pPr>
            <w:r w:rsidRPr="00171F72">
              <w:t>28 (48%)</w:t>
            </w:r>
          </w:p>
        </w:tc>
        <w:tc>
          <w:tcPr>
            <w:tcW w:w="1547" w:type="dxa"/>
            <w:noWrap/>
          </w:tcPr>
          <w:p w14:paraId="7D4C44B0" w14:textId="77777777" w:rsidR="00171F72" w:rsidRPr="00171F72" w:rsidRDefault="00171F72" w:rsidP="00CA0D72">
            <w:pPr>
              <w:pStyle w:val="Table"/>
              <w:ind w:right="-3"/>
            </w:pPr>
            <w:r w:rsidRPr="00171F72">
              <w:t>15 (4–37)</w:t>
            </w:r>
          </w:p>
        </w:tc>
        <w:tc>
          <w:tcPr>
            <w:tcW w:w="1360" w:type="dxa"/>
            <w:noWrap/>
          </w:tcPr>
          <w:p w14:paraId="71F41A48" w14:textId="77777777" w:rsidR="00171F72" w:rsidRPr="00171F72" w:rsidRDefault="00171F72" w:rsidP="00CA0D72">
            <w:pPr>
              <w:pStyle w:val="Table"/>
              <w:tabs>
                <w:tab w:val="clear" w:pos="3969"/>
              </w:tabs>
              <w:ind w:right="-3"/>
            </w:pPr>
            <w:r w:rsidRPr="00171F72">
              <w:t>5 (7%)</w:t>
            </w:r>
          </w:p>
        </w:tc>
        <w:tc>
          <w:tcPr>
            <w:tcW w:w="1431" w:type="dxa"/>
            <w:noWrap/>
          </w:tcPr>
          <w:p w14:paraId="3CA13039" w14:textId="77777777" w:rsidR="00171F72" w:rsidRPr="00171F72" w:rsidRDefault="00171F72" w:rsidP="00CA0D72">
            <w:pPr>
              <w:pStyle w:val="Table"/>
              <w:ind w:right="-3"/>
            </w:pPr>
            <w:r w:rsidRPr="00171F72">
              <w:t>15 (3–28)</w:t>
            </w:r>
          </w:p>
        </w:tc>
        <w:tc>
          <w:tcPr>
            <w:tcW w:w="1809" w:type="dxa"/>
            <w:noWrap/>
          </w:tcPr>
          <w:p w14:paraId="0EC3BC1F" w14:textId="77777777" w:rsidR="00171F72" w:rsidRPr="00171F72" w:rsidRDefault="00171F72" w:rsidP="00CA0D72">
            <w:pPr>
              <w:pStyle w:val="Table"/>
              <w:ind w:right="-3"/>
            </w:pPr>
            <w:r w:rsidRPr="00171F72">
              <w:t>4 (6%)</w:t>
            </w:r>
          </w:p>
        </w:tc>
      </w:tr>
      <w:tr w:rsidR="00171F72" w:rsidRPr="00171F72" w14:paraId="370DDA0D" w14:textId="77777777" w:rsidTr="00F6268C">
        <w:trPr>
          <w:trHeight w:val="255"/>
        </w:trPr>
        <w:tc>
          <w:tcPr>
            <w:tcW w:w="1080" w:type="dxa"/>
            <w:noWrap/>
          </w:tcPr>
          <w:p w14:paraId="644AF270" w14:textId="0EEA8A92" w:rsidR="00171F72" w:rsidRPr="00171F72" w:rsidRDefault="00F6268C" w:rsidP="00CA0D72">
            <w:pPr>
              <w:pStyle w:val="Table"/>
              <w:ind w:right="-3"/>
            </w:pPr>
            <w:r w:rsidRPr="00171F72">
              <w:t>ACT</w:t>
            </w:r>
          </w:p>
        </w:tc>
        <w:tc>
          <w:tcPr>
            <w:tcW w:w="1254" w:type="dxa"/>
            <w:noWrap/>
          </w:tcPr>
          <w:p w14:paraId="2A43A03C" w14:textId="77777777" w:rsidR="00171F72" w:rsidRPr="00171F72" w:rsidRDefault="00171F72" w:rsidP="00CA0D72">
            <w:pPr>
              <w:pStyle w:val="Table"/>
              <w:ind w:right="-3"/>
            </w:pPr>
            <w:r w:rsidRPr="00171F72">
              <w:t>Control 1</w:t>
            </w:r>
          </w:p>
        </w:tc>
        <w:tc>
          <w:tcPr>
            <w:tcW w:w="1547" w:type="dxa"/>
            <w:noWrap/>
          </w:tcPr>
          <w:p w14:paraId="7F66E6B3" w14:textId="77777777" w:rsidR="00171F72" w:rsidRPr="00171F72" w:rsidRDefault="00171F72" w:rsidP="00CA0D72">
            <w:pPr>
              <w:pStyle w:val="Table"/>
              <w:ind w:right="-3"/>
            </w:pPr>
            <w:r w:rsidRPr="00171F72">
              <w:t>24 (64%)</w:t>
            </w:r>
          </w:p>
        </w:tc>
        <w:tc>
          <w:tcPr>
            <w:tcW w:w="1547" w:type="dxa"/>
            <w:noWrap/>
          </w:tcPr>
          <w:p w14:paraId="29AD571E" w14:textId="77777777" w:rsidR="00171F72" w:rsidRPr="00171F72" w:rsidRDefault="00171F72" w:rsidP="00CA0D72">
            <w:pPr>
              <w:pStyle w:val="Table"/>
              <w:ind w:right="-3"/>
            </w:pPr>
            <w:r w:rsidRPr="00171F72">
              <w:t>11 (5–24)</w:t>
            </w:r>
          </w:p>
        </w:tc>
        <w:tc>
          <w:tcPr>
            <w:tcW w:w="1360" w:type="dxa"/>
            <w:noWrap/>
          </w:tcPr>
          <w:p w14:paraId="79F3D790" w14:textId="77777777" w:rsidR="00171F72" w:rsidRPr="00171F72" w:rsidRDefault="00171F72" w:rsidP="00CA0D72">
            <w:pPr>
              <w:pStyle w:val="Table"/>
              <w:ind w:right="-3"/>
            </w:pPr>
            <w:r w:rsidRPr="00171F72">
              <w:t>3 (7%)</w:t>
            </w:r>
          </w:p>
        </w:tc>
        <w:tc>
          <w:tcPr>
            <w:tcW w:w="1431" w:type="dxa"/>
            <w:noWrap/>
          </w:tcPr>
          <w:p w14:paraId="1AA19BF6" w14:textId="77777777" w:rsidR="00171F72" w:rsidRPr="00171F72" w:rsidRDefault="00171F72" w:rsidP="00CA0D72">
            <w:pPr>
              <w:pStyle w:val="Table"/>
              <w:ind w:right="-3"/>
            </w:pPr>
            <w:r w:rsidRPr="00171F72">
              <w:t>42 (23–63)</w:t>
            </w:r>
          </w:p>
        </w:tc>
        <w:tc>
          <w:tcPr>
            <w:tcW w:w="1809" w:type="dxa"/>
            <w:noWrap/>
          </w:tcPr>
          <w:p w14:paraId="44E8EE61" w14:textId="77777777" w:rsidR="00171F72" w:rsidRPr="00171F72" w:rsidRDefault="00171F72" w:rsidP="00CA0D72">
            <w:pPr>
              <w:pStyle w:val="Table"/>
              <w:ind w:right="-3"/>
            </w:pPr>
            <w:r w:rsidRPr="00171F72">
              <w:t>3 (7%)</w:t>
            </w:r>
          </w:p>
        </w:tc>
      </w:tr>
      <w:tr w:rsidR="00171F72" w:rsidRPr="00171F72" w14:paraId="5D94D55F" w14:textId="77777777" w:rsidTr="00F6268C">
        <w:trPr>
          <w:trHeight w:val="255"/>
        </w:trPr>
        <w:tc>
          <w:tcPr>
            <w:tcW w:w="1080" w:type="dxa"/>
            <w:noWrap/>
          </w:tcPr>
          <w:p w14:paraId="29730442" w14:textId="56D2CD11" w:rsidR="00171F72" w:rsidRPr="00171F72" w:rsidRDefault="00F6268C" w:rsidP="00CA0D72">
            <w:pPr>
              <w:pStyle w:val="Table"/>
              <w:ind w:right="-3"/>
            </w:pPr>
            <w:r w:rsidRPr="00171F72">
              <w:t>ACT</w:t>
            </w:r>
          </w:p>
        </w:tc>
        <w:tc>
          <w:tcPr>
            <w:tcW w:w="1254" w:type="dxa"/>
            <w:noWrap/>
          </w:tcPr>
          <w:p w14:paraId="3C772228" w14:textId="77777777" w:rsidR="00171F72" w:rsidRPr="00171F72" w:rsidRDefault="00171F72" w:rsidP="00CA0D72">
            <w:pPr>
              <w:pStyle w:val="Table"/>
              <w:ind w:right="-3"/>
            </w:pPr>
            <w:r w:rsidRPr="00171F72">
              <w:t>Control 2</w:t>
            </w:r>
          </w:p>
        </w:tc>
        <w:tc>
          <w:tcPr>
            <w:tcW w:w="1547" w:type="dxa"/>
            <w:noWrap/>
          </w:tcPr>
          <w:p w14:paraId="41662BA1" w14:textId="77777777" w:rsidR="00171F72" w:rsidRPr="00171F72" w:rsidRDefault="00171F72" w:rsidP="00CA0D72">
            <w:pPr>
              <w:pStyle w:val="Table"/>
              <w:ind w:right="-3"/>
            </w:pPr>
            <w:r w:rsidRPr="00171F72">
              <w:t>15 (52%)</w:t>
            </w:r>
          </w:p>
        </w:tc>
        <w:tc>
          <w:tcPr>
            <w:tcW w:w="1547" w:type="dxa"/>
            <w:noWrap/>
          </w:tcPr>
          <w:p w14:paraId="07A483D4" w14:textId="77777777" w:rsidR="00171F72" w:rsidRPr="00171F72" w:rsidRDefault="00171F72" w:rsidP="00CA0D72">
            <w:pPr>
              <w:pStyle w:val="Table"/>
              <w:ind w:right="-3"/>
            </w:pPr>
            <w:r w:rsidRPr="00171F72">
              <w:t>12 (7–23)</w:t>
            </w:r>
          </w:p>
        </w:tc>
        <w:tc>
          <w:tcPr>
            <w:tcW w:w="1360" w:type="dxa"/>
            <w:noWrap/>
          </w:tcPr>
          <w:p w14:paraId="4D62024E" w14:textId="77777777" w:rsidR="00171F72" w:rsidRPr="00171F72" w:rsidRDefault="00171F72" w:rsidP="00CA0D72">
            <w:pPr>
              <w:pStyle w:val="Table"/>
              <w:ind w:right="-3"/>
            </w:pPr>
            <w:r w:rsidRPr="00171F72">
              <w:t>5 (13%)</w:t>
            </w:r>
          </w:p>
        </w:tc>
        <w:tc>
          <w:tcPr>
            <w:tcW w:w="1431" w:type="dxa"/>
            <w:noWrap/>
          </w:tcPr>
          <w:p w14:paraId="43FF3D35" w14:textId="77777777" w:rsidR="00171F72" w:rsidRPr="00171F72" w:rsidRDefault="00171F72" w:rsidP="00CA0D72">
            <w:pPr>
              <w:pStyle w:val="Table"/>
              <w:ind w:right="-3"/>
            </w:pPr>
            <w:r w:rsidRPr="00171F72">
              <w:t>36 (31–40)</w:t>
            </w:r>
          </w:p>
        </w:tc>
        <w:tc>
          <w:tcPr>
            <w:tcW w:w="1809" w:type="dxa"/>
            <w:noWrap/>
          </w:tcPr>
          <w:p w14:paraId="31DBF00C" w14:textId="77777777" w:rsidR="00171F72" w:rsidRPr="00171F72" w:rsidRDefault="00171F72" w:rsidP="00CA0D72">
            <w:pPr>
              <w:pStyle w:val="Table"/>
              <w:ind w:right="-3"/>
            </w:pPr>
            <w:r w:rsidRPr="00171F72">
              <w:t>5 (13%)</w:t>
            </w:r>
          </w:p>
        </w:tc>
      </w:tr>
      <w:tr w:rsidR="00171F72" w:rsidRPr="00171F72" w14:paraId="761DA2B8" w14:textId="77777777" w:rsidTr="00F6268C">
        <w:trPr>
          <w:trHeight w:val="255"/>
        </w:trPr>
        <w:tc>
          <w:tcPr>
            <w:tcW w:w="1080" w:type="dxa"/>
            <w:noWrap/>
          </w:tcPr>
          <w:p w14:paraId="31CA959F" w14:textId="77777777" w:rsidR="00171F72" w:rsidRPr="00171F72" w:rsidRDefault="00171F72" w:rsidP="00CA0D72">
            <w:pPr>
              <w:pStyle w:val="Table"/>
              <w:ind w:right="-3"/>
            </w:pPr>
            <w:r w:rsidRPr="00171F72">
              <w:t>NSW</w:t>
            </w:r>
          </w:p>
        </w:tc>
        <w:tc>
          <w:tcPr>
            <w:tcW w:w="1254" w:type="dxa"/>
            <w:noWrap/>
          </w:tcPr>
          <w:p w14:paraId="43DAD51F" w14:textId="77777777" w:rsidR="00171F72" w:rsidRPr="00171F72" w:rsidRDefault="00171F72" w:rsidP="00CA0D72">
            <w:pPr>
              <w:pStyle w:val="Table"/>
              <w:ind w:right="-3"/>
            </w:pPr>
            <w:r w:rsidRPr="00171F72">
              <w:t>TC</w:t>
            </w:r>
          </w:p>
        </w:tc>
        <w:tc>
          <w:tcPr>
            <w:tcW w:w="1547" w:type="dxa"/>
            <w:noWrap/>
          </w:tcPr>
          <w:p w14:paraId="3D2ED05E" w14:textId="77777777" w:rsidR="00171F72" w:rsidRPr="00171F72" w:rsidRDefault="00171F72" w:rsidP="00CA0D72">
            <w:pPr>
              <w:pStyle w:val="Table"/>
              <w:ind w:right="-3"/>
            </w:pPr>
            <w:r w:rsidRPr="00171F72">
              <w:t>198 (38%)</w:t>
            </w:r>
          </w:p>
        </w:tc>
        <w:tc>
          <w:tcPr>
            <w:tcW w:w="1547" w:type="dxa"/>
            <w:noWrap/>
          </w:tcPr>
          <w:p w14:paraId="47FC7247" w14:textId="77777777" w:rsidR="00171F72" w:rsidRPr="00171F72" w:rsidRDefault="00171F72" w:rsidP="00CA0D72">
            <w:pPr>
              <w:pStyle w:val="Table"/>
              <w:ind w:right="-3"/>
            </w:pPr>
            <w:r w:rsidRPr="00171F72">
              <w:t>12 (4–26)</w:t>
            </w:r>
          </w:p>
        </w:tc>
        <w:tc>
          <w:tcPr>
            <w:tcW w:w="1360" w:type="dxa"/>
            <w:noWrap/>
          </w:tcPr>
          <w:p w14:paraId="3AB8D640" w14:textId="77777777" w:rsidR="00171F72" w:rsidRPr="00171F72" w:rsidRDefault="00171F72" w:rsidP="00CA0D72">
            <w:pPr>
              <w:pStyle w:val="Table"/>
              <w:ind w:right="-3"/>
            </w:pPr>
            <w:r w:rsidRPr="00171F72">
              <w:t>48 (8%)</w:t>
            </w:r>
          </w:p>
        </w:tc>
        <w:tc>
          <w:tcPr>
            <w:tcW w:w="1431" w:type="dxa"/>
            <w:noWrap/>
          </w:tcPr>
          <w:p w14:paraId="60002186" w14:textId="77777777" w:rsidR="00171F72" w:rsidRPr="00171F72" w:rsidRDefault="00171F72" w:rsidP="00CA0D72">
            <w:pPr>
              <w:pStyle w:val="Table"/>
              <w:ind w:right="-3"/>
            </w:pPr>
            <w:r w:rsidRPr="00171F72">
              <w:t>29 (15–47)</w:t>
            </w:r>
          </w:p>
        </w:tc>
        <w:tc>
          <w:tcPr>
            <w:tcW w:w="1809" w:type="dxa"/>
            <w:noWrap/>
          </w:tcPr>
          <w:p w14:paraId="00130E71" w14:textId="77777777" w:rsidR="00171F72" w:rsidRPr="00171F72" w:rsidRDefault="00171F72" w:rsidP="00CA0D72">
            <w:pPr>
              <w:pStyle w:val="Table"/>
              <w:ind w:right="-3"/>
            </w:pPr>
            <w:r w:rsidRPr="00171F72">
              <w:t>35 (6%)</w:t>
            </w:r>
          </w:p>
        </w:tc>
      </w:tr>
      <w:tr w:rsidR="00171F72" w:rsidRPr="00171F72" w14:paraId="1498DE6D" w14:textId="77777777" w:rsidTr="00F6268C">
        <w:trPr>
          <w:trHeight w:val="255"/>
        </w:trPr>
        <w:tc>
          <w:tcPr>
            <w:tcW w:w="1080" w:type="dxa"/>
            <w:noWrap/>
          </w:tcPr>
          <w:p w14:paraId="69F86A59" w14:textId="26683936" w:rsidR="00171F72" w:rsidRPr="00171F72" w:rsidRDefault="00F6268C" w:rsidP="00CA0D72">
            <w:pPr>
              <w:pStyle w:val="Table"/>
              <w:ind w:right="-3"/>
            </w:pPr>
            <w:r w:rsidRPr="00171F72">
              <w:t>NSW</w:t>
            </w:r>
          </w:p>
        </w:tc>
        <w:tc>
          <w:tcPr>
            <w:tcW w:w="1254" w:type="dxa"/>
            <w:noWrap/>
          </w:tcPr>
          <w:p w14:paraId="7A14C965" w14:textId="77777777" w:rsidR="00171F72" w:rsidRPr="00171F72" w:rsidRDefault="00171F72" w:rsidP="00CA0D72">
            <w:pPr>
              <w:pStyle w:val="Table"/>
              <w:ind w:right="-3"/>
            </w:pPr>
            <w:r w:rsidRPr="00171F72">
              <w:t>Control 1</w:t>
            </w:r>
          </w:p>
        </w:tc>
        <w:tc>
          <w:tcPr>
            <w:tcW w:w="1547" w:type="dxa"/>
            <w:noWrap/>
          </w:tcPr>
          <w:p w14:paraId="0A7F2B92" w14:textId="77777777" w:rsidR="00171F72" w:rsidRPr="00171F72" w:rsidRDefault="00171F72" w:rsidP="00CA0D72">
            <w:pPr>
              <w:pStyle w:val="Table"/>
              <w:ind w:right="-3"/>
            </w:pPr>
            <w:r w:rsidRPr="00171F72">
              <w:t>41 (40%)</w:t>
            </w:r>
          </w:p>
        </w:tc>
        <w:tc>
          <w:tcPr>
            <w:tcW w:w="1547" w:type="dxa"/>
            <w:noWrap/>
          </w:tcPr>
          <w:p w14:paraId="4BB72787" w14:textId="77777777" w:rsidR="00171F72" w:rsidRPr="00171F72" w:rsidRDefault="00171F72" w:rsidP="00CA0D72">
            <w:pPr>
              <w:pStyle w:val="Table"/>
              <w:ind w:right="-3"/>
            </w:pPr>
            <w:r w:rsidRPr="00171F72">
              <w:t>14 (3–30)</w:t>
            </w:r>
          </w:p>
        </w:tc>
        <w:tc>
          <w:tcPr>
            <w:tcW w:w="1360" w:type="dxa"/>
            <w:noWrap/>
          </w:tcPr>
          <w:p w14:paraId="4C743551" w14:textId="77777777" w:rsidR="00171F72" w:rsidRPr="00171F72" w:rsidRDefault="005E6355" w:rsidP="00CA0D72">
            <w:pPr>
              <w:pStyle w:val="Table"/>
              <w:ind w:right="-3"/>
            </w:pPr>
            <w:r>
              <w:t>14 (11%)</w:t>
            </w:r>
          </w:p>
        </w:tc>
        <w:tc>
          <w:tcPr>
            <w:tcW w:w="1431" w:type="dxa"/>
            <w:noWrap/>
          </w:tcPr>
          <w:p w14:paraId="212E4503" w14:textId="77777777" w:rsidR="00171F72" w:rsidRPr="00171F72" w:rsidRDefault="005E6355" w:rsidP="00CA0D72">
            <w:pPr>
              <w:pStyle w:val="Table"/>
              <w:ind w:right="-3"/>
            </w:pPr>
            <w:r w:rsidRPr="005E6355">
              <w:t>48 (29 – 77)</w:t>
            </w:r>
          </w:p>
        </w:tc>
        <w:tc>
          <w:tcPr>
            <w:tcW w:w="1809" w:type="dxa"/>
            <w:noWrap/>
          </w:tcPr>
          <w:p w14:paraId="071A3CBD" w14:textId="77777777" w:rsidR="00171F72" w:rsidRPr="00171F72" w:rsidRDefault="005E6355" w:rsidP="00CA0D72">
            <w:pPr>
              <w:pStyle w:val="Table"/>
              <w:ind w:right="-3"/>
            </w:pPr>
            <w:r w:rsidRPr="005E6355">
              <w:t>12 (9%)</w:t>
            </w:r>
          </w:p>
        </w:tc>
      </w:tr>
      <w:tr w:rsidR="00171F72" w:rsidRPr="00171F72" w14:paraId="3A22AB48" w14:textId="77777777" w:rsidTr="00F6268C">
        <w:trPr>
          <w:trHeight w:val="255"/>
        </w:trPr>
        <w:tc>
          <w:tcPr>
            <w:tcW w:w="1080" w:type="dxa"/>
            <w:noWrap/>
          </w:tcPr>
          <w:p w14:paraId="4799C52D" w14:textId="0767A69C" w:rsidR="00171F72" w:rsidRPr="00171F72" w:rsidRDefault="00F6268C" w:rsidP="00CA0D72">
            <w:pPr>
              <w:pStyle w:val="Table"/>
              <w:ind w:right="-3"/>
            </w:pPr>
            <w:r w:rsidRPr="00171F72">
              <w:t>NSW</w:t>
            </w:r>
          </w:p>
        </w:tc>
        <w:tc>
          <w:tcPr>
            <w:tcW w:w="1254" w:type="dxa"/>
            <w:noWrap/>
          </w:tcPr>
          <w:p w14:paraId="712E376C" w14:textId="77777777" w:rsidR="00171F72" w:rsidRPr="00171F72" w:rsidRDefault="00171F72" w:rsidP="00CA0D72">
            <w:pPr>
              <w:pStyle w:val="Table"/>
              <w:ind w:right="-3"/>
            </w:pPr>
            <w:r w:rsidRPr="00171F72">
              <w:t>Control 2</w:t>
            </w:r>
          </w:p>
        </w:tc>
        <w:tc>
          <w:tcPr>
            <w:tcW w:w="1547" w:type="dxa"/>
            <w:noWrap/>
          </w:tcPr>
          <w:p w14:paraId="15110F8A" w14:textId="77777777" w:rsidR="00171F72" w:rsidRPr="00171F72" w:rsidRDefault="00171F72" w:rsidP="00CA0D72">
            <w:pPr>
              <w:pStyle w:val="Table"/>
              <w:ind w:right="-3"/>
            </w:pPr>
            <w:r w:rsidRPr="00171F72">
              <w:t>306 (42%)</w:t>
            </w:r>
          </w:p>
        </w:tc>
        <w:tc>
          <w:tcPr>
            <w:tcW w:w="1547" w:type="dxa"/>
            <w:noWrap/>
          </w:tcPr>
          <w:p w14:paraId="4A8DEAC9" w14:textId="77777777" w:rsidR="00171F72" w:rsidRPr="00171F72" w:rsidRDefault="00171F72" w:rsidP="00CA0D72">
            <w:pPr>
              <w:pStyle w:val="Table"/>
              <w:ind w:right="-3"/>
            </w:pPr>
            <w:r w:rsidRPr="00171F72">
              <w:t>11 (5–23)</w:t>
            </w:r>
          </w:p>
        </w:tc>
        <w:tc>
          <w:tcPr>
            <w:tcW w:w="1360" w:type="dxa"/>
            <w:noWrap/>
          </w:tcPr>
          <w:p w14:paraId="41751010" w14:textId="77777777" w:rsidR="00171F72" w:rsidRPr="00171F72" w:rsidRDefault="00171F72" w:rsidP="00CA0D72">
            <w:pPr>
              <w:pStyle w:val="Table"/>
              <w:ind w:right="-3"/>
            </w:pPr>
            <w:r w:rsidRPr="00171F72">
              <w:t>166 (16%)</w:t>
            </w:r>
          </w:p>
        </w:tc>
        <w:tc>
          <w:tcPr>
            <w:tcW w:w="1431" w:type="dxa"/>
            <w:noWrap/>
          </w:tcPr>
          <w:p w14:paraId="42F616FF" w14:textId="77777777" w:rsidR="00171F72" w:rsidRPr="00171F72" w:rsidRDefault="00171F72" w:rsidP="00CA0D72">
            <w:pPr>
              <w:pStyle w:val="Table"/>
              <w:ind w:right="-3"/>
            </w:pPr>
            <w:r w:rsidRPr="00171F72">
              <w:t>41 (25–64)</w:t>
            </w:r>
          </w:p>
        </w:tc>
        <w:tc>
          <w:tcPr>
            <w:tcW w:w="1809" w:type="dxa"/>
            <w:noWrap/>
          </w:tcPr>
          <w:p w14:paraId="75DCFEAA" w14:textId="77777777" w:rsidR="00171F72" w:rsidRPr="00171F72" w:rsidRDefault="00171F72" w:rsidP="00CA0D72">
            <w:pPr>
              <w:pStyle w:val="Table"/>
              <w:ind w:right="-3"/>
            </w:pPr>
            <w:r w:rsidRPr="00171F72">
              <w:t>115 (11%)</w:t>
            </w:r>
          </w:p>
        </w:tc>
      </w:tr>
      <w:tr w:rsidR="00171F72" w:rsidRPr="00171F72" w14:paraId="4B9164BF" w14:textId="77777777" w:rsidTr="00F6268C">
        <w:trPr>
          <w:trHeight w:val="255"/>
        </w:trPr>
        <w:tc>
          <w:tcPr>
            <w:tcW w:w="1080" w:type="dxa"/>
            <w:noWrap/>
          </w:tcPr>
          <w:p w14:paraId="5F11B5CE" w14:textId="77777777" w:rsidR="00171F72" w:rsidRPr="00171F72" w:rsidRDefault="00171F72" w:rsidP="00CA0D72">
            <w:pPr>
              <w:pStyle w:val="Table"/>
              <w:ind w:right="-3"/>
            </w:pPr>
            <w:r w:rsidRPr="00171F72">
              <w:t>NT</w:t>
            </w:r>
          </w:p>
        </w:tc>
        <w:tc>
          <w:tcPr>
            <w:tcW w:w="1254" w:type="dxa"/>
            <w:noWrap/>
          </w:tcPr>
          <w:p w14:paraId="45789912" w14:textId="77777777" w:rsidR="00171F72" w:rsidRPr="00171F72" w:rsidRDefault="00171F72" w:rsidP="00CA0D72">
            <w:pPr>
              <w:pStyle w:val="Table"/>
              <w:ind w:right="-3"/>
            </w:pPr>
            <w:r w:rsidRPr="00171F72">
              <w:t>TC</w:t>
            </w:r>
          </w:p>
        </w:tc>
        <w:tc>
          <w:tcPr>
            <w:tcW w:w="1547" w:type="dxa"/>
            <w:noWrap/>
          </w:tcPr>
          <w:p w14:paraId="3E951D55" w14:textId="77777777" w:rsidR="00171F72" w:rsidRPr="00171F72" w:rsidRDefault="00171F72" w:rsidP="00CA0D72">
            <w:pPr>
              <w:pStyle w:val="Table"/>
              <w:ind w:right="-3"/>
            </w:pPr>
            <w:r w:rsidRPr="00171F72">
              <w:t>*</w:t>
            </w:r>
          </w:p>
        </w:tc>
        <w:tc>
          <w:tcPr>
            <w:tcW w:w="1547" w:type="dxa"/>
            <w:noWrap/>
          </w:tcPr>
          <w:p w14:paraId="79931EE4" w14:textId="77777777" w:rsidR="00171F72" w:rsidRPr="00171F72" w:rsidRDefault="00171F72" w:rsidP="00CA0D72">
            <w:pPr>
              <w:pStyle w:val="Table"/>
              <w:ind w:right="-3"/>
            </w:pPr>
            <w:r w:rsidRPr="00171F72">
              <w:t>*</w:t>
            </w:r>
          </w:p>
        </w:tc>
        <w:tc>
          <w:tcPr>
            <w:tcW w:w="1360" w:type="dxa"/>
            <w:noWrap/>
          </w:tcPr>
          <w:p w14:paraId="1C1508F1" w14:textId="77777777" w:rsidR="00171F72" w:rsidRPr="00171F72" w:rsidRDefault="00171F72" w:rsidP="00CA0D72">
            <w:pPr>
              <w:pStyle w:val="Table"/>
              <w:ind w:right="-3"/>
            </w:pPr>
            <w:r w:rsidRPr="00171F72">
              <w:t>*</w:t>
            </w:r>
          </w:p>
        </w:tc>
        <w:tc>
          <w:tcPr>
            <w:tcW w:w="1431" w:type="dxa"/>
            <w:noWrap/>
          </w:tcPr>
          <w:p w14:paraId="6E04BF9E" w14:textId="77777777" w:rsidR="00171F72" w:rsidRPr="00171F72" w:rsidRDefault="00171F72" w:rsidP="00CA0D72">
            <w:pPr>
              <w:pStyle w:val="Table"/>
              <w:ind w:right="-3"/>
            </w:pPr>
            <w:r w:rsidRPr="00171F72">
              <w:t>*</w:t>
            </w:r>
          </w:p>
        </w:tc>
        <w:tc>
          <w:tcPr>
            <w:tcW w:w="1809" w:type="dxa"/>
            <w:noWrap/>
          </w:tcPr>
          <w:p w14:paraId="473807D6" w14:textId="77777777" w:rsidR="00171F72" w:rsidRPr="00171F72" w:rsidRDefault="00171F72" w:rsidP="00CA0D72">
            <w:pPr>
              <w:pStyle w:val="Table"/>
              <w:ind w:right="-3"/>
            </w:pPr>
            <w:r w:rsidRPr="00171F72">
              <w:t xml:space="preserve"> (0%)</w:t>
            </w:r>
          </w:p>
        </w:tc>
      </w:tr>
      <w:tr w:rsidR="00171F72" w:rsidRPr="00171F72" w14:paraId="4F036C3F" w14:textId="77777777" w:rsidTr="00F6268C">
        <w:trPr>
          <w:trHeight w:val="255"/>
        </w:trPr>
        <w:tc>
          <w:tcPr>
            <w:tcW w:w="1080" w:type="dxa"/>
            <w:noWrap/>
          </w:tcPr>
          <w:p w14:paraId="23D2E295" w14:textId="2A46844B" w:rsidR="00171F72" w:rsidRPr="00171F72" w:rsidRDefault="00F6268C" w:rsidP="00CA0D72">
            <w:pPr>
              <w:pStyle w:val="Table"/>
              <w:ind w:right="-3"/>
            </w:pPr>
            <w:r w:rsidRPr="00171F72">
              <w:t>NT</w:t>
            </w:r>
          </w:p>
        </w:tc>
        <w:tc>
          <w:tcPr>
            <w:tcW w:w="1254" w:type="dxa"/>
            <w:noWrap/>
          </w:tcPr>
          <w:p w14:paraId="6C4B36E2" w14:textId="77777777" w:rsidR="00171F72" w:rsidRPr="00171F72" w:rsidRDefault="00171F72" w:rsidP="00CA0D72">
            <w:pPr>
              <w:pStyle w:val="Table"/>
              <w:ind w:right="-3"/>
            </w:pPr>
            <w:r w:rsidRPr="00171F72">
              <w:t>Control 1</w:t>
            </w:r>
          </w:p>
        </w:tc>
        <w:tc>
          <w:tcPr>
            <w:tcW w:w="1547" w:type="dxa"/>
            <w:noWrap/>
          </w:tcPr>
          <w:p w14:paraId="1C856441" w14:textId="77777777" w:rsidR="00171F72" w:rsidRPr="00171F72" w:rsidRDefault="00171F72" w:rsidP="00CA0D72">
            <w:pPr>
              <w:pStyle w:val="Table"/>
              <w:ind w:right="-3"/>
            </w:pPr>
            <w:r w:rsidRPr="00171F72">
              <w:t>*</w:t>
            </w:r>
          </w:p>
        </w:tc>
        <w:tc>
          <w:tcPr>
            <w:tcW w:w="1547" w:type="dxa"/>
            <w:noWrap/>
          </w:tcPr>
          <w:p w14:paraId="4463D785" w14:textId="77777777" w:rsidR="00171F72" w:rsidRPr="00171F72" w:rsidRDefault="00171F72" w:rsidP="00CA0D72">
            <w:pPr>
              <w:pStyle w:val="Table"/>
              <w:ind w:right="-3"/>
            </w:pPr>
            <w:r w:rsidRPr="00171F72">
              <w:t>*</w:t>
            </w:r>
          </w:p>
        </w:tc>
        <w:tc>
          <w:tcPr>
            <w:tcW w:w="1360" w:type="dxa"/>
            <w:noWrap/>
          </w:tcPr>
          <w:p w14:paraId="454FF537" w14:textId="77777777" w:rsidR="00171F72" w:rsidRPr="00171F72" w:rsidRDefault="00171F72" w:rsidP="00CA0D72">
            <w:pPr>
              <w:pStyle w:val="Table"/>
              <w:ind w:right="-3"/>
            </w:pPr>
            <w:r w:rsidRPr="00171F72">
              <w:t>*</w:t>
            </w:r>
          </w:p>
        </w:tc>
        <w:tc>
          <w:tcPr>
            <w:tcW w:w="1431" w:type="dxa"/>
            <w:noWrap/>
          </w:tcPr>
          <w:p w14:paraId="277F080A" w14:textId="77777777" w:rsidR="00171F72" w:rsidRPr="00171F72" w:rsidRDefault="00171F72" w:rsidP="00CA0D72">
            <w:pPr>
              <w:pStyle w:val="Table"/>
              <w:ind w:right="-3"/>
            </w:pPr>
            <w:r w:rsidRPr="00171F72">
              <w:t>*</w:t>
            </w:r>
          </w:p>
        </w:tc>
        <w:tc>
          <w:tcPr>
            <w:tcW w:w="1809" w:type="dxa"/>
            <w:noWrap/>
          </w:tcPr>
          <w:p w14:paraId="4F641EEE" w14:textId="77777777" w:rsidR="00171F72" w:rsidRPr="00171F72" w:rsidRDefault="00171F72" w:rsidP="00CA0D72">
            <w:pPr>
              <w:pStyle w:val="Table"/>
              <w:ind w:right="-3"/>
            </w:pPr>
            <w:r w:rsidRPr="00171F72">
              <w:t xml:space="preserve"> (0%)</w:t>
            </w:r>
          </w:p>
        </w:tc>
      </w:tr>
      <w:tr w:rsidR="00171F72" w:rsidRPr="00171F72" w14:paraId="4215ED98" w14:textId="77777777" w:rsidTr="00F6268C">
        <w:trPr>
          <w:trHeight w:val="255"/>
        </w:trPr>
        <w:tc>
          <w:tcPr>
            <w:tcW w:w="1080" w:type="dxa"/>
            <w:noWrap/>
          </w:tcPr>
          <w:p w14:paraId="515C9A48" w14:textId="6E4DF5F5" w:rsidR="00171F72" w:rsidRPr="00171F72" w:rsidRDefault="00F6268C" w:rsidP="00CA0D72">
            <w:pPr>
              <w:pStyle w:val="Table"/>
              <w:ind w:right="-3"/>
            </w:pPr>
            <w:r w:rsidRPr="00171F72">
              <w:t>NT</w:t>
            </w:r>
          </w:p>
        </w:tc>
        <w:tc>
          <w:tcPr>
            <w:tcW w:w="1254" w:type="dxa"/>
            <w:noWrap/>
          </w:tcPr>
          <w:p w14:paraId="68979D7C" w14:textId="77777777" w:rsidR="00171F72" w:rsidRPr="00171F72" w:rsidRDefault="00171F72" w:rsidP="00CA0D72">
            <w:pPr>
              <w:pStyle w:val="Table"/>
              <w:ind w:right="-3"/>
            </w:pPr>
            <w:r w:rsidRPr="00171F72">
              <w:t>Control 2</w:t>
            </w:r>
          </w:p>
        </w:tc>
        <w:tc>
          <w:tcPr>
            <w:tcW w:w="1547" w:type="dxa"/>
            <w:noWrap/>
          </w:tcPr>
          <w:p w14:paraId="1B819C61" w14:textId="77777777" w:rsidR="00171F72" w:rsidRPr="00171F72" w:rsidRDefault="00171F72" w:rsidP="00CA0D72">
            <w:pPr>
              <w:pStyle w:val="Table"/>
              <w:ind w:right="-3"/>
            </w:pPr>
            <w:r w:rsidRPr="00171F72">
              <w:t>*</w:t>
            </w:r>
          </w:p>
        </w:tc>
        <w:tc>
          <w:tcPr>
            <w:tcW w:w="1547" w:type="dxa"/>
            <w:noWrap/>
          </w:tcPr>
          <w:p w14:paraId="5658F227" w14:textId="77777777" w:rsidR="00171F72" w:rsidRPr="00171F72" w:rsidRDefault="00171F72" w:rsidP="00CA0D72">
            <w:pPr>
              <w:pStyle w:val="Table"/>
              <w:ind w:right="-3"/>
            </w:pPr>
            <w:r w:rsidRPr="00171F72">
              <w:t>*</w:t>
            </w:r>
          </w:p>
        </w:tc>
        <w:tc>
          <w:tcPr>
            <w:tcW w:w="1360" w:type="dxa"/>
            <w:noWrap/>
          </w:tcPr>
          <w:p w14:paraId="2D4EB5DC" w14:textId="77777777" w:rsidR="00171F72" w:rsidRPr="00171F72" w:rsidRDefault="00171F72" w:rsidP="00CA0D72">
            <w:pPr>
              <w:pStyle w:val="Table"/>
              <w:ind w:right="-3"/>
            </w:pPr>
            <w:r w:rsidRPr="00171F72">
              <w:t>*</w:t>
            </w:r>
          </w:p>
        </w:tc>
        <w:tc>
          <w:tcPr>
            <w:tcW w:w="1431" w:type="dxa"/>
            <w:noWrap/>
          </w:tcPr>
          <w:p w14:paraId="3FA37DC8" w14:textId="77777777" w:rsidR="00171F72" w:rsidRPr="00171F72" w:rsidRDefault="00171F72" w:rsidP="00CA0D72">
            <w:pPr>
              <w:pStyle w:val="Table"/>
              <w:ind w:right="-3"/>
            </w:pPr>
            <w:r w:rsidRPr="00171F72">
              <w:t>*</w:t>
            </w:r>
          </w:p>
        </w:tc>
        <w:tc>
          <w:tcPr>
            <w:tcW w:w="1809" w:type="dxa"/>
            <w:noWrap/>
          </w:tcPr>
          <w:p w14:paraId="7E1D38B8" w14:textId="77777777" w:rsidR="00171F72" w:rsidRPr="00171F72" w:rsidRDefault="00171F72" w:rsidP="00CA0D72">
            <w:pPr>
              <w:pStyle w:val="Table"/>
              <w:ind w:right="-3"/>
            </w:pPr>
            <w:r w:rsidRPr="00171F72">
              <w:t xml:space="preserve"> (0%)</w:t>
            </w:r>
          </w:p>
        </w:tc>
      </w:tr>
      <w:tr w:rsidR="00171F72" w:rsidRPr="00171F72" w14:paraId="2EB7E906" w14:textId="77777777" w:rsidTr="00F6268C">
        <w:trPr>
          <w:trHeight w:val="255"/>
        </w:trPr>
        <w:tc>
          <w:tcPr>
            <w:tcW w:w="1080" w:type="dxa"/>
            <w:noWrap/>
          </w:tcPr>
          <w:p w14:paraId="5E48B8B5" w14:textId="77777777" w:rsidR="00171F72" w:rsidRPr="00171F72" w:rsidRDefault="00171F72" w:rsidP="00CA0D72">
            <w:pPr>
              <w:pStyle w:val="Table"/>
              <w:ind w:right="-3"/>
            </w:pPr>
            <w:r w:rsidRPr="00171F72">
              <w:t>QLD</w:t>
            </w:r>
          </w:p>
        </w:tc>
        <w:tc>
          <w:tcPr>
            <w:tcW w:w="1254" w:type="dxa"/>
            <w:noWrap/>
          </w:tcPr>
          <w:p w14:paraId="26E2E573" w14:textId="77777777" w:rsidR="00171F72" w:rsidRPr="00171F72" w:rsidRDefault="00171F72" w:rsidP="00CA0D72">
            <w:pPr>
              <w:pStyle w:val="Table"/>
              <w:ind w:right="-3"/>
            </w:pPr>
            <w:r w:rsidRPr="00171F72">
              <w:t>TC</w:t>
            </w:r>
          </w:p>
        </w:tc>
        <w:tc>
          <w:tcPr>
            <w:tcW w:w="1547" w:type="dxa"/>
            <w:noWrap/>
          </w:tcPr>
          <w:p w14:paraId="6989439E" w14:textId="77777777" w:rsidR="00171F72" w:rsidRPr="00171F72" w:rsidRDefault="00171F72" w:rsidP="00CA0D72">
            <w:pPr>
              <w:pStyle w:val="Table"/>
              <w:ind w:right="-3"/>
            </w:pPr>
            <w:r w:rsidRPr="00171F72">
              <w:t>80 (36%)</w:t>
            </w:r>
          </w:p>
        </w:tc>
        <w:tc>
          <w:tcPr>
            <w:tcW w:w="1547" w:type="dxa"/>
            <w:noWrap/>
          </w:tcPr>
          <w:p w14:paraId="51F3F23E" w14:textId="77777777" w:rsidR="00171F72" w:rsidRPr="00171F72" w:rsidRDefault="00171F72" w:rsidP="00CA0D72">
            <w:pPr>
              <w:pStyle w:val="Table"/>
              <w:ind w:right="-3"/>
            </w:pPr>
            <w:r w:rsidRPr="00171F72">
              <w:t>7 (1–20)</w:t>
            </w:r>
          </w:p>
        </w:tc>
        <w:tc>
          <w:tcPr>
            <w:tcW w:w="1360" w:type="dxa"/>
            <w:noWrap/>
          </w:tcPr>
          <w:p w14:paraId="16A1194E" w14:textId="77777777" w:rsidR="00171F72" w:rsidRPr="00171F72" w:rsidRDefault="00171F72" w:rsidP="00CA0D72">
            <w:pPr>
              <w:pStyle w:val="Table"/>
              <w:ind w:right="-3"/>
            </w:pPr>
            <w:r w:rsidRPr="00171F72">
              <w:t>5 (2%)</w:t>
            </w:r>
          </w:p>
        </w:tc>
        <w:tc>
          <w:tcPr>
            <w:tcW w:w="1431" w:type="dxa"/>
            <w:noWrap/>
          </w:tcPr>
          <w:p w14:paraId="3D548493" w14:textId="77777777" w:rsidR="00171F72" w:rsidRPr="00171F72" w:rsidRDefault="00171F72" w:rsidP="00CA0D72">
            <w:pPr>
              <w:pStyle w:val="Table"/>
              <w:ind w:right="-3"/>
            </w:pPr>
            <w:r w:rsidRPr="00171F72">
              <w:t>37 (11–41)</w:t>
            </w:r>
          </w:p>
        </w:tc>
        <w:tc>
          <w:tcPr>
            <w:tcW w:w="1809" w:type="dxa"/>
            <w:noWrap/>
          </w:tcPr>
          <w:p w14:paraId="6E6EE0ED" w14:textId="77777777" w:rsidR="00171F72" w:rsidRPr="00171F72" w:rsidRDefault="00171F72" w:rsidP="00CA0D72">
            <w:pPr>
              <w:pStyle w:val="Table"/>
              <w:ind w:right="-3"/>
            </w:pPr>
            <w:r w:rsidRPr="00171F72">
              <w:t>9 (3%)</w:t>
            </w:r>
          </w:p>
        </w:tc>
      </w:tr>
      <w:tr w:rsidR="00171F72" w:rsidRPr="00171F72" w14:paraId="11092763" w14:textId="77777777" w:rsidTr="00F6268C">
        <w:trPr>
          <w:trHeight w:val="255"/>
        </w:trPr>
        <w:tc>
          <w:tcPr>
            <w:tcW w:w="1080" w:type="dxa"/>
            <w:noWrap/>
          </w:tcPr>
          <w:p w14:paraId="6073477F" w14:textId="3DE22628" w:rsidR="00171F72" w:rsidRPr="00171F72" w:rsidRDefault="00F6268C" w:rsidP="00CA0D72">
            <w:pPr>
              <w:pStyle w:val="Table"/>
              <w:ind w:right="-3"/>
            </w:pPr>
            <w:r w:rsidRPr="00171F72">
              <w:t>QLD</w:t>
            </w:r>
          </w:p>
        </w:tc>
        <w:tc>
          <w:tcPr>
            <w:tcW w:w="1254" w:type="dxa"/>
            <w:noWrap/>
          </w:tcPr>
          <w:p w14:paraId="418AB571" w14:textId="77777777" w:rsidR="00171F72" w:rsidRPr="00171F72" w:rsidRDefault="00171F72" w:rsidP="00CA0D72">
            <w:pPr>
              <w:pStyle w:val="Table"/>
              <w:ind w:right="-3"/>
            </w:pPr>
            <w:r w:rsidRPr="00171F72">
              <w:t>Control 1</w:t>
            </w:r>
          </w:p>
        </w:tc>
        <w:tc>
          <w:tcPr>
            <w:tcW w:w="1547" w:type="dxa"/>
            <w:noWrap/>
          </w:tcPr>
          <w:p w14:paraId="015F95E2" w14:textId="77777777" w:rsidR="00171F72" w:rsidRPr="00171F72" w:rsidRDefault="00171F72" w:rsidP="00CA0D72">
            <w:pPr>
              <w:pStyle w:val="Table"/>
              <w:ind w:right="-3"/>
            </w:pPr>
            <w:r w:rsidRPr="00171F72">
              <w:t>7 (35%)</w:t>
            </w:r>
          </w:p>
        </w:tc>
        <w:tc>
          <w:tcPr>
            <w:tcW w:w="1547" w:type="dxa"/>
            <w:noWrap/>
          </w:tcPr>
          <w:p w14:paraId="4B05ACCF" w14:textId="77777777" w:rsidR="00171F72" w:rsidRPr="00171F72" w:rsidRDefault="00171F72" w:rsidP="00CA0D72">
            <w:pPr>
              <w:pStyle w:val="Table"/>
              <w:ind w:right="-3"/>
            </w:pPr>
            <w:r w:rsidRPr="00171F72">
              <w:t>25 (10–31)</w:t>
            </w:r>
          </w:p>
        </w:tc>
        <w:tc>
          <w:tcPr>
            <w:tcW w:w="1360" w:type="dxa"/>
            <w:noWrap/>
          </w:tcPr>
          <w:p w14:paraId="33C35366" w14:textId="77777777" w:rsidR="00171F72" w:rsidRPr="00171F72" w:rsidRDefault="00171F72" w:rsidP="00CA0D72">
            <w:pPr>
              <w:pStyle w:val="Table"/>
              <w:ind w:right="-3"/>
            </w:pPr>
            <w:r w:rsidRPr="00171F72">
              <w:t>4 (14%)</w:t>
            </w:r>
          </w:p>
        </w:tc>
        <w:tc>
          <w:tcPr>
            <w:tcW w:w="1431" w:type="dxa"/>
            <w:noWrap/>
          </w:tcPr>
          <w:p w14:paraId="676338F5" w14:textId="77777777" w:rsidR="00171F72" w:rsidRPr="00171F72" w:rsidRDefault="00171F72" w:rsidP="00CA0D72">
            <w:pPr>
              <w:pStyle w:val="Table"/>
              <w:ind w:right="-3"/>
            </w:pPr>
            <w:r w:rsidRPr="00171F72">
              <w:t>71 (53–87)</w:t>
            </w:r>
          </w:p>
        </w:tc>
        <w:tc>
          <w:tcPr>
            <w:tcW w:w="1809" w:type="dxa"/>
            <w:noWrap/>
          </w:tcPr>
          <w:p w14:paraId="648D0517" w14:textId="77777777" w:rsidR="00171F72" w:rsidRPr="00171F72" w:rsidRDefault="00171F72" w:rsidP="00CA0D72">
            <w:pPr>
              <w:pStyle w:val="Table"/>
              <w:ind w:right="-3"/>
            </w:pPr>
            <w:r w:rsidRPr="00171F72">
              <w:t>1 (3%)</w:t>
            </w:r>
          </w:p>
        </w:tc>
      </w:tr>
      <w:tr w:rsidR="00171F72" w:rsidRPr="00171F72" w14:paraId="7E70B593" w14:textId="77777777" w:rsidTr="00F6268C">
        <w:trPr>
          <w:trHeight w:val="255"/>
        </w:trPr>
        <w:tc>
          <w:tcPr>
            <w:tcW w:w="1080" w:type="dxa"/>
            <w:noWrap/>
          </w:tcPr>
          <w:p w14:paraId="2738C740" w14:textId="27DE8FBE" w:rsidR="00171F72" w:rsidRPr="00171F72" w:rsidRDefault="00F6268C" w:rsidP="00CA0D72">
            <w:pPr>
              <w:pStyle w:val="Table"/>
              <w:ind w:right="-3"/>
            </w:pPr>
            <w:r w:rsidRPr="00171F72">
              <w:t>QLD</w:t>
            </w:r>
          </w:p>
        </w:tc>
        <w:tc>
          <w:tcPr>
            <w:tcW w:w="1254" w:type="dxa"/>
            <w:noWrap/>
          </w:tcPr>
          <w:p w14:paraId="4840A443" w14:textId="77777777" w:rsidR="00171F72" w:rsidRPr="00171F72" w:rsidRDefault="00171F72" w:rsidP="00CA0D72">
            <w:pPr>
              <w:pStyle w:val="Table"/>
              <w:ind w:right="-3"/>
            </w:pPr>
            <w:r w:rsidRPr="00171F72">
              <w:t>Control 2</w:t>
            </w:r>
          </w:p>
        </w:tc>
        <w:tc>
          <w:tcPr>
            <w:tcW w:w="1547" w:type="dxa"/>
            <w:noWrap/>
          </w:tcPr>
          <w:p w14:paraId="72EA7926" w14:textId="77777777" w:rsidR="00171F72" w:rsidRPr="00171F72" w:rsidRDefault="00171F72" w:rsidP="00CA0D72">
            <w:pPr>
              <w:pStyle w:val="Table"/>
              <w:ind w:right="-3"/>
            </w:pPr>
            <w:r w:rsidRPr="00171F72">
              <w:t>74 (42%)</w:t>
            </w:r>
          </w:p>
        </w:tc>
        <w:tc>
          <w:tcPr>
            <w:tcW w:w="1547" w:type="dxa"/>
            <w:noWrap/>
          </w:tcPr>
          <w:p w14:paraId="2836ACB4" w14:textId="77777777" w:rsidR="00171F72" w:rsidRPr="00171F72" w:rsidRDefault="00171F72" w:rsidP="00CA0D72">
            <w:pPr>
              <w:pStyle w:val="Table"/>
              <w:ind w:right="-3"/>
            </w:pPr>
            <w:r w:rsidRPr="00171F72">
              <w:t>14 (3–28)</w:t>
            </w:r>
          </w:p>
        </w:tc>
        <w:tc>
          <w:tcPr>
            <w:tcW w:w="1360" w:type="dxa"/>
            <w:noWrap/>
          </w:tcPr>
          <w:p w14:paraId="548C3FA5" w14:textId="77777777" w:rsidR="00171F72" w:rsidRPr="00171F72" w:rsidRDefault="00171F72" w:rsidP="00CA0D72">
            <w:pPr>
              <w:pStyle w:val="Table"/>
              <w:ind w:right="-3"/>
            </w:pPr>
            <w:r w:rsidRPr="00171F72">
              <w:t>0 (0%)</w:t>
            </w:r>
          </w:p>
        </w:tc>
        <w:tc>
          <w:tcPr>
            <w:tcW w:w="1431" w:type="dxa"/>
            <w:noWrap/>
          </w:tcPr>
          <w:p w14:paraId="23727702" w14:textId="77777777" w:rsidR="00171F72" w:rsidRPr="00171F72" w:rsidRDefault="00171F72" w:rsidP="00CA0D72">
            <w:pPr>
              <w:pStyle w:val="Table"/>
              <w:ind w:right="-3"/>
            </w:pPr>
            <w:r w:rsidRPr="00171F72">
              <w:t xml:space="preserve">- </w:t>
            </w:r>
          </w:p>
        </w:tc>
        <w:tc>
          <w:tcPr>
            <w:tcW w:w="1809" w:type="dxa"/>
            <w:noWrap/>
          </w:tcPr>
          <w:p w14:paraId="794C47F0" w14:textId="77777777" w:rsidR="00171F72" w:rsidRPr="00171F72" w:rsidRDefault="00171F72" w:rsidP="00CA0D72">
            <w:pPr>
              <w:pStyle w:val="Table"/>
              <w:ind w:right="-3"/>
            </w:pPr>
            <w:r w:rsidRPr="00171F72">
              <w:t>26 (9%)</w:t>
            </w:r>
          </w:p>
        </w:tc>
      </w:tr>
      <w:tr w:rsidR="00171F72" w:rsidRPr="00171F72" w14:paraId="7CC4A60A" w14:textId="77777777" w:rsidTr="00F6268C">
        <w:trPr>
          <w:trHeight w:val="255"/>
        </w:trPr>
        <w:tc>
          <w:tcPr>
            <w:tcW w:w="1080" w:type="dxa"/>
            <w:noWrap/>
          </w:tcPr>
          <w:p w14:paraId="44F2BE1D" w14:textId="77777777" w:rsidR="00171F72" w:rsidRPr="00171F72" w:rsidRDefault="00171F72" w:rsidP="00CA0D72">
            <w:pPr>
              <w:pStyle w:val="Table"/>
              <w:ind w:right="-3"/>
            </w:pPr>
            <w:r w:rsidRPr="00171F72">
              <w:t>SA</w:t>
            </w:r>
          </w:p>
        </w:tc>
        <w:tc>
          <w:tcPr>
            <w:tcW w:w="1254" w:type="dxa"/>
            <w:noWrap/>
          </w:tcPr>
          <w:p w14:paraId="2F74462A" w14:textId="77777777" w:rsidR="00171F72" w:rsidRPr="00171F72" w:rsidRDefault="00171F72" w:rsidP="00CA0D72">
            <w:pPr>
              <w:pStyle w:val="Table"/>
              <w:ind w:right="-3"/>
            </w:pPr>
            <w:r w:rsidRPr="00171F72">
              <w:t>TC</w:t>
            </w:r>
          </w:p>
        </w:tc>
        <w:tc>
          <w:tcPr>
            <w:tcW w:w="1547" w:type="dxa"/>
            <w:noWrap/>
          </w:tcPr>
          <w:p w14:paraId="1AB474C1" w14:textId="77777777" w:rsidR="00171F72" w:rsidRPr="00171F72" w:rsidRDefault="00171F72" w:rsidP="00CA0D72">
            <w:pPr>
              <w:pStyle w:val="Table"/>
              <w:ind w:right="-3"/>
            </w:pPr>
            <w:r w:rsidRPr="00171F72">
              <w:t>89 (38%)</w:t>
            </w:r>
          </w:p>
        </w:tc>
        <w:tc>
          <w:tcPr>
            <w:tcW w:w="1547" w:type="dxa"/>
            <w:noWrap/>
          </w:tcPr>
          <w:p w14:paraId="17EFCC22" w14:textId="77777777" w:rsidR="00171F72" w:rsidRPr="00171F72" w:rsidRDefault="00171F72" w:rsidP="00CA0D72">
            <w:pPr>
              <w:pStyle w:val="Table"/>
              <w:ind w:right="-3"/>
            </w:pPr>
            <w:r w:rsidRPr="00171F72">
              <w:t>7 (1–23)</w:t>
            </w:r>
          </w:p>
        </w:tc>
        <w:tc>
          <w:tcPr>
            <w:tcW w:w="1360" w:type="dxa"/>
            <w:noWrap/>
          </w:tcPr>
          <w:p w14:paraId="6576FAC8" w14:textId="77777777" w:rsidR="00171F72" w:rsidRPr="00171F72" w:rsidRDefault="00171F72" w:rsidP="00CA0D72">
            <w:pPr>
              <w:pStyle w:val="Table"/>
              <w:ind w:right="-3"/>
            </w:pPr>
            <w:r w:rsidRPr="00171F72">
              <w:t>44 (15%)</w:t>
            </w:r>
          </w:p>
        </w:tc>
        <w:tc>
          <w:tcPr>
            <w:tcW w:w="1431" w:type="dxa"/>
            <w:noWrap/>
          </w:tcPr>
          <w:p w14:paraId="207FC0F8" w14:textId="77777777" w:rsidR="00171F72" w:rsidRPr="00171F72" w:rsidRDefault="00171F72" w:rsidP="00CA0D72">
            <w:pPr>
              <w:pStyle w:val="Table"/>
              <w:ind w:right="-3"/>
            </w:pPr>
            <w:r w:rsidRPr="00171F72">
              <w:t>28 (12–35)</w:t>
            </w:r>
          </w:p>
        </w:tc>
        <w:tc>
          <w:tcPr>
            <w:tcW w:w="1809" w:type="dxa"/>
            <w:noWrap/>
          </w:tcPr>
          <w:p w14:paraId="601ABCAA" w14:textId="77777777" w:rsidR="00171F72" w:rsidRPr="00171F72" w:rsidRDefault="00171F72" w:rsidP="00CA0D72">
            <w:pPr>
              <w:pStyle w:val="Table"/>
              <w:ind w:right="-3"/>
            </w:pPr>
            <w:r w:rsidRPr="00171F72">
              <w:t>15 (5%)</w:t>
            </w:r>
          </w:p>
        </w:tc>
      </w:tr>
      <w:tr w:rsidR="00171F72" w:rsidRPr="00171F72" w14:paraId="7EC26E42" w14:textId="77777777" w:rsidTr="00F6268C">
        <w:trPr>
          <w:trHeight w:val="255"/>
        </w:trPr>
        <w:tc>
          <w:tcPr>
            <w:tcW w:w="1080" w:type="dxa"/>
            <w:noWrap/>
          </w:tcPr>
          <w:p w14:paraId="1F22B722" w14:textId="3FC71638" w:rsidR="00171F72" w:rsidRPr="00171F72" w:rsidRDefault="00F6268C" w:rsidP="00CA0D72">
            <w:pPr>
              <w:pStyle w:val="Table"/>
              <w:ind w:right="-3"/>
            </w:pPr>
            <w:r w:rsidRPr="00171F72">
              <w:t>SA</w:t>
            </w:r>
          </w:p>
        </w:tc>
        <w:tc>
          <w:tcPr>
            <w:tcW w:w="1254" w:type="dxa"/>
            <w:noWrap/>
          </w:tcPr>
          <w:p w14:paraId="11D8639A" w14:textId="77777777" w:rsidR="00171F72" w:rsidRPr="00171F72" w:rsidRDefault="00171F72" w:rsidP="00CA0D72">
            <w:pPr>
              <w:pStyle w:val="Table"/>
              <w:ind w:right="-3"/>
            </w:pPr>
            <w:r w:rsidRPr="00171F72">
              <w:t>Control 1</w:t>
            </w:r>
          </w:p>
        </w:tc>
        <w:tc>
          <w:tcPr>
            <w:tcW w:w="1547" w:type="dxa"/>
            <w:noWrap/>
          </w:tcPr>
          <w:p w14:paraId="3571D307" w14:textId="77777777" w:rsidR="00171F72" w:rsidRPr="00171F72" w:rsidRDefault="00171F72" w:rsidP="00CA0D72">
            <w:pPr>
              <w:pStyle w:val="Table"/>
              <w:ind w:right="-3"/>
            </w:pPr>
            <w:r w:rsidRPr="00171F72">
              <w:t>44 (54%)</w:t>
            </w:r>
          </w:p>
        </w:tc>
        <w:tc>
          <w:tcPr>
            <w:tcW w:w="1547" w:type="dxa"/>
            <w:noWrap/>
          </w:tcPr>
          <w:p w14:paraId="6AB98357" w14:textId="77777777" w:rsidR="00171F72" w:rsidRPr="00171F72" w:rsidRDefault="00171F72" w:rsidP="00CA0D72">
            <w:pPr>
              <w:pStyle w:val="Table"/>
              <w:ind w:right="-3"/>
            </w:pPr>
            <w:r w:rsidRPr="00171F72">
              <w:t>12 (4–25)</w:t>
            </w:r>
          </w:p>
        </w:tc>
        <w:tc>
          <w:tcPr>
            <w:tcW w:w="1360" w:type="dxa"/>
            <w:noWrap/>
          </w:tcPr>
          <w:p w14:paraId="69F08B9A" w14:textId="77777777" w:rsidR="00171F72" w:rsidRPr="00171F72" w:rsidRDefault="00171F72" w:rsidP="00CA0D72">
            <w:pPr>
              <w:pStyle w:val="Table"/>
              <w:ind w:right="-3"/>
            </w:pPr>
            <w:r w:rsidRPr="00171F72">
              <w:t>26 (25%)</w:t>
            </w:r>
          </w:p>
        </w:tc>
        <w:tc>
          <w:tcPr>
            <w:tcW w:w="1431" w:type="dxa"/>
            <w:noWrap/>
          </w:tcPr>
          <w:p w14:paraId="4C287B78" w14:textId="77777777" w:rsidR="00171F72" w:rsidRPr="00171F72" w:rsidRDefault="00171F72" w:rsidP="00CA0D72">
            <w:pPr>
              <w:pStyle w:val="Table"/>
              <w:ind w:right="-3"/>
            </w:pPr>
            <w:r w:rsidRPr="00171F72">
              <w:t>36 (21–53)</w:t>
            </w:r>
          </w:p>
        </w:tc>
        <w:tc>
          <w:tcPr>
            <w:tcW w:w="1809" w:type="dxa"/>
            <w:noWrap/>
          </w:tcPr>
          <w:p w14:paraId="48159358" w14:textId="77777777" w:rsidR="00171F72" w:rsidRPr="00171F72" w:rsidRDefault="00171F72" w:rsidP="00CA0D72">
            <w:pPr>
              <w:pStyle w:val="Table"/>
              <w:ind w:right="-3"/>
            </w:pPr>
            <w:r w:rsidRPr="00171F72">
              <w:t>16 (16%)</w:t>
            </w:r>
          </w:p>
        </w:tc>
      </w:tr>
      <w:tr w:rsidR="00171F72" w:rsidRPr="00171F72" w14:paraId="456F29AF" w14:textId="77777777" w:rsidTr="00F6268C">
        <w:trPr>
          <w:trHeight w:val="255"/>
        </w:trPr>
        <w:tc>
          <w:tcPr>
            <w:tcW w:w="1080" w:type="dxa"/>
            <w:noWrap/>
          </w:tcPr>
          <w:p w14:paraId="040CCB46" w14:textId="53AC49D2" w:rsidR="00171F72" w:rsidRPr="00171F72" w:rsidRDefault="00F6268C" w:rsidP="00CA0D72">
            <w:pPr>
              <w:pStyle w:val="Table"/>
              <w:ind w:right="-3"/>
            </w:pPr>
            <w:r w:rsidRPr="00171F72">
              <w:t>SA</w:t>
            </w:r>
          </w:p>
        </w:tc>
        <w:tc>
          <w:tcPr>
            <w:tcW w:w="1254" w:type="dxa"/>
            <w:noWrap/>
          </w:tcPr>
          <w:p w14:paraId="79DEE21E" w14:textId="77777777" w:rsidR="00171F72" w:rsidRPr="00171F72" w:rsidRDefault="00171F72" w:rsidP="00CA0D72">
            <w:pPr>
              <w:pStyle w:val="Table"/>
              <w:ind w:right="-3"/>
            </w:pPr>
            <w:r w:rsidRPr="00171F72">
              <w:t>Control 2</w:t>
            </w:r>
          </w:p>
        </w:tc>
        <w:tc>
          <w:tcPr>
            <w:tcW w:w="1547" w:type="dxa"/>
            <w:noWrap/>
          </w:tcPr>
          <w:p w14:paraId="769580BF" w14:textId="77777777" w:rsidR="00171F72" w:rsidRPr="00171F72" w:rsidRDefault="00171F72" w:rsidP="00CA0D72">
            <w:pPr>
              <w:pStyle w:val="Table"/>
              <w:ind w:right="-3"/>
            </w:pPr>
            <w:r w:rsidRPr="00171F72">
              <w:t>95 (47%)</w:t>
            </w:r>
          </w:p>
        </w:tc>
        <w:tc>
          <w:tcPr>
            <w:tcW w:w="1547" w:type="dxa"/>
            <w:noWrap/>
          </w:tcPr>
          <w:p w14:paraId="60791625" w14:textId="77777777" w:rsidR="00171F72" w:rsidRPr="00171F72" w:rsidRDefault="00171F72" w:rsidP="00CA0D72">
            <w:pPr>
              <w:pStyle w:val="Table"/>
              <w:ind w:right="-3"/>
            </w:pPr>
            <w:r w:rsidRPr="00171F72">
              <w:t>10 (5–17)</w:t>
            </w:r>
          </w:p>
        </w:tc>
        <w:tc>
          <w:tcPr>
            <w:tcW w:w="1360" w:type="dxa"/>
            <w:noWrap/>
          </w:tcPr>
          <w:p w14:paraId="205385E6" w14:textId="77777777" w:rsidR="00171F72" w:rsidRPr="00171F72" w:rsidRDefault="00171F72" w:rsidP="00CA0D72">
            <w:pPr>
              <w:pStyle w:val="Table"/>
              <w:ind w:right="-3"/>
            </w:pPr>
            <w:r w:rsidRPr="00171F72">
              <w:t>42 (17%)</w:t>
            </w:r>
          </w:p>
        </w:tc>
        <w:tc>
          <w:tcPr>
            <w:tcW w:w="1431" w:type="dxa"/>
            <w:noWrap/>
          </w:tcPr>
          <w:p w14:paraId="3F449714" w14:textId="77777777" w:rsidR="00171F72" w:rsidRPr="00171F72" w:rsidRDefault="00171F72" w:rsidP="00CA0D72">
            <w:pPr>
              <w:pStyle w:val="Table"/>
              <w:ind w:right="-3"/>
            </w:pPr>
            <w:r w:rsidRPr="00171F72">
              <w:t>41 (25–61)</w:t>
            </w:r>
          </w:p>
        </w:tc>
        <w:tc>
          <w:tcPr>
            <w:tcW w:w="1809" w:type="dxa"/>
            <w:noWrap/>
          </w:tcPr>
          <w:p w14:paraId="4564C1E4" w14:textId="77777777" w:rsidR="00171F72" w:rsidRPr="00171F72" w:rsidRDefault="00171F72" w:rsidP="00CA0D72">
            <w:pPr>
              <w:pStyle w:val="Table"/>
              <w:ind w:right="-3"/>
            </w:pPr>
            <w:r w:rsidRPr="00171F72">
              <w:t>25 (10%)</w:t>
            </w:r>
          </w:p>
        </w:tc>
      </w:tr>
      <w:tr w:rsidR="00171F72" w:rsidRPr="00171F72" w14:paraId="7C3F1CB3" w14:textId="77777777" w:rsidTr="00F6268C">
        <w:trPr>
          <w:trHeight w:val="255"/>
        </w:trPr>
        <w:tc>
          <w:tcPr>
            <w:tcW w:w="1080" w:type="dxa"/>
            <w:noWrap/>
          </w:tcPr>
          <w:p w14:paraId="549F00F4" w14:textId="77777777" w:rsidR="00171F72" w:rsidRPr="00171F72" w:rsidRDefault="00171F72" w:rsidP="00CA0D72">
            <w:pPr>
              <w:pStyle w:val="Table"/>
              <w:ind w:right="-3"/>
            </w:pPr>
            <w:r w:rsidRPr="00171F72">
              <w:t>TAS</w:t>
            </w:r>
          </w:p>
        </w:tc>
        <w:tc>
          <w:tcPr>
            <w:tcW w:w="1254" w:type="dxa"/>
            <w:noWrap/>
          </w:tcPr>
          <w:p w14:paraId="72F47D6F" w14:textId="77777777" w:rsidR="00171F72" w:rsidRPr="00171F72" w:rsidRDefault="00171F72" w:rsidP="00CA0D72">
            <w:pPr>
              <w:pStyle w:val="Table"/>
              <w:ind w:right="-3"/>
            </w:pPr>
            <w:r w:rsidRPr="00171F72">
              <w:t>TC</w:t>
            </w:r>
          </w:p>
        </w:tc>
        <w:tc>
          <w:tcPr>
            <w:tcW w:w="1547" w:type="dxa"/>
            <w:noWrap/>
          </w:tcPr>
          <w:p w14:paraId="287D01A3" w14:textId="77777777" w:rsidR="00171F72" w:rsidRPr="00171F72" w:rsidRDefault="00171F72" w:rsidP="00CA0D72">
            <w:pPr>
              <w:pStyle w:val="Table"/>
              <w:ind w:right="-3"/>
            </w:pPr>
            <w:r w:rsidRPr="00171F72">
              <w:t>81 (83%)</w:t>
            </w:r>
          </w:p>
        </w:tc>
        <w:tc>
          <w:tcPr>
            <w:tcW w:w="1547" w:type="dxa"/>
            <w:noWrap/>
          </w:tcPr>
          <w:p w14:paraId="5EB49CDC" w14:textId="77777777" w:rsidR="00171F72" w:rsidRPr="00171F72" w:rsidRDefault="00171F72" w:rsidP="00CA0D72">
            <w:pPr>
              <w:pStyle w:val="Table"/>
              <w:ind w:right="-3"/>
            </w:pPr>
            <w:r w:rsidRPr="00171F72">
              <w:t>39 (14–65)</w:t>
            </w:r>
          </w:p>
        </w:tc>
        <w:tc>
          <w:tcPr>
            <w:tcW w:w="1360" w:type="dxa"/>
            <w:noWrap/>
          </w:tcPr>
          <w:p w14:paraId="51F28B2C" w14:textId="77777777" w:rsidR="00171F72" w:rsidRPr="00171F72" w:rsidRDefault="00171F72" w:rsidP="00CA0D72">
            <w:pPr>
              <w:pStyle w:val="Table"/>
              <w:ind w:right="-3"/>
            </w:pPr>
            <w:r w:rsidRPr="00171F72">
              <w:t>8 (8%)</w:t>
            </w:r>
          </w:p>
        </w:tc>
        <w:tc>
          <w:tcPr>
            <w:tcW w:w="1431" w:type="dxa"/>
            <w:noWrap/>
          </w:tcPr>
          <w:p w14:paraId="60D1FC5C" w14:textId="77777777" w:rsidR="00171F72" w:rsidRPr="00171F72" w:rsidRDefault="00171F72" w:rsidP="00CA0D72">
            <w:pPr>
              <w:pStyle w:val="Table"/>
              <w:ind w:right="-3"/>
            </w:pPr>
            <w:r w:rsidRPr="00171F72">
              <w:t>51 (39–61)</w:t>
            </w:r>
          </w:p>
        </w:tc>
        <w:tc>
          <w:tcPr>
            <w:tcW w:w="1809" w:type="dxa"/>
            <w:noWrap/>
          </w:tcPr>
          <w:p w14:paraId="72CB4C68" w14:textId="77777777" w:rsidR="00171F72" w:rsidRPr="00171F72" w:rsidRDefault="00171F72" w:rsidP="00CA0D72">
            <w:pPr>
              <w:pStyle w:val="Table"/>
              <w:ind w:right="-3"/>
            </w:pPr>
            <w:r w:rsidRPr="00171F72">
              <w:t>4 (4%)</w:t>
            </w:r>
          </w:p>
        </w:tc>
      </w:tr>
      <w:tr w:rsidR="00171F72" w:rsidRPr="00171F72" w14:paraId="793CEC5D" w14:textId="77777777" w:rsidTr="00F6268C">
        <w:trPr>
          <w:trHeight w:val="255"/>
        </w:trPr>
        <w:tc>
          <w:tcPr>
            <w:tcW w:w="1080" w:type="dxa"/>
            <w:noWrap/>
          </w:tcPr>
          <w:p w14:paraId="1C3D0706" w14:textId="2E8D256C" w:rsidR="00171F72" w:rsidRPr="00171F72" w:rsidRDefault="00F6268C" w:rsidP="00CA0D72">
            <w:pPr>
              <w:pStyle w:val="Table"/>
              <w:ind w:right="-3"/>
            </w:pPr>
            <w:r w:rsidRPr="00171F72">
              <w:t>TAS</w:t>
            </w:r>
          </w:p>
        </w:tc>
        <w:tc>
          <w:tcPr>
            <w:tcW w:w="1254" w:type="dxa"/>
            <w:noWrap/>
          </w:tcPr>
          <w:p w14:paraId="6C433EBA" w14:textId="77777777" w:rsidR="00171F72" w:rsidRPr="00171F72" w:rsidRDefault="00171F72" w:rsidP="00CA0D72">
            <w:pPr>
              <w:pStyle w:val="Table"/>
              <w:ind w:right="-3"/>
            </w:pPr>
            <w:r w:rsidRPr="00171F72">
              <w:t>Control 1</w:t>
            </w:r>
          </w:p>
        </w:tc>
        <w:tc>
          <w:tcPr>
            <w:tcW w:w="1547" w:type="dxa"/>
            <w:noWrap/>
          </w:tcPr>
          <w:p w14:paraId="6ACA65B2" w14:textId="77777777" w:rsidR="00171F72" w:rsidRPr="00171F72" w:rsidRDefault="00171F72" w:rsidP="00CA0D72">
            <w:pPr>
              <w:pStyle w:val="Table"/>
              <w:ind w:right="-3"/>
            </w:pPr>
            <w:r w:rsidRPr="00171F72">
              <w:t>6 (55%)</w:t>
            </w:r>
          </w:p>
        </w:tc>
        <w:tc>
          <w:tcPr>
            <w:tcW w:w="1547" w:type="dxa"/>
            <w:noWrap/>
          </w:tcPr>
          <w:p w14:paraId="71AC4EBA" w14:textId="77777777" w:rsidR="00171F72" w:rsidRPr="00171F72" w:rsidRDefault="00171F72" w:rsidP="00CA0D72">
            <w:pPr>
              <w:pStyle w:val="Table"/>
              <w:ind w:right="-3"/>
            </w:pPr>
            <w:r w:rsidRPr="00171F72">
              <w:t>4 (2–5)</w:t>
            </w:r>
          </w:p>
        </w:tc>
        <w:tc>
          <w:tcPr>
            <w:tcW w:w="1360" w:type="dxa"/>
            <w:noWrap/>
          </w:tcPr>
          <w:p w14:paraId="7A553984" w14:textId="77777777" w:rsidR="00171F72" w:rsidRPr="00171F72" w:rsidRDefault="00171F72" w:rsidP="00CA0D72">
            <w:pPr>
              <w:pStyle w:val="Table"/>
              <w:ind w:right="-3"/>
            </w:pPr>
            <w:r w:rsidRPr="00171F72">
              <w:t>1 (9%)</w:t>
            </w:r>
          </w:p>
        </w:tc>
        <w:tc>
          <w:tcPr>
            <w:tcW w:w="1431" w:type="dxa"/>
            <w:noWrap/>
          </w:tcPr>
          <w:p w14:paraId="328C7836" w14:textId="77777777" w:rsidR="00171F72" w:rsidRPr="00171F72" w:rsidRDefault="00171F72" w:rsidP="00CA0D72">
            <w:pPr>
              <w:pStyle w:val="Table"/>
              <w:ind w:right="-3"/>
            </w:pPr>
            <w:r w:rsidRPr="00171F72">
              <w:t xml:space="preserve">89 </w:t>
            </w:r>
          </w:p>
        </w:tc>
        <w:tc>
          <w:tcPr>
            <w:tcW w:w="1809" w:type="dxa"/>
            <w:noWrap/>
          </w:tcPr>
          <w:p w14:paraId="51EC81D0" w14:textId="77777777" w:rsidR="00171F72" w:rsidRPr="00171F72" w:rsidRDefault="00171F72" w:rsidP="00CA0D72">
            <w:pPr>
              <w:pStyle w:val="Table"/>
              <w:ind w:right="-3"/>
            </w:pPr>
            <w:r w:rsidRPr="00171F72">
              <w:t>0 (0%)</w:t>
            </w:r>
          </w:p>
        </w:tc>
      </w:tr>
      <w:tr w:rsidR="00171F72" w:rsidRPr="00171F72" w14:paraId="61CF82AB" w14:textId="77777777" w:rsidTr="00F6268C">
        <w:trPr>
          <w:trHeight w:val="255"/>
        </w:trPr>
        <w:tc>
          <w:tcPr>
            <w:tcW w:w="1080" w:type="dxa"/>
            <w:noWrap/>
          </w:tcPr>
          <w:p w14:paraId="3144A9E4" w14:textId="77E17739" w:rsidR="00171F72" w:rsidRPr="00171F72" w:rsidRDefault="00F6268C" w:rsidP="00CA0D72">
            <w:pPr>
              <w:pStyle w:val="Table"/>
              <w:ind w:right="-3"/>
            </w:pPr>
            <w:r w:rsidRPr="00171F72">
              <w:t>TAS</w:t>
            </w:r>
          </w:p>
        </w:tc>
        <w:tc>
          <w:tcPr>
            <w:tcW w:w="1254" w:type="dxa"/>
            <w:noWrap/>
          </w:tcPr>
          <w:p w14:paraId="32365E47" w14:textId="77777777" w:rsidR="00171F72" w:rsidRPr="00171F72" w:rsidRDefault="00171F72" w:rsidP="00CA0D72">
            <w:pPr>
              <w:pStyle w:val="Table"/>
              <w:ind w:right="-3"/>
            </w:pPr>
            <w:r w:rsidRPr="00171F72">
              <w:t>Control 2</w:t>
            </w:r>
          </w:p>
        </w:tc>
        <w:tc>
          <w:tcPr>
            <w:tcW w:w="1547" w:type="dxa"/>
            <w:noWrap/>
          </w:tcPr>
          <w:p w14:paraId="6ACBAA73" w14:textId="77777777" w:rsidR="00171F72" w:rsidRPr="00171F72" w:rsidRDefault="00171F72" w:rsidP="00CA0D72">
            <w:pPr>
              <w:pStyle w:val="Table"/>
              <w:ind w:right="-3"/>
            </w:pPr>
            <w:r w:rsidRPr="00171F72">
              <w:t>15 (60%)</w:t>
            </w:r>
          </w:p>
        </w:tc>
        <w:tc>
          <w:tcPr>
            <w:tcW w:w="1547" w:type="dxa"/>
            <w:noWrap/>
          </w:tcPr>
          <w:p w14:paraId="2256E3C2" w14:textId="77777777" w:rsidR="00171F72" w:rsidRPr="00171F72" w:rsidRDefault="00171F72" w:rsidP="00CA0D72">
            <w:pPr>
              <w:pStyle w:val="Table"/>
              <w:ind w:right="-3"/>
            </w:pPr>
            <w:r w:rsidRPr="00171F72">
              <w:t>14 (10–52)</w:t>
            </w:r>
          </w:p>
        </w:tc>
        <w:tc>
          <w:tcPr>
            <w:tcW w:w="1360" w:type="dxa"/>
            <w:noWrap/>
          </w:tcPr>
          <w:p w14:paraId="7A6C4531" w14:textId="77777777" w:rsidR="00171F72" w:rsidRPr="00171F72" w:rsidRDefault="00171F72" w:rsidP="00CA0D72">
            <w:pPr>
              <w:pStyle w:val="Table"/>
              <w:ind w:right="-3"/>
            </w:pPr>
            <w:r w:rsidRPr="00171F72">
              <w:t>4 (16%)</w:t>
            </w:r>
          </w:p>
        </w:tc>
        <w:tc>
          <w:tcPr>
            <w:tcW w:w="1431" w:type="dxa"/>
            <w:noWrap/>
          </w:tcPr>
          <w:p w14:paraId="26A76017" w14:textId="77777777" w:rsidR="00171F72" w:rsidRPr="00171F72" w:rsidRDefault="00171F72" w:rsidP="00CA0D72">
            <w:pPr>
              <w:pStyle w:val="Table"/>
              <w:ind w:right="-3"/>
            </w:pPr>
            <w:r w:rsidRPr="00171F72">
              <w:t>59 (37–77)</w:t>
            </w:r>
          </w:p>
        </w:tc>
        <w:tc>
          <w:tcPr>
            <w:tcW w:w="1809" w:type="dxa"/>
            <w:noWrap/>
          </w:tcPr>
          <w:p w14:paraId="7E1E0C6C" w14:textId="77777777" w:rsidR="00171F72" w:rsidRPr="00171F72" w:rsidRDefault="00171F72" w:rsidP="00CA0D72">
            <w:pPr>
              <w:pStyle w:val="Table"/>
              <w:ind w:right="-3"/>
            </w:pPr>
            <w:r w:rsidRPr="00171F72">
              <w:t>2 (8%)</w:t>
            </w:r>
          </w:p>
        </w:tc>
      </w:tr>
      <w:tr w:rsidR="00171F72" w:rsidRPr="00171F72" w14:paraId="76B2EF83" w14:textId="77777777" w:rsidTr="00F6268C">
        <w:trPr>
          <w:trHeight w:val="255"/>
        </w:trPr>
        <w:tc>
          <w:tcPr>
            <w:tcW w:w="1080" w:type="dxa"/>
            <w:noWrap/>
          </w:tcPr>
          <w:p w14:paraId="70D4C87D" w14:textId="77777777" w:rsidR="00171F72" w:rsidRPr="00171F72" w:rsidRDefault="00171F72" w:rsidP="00CA0D72">
            <w:pPr>
              <w:pStyle w:val="Table"/>
              <w:ind w:right="-3"/>
            </w:pPr>
            <w:r w:rsidRPr="00171F72">
              <w:t>VIC</w:t>
            </w:r>
          </w:p>
        </w:tc>
        <w:tc>
          <w:tcPr>
            <w:tcW w:w="1254" w:type="dxa"/>
            <w:noWrap/>
          </w:tcPr>
          <w:p w14:paraId="2E1C529B" w14:textId="77777777" w:rsidR="00171F72" w:rsidRPr="00171F72" w:rsidRDefault="00171F72" w:rsidP="00CA0D72">
            <w:pPr>
              <w:pStyle w:val="Table"/>
              <w:ind w:right="-3"/>
            </w:pPr>
            <w:r w:rsidRPr="00171F72">
              <w:t>TC</w:t>
            </w:r>
          </w:p>
        </w:tc>
        <w:tc>
          <w:tcPr>
            <w:tcW w:w="1547" w:type="dxa"/>
            <w:noWrap/>
          </w:tcPr>
          <w:p w14:paraId="0F99CD11" w14:textId="77777777" w:rsidR="00171F72" w:rsidRPr="00171F72" w:rsidRDefault="00171F72" w:rsidP="00CA0D72">
            <w:pPr>
              <w:pStyle w:val="Table"/>
              <w:ind w:right="-3"/>
            </w:pPr>
            <w:r w:rsidRPr="00171F72">
              <w:t>210 (30%)</w:t>
            </w:r>
          </w:p>
        </w:tc>
        <w:tc>
          <w:tcPr>
            <w:tcW w:w="1547" w:type="dxa"/>
            <w:noWrap/>
          </w:tcPr>
          <w:p w14:paraId="1A5CC6F7" w14:textId="77777777" w:rsidR="00171F72" w:rsidRPr="00171F72" w:rsidRDefault="00171F72" w:rsidP="00CA0D72">
            <w:pPr>
              <w:pStyle w:val="Table"/>
              <w:ind w:right="-3"/>
            </w:pPr>
            <w:r w:rsidRPr="00171F72">
              <w:t>10 (3–21)</w:t>
            </w:r>
          </w:p>
        </w:tc>
        <w:tc>
          <w:tcPr>
            <w:tcW w:w="1360" w:type="dxa"/>
            <w:noWrap/>
          </w:tcPr>
          <w:p w14:paraId="7449B7A3" w14:textId="77777777" w:rsidR="00171F72" w:rsidRPr="00171F72" w:rsidRDefault="00171F72" w:rsidP="00CA0D72">
            <w:pPr>
              <w:pStyle w:val="Table"/>
              <w:ind w:right="-3"/>
            </w:pPr>
            <w:r w:rsidRPr="00171F72">
              <w:t>107 (44%)</w:t>
            </w:r>
          </w:p>
        </w:tc>
        <w:tc>
          <w:tcPr>
            <w:tcW w:w="1431" w:type="dxa"/>
            <w:noWrap/>
          </w:tcPr>
          <w:p w14:paraId="4B16D41C" w14:textId="77777777" w:rsidR="00171F72" w:rsidRPr="00171F72" w:rsidRDefault="00171F72" w:rsidP="00CA0D72">
            <w:pPr>
              <w:pStyle w:val="Table"/>
              <w:ind w:right="-3"/>
            </w:pPr>
            <w:r w:rsidRPr="00171F72">
              <w:t>48 (27–66)</w:t>
            </w:r>
          </w:p>
        </w:tc>
        <w:tc>
          <w:tcPr>
            <w:tcW w:w="1809" w:type="dxa"/>
            <w:noWrap/>
          </w:tcPr>
          <w:p w14:paraId="45D42597" w14:textId="77777777" w:rsidR="00171F72" w:rsidRPr="00171F72" w:rsidRDefault="00171F72" w:rsidP="00CA0D72">
            <w:pPr>
              <w:pStyle w:val="Table"/>
              <w:ind w:right="-3"/>
            </w:pPr>
            <w:r w:rsidRPr="00171F72">
              <w:t>129 (14%)</w:t>
            </w:r>
          </w:p>
        </w:tc>
      </w:tr>
      <w:tr w:rsidR="00171F72" w:rsidRPr="00171F72" w14:paraId="5FEA9728" w14:textId="77777777" w:rsidTr="00F6268C">
        <w:trPr>
          <w:trHeight w:val="255"/>
        </w:trPr>
        <w:tc>
          <w:tcPr>
            <w:tcW w:w="1080" w:type="dxa"/>
            <w:noWrap/>
          </w:tcPr>
          <w:p w14:paraId="499B76BD" w14:textId="59488E44" w:rsidR="00171F72" w:rsidRPr="00171F72" w:rsidRDefault="00F6268C" w:rsidP="00CA0D72">
            <w:pPr>
              <w:pStyle w:val="Table"/>
              <w:ind w:right="-3"/>
            </w:pPr>
            <w:r w:rsidRPr="00171F72">
              <w:t>VIC</w:t>
            </w:r>
          </w:p>
        </w:tc>
        <w:tc>
          <w:tcPr>
            <w:tcW w:w="1254" w:type="dxa"/>
            <w:noWrap/>
          </w:tcPr>
          <w:p w14:paraId="6C271E21" w14:textId="77777777" w:rsidR="00171F72" w:rsidRPr="00171F72" w:rsidRDefault="00171F72" w:rsidP="00CA0D72">
            <w:pPr>
              <w:pStyle w:val="Table"/>
              <w:ind w:right="-3"/>
            </w:pPr>
            <w:r w:rsidRPr="00171F72">
              <w:t>Control 1</w:t>
            </w:r>
          </w:p>
        </w:tc>
        <w:tc>
          <w:tcPr>
            <w:tcW w:w="1547" w:type="dxa"/>
            <w:noWrap/>
          </w:tcPr>
          <w:p w14:paraId="33BBC04A" w14:textId="77777777" w:rsidR="00171F72" w:rsidRPr="00171F72" w:rsidRDefault="00171F72" w:rsidP="00CA0D72">
            <w:pPr>
              <w:pStyle w:val="Table"/>
              <w:ind w:right="-3"/>
            </w:pPr>
            <w:r w:rsidRPr="00171F72">
              <w:t>113 (36%)</w:t>
            </w:r>
          </w:p>
        </w:tc>
        <w:tc>
          <w:tcPr>
            <w:tcW w:w="1547" w:type="dxa"/>
            <w:noWrap/>
          </w:tcPr>
          <w:p w14:paraId="44CCAABA" w14:textId="77777777" w:rsidR="00171F72" w:rsidRPr="00171F72" w:rsidRDefault="00171F72" w:rsidP="00CA0D72">
            <w:pPr>
              <w:pStyle w:val="Table"/>
              <w:ind w:right="-3"/>
            </w:pPr>
            <w:r w:rsidRPr="00171F72">
              <w:t>11 (4–27)</w:t>
            </w:r>
          </w:p>
        </w:tc>
        <w:tc>
          <w:tcPr>
            <w:tcW w:w="1360" w:type="dxa"/>
            <w:noWrap/>
          </w:tcPr>
          <w:p w14:paraId="7ABE8539" w14:textId="77777777" w:rsidR="00171F72" w:rsidRPr="00171F72" w:rsidRDefault="00171F72" w:rsidP="00CA0D72">
            <w:pPr>
              <w:pStyle w:val="Table"/>
              <w:ind w:right="-3"/>
            </w:pPr>
            <w:r w:rsidRPr="00171F72">
              <w:t>261 (60%)</w:t>
            </w:r>
          </w:p>
        </w:tc>
        <w:tc>
          <w:tcPr>
            <w:tcW w:w="1431" w:type="dxa"/>
            <w:noWrap/>
          </w:tcPr>
          <w:p w14:paraId="7A09CBDF" w14:textId="77777777" w:rsidR="00171F72" w:rsidRPr="00171F72" w:rsidRDefault="00171F72" w:rsidP="00CA0D72">
            <w:pPr>
              <w:pStyle w:val="Table"/>
              <w:ind w:right="-3"/>
            </w:pPr>
            <w:r w:rsidRPr="00171F72">
              <w:t>77 (56–85)</w:t>
            </w:r>
          </w:p>
        </w:tc>
        <w:tc>
          <w:tcPr>
            <w:tcW w:w="1809" w:type="dxa"/>
            <w:noWrap/>
          </w:tcPr>
          <w:p w14:paraId="64DF2711" w14:textId="77777777" w:rsidR="00171F72" w:rsidRPr="00171F72" w:rsidRDefault="00171F72" w:rsidP="00CA0D72">
            <w:pPr>
              <w:pStyle w:val="Table"/>
              <w:ind w:right="-3"/>
            </w:pPr>
            <w:r w:rsidRPr="00171F72">
              <w:t>75 (17%)</w:t>
            </w:r>
          </w:p>
        </w:tc>
      </w:tr>
      <w:tr w:rsidR="00171F72" w:rsidRPr="00171F72" w14:paraId="5F10F35C" w14:textId="77777777" w:rsidTr="00F6268C">
        <w:trPr>
          <w:trHeight w:val="255"/>
        </w:trPr>
        <w:tc>
          <w:tcPr>
            <w:tcW w:w="1080" w:type="dxa"/>
            <w:noWrap/>
          </w:tcPr>
          <w:p w14:paraId="45B5CD85" w14:textId="4F86A530" w:rsidR="00171F72" w:rsidRPr="00171F72" w:rsidRDefault="00F6268C" w:rsidP="00CA0D72">
            <w:pPr>
              <w:pStyle w:val="Table"/>
              <w:ind w:right="-3"/>
            </w:pPr>
            <w:r w:rsidRPr="00171F72">
              <w:t>VIC</w:t>
            </w:r>
          </w:p>
        </w:tc>
        <w:tc>
          <w:tcPr>
            <w:tcW w:w="1254" w:type="dxa"/>
            <w:noWrap/>
          </w:tcPr>
          <w:p w14:paraId="6A9A480C" w14:textId="77777777" w:rsidR="00171F72" w:rsidRPr="00171F72" w:rsidRDefault="00171F72" w:rsidP="00CA0D72">
            <w:pPr>
              <w:pStyle w:val="Table"/>
              <w:ind w:right="-3"/>
            </w:pPr>
            <w:r w:rsidRPr="00171F72">
              <w:t>Control 2</w:t>
            </w:r>
          </w:p>
        </w:tc>
        <w:tc>
          <w:tcPr>
            <w:tcW w:w="1547" w:type="dxa"/>
            <w:noWrap/>
          </w:tcPr>
          <w:p w14:paraId="3BCAE14E" w14:textId="77777777" w:rsidR="00171F72" w:rsidRPr="00171F72" w:rsidRDefault="00171F72" w:rsidP="00CA0D72">
            <w:pPr>
              <w:pStyle w:val="Table"/>
              <w:ind w:right="-3"/>
            </w:pPr>
            <w:r w:rsidRPr="00171F72">
              <w:t>107 (47%)</w:t>
            </w:r>
          </w:p>
        </w:tc>
        <w:tc>
          <w:tcPr>
            <w:tcW w:w="1547" w:type="dxa"/>
            <w:noWrap/>
          </w:tcPr>
          <w:p w14:paraId="71324B38" w14:textId="77777777" w:rsidR="00171F72" w:rsidRPr="00171F72" w:rsidRDefault="00171F72" w:rsidP="00CA0D72">
            <w:pPr>
              <w:pStyle w:val="Table"/>
              <w:ind w:right="-3"/>
            </w:pPr>
            <w:r w:rsidRPr="00171F72">
              <w:t>18 (8–29)</w:t>
            </w:r>
          </w:p>
        </w:tc>
        <w:tc>
          <w:tcPr>
            <w:tcW w:w="1360" w:type="dxa"/>
            <w:noWrap/>
          </w:tcPr>
          <w:p w14:paraId="317C940A" w14:textId="77777777" w:rsidR="00171F72" w:rsidRPr="00171F72" w:rsidRDefault="00171F72" w:rsidP="00CA0D72">
            <w:pPr>
              <w:pStyle w:val="Table"/>
              <w:ind w:right="-3"/>
            </w:pPr>
            <w:r w:rsidRPr="00171F72">
              <w:t>93 (30%)</w:t>
            </w:r>
          </w:p>
        </w:tc>
        <w:tc>
          <w:tcPr>
            <w:tcW w:w="1431" w:type="dxa"/>
            <w:noWrap/>
          </w:tcPr>
          <w:p w14:paraId="1347FE4E" w14:textId="77777777" w:rsidR="00171F72" w:rsidRPr="00171F72" w:rsidRDefault="00171F72" w:rsidP="00CA0D72">
            <w:pPr>
              <w:pStyle w:val="Table"/>
              <w:ind w:right="-3"/>
            </w:pPr>
            <w:r w:rsidRPr="00171F72">
              <w:t>63 (37–77)</w:t>
            </w:r>
          </w:p>
        </w:tc>
        <w:tc>
          <w:tcPr>
            <w:tcW w:w="1809" w:type="dxa"/>
            <w:noWrap/>
          </w:tcPr>
          <w:p w14:paraId="4BF3B26E" w14:textId="77777777" w:rsidR="00171F72" w:rsidRPr="00171F72" w:rsidRDefault="00171F72" w:rsidP="00CA0D72">
            <w:pPr>
              <w:pStyle w:val="Table"/>
              <w:ind w:right="-3"/>
            </w:pPr>
            <w:r w:rsidRPr="00171F72">
              <w:t>27 (9%)</w:t>
            </w:r>
          </w:p>
        </w:tc>
      </w:tr>
      <w:tr w:rsidR="00171F72" w:rsidRPr="00171F72" w14:paraId="049899EA" w14:textId="77777777" w:rsidTr="00F6268C">
        <w:trPr>
          <w:trHeight w:val="255"/>
        </w:trPr>
        <w:tc>
          <w:tcPr>
            <w:tcW w:w="1080" w:type="dxa"/>
            <w:noWrap/>
          </w:tcPr>
          <w:p w14:paraId="2855029D" w14:textId="77777777" w:rsidR="00171F72" w:rsidRPr="00171F72" w:rsidRDefault="00171F72" w:rsidP="00CA0D72">
            <w:pPr>
              <w:pStyle w:val="Table"/>
              <w:ind w:right="-3"/>
            </w:pPr>
            <w:r w:rsidRPr="00171F72">
              <w:t>WA</w:t>
            </w:r>
          </w:p>
        </w:tc>
        <w:tc>
          <w:tcPr>
            <w:tcW w:w="1254" w:type="dxa"/>
            <w:noWrap/>
          </w:tcPr>
          <w:p w14:paraId="605213FB" w14:textId="77777777" w:rsidR="00171F72" w:rsidRPr="00171F72" w:rsidRDefault="00171F72" w:rsidP="00CA0D72">
            <w:pPr>
              <w:pStyle w:val="Table"/>
              <w:ind w:right="-3"/>
            </w:pPr>
            <w:r w:rsidRPr="00171F72">
              <w:t>TC</w:t>
            </w:r>
          </w:p>
        </w:tc>
        <w:tc>
          <w:tcPr>
            <w:tcW w:w="1547" w:type="dxa"/>
            <w:noWrap/>
          </w:tcPr>
          <w:p w14:paraId="47D560F2" w14:textId="77777777" w:rsidR="00171F72" w:rsidRPr="00171F72" w:rsidRDefault="00171F72" w:rsidP="00CA0D72">
            <w:pPr>
              <w:pStyle w:val="Table"/>
              <w:ind w:right="-3"/>
            </w:pPr>
            <w:r w:rsidRPr="00171F72">
              <w:t>43 (31%)</w:t>
            </w:r>
          </w:p>
        </w:tc>
        <w:tc>
          <w:tcPr>
            <w:tcW w:w="1547" w:type="dxa"/>
            <w:noWrap/>
          </w:tcPr>
          <w:p w14:paraId="5FF4F8CE" w14:textId="77777777" w:rsidR="00171F72" w:rsidRPr="00171F72" w:rsidRDefault="00171F72" w:rsidP="00CA0D72">
            <w:pPr>
              <w:pStyle w:val="Table"/>
              <w:ind w:right="-3"/>
            </w:pPr>
            <w:r w:rsidRPr="00171F72">
              <w:t>14 (2–38)</w:t>
            </w:r>
          </w:p>
        </w:tc>
        <w:tc>
          <w:tcPr>
            <w:tcW w:w="1360" w:type="dxa"/>
            <w:noWrap/>
          </w:tcPr>
          <w:p w14:paraId="53F9EF52" w14:textId="77777777" w:rsidR="00171F72" w:rsidRPr="00171F72" w:rsidRDefault="00171F72" w:rsidP="00CA0D72">
            <w:pPr>
              <w:pStyle w:val="Table"/>
              <w:ind w:right="-3"/>
            </w:pPr>
            <w:r w:rsidRPr="00171F72">
              <w:t>16 (12%)</w:t>
            </w:r>
          </w:p>
        </w:tc>
        <w:tc>
          <w:tcPr>
            <w:tcW w:w="1431" w:type="dxa"/>
            <w:noWrap/>
          </w:tcPr>
          <w:p w14:paraId="365EF9A0" w14:textId="77777777" w:rsidR="00171F72" w:rsidRPr="00171F72" w:rsidRDefault="00171F72" w:rsidP="00CA0D72">
            <w:pPr>
              <w:pStyle w:val="Table"/>
              <w:ind w:right="-3"/>
            </w:pPr>
            <w:r w:rsidRPr="00171F72">
              <w:t>32 (12–44)</w:t>
            </w:r>
          </w:p>
        </w:tc>
        <w:tc>
          <w:tcPr>
            <w:tcW w:w="1809" w:type="dxa"/>
            <w:noWrap/>
          </w:tcPr>
          <w:p w14:paraId="749B4AFC" w14:textId="77777777" w:rsidR="00171F72" w:rsidRPr="00171F72" w:rsidRDefault="00171F72" w:rsidP="00CA0D72">
            <w:pPr>
              <w:pStyle w:val="Table"/>
              <w:ind w:right="-3"/>
            </w:pPr>
            <w:r w:rsidRPr="00171F72">
              <w:t>7 (5%)</w:t>
            </w:r>
          </w:p>
        </w:tc>
      </w:tr>
      <w:tr w:rsidR="00171F72" w:rsidRPr="00171F72" w14:paraId="46029248" w14:textId="77777777" w:rsidTr="00F6268C">
        <w:trPr>
          <w:trHeight w:val="255"/>
        </w:trPr>
        <w:tc>
          <w:tcPr>
            <w:tcW w:w="1080" w:type="dxa"/>
            <w:noWrap/>
          </w:tcPr>
          <w:p w14:paraId="6D555CEE" w14:textId="72B85F51" w:rsidR="00171F72" w:rsidRPr="00171F72" w:rsidRDefault="00F6268C" w:rsidP="00CA0D72">
            <w:pPr>
              <w:pStyle w:val="Table"/>
              <w:ind w:right="-3"/>
            </w:pPr>
            <w:r w:rsidRPr="00171F72">
              <w:t>WA</w:t>
            </w:r>
          </w:p>
        </w:tc>
        <w:tc>
          <w:tcPr>
            <w:tcW w:w="1254" w:type="dxa"/>
            <w:noWrap/>
          </w:tcPr>
          <w:p w14:paraId="7EDAF5C4" w14:textId="77777777" w:rsidR="00171F72" w:rsidRPr="00171F72" w:rsidRDefault="00171F72" w:rsidP="00CA0D72">
            <w:pPr>
              <w:pStyle w:val="Table"/>
              <w:ind w:right="-3"/>
            </w:pPr>
            <w:r w:rsidRPr="00171F72">
              <w:t>Control 1</w:t>
            </w:r>
          </w:p>
        </w:tc>
        <w:tc>
          <w:tcPr>
            <w:tcW w:w="1547" w:type="dxa"/>
            <w:noWrap/>
          </w:tcPr>
          <w:p w14:paraId="31136234" w14:textId="77777777" w:rsidR="00171F72" w:rsidRPr="00171F72" w:rsidRDefault="00171F72" w:rsidP="00CA0D72">
            <w:pPr>
              <w:pStyle w:val="Table"/>
              <w:ind w:right="-3"/>
            </w:pPr>
            <w:r w:rsidRPr="00171F72">
              <w:t>55 (44%)</w:t>
            </w:r>
          </w:p>
        </w:tc>
        <w:tc>
          <w:tcPr>
            <w:tcW w:w="1547" w:type="dxa"/>
            <w:noWrap/>
          </w:tcPr>
          <w:p w14:paraId="4FAB446C" w14:textId="77777777" w:rsidR="00171F72" w:rsidRPr="00171F72" w:rsidRDefault="00171F72" w:rsidP="00CA0D72">
            <w:pPr>
              <w:pStyle w:val="Table"/>
              <w:ind w:right="-3"/>
            </w:pPr>
            <w:r w:rsidRPr="00171F72">
              <w:t>8 (4–33)</w:t>
            </w:r>
          </w:p>
        </w:tc>
        <w:tc>
          <w:tcPr>
            <w:tcW w:w="1360" w:type="dxa"/>
            <w:noWrap/>
          </w:tcPr>
          <w:p w14:paraId="786CD3C6" w14:textId="77777777" w:rsidR="00171F72" w:rsidRPr="00171F72" w:rsidRDefault="00171F72" w:rsidP="00CA0D72">
            <w:pPr>
              <w:pStyle w:val="Table"/>
              <w:ind w:right="-3"/>
            </w:pPr>
            <w:r w:rsidRPr="00171F72">
              <w:t>29 (23%)</w:t>
            </w:r>
          </w:p>
        </w:tc>
        <w:tc>
          <w:tcPr>
            <w:tcW w:w="1431" w:type="dxa"/>
            <w:noWrap/>
          </w:tcPr>
          <w:p w14:paraId="02054C64" w14:textId="77777777" w:rsidR="00171F72" w:rsidRPr="00171F72" w:rsidRDefault="00171F72" w:rsidP="00CA0D72">
            <w:pPr>
              <w:pStyle w:val="Table"/>
              <w:ind w:right="-3"/>
            </w:pPr>
            <w:r w:rsidRPr="00171F72">
              <w:t>46 (24–75)</w:t>
            </w:r>
          </w:p>
        </w:tc>
        <w:tc>
          <w:tcPr>
            <w:tcW w:w="1809" w:type="dxa"/>
            <w:noWrap/>
          </w:tcPr>
          <w:p w14:paraId="20505CBD" w14:textId="77777777" w:rsidR="00171F72" w:rsidRPr="00171F72" w:rsidRDefault="00171F72" w:rsidP="00CA0D72">
            <w:pPr>
              <w:pStyle w:val="Table"/>
              <w:ind w:right="-3"/>
            </w:pPr>
            <w:r w:rsidRPr="00171F72">
              <w:t>3 (2%)</w:t>
            </w:r>
          </w:p>
        </w:tc>
      </w:tr>
      <w:tr w:rsidR="00171F72" w:rsidRPr="00171F72" w14:paraId="7F3337E4" w14:textId="77777777" w:rsidTr="00F6268C">
        <w:trPr>
          <w:trHeight w:val="255"/>
        </w:trPr>
        <w:tc>
          <w:tcPr>
            <w:tcW w:w="1080" w:type="dxa"/>
            <w:noWrap/>
          </w:tcPr>
          <w:p w14:paraId="6BB2B9E8" w14:textId="262DA44F" w:rsidR="00171F72" w:rsidRPr="00171F72" w:rsidRDefault="00F6268C" w:rsidP="00CA0D72">
            <w:pPr>
              <w:pStyle w:val="Table"/>
              <w:ind w:right="-3"/>
            </w:pPr>
            <w:r w:rsidRPr="00171F72">
              <w:t>WA</w:t>
            </w:r>
          </w:p>
        </w:tc>
        <w:tc>
          <w:tcPr>
            <w:tcW w:w="1254" w:type="dxa"/>
            <w:noWrap/>
          </w:tcPr>
          <w:p w14:paraId="4292ECBF" w14:textId="77777777" w:rsidR="00171F72" w:rsidRPr="00171F72" w:rsidRDefault="00171F72" w:rsidP="00CA0D72">
            <w:pPr>
              <w:pStyle w:val="Table"/>
              <w:ind w:right="-3"/>
            </w:pPr>
            <w:r w:rsidRPr="00171F72">
              <w:t>Control 2</w:t>
            </w:r>
          </w:p>
        </w:tc>
        <w:tc>
          <w:tcPr>
            <w:tcW w:w="1547" w:type="dxa"/>
            <w:noWrap/>
          </w:tcPr>
          <w:p w14:paraId="199131C8" w14:textId="77777777" w:rsidR="00171F72" w:rsidRPr="00171F72" w:rsidRDefault="00171F72" w:rsidP="00CA0D72">
            <w:pPr>
              <w:pStyle w:val="Table"/>
              <w:ind w:right="-3"/>
            </w:pPr>
            <w:r w:rsidRPr="00171F72">
              <w:t>113 (51%)</w:t>
            </w:r>
          </w:p>
        </w:tc>
        <w:tc>
          <w:tcPr>
            <w:tcW w:w="1547" w:type="dxa"/>
            <w:noWrap/>
          </w:tcPr>
          <w:p w14:paraId="722F89B0" w14:textId="77777777" w:rsidR="00171F72" w:rsidRPr="00171F72" w:rsidRDefault="00171F72" w:rsidP="00CA0D72">
            <w:pPr>
              <w:pStyle w:val="Table"/>
              <w:ind w:right="-3"/>
            </w:pPr>
            <w:r w:rsidRPr="00171F72">
              <w:t>22 (8–39)</w:t>
            </w:r>
          </w:p>
        </w:tc>
        <w:tc>
          <w:tcPr>
            <w:tcW w:w="1360" w:type="dxa"/>
            <w:noWrap/>
          </w:tcPr>
          <w:p w14:paraId="24C22272" w14:textId="77777777" w:rsidR="00171F72" w:rsidRPr="00171F72" w:rsidRDefault="00171F72" w:rsidP="00CA0D72">
            <w:pPr>
              <w:pStyle w:val="Table"/>
              <w:ind w:right="-3"/>
            </w:pPr>
            <w:r w:rsidRPr="00171F72">
              <w:t>45 (20%)</w:t>
            </w:r>
          </w:p>
        </w:tc>
        <w:tc>
          <w:tcPr>
            <w:tcW w:w="1431" w:type="dxa"/>
            <w:noWrap/>
          </w:tcPr>
          <w:p w14:paraId="46B02C7B" w14:textId="77777777" w:rsidR="00171F72" w:rsidRPr="00171F72" w:rsidRDefault="00171F72" w:rsidP="00CA0D72">
            <w:pPr>
              <w:pStyle w:val="Table"/>
              <w:ind w:right="-3"/>
            </w:pPr>
            <w:r w:rsidRPr="00171F72">
              <w:t>51 (20–69)</w:t>
            </w:r>
          </w:p>
        </w:tc>
        <w:tc>
          <w:tcPr>
            <w:tcW w:w="1809" w:type="dxa"/>
            <w:noWrap/>
          </w:tcPr>
          <w:p w14:paraId="6FA745F2" w14:textId="77777777" w:rsidR="00171F72" w:rsidRPr="00171F72" w:rsidRDefault="00171F72" w:rsidP="00CA0D72">
            <w:pPr>
              <w:pStyle w:val="Table"/>
              <w:ind w:right="-3"/>
            </w:pPr>
            <w:r w:rsidRPr="00171F72">
              <w:t>14 (6%)</w:t>
            </w:r>
          </w:p>
        </w:tc>
      </w:tr>
      <w:tr w:rsidR="00171F72" w:rsidRPr="00171F72" w14:paraId="55E080E2" w14:textId="77777777" w:rsidTr="00F6268C">
        <w:trPr>
          <w:trHeight w:val="255"/>
        </w:trPr>
        <w:tc>
          <w:tcPr>
            <w:tcW w:w="1080" w:type="dxa"/>
            <w:noWrap/>
          </w:tcPr>
          <w:p w14:paraId="6AF42414" w14:textId="77777777" w:rsidR="00171F72" w:rsidRPr="00171F72" w:rsidRDefault="00171F72" w:rsidP="00CA0D72">
            <w:pPr>
              <w:pStyle w:val="Table"/>
              <w:ind w:right="-3"/>
            </w:pPr>
            <w:r w:rsidRPr="00171F72">
              <w:t>National</w:t>
            </w:r>
          </w:p>
        </w:tc>
        <w:tc>
          <w:tcPr>
            <w:tcW w:w="1254" w:type="dxa"/>
            <w:noWrap/>
          </w:tcPr>
          <w:p w14:paraId="33191604" w14:textId="77777777" w:rsidR="00171F72" w:rsidRPr="00171F72" w:rsidRDefault="00171F72" w:rsidP="00CA0D72">
            <w:pPr>
              <w:pStyle w:val="Table"/>
              <w:ind w:right="-3"/>
            </w:pPr>
            <w:r w:rsidRPr="00171F72">
              <w:t>TC</w:t>
            </w:r>
          </w:p>
        </w:tc>
        <w:tc>
          <w:tcPr>
            <w:tcW w:w="1547" w:type="dxa"/>
            <w:noWrap/>
          </w:tcPr>
          <w:p w14:paraId="646E6FF1" w14:textId="77777777" w:rsidR="00171F72" w:rsidRPr="00171F72" w:rsidRDefault="00171F72" w:rsidP="00CA0D72">
            <w:pPr>
              <w:pStyle w:val="Table"/>
              <w:ind w:right="-3"/>
            </w:pPr>
            <w:r w:rsidRPr="00171F72">
              <w:t>731 (37%)</w:t>
            </w:r>
          </w:p>
        </w:tc>
        <w:tc>
          <w:tcPr>
            <w:tcW w:w="1547" w:type="dxa"/>
            <w:noWrap/>
          </w:tcPr>
          <w:p w14:paraId="7BC95E3E" w14:textId="77777777" w:rsidR="00171F72" w:rsidRPr="00171F72" w:rsidRDefault="00171F72" w:rsidP="00CA0D72">
            <w:pPr>
              <w:pStyle w:val="Table"/>
              <w:ind w:right="-3"/>
            </w:pPr>
            <w:r w:rsidRPr="00171F72">
              <w:t>13 (4–31)</w:t>
            </w:r>
          </w:p>
        </w:tc>
        <w:tc>
          <w:tcPr>
            <w:tcW w:w="1360" w:type="dxa"/>
            <w:noWrap/>
          </w:tcPr>
          <w:p w14:paraId="77316DBA" w14:textId="77777777" w:rsidR="00171F72" w:rsidRPr="00171F72" w:rsidRDefault="00171F72" w:rsidP="00CA0D72">
            <w:pPr>
              <w:pStyle w:val="Table"/>
              <w:ind w:right="-3"/>
            </w:pPr>
            <w:r w:rsidRPr="00171F72">
              <w:t>534 (22%)</w:t>
            </w:r>
          </w:p>
        </w:tc>
        <w:tc>
          <w:tcPr>
            <w:tcW w:w="1431" w:type="dxa"/>
            <w:noWrap/>
          </w:tcPr>
          <w:p w14:paraId="3E4B667E" w14:textId="77777777" w:rsidR="00171F72" w:rsidRPr="00171F72" w:rsidRDefault="00171F72" w:rsidP="00CA0D72">
            <w:pPr>
              <w:pStyle w:val="Table"/>
              <w:ind w:right="-3"/>
            </w:pPr>
            <w:r w:rsidRPr="00171F72">
              <w:t>43 (23–63)</w:t>
            </w:r>
          </w:p>
        </w:tc>
        <w:tc>
          <w:tcPr>
            <w:tcW w:w="1809" w:type="dxa"/>
            <w:noWrap/>
          </w:tcPr>
          <w:p w14:paraId="6DA7B53B" w14:textId="77777777" w:rsidR="00171F72" w:rsidRPr="00171F72" w:rsidRDefault="00171F72" w:rsidP="00CA0D72">
            <w:pPr>
              <w:pStyle w:val="Table"/>
              <w:ind w:right="-3"/>
            </w:pPr>
            <w:r w:rsidRPr="00171F72">
              <w:t>203 (8%)</w:t>
            </w:r>
          </w:p>
        </w:tc>
      </w:tr>
      <w:tr w:rsidR="00171F72" w:rsidRPr="00171F72" w14:paraId="13B6BD07" w14:textId="77777777" w:rsidTr="00F6268C">
        <w:trPr>
          <w:trHeight w:val="255"/>
        </w:trPr>
        <w:tc>
          <w:tcPr>
            <w:tcW w:w="1080" w:type="dxa"/>
            <w:noWrap/>
          </w:tcPr>
          <w:p w14:paraId="20BD3FE3" w14:textId="3BB48E76" w:rsidR="00171F72" w:rsidRPr="00171F72" w:rsidRDefault="00F6268C" w:rsidP="00CA0D72">
            <w:pPr>
              <w:pStyle w:val="Table"/>
              <w:ind w:right="-3"/>
            </w:pPr>
            <w:r w:rsidRPr="00171F72">
              <w:t>Nation</w:t>
            </w:r>
          </w:p>
        </w:tc>
        <w:tc>
          <w:tcPr>
            <w:tcW w:w="1254" w:type="dxa"/>
            <w:noWrap/>
          </w:tcPr>
          <w:p w14:paraId="17489C84" w14:textId="77777777" w:rsidR="00171F72" w:rsidRPr="00171F72" w:rsidRDefault="00171F72" w:rsidP="00CA0D72">
            <w:pPr>
              <w:pStyle w:val="Table"/>
              <w:ind w:right="-3"/>
            </w:pPr>
            <w:r w:rsidRPr="00171F72">
              <w:t>Control 1</w:t>
            </w:r>
          </w:p>
        </w:tc>
        <w:tc>
          <w:tcPr>
            <w:tcW w:w="1547" w:type="dxa"/>
            <w:noWrap/>
          </w:tcPr>
          <w:p w14:paraId="57A93E81" w14:textId="77777777" w:rsidR="00171F72" w:rsidRPr="00171F72" w:rsidRDefault="00171F72" w:rsidP="00CA0D72">
            <w:pPr>
              <w:pStyle w:val="Table"/>
              <w:ind w:right="-3"/>
            </w:pPr>
            <w:r w:rsidRPr="00171F72">
              <w:t>287 (42%)</w:t>
            </w:r>
          </w:p>
        </w:tc>
        <w:tc>
          <w:tcPr>
            <w:tcW w:w="1547" w:type="dxa"/>
            <w:noWrap/>
          </w:tcPr>
          <w:p w14:paraId="12CFD0CE" w14:textId="77777777" w:rsidR="00171F72" w:rsidRPr="00171F72" w:rsidRDefault="00171F72" w:rsidP="00CA0D72">
            <w:pPr>
              <w:pStyle w:val="Table"/>
              <w:ind w:right="-3"/>
            </w:pPr>
            <w:r w:rsidRPr="00171F72">
              <w:t>11 (4–28)</w:t>
            </w:r>
          </w:p>
        </w:tc>
        <w:tc>
          <w:tcPr>
            <w:tcW w:w="1360" w:type="dxa"/>
            <w:noWrap/>
          </w:tcPr>
          <w:p w14:paraId="498A1E91" w14:textId="77777777" w:rsidR="00171F72" w:rsidRPr="00171F72" w:rsidRDefault="00171F72" w:rsidP="00CA0D72">
            <w:pPr>
              <w:pStyle w:val="Table"/>
              <w:ind w:right="-3"/>
            </w:pPr>
            <w:r w:rsidRPr="00171F72">
              <w:t>339 (39%)</w:t>
            </w:r>
          </w:p>
        </w:tc>
        <w:tc>
          <w:tcPr>
            <w:tcW w:w="1431" w:type="dxa"/>
            <w:noWrap/>
          </w:tcPr>
          <w:p w14:paraId="52C36F33" w14:textId="77777777" w:rsidR="00171F72" w:rsidRPr="00171F72" w:rsidRDefault="00171F72" w:rsidP="00CA0D72">
            <w:pPr>
              <w:pStyle w:val="Table"/>
              <w:ind w:right="-3"/>
            </w:pPr>
            <w:r w:rsidRPr="00171F72">
              <w:t>71 (46–84)</w:t>
            </w:r>
          </w:p>
        </w:tc>
        <w:tc>
          <w:tcPr>
            <w:tcW w:w="1809" w:type="dxa"/>
            <w:noWrap/>
          </w:tcPr>
          <w:p w14:paraId="2E8DDF28" w14:textId="77777777" w:rsidR="00171F72" w:rsidRPr="00171F72" w:rsidRDefault="00171F72" w:rsidP="00CA0D72">
            <w:pPr>
              <w:pStyle w:val="Table"/>
              <w:ind w:right="-3"/>
            </w:pPr>
            <w:r w:rsidRPr="00171F72">
              <w:t>111 (13%)</w:t>
            </w:r>
          </w:p>
        </w:tc>
      </w:tr>
      <w:tr w:rsidR="00171F72" w:rsidRPr="00171F72" w14:paraId="5732570C" w14:textId="77777777" w:rsidTr="00F6268C">
        <w:trPr>
          <w:trHeight w:val="255"/>
        </w:trPr>
        <w:tc>
          <w:tcPr>
            <w:tcW w:w="1080" w:type="dxa"/>
            <w:noWrap/>
          </w:tcPr>
          <w:p w14:paraId="647E718F" w14:textId="18CA0AB4" w:rsidR="00171F72" w:rsidRPr="00171F72" w:rsidRDefault="00F6268C" w:rsidP="00CA0D72">
            <w:pPr>
              <w:pStyle w:val="Table"/>
              <w:ind w:right="-3"/>
            </w:pPr>
            <w:r w:rsidRPr="00171F72">
              <w:t>Nation</w:t>
            </w:r>
          </w:p>
        </w:tc>
        <w:tc>
          <w:tcPr>
            <w:tcW w:w="1254" w:type="dxa"/>
            <w:noWrap/>
          </w:tcPr>
          <w:p w14:paraId="61D767BE" w14:textId="77777777" w:rsidR="00171F72" w:rsidRPr="00171F72" w:rsidRDefault="00171F72" w:rsidP="00CA0D72">
            <w:pPr>
              <w:pStyle w:val="Table"/>
              <w:ind w:right="-3"/>
            </w:pPr>
            <w:r w:rsidRPr="00171F72">
              <w:t>Control 2</w:t>
            </w:r>
          </w:p>
        </w:tc>
        <w:tc>
          <w:tcPr>
            <w:tcW w:w="1547" w:type="dxa"/>
            <w:noWrap/>
          </w:tcPr>
          <w:p w14:paraId="1FB3DA56" w14:textId="77777777" w:rsidR="00171F72" w:rsidRPr="00171F72" w:rsidRDefault="00171F72" w:rsidP="00CA0D72">
            <w:pPr>
              <w:pStyle w:val="Table"/>
              <w:ind w:right="-3"/>
            </w:pPr>
            <w:r w:rsidRPr="00171F72">
              <w:t>1744 (45%)</w:t>
            </w:r>
          </w:p>
        </w:tc>
        <w:tc>
          <w:tcPr>
            <w:tcW w:w="1547" w:type="dxa"/>
            <w:noWrap/>
          </w:tcPr>
          <w:p w14:paraId="51CBE7D0" w14:textId="77777777" w:rsidR="00171F72" w:rsidRPr="00171F72" w:rsidRDefault="00171F72" w:rsidP="00CA0D72">
            <w:pPr>
              <w:pStyle w:val="Table"/>
              <w:ind w:right="-3"/>
            </w:pPr>
            <w:r w:rsidRPr="00171F72">
              <w:t>14 (6–28)</w:t>
            </w:r>
          </w:p>
        </w:tc>
        <w:tc>
          <w:tcPr>
            <w:tcW w:w="1360" w:type="dxa"/>
            <w:noWrap/>
          </w:tcPr>
          <w:p w14:paraId="1688F6D9" w14:textId="77777777" w:rsidR="00171F72" w:rsidRPr="00171F72" w:rsidRDefault="00171F72" w:rsidP="00CA0D72">
            <w:pPr>
              <w:pStyle w:val="Table"/>
              <w:ind w:right="-3"/>
            </w:pPr>
            <w:r w:rsidRPr="00171F72">
              <w:t>356 (16%)</w:t>
            </w:r>
          </w:p>
        </w:tc>
        <w:tc>
          <w:tcPr>
            <w:tcW w:w="1431" w:type="dxa"/>
            <w:noWrap/>
          </w:tcPr>
          <w:p w14:paraId="1F72A5F8" w14:textId="77777777" w:rsidR="00171F72" w:rsidRPr="00171F72" w:rsidRDefault="00171F72" w:rsidP="00CA0D72">
            <w:pPr>
              <w:pStyle w:val="Table"/>
              <w:ind w:right="-3"/>
            </w:pPr>
            <w:r w:rsidRPr="00171F72">
              <w:t>45 (26–69)</w:t>
            </w:r>
          </w:p>
        </w:tc>
        <w:tc>
          <w:tcPr>
            <w:tcW w:w="1809" w:type="dxa"/>
            <w:noWrap/>
          </w:tcPr>
          <w:p w14:paraId="0C55EB58" w14:textId="77777777" w:rsidR="00171F72" w:rsidRPr="00171F72" w:rsidRDefault="00171F72" w:rsidP="00CA0D72">
            <w:pPr>
              <w:pStyle w:val="Table"/>
              <w:ind w:right="-3"/>
            </w:pPr>
            <w:r w:rsidRPr="00171F72">
              <w:t>215 (10%)</w:t>
            </w:r>
          </w:p>
        </w:tc>
      </w:tr>
    </w:tbl>
    <w:p w14:paraId="41425D86" w14:textId="77777777" w:rsidR="00171F72" w:rsidRDefault="00171F72" w:rsidP="00CA0D72">
      <w:pPr>
        <w:pStyle w:val="Note"/>
        <w:ind w:right="-3"/>
      </w:pPr>
    </w:p>
    <w:p w14:paraId="33378657" w14:textId="77777777" w:rsidR="005D7ABA" w:rsidRDefault="00533847" w:rsidP="00CA0D72">
      <w:pPr>
        <w:pStyle w:val="Note"/>
        <w:ind w:right="-3"/>
      </w:pPr>
      <w:r w:rsidRPr="00533847">
        <w:t xml:space="preserve">* Too few individuals to present results without compromising </w:t>
      </w:r>
      <w:proofErr w:type="spellStart"/>
      <w:r w:rsidRPr="00533847">
        <w:t>identifiability</w:t>
      </w:r>
      <w:proofErr w:type="spellEnd"/>
    </w:p>
    <w:p w14:paraId="7501BF96" w14:textId="2A950D9A" w:rsidR="00533847" w:rsidRPr="00533847" w:rsidRDefault="00533847" w:rsidP="00CA0D72">
      <w:pPr>
        <w:ind w:right="-3"/>
      </w:pPr>
    </w:p>
    <w:p w14:paraId="5F1FC63E" w14:textId="77777777" w:rsidR="00533847" w:rsidRPr="00533847" w:rsidRDefault="00EA03B3" w:rsidP="00F6268C">
      <w:pPr>
        <w:pStyle w:val="Heading4"/>
      </w:pPr>
      <w:r>
        <w:br w:type="page"/>
      </w:r>
      <w:r w:rsidR="00533847" w:rsidRPr="00533847">
        <w:lastRenderedPageBreak/>
        <w:t xml:space="preserve">Table 5.4: Hospital readmissions, residential aged care admissions, and deaths for Transition Care recipients, Control 1 and Control 2 at six months post ACAT approval </w:t>
      </w:r>
    </w:p>
    <w:tbl>
      <w:tblPr>
        <w:tblStyle w:val="TableGrid"/>
        <w:tblW w:w="9572" w:type="dxa"/>
        <w:tblLayout w:type="fixed"/>
        <w:tblLook w:val="0000" w:firstRow="0" w:lastRow="0" w:firstColumn="0" w:lastColumn="0" w:noHBand="0" w:noVBand="0"/>
        <w:tblDescription w:val="Table 5.4: Hospital readmissions, residential aged care admissions, and deaths for Transition Care recipients, Control 1 and Control 2 at six months post ACAT approval "/>
      </w:tblPr>
      <w:tblGrid>
        <w:gridCol w:w="1242"/>
        <w:gridCol w:w="1134"/>
        <w:gridCol w:w="1439"/>
        <w:gridCol w:w="1439"/>
        <w:gridCol w:w="1439"/>
        <w:gridCol w:w="1637"/>
        <w:gridCol w:w="1242"/>
      </w:tblGrid>
      <w:tr w:rsidR="00AE5ADF" w14:paraId="0151A89C" w14:textId="77777777" w:rsidTr="00AE5ADF">
        <w:trPr>
          <w:trHeight w:val="255"/>
          <w:tblHeader/>
        </w:trPr>
        <w:tc>
          <w:tcPr>
            <w:tcW w:w="1242" w:type="dxa"/>
            <w:noWrap/>
          </w:tcPr>
          <w:p w14:paraId="7C1D091C" w14:textId="33133046" w:rsidR="00AE5ADF" w:rsidRPr="00AE5ADF" w:rsidRDefault="00AE5ADF" w:rsidP="00CA0D72">
            <w:pPr>
              <w:pStyle w:val="Table"/>
              <w:ind w:right="-3"/>
              <w:rPr>
                <w:b/>
              </w:rPr>
            </w:pPr>
            <w:r w:rsidRPr="00AE5ADF">
              <w:rPr>
                <w:b/>
              </w:rPr>
              <w:t>State Territory</w:t>
            </w:r>
          </w:p>
        </w:tc>
        <w:tc>
          <w:tcPr>
            <w:tcW w:w="1134" w:type="dxa"/>
            <w:noWrap/>
          </w:tcPr>
          <w:p w14:paraId="00F36180" w14:textId="50C1BA41" w:rsidR="00AE5ADF" w:rsidRPr="00AE5ADF" w:rsidRDefault="00AE5ADF" w:rsidP="00CA0D72">
            <w:pPr>
              <w:pStyle w:val="Table"/>
              <w:ind w:right="-3"/>
              <w:rPr>
                <w:b/>
              </w:rPr>
            </w:pPr>
            <w:r w:rsidRPr="00AE5ADF">
              <w:rPr>
                <w:b/>
              </w:rPr>
              <w:t>Control</w:t>
            </w:r>
          </w:p>
        </w:tc>
        <w:tc>
          <w:tcPr>
            <w:tcW w:w="1439" w:type="dxa"/>
            <w:noWrap/>
          </w:tcPr>
          <w:p w14:paraId="13F01563" w14:textId="4F2EB3B3" w:rsidR="00AE5ADF" w:rsidRPr="00AE5ADF" w:rsidRDefault="00AE5ADF" w:rsidP="00CA0D72">
            <w:pPr>
              <w:pStyle w:val="Table"/>
              <w:ind w:right="-3"/>
              <w:rPr>
                <w:b/>
              </w:rPr>
            </w:pPr>
            <w:r w:rsidRPr="00AE5ADF">
              <w:rPr>
                <w:b/>
              </w:rPr>
              <w:t>Hospital readmissions - n (%)</w:t>
            </w:r>
          </w:p>
        </w:tc>
        <w:tc>
          <w:tcPr>
            <w:tcW w:w="1439" w:type="dxa"/>
            <w:noWrap/>
          </w:tcPr>
          <w:p w14:paraId="7C713F0B" w14:textId="17C4AFBB" w:rsidR="00AE5ADF" w:rsidRPr="00AE5ADF" w:rsidRDefault="00AE5ADF" w:rsidP="00CA0D72">
            <w:pPr>
              <w:pStyle w:val="Table"/>
              <w:ind w:right="-3"/>
              <w:rPr>
                <w:b/>
              </w:rPr>
            </w:pPr>
            <w:r w:rsidRPr="00AE5ADF">
              <w:rPr>
                <w:b/>
              </w:rPr>
              <w:t>Hospital readmissions - LOS (IQR)</w:t>
            </w:r>
          </w:p>
        </w:tc>
        <w:tc>
          <w:tcPr>
            <w:tcW w:w="1439" w:type="dxa"/>
            <w:noWrap/>
          </w:tcPr>
          <w:p w14:paraId="1F8C8AA9" w14:textId="405BA754" w:rsidR="00AE5ADF" w:rsidRPr="00AE5ADF" w:rsidRDefault="00AE5ADF" w:rsidP="00CA0D72">
            <w:pPr>
              <w:pStyle w:val="Table"/>
              <w:ind w:right="-3"/>
              <w:rPr>
                <w:b/>
              </w:rPr>
            </w:pPr>
            <w:r w:rsidRPr="00AE5ADF">
              <w:rPr>
                <w:b/>
              </w:rPr>
              <w:t>Residential aged care - n (%)</w:t>
            </w:r>
          </w:p>
        </w:tc>
        <w:tc>
          <w:tcPr>
            <w:tcW w:w="1637" w:type="dxa"/>
            <w:noWrap/>
          </w:tcPr>
          <w:p w14:paraId="6DB048A3" w14:textId="6A99F3EA" w:rsidR="00AE5ADF" w:rsidRPr="00AE5ADF" w:rsidRDefault="00AE5ADF" w:rsidP="00CA0D72">
            <w:pPr>
              <w:pStyle w:val="Table"/>
              <w:ind w:right="-3"/>
              <w:rPr>
                <w:b/>
              </w:rPr>
            </w:pPr>
            <w:r w:rsidRPr="00AE5ADF">
              <w:rPr>
                <w:b/>
              </w:rPr>
              <w:t>Residential aged care - LOS (IQR)</w:t>
            </w:r>
          </w:p>
        </w:tc>
        <w:tc>
          <w:tcPr>
            <w:tcW w:w="1242" w:type="dxa"/>
            <w:noWrap/>
          </w:tcPr>
          <w:p w14:paraId="1EDF8DDA" w14:textId="1FC48226" w:rsidR="00AE5ADF" w:rsidRPr="00AE5ADF" w:rsidRDefault="00AE5ADF" w:rsidP="00CA0D72">
            <w:pPr>
              <w:pStyle w:val="Table"/>
              <w:ind w:right="-3"/>
              <w:rPr>
                <w:b/>
              </w:rPr>
            </w:pPr>
            <w:r w:rsidRPr="00AE5ADF">
              <w:rPr>
                <w:b/>
              </w:rPr>
              <w:t>Dead at three months - n (%)</w:t>
            </w:r>
          </w:p>
        </w:tc>
      </w:tr>
      <w:tr w:rsidR="00AE5ADF" w14:paraId="23B3AD91" w14:textId="77777777" w:rsidTr="00AE5ADF">
        <w:trPr>
          <w:trHeight w:val="255"/>
        </w:trPr>
        <w:tc>
          <w:tcPr>
            <w:tcW w:w="1242" w:type="dxa"/>
            <w:noWrap/>
          </w:tcPr>
          <w:p w14:paraId="4E92CA85" w14:textId="77777777" w:rsidR="00EA03B3" w:rsidRDefault="00EA03B3" w:rsidP="00CA0D72">
            <w:pPr>
              <w:pStyle w:val="Table"/>
              <w:ind w:right="-3"/>
            </w:pPr>
            <w:r>
              <w:t>ACT</w:t>
            </w:r>
          </w:p>
        </w:tc>
        <w:tc>
          <w:tcPr>
            <w:tcW w:w="1134" w:type="dxa"/>
            <w:noWrap/>
          </w:tcPr>
          <w:p w14:paraId="70702DC0" w14:textId="77777777" w:rsidR="00EA03B3" w:rsidRDefault="00EA03B3" w:rsidP="00CA0D72">
            <w:pPr>
              <w:pStyle w:val="Table"/>
              <w:ind w:right="-3"/>
            </w:pPr>
            <w:r>
              <w:t>TC</w:t>
            </w:r>
          </w:p>
        </w:tc>
        <w:tc>
          <w:tcPr>
            <w:tcW w:w="1439" w:type="dxa"/>
            <w:noWrap/>
          </w:tcPr>
          <w:p w14:paraId="1A980C00" w14:textId="77777777" w:rsidR="00EA03B3" w:rsidRDefault="00EA03B3" w:rsidP="00CA0D72">
            <w:pPr>
              <w:pStyle w:val="Table"/>
              <w:ind w:right="-3"/>
            </w:pPr>
            <w:r>
              <w:t>34 (59%)</w:t>
            </w:r>
          </w:p>
        </w:tc>
        <w:tc>
          <w:tcPr>
            <w:tcW w:w="1439" w:type="dxa"/>
            <w:noWrap/>
          </w:tcPr>
          <w:p w14:paraId="56110908" w14:textId="77777777" w:rsidR="00EA03B3" w:rsidRDefault="00EA03B3" w:rsidP="00CA0D72">
            <w:pPr>
              <w:pStyle w:val="Table"/>
              <w:ind w:right="-3"/>
            </w:pPr>
            <w:r>
              <w:t>18 (4–49)</w:t>
            </w:r>
          </w:p>
        </w:tc>
        <w:tc>
          <w:tcPr>
            <w:tcW w:w="1439" w:type="dxa"/>
            <w:noWrap/>
          </w:tcPr>
          <w:p w14:paraId="6694581D" w14:textId="77777777" w:rsidR="00EA03B3" w:rsidRDefault="00EA03B3" w:rsidP="00CA0D72">
            <w:pPr>
              <w:pStyle w:val="Table"/>
              <w:ind w:right="-3"/>
            </w:pPr>
            <w:r>
              <w:t>9 (13%)</w:t>
            </w:r>
          </w:p>
        </w:tc>
        <w:tc>
          <w:tcPr>
            <w:tcW w:w="1637" w:type="dxa"/>
            <w:noWrap/>
          </w:tcPr>
          <w:p w14:paraId="64053310" w14:textId="77777777" w:rsidR="00EA03B3" w:rsidRDefault="00EA03B3" w:rsidP="00CA0D72">
            <w:pPr>
              <w:pStyle w:val="Table"/>
              <w:ind w:right="-3"/>
            </w:pPr>
            <w:r>
              <w:t>70 (31–105)</w:t>
            </w:r>
          </w:p>
        </w:tc>
        <w:tc>
          <w:tcPr>
            <w:tcW w:w="1242" w:type="dxa"/>
            <w:noWrap/>
          </w:tcPr>
          <w:p w14:paraId="3684E78C" w14:textId="77777777" w:rsidR="00EA03B3" w:rsidRDefault="00EA03B3" w:rsidP="00CA0D72">
            <w:pPr>
              <w:pStyle w:val="Table"/>
              <w:ind w:right="-3"/>
            </w:pPr>
            <w:r>
              <w:t>8 (12%)</w:t>
            </w:r>
          </w:p>
        </w:tc>
      </w:tr>
      <w:tr w:rsidR="00AE5ADF" w14:paraId="563F20EC" w14:textId="77777777" w:rsidTr="00AE5ADF">
        <w:trPr>
          <w:trHeight w:val="255"/>
        </w:trPr>
        <w:tc>
          <w:tcPr>
            <w:tcW w:w="1242" w:type="dxa"/>
            <w:noWrap/>
          </w:tcPr>
          <w:p w14:paraId="3F1666FF" w14:textId="14AC2D53" w:rsidR="00EA03B3" w:rsidRDefault="00AE5ADF" w:rsidP="00CA0D72">
            <w:pPr>
              <w:pStyle w:val="Table"/>
              <w:ind w:right="-3"/>
            </w:pPr>
            <w:r>
              <w:t>ACT</w:t>
            </w:r>
          </w:p>
        </w:tc>
        <w:tc>
          <w:tcPr>
            <w:tcW w:w="1134" w:type="dxa"/>
            <w:noWrap/>
          </w:tcPr>
          <w:p w14:paraId="597A1DE0" w14:textId="77777777" w:rsidR="00EA03B3" w:rsidRDefault="00EA03B3" w:rsidP="00CA0D72">
            <w:pPr>
              <w:pStyle w:val="Table"/>
              <w:ind w:right="-3"/>
            </w:pPr>
            <w:r>
              <w:t>Control 1</w:t>
            </w:r>
          </w:p>
        </w:tc>
        <w:tc>
          <w:tcPr>
            <w:tcW w:w="1439" w:type="dxa"/>
            <w:noWrap/>
          </w:tcPr>
          <w:p w14:paraId="3CD90107" w14:textId="77777777" w:rsidR="00EA03B3" w:rsidRDefault="00EA03B3" w:rsidP="00CA0D72">
            <w:pPr>
              <w:pStyle w:val="Table"/>
              <w:ind w:right="-3"/>
            </w:pPr>
            <w:r>
              <w:t>24 (73%)</w:t>
            </w:r>
          </w:p>
        </w:tc>
        <w:tc>
          <w:tcPr>
            <w:tcW w:w="1439" w:type="dxa"/>
            <w:noWrap/>
          </w:tcPr>
          <w:p w14:paraId="6C093D89" w14:textId="77777777" w:rsidR="00EA03B3" w:rsidRDefault="00EA03B3" w:rsidP="00CA0D72">
            <w:pPr>
              <w:pStyle w:val="Table"/>
              <w:ind w:right="-3"/>
            </w:pPr>
            <w:r>
              <w:t>20 (8–32)</w:t>
            </w:r>
          </w:p>
        </w:tc>
        <w:tc>
          <w:tcPr>
            <w:tcW w:w="1439" w:type="dxa"/>
            <w:noWrap/>
          </w:tcPr>
          <w:p w14:paraId="398AA25D" w14:textId="77777777" w:rsidR="00EA03B3" w:rsidRDefault="00EA03B3" w:rsidP="00CA0D72">
            <w:pPr>
              <w:pStyle w:val="Table"/>
              <w:ind w:right="-3"/>
            </w:pPr>
            <w:r>
              <w:t>3 (7%)</w:t>
            </w:r>
          </w:p>
        </w:tc>
        <w:tc>
          <w:tcPr>
            <w:tcW w:w="1637" w:type="dxa"/>
            <w:noWrap/>
          </w:tcPr>
          <w:p w14:paraId="16838B5A" w14:textId="77777777" w:rsidR="00EA03B3" w:rsidRDefault="00EA03B3" w:rsidP="00CA0D72">
            <w:pPr>
              <w:pStyle w:val="Table"/>
              <w:ind w:right="-3"/>
            </w:pPr>
            <w:r>
              <w:t xml:space="preserve">- </w:t>
            </w:r>
          </w:p>
        </w:tc>
        <w:tc>
          <w:tcPr>
            <w:tcW w:w="1242" w:type="dxa"/>
            <w:noWrap/>
          </w:tcPr>
          <w:p w14:paraId="4F85ACB3" w14:textId="77777777" w:rsidR="00EA03B3" w:rsidRDefault="00EA03B3" w:rsidP="00CA0D72">
            <w:pPr>
              <w:pStyle w:val="Table"/>
              <w:ind w:right="-3"/>
            </w:pPr>
            <w:r>
              <w:t>3 (7%)</w:t>
            </w:r>
          </w:p>
        </w:tc>
      </w:tr>
      <w:tr w:rsidR="00AE5ADF" w14:paraId="76F5A178" w14:textId="77777777" w:rsidTr="00AE5ADF">
        <w:trPr>
          <w:trHeight w:val="255"/>
        </w:trPr>
        <w:tc>
          <w:tcPr>
            <w:tcW w:w="1242" w:type="dxa"/>
            <w:noWrap/>
          </w:tcPr>
          <w:p w14:paraId="4EDEEC07" w14:textId="2C5377FC" w:rsidR="00EA03B3" w:rsidRDefault="00AE5ADF" w:rsidP="00CA0D72">
            <w:pPr>
              <w:pStyle w:val="Table"/>
              <w:ind w:right="-3"/>
            </w:pPr>
            <w:r>
              <w:t>ACT</w:t>
            </w:r>
          </w:p>
        </w:tc>
        <w:tc>
          <w:tcPr>
            <w:tcW w:w="1134" w:type="dxa"/>
            <w:noWrap/>
          </w:tcPr>
          <w:p w14:paraId="5911B0C4" w14:textId="77777777" w:rsidR="00EA03B3" w:rsidRDefault="00EA03B3" w:rsidP="00CA0D72">
            <w:pPr>
              <w:pStyle w:val="Table"/>
              <w:ind w:right="-3"/>
            </w:pPr>
            <w:r>
              <w:t>Control 2</w:t>
            </w:r>
          </w:p>
        </w:tc>
        <w:tc>
          <w:tcPr>
            <w:tcW w:w="1439" w:type="dxa"/>
            <w:noWrap/>
          </w:tcPr>
          <w:p w14:paraId="16B74272" w14:textId="77777777" w:rsidR="00EA03B3" w:rsidRDefault="00EA03B3" w:rsidP="00CA0D72">
            <w:pPr>
              <w:pStyle w:val="Table"/>
              <w:ind w:right="-3"/>
            </w:pPr>
            <w:r>
              <w:t>21 (72%)</w:t>
            </w:r>
          </w:p>
        </w:tc>
        <w:tc>
          <w:tcPr>
            <w:tcW w:w="1439" w:type="dxa"/>
            <w:noWrap/>
          </w:tcPr>
          <w:p w14:paraId="0F7CD0D4" w14:textId="77777777" w:rsidR="00EA03B3" w:rsidRDefault="00EA03B3" w:rsidP="00CA0D72">
            <w:pPr>
              <w:pStyle w:val="Table"/>
              <w:ind w:right="-3"/>
            </w:pPr>
            <w:r>
              <w:t>12 (6–42)</w:t>
            </w:r>
          </w:p>
        </w:tc>
        <w:tc>
          <w:tcPr>
            <w:tcW w:w="1439" w:type="dxa"/>
            <w:noWrap/>
          </w:tcPr>
          <w:p w14:paraId="42641E72" w14:textId="77777777" w:rsidR="00EA03B3" w:rsidRDefault="00EA03B3" w:rsidP="00CA0D72">
            <w:pPr>
              <w:pStyle w:val="Table"/>
              <w:ind w:right="-3"/>
            </w:pPr>
            <w:r>
              <w:t>8 (21%)</w:t>
            </w:r>
          </w:p>
        </w:tc>
        <w:tc>
          <w:tcPr>
            <w:tcW w:w="1637" w:type="dxa"/>
            <w:noWrap/>
          </w:tcPr>
          <w:p w14:paraId="15F0D58E" w14:textId="77777777" w:rsidR="00EA03B3" w:rsidRDefault="00EA03B3" w:rsidP="00CA0D72">
            <w:pPr>
              <w:pStyle w:val="Table"/>
              <w:ind w:right="-3"/>
            </w:pPr>
            <w:r>
              <w:t>121 (30–130)</w:t>
            </w:r>
          </w:p>
        </w:tc>
        <w:tc>
          <w:tcPr>
            <w:tcW w:w="1242" w:type="dxa"/>
            <w:noWrap/>
          </w:tcPr>
          <w:p w14:paraId="533D6FC4" w14:textId="77777777" w:rsidR="00EA03B3" w:rsidRDefault="00EA03B3" w:rsidP="00CA0D72">
            <w:pPr>
              <w:pStyle w:val="Table"/>
              <w:ind w:right="-3"/>
            </w:pPr>
            <w:r>
              <w:t>7 (18%)</w:t>
            </w:r>
          </w:p>
        </w:tc>
      </w:tr>
      <w:tr w:rsidR="00AE5ADF" w14:paraId="2AF615B5" w14:textId="77777777" w:rsidTr="00AE5ADF">
        <w:trPr>
          <w:trHeight w:val="255"/>
        </w:trPr>
        <w:tc>
          <w:tcPr>
            <w:tcW w:w="1242" w:type="dxa"/>
            <w:noWrap/>
          </w:tcPr>
          <w:p w14:paraId="48406EAE" w14:textId="77777777" w:rsidR="00EA03B3" w:rsidRDefault="00EA03B3" w:rsidP="00CA0D72">
            <w:pPr>
              <w:pStyle w:val="Table"/>
              <w:ind w:right="-3"/>
            </w:pPr>
            <w:r>
              <w:t>NSW</w:t>
            </w:r>
          </w:p>
        </w:tc>
        <w:tc>
          <w:tcPr>
            <w:tcW w:w="1134" w:type="dxa"/>
            <w:noWrap/>
          </w:tcPr>
          <w:p w14:paraId="6AE2ED3D" w14:textId="77777777" w:rsidR="00EA03B3" w:rsidRDefault="00EA03B3" w:rsidP="00CA0D72">
            <w:pPr>
              <w:pStyle w:val="Table"/>
              <w:ind w:right="-3"/>
            </w:pPr>
            <w:r>
              <w:t>TC</w:t>
            </w:r>
          </w:p>
        </w:tc>
        <w:tc>
          <w:tcPr>
            <w:tcW w:w="1439" w:type="dxa"/>
            <w:noWrap/>
          </w:tcPr>
          <w:p w14:paraId="1EB429CF" w14:textId="77777777" w:rsidR="00EA03B3" w:rsidRDefault="00EA03B3" w:rsidP="00CA0D72">
            <w:pPr>
              <w:pStyle w:val="Table"/>
              <w:ind w:right="-3"/>
            </w:pPr>
            <w:r>
              <w:t>257 (50%)</w:t>
            </w:r>
          </w:p>
        </w:tc>
        <w:tc>
          <w:tcPr>
            <w:tcW w:w="1439" w:type="dxa"/>
            <w:noWrap/>
          </w:tcPr>
          <w:p w14:paraId="00B4AC37" w14:textId="77777777" w:rsidR="00EA03B3" w:rsidRDefault="00EA03B3" w:rsidP="00CA0D72">
            <w:pPr>
              <w:pStyle w:val="Table"/>
              <w:ind w:right="-3"/>
            </w:pPr>
            <w:r>
              <w:t>17 (6–35)</w:t>
            </w:r>
          </w:p>
        </w:tc>
        <w:tc>
          <w:tcPr>
            <w:tcW w:w="1439" w:type="dxa"/>
            <w:noWrap/>
          </w:tcPr>
          <w:p w14:paraId="2E3F6E6F" w14:textId="77777777" w:rsidR="00EA03B3" w:rsidRDefault="00EA03B3" w:rsidP="00CA0D72">
            <w:pPr>
              <w:pStyle w:val="Table"/>
              <w:ind w:right="-3"/>
            </w:pPr>
            <w:r>
              <w:t>85 (14%)</w:t>
            </w:r>
          </w:p>
        </w:tc>
        <w:tc>
          <w:tcPr>
            <w:tcW w:w="1637" w:type="dxa"/>
            <w:noWrap/>
          </w:tcPr>
          <w:p w14:paraId="527C517F" w14:textId="77777777" w:rsidR="00EA03B3" w:rsidRDefault="00EA03B3" w:rsidP="00CA0D72">
            <w:pPr>
              <w:pStyle w:val="Table"/>
              <w:ind w:right="-3"/>
            </w:pPr>
            <w:r>
              <w:t>92 (42–122)</w:t>
            </w:r>
          </w:p>
        </w:tc>
        <w:tc>
          <w:tcPr>
            <w:tcW w:w="1242" w:type="dxa"/>
            <w:noWrap/>
          </w:tcPr>
          <w:p w14:paraId="064F4AD2" w14:textId="77777777" w:rsidR="00EA03B3" w:rsidRDefault="00EA03B3" w:rsidP="00CA0D72">
            <w:pPr>
              <w:pStyle w:val="Table"/>
              <w:ind w:right="-3"/>
            </w:pPr>
            <w:r>
              <w:t>66 (11%)</w:t>
            </w:r>
          </w:p>
        </w:tc>
      </w:tr>
      <w:tr w:rsidR="00AE5ADF" w14:paraId="2A04D322" w14:textId="77777777" w:rsidTr="00AE5ADF">
        <w:trPr>
          <w:trHeight w:val="255"/>
        </w:trPr>
        <w:tc>
          <w:tcPr>
            <w:tcW w:w="1242" w:type="dxa"/>
            <w:noWrap/>
          </w:tcPr>
          <w:p w14:paraId="3DAB9C2B" w14:textId="6564062C" w:rsidR="00EA03B3" w:rsidRDefault="00AE5ADF" w:rsidP="00CA0D72">
            <w:pPr>
              <w:pStyle w:val="Table"/>
              <w:ind w:right="-3"/>
            </w:pPr>
            <w:r>
              <w:t>NSW</w:t>
            </w:r>
          </w:p>
        </w:tc>
        <w:tc>
          <w:tcPr>
            <w:tcW w:w="1134" w:type="dxa"/>
            <w:noWrap/>
          </w:tcPr>
          <w:p w14:paraId="7B92E82C" w14:textId="77777777" w:rsidR="00EA03B3" w:rsidRDefault="00EA03B3" w:rsidP="00CA0D72">
            <w:pPr>
              <w:pStyle w:val="Table"/>
              <w:ind w:right="-3"/>
            </w:pPr>
            <w:r>
              <w:t>Control 1</w:t>
            </w:r>
          </w:p>
        </w:tc>
        <w:tc>
          <w:tcPr>
            <w:tcW w:w="1439" w:type="dxa"/>
            <w:noWrap/>
          </w:tcPr>
          <w:p w14:paraId="4DE1D5EC" w14:textId="77777777" w:rsidR="00EA03B3" w:rsidRDefault="00EA03B3" w:rsidP="00CA0D72">
            <w:pPr>
              <w:pStyle w:val="Table"/>
              <w:ind w:right="-3"/>
            </w:pPr>
            <w:r>
              <w:t>56 (54%)</w:t>
            </w:r>
          </w:p>
        </w:tc>
        <w:tc>
          <w:tcPr>
            <w:tcW w:w="1439" w:type="dxa"/>
            <w:noWrap/>
          </w:tcPr>
          <w:p w14:paraId="6BD894D3" w14:textId="77777777" w:rsidR="00EA03B3" w:rsidRDefault="00EA03B3" w:rsidP="00CA0D72">
            <w:pPr>
              <w:pStyle w:val="Table"/>
              <w:ind w:right="-3"/>
            </w:pPr>
            <w:r>
              <w:t>22 (7–35)</w:t>
            </w:r>
          </w:p>
        </w:tc>
        <w:tc>
          <w:tcPr>
            <w:tcW w:w="1439" w:type="dxa"/>
            <w:noWrap/>
          </w:tcPr>
          <w:p w14:paraId="6ED2578A" w14:textId="77777777" w:rsidR="00EA03B3" w:rsidRDefault="00EA03B3" w:rsidP="00CA0D72">
            <w:pPr>
              <w:pStyle w:val="Table"/>
              <w:ind w:right="-3"/>
            </w:pPr>
            <w:r>
              <w:t>20 (16%)</w:t>
            </w:r>
          </w:p>
        </w:tc>
        <w:tc>
          <w:tcPr>
            <w:tcW w:w="1637" w:type="dxa"/>
            <w:noWrap/>
          </w:tcPr>
          <w:p w14:paraId="167530C3" w14:textId="77777777" w:rsidR="00EA03B3" w:rsidRDefault="00EA03B3" w:rsidP="00CA0D72">
            <w:pPr>
              <w:pStyle w:val="Table"/>
              <w:ind w:right="-3"/>
            </w:pPr>
            <w:r>
              <w:t>120 (58–151)</w:t>
            </w:r>
          </w:p>
        </w:tc>
        <w:tc>
          <w:tcPr>
            <w:tcW w:w="1242" w:type="dxa"/>
            <w:noWrap/>
          </w:tcPr>
          <w:p w14:paraId="28DC6469" w14:textId="77777777" w:rsidR="00EA03B3" w:rsidRDefault="00EA03B3" w:rsidP="00CA0D72">
            <w:pPr>
              <w:pStyle w:val="Table"/>
              <w:ind w:right="-3"/>
            </w:pPr>
            <w:r>
              <w:t>16 (13%)</w:t>
            </w:r>
          </w:p>
        </w:tc>
      </w:tr>
      <w:tr w:rsidR="00AE5ADF" w14:paraId="567CC392" w14:textId="77777777" w:rsidTr="00AE5ADF">
        <w:trPr>
          <w:trHeight w:val="255"/>
        </w:trPr>
        <w:tc>
          <w:tcPr>
            <w:tcW w:w="1242" w:type="dxa"/>
            <w:noWrap/>
          </w:tcPr>
          <w:p w14:paraId="162481AA" w14:textId="494DAC43" w:rsidR="00EA03B3" w:rsidRDefault="00AE5ADF" w:rsidP="00CA0D72">
            <w:pPr>
              <w:pStyle w:val="Table"/>
              <w:ind w:right="-3"/>
            </w:pPr>
            <w:r>
              <w:t>NSW</w:t>
            </w:r>
          </w:p>
        </w:tc>
        <w:tc>
          <w:tcPr>
            <w:tcW w:w="1134" w:type="dxa"/>
            <w:noWrap/>
          </w:tcPr>
          <w:p w14:paraId="118F2716" w14:textId="77777777" w:rsidR="00EA03B3" w:rsidRDefault="00EA03B3" w:rsidP="00CA0D72">
            <w:pPr>
              <w:pStyle w:val="Table"/>
              <w:ind w:right="-3"/>
            </w:pPr>
            <w:r>
              <w:t>Control 2</w:t>
            </w:r>
          </w:p>
        </w:tc>
        <w:tc>
          <w:tcPr>
            <w:tcW w:w="1439" w:type="dxa"/>
            <w:noWrap/>
          </w:tcPr>
          <w:p w14:paraId="3BDB1FAE" w14:textId="77777777" w:rsidR="00EA03B3" w:rsidRDefault="00EA03B3" w:rsidP="00CA0D72">
            <w:pPr>
              <w:pStyle w:val="Table"/>
              <w:ind w:right="-3"/>
            </w:pPr>
            <w:r>
              <w:t>391 (54%)</w:t>
            </w:r>
          </w:p>
        </w:tc>
        <w:tc>
          <w:tcPr>
            <w:tcW w:w="1439" w:type="dxa"/>
            <w:noWrap/>
          </w:tcPr>
          <w:p w14:paraId="605B21E3" w14:textId="77777777" w:rsidR="00EA03B3" w:rsidRDefault="00EA03B3" w:rsidP="00CA0D72">
            <w:pPr>
              <w:pStyle w:val="Table"/>
              <w:ind w:right="-3"/>
            </w:pPr>
            <w:r>
              <w:t>16 (6–31)</w:t>
            </w:r>
          </w:p>
        </w:tc>
        <w:tc>
          <w:tcPr>
            <w:tcW w:w="1439" w:type="dxa"/>
            <w:noWrap/>
          </w:tcPr>
          <w:p w14:paraId="232FECD7" w14:textId="77777777" w:rsidR="00EA03B3" w:rsidRDefault="00EA03B3" w:rsidP="00CA0D72">
            <w:pPr>
              <w:pStyle w:val="Table"/>
              <w:ind w:right="-3"/>
            </w:pPr>
            <w:r>
              <w:t>242 (23%)</w:t>
            </w:r>
          </w:p>
        </w:tc>
        <w:tc>
          <w:tcPr>
            <w:tcW w:w="1637" w:type="dxa"/>
            <w:noWrap/>
          </w:tcPr>
          <w:p w14:paraId="009DB2C0" w14:textId="77777777" w:rsidR="00EA03B3" w:rsidRDefault="00EA03B3" w:rsidP="00CA0D72">
            <w:pPr>
              <w:pStyle w:val="Table"/>
              <w:ind w:right="-3"/>
            </w:pPr>
            <w:r>
              <w:t>103 (54–137)</w:t>
            </w:r>
          </w:p>
        </w:tc>
        <w:tc>
          <w:tcPr>
            <w:tcW w:w="1242" w:type="dxa"/>
            <w:noWrap/>
          </w:tcPr>
          <w:p w14:paraId="3CDF1D88" w14:textId="77777777" w:rsidR="00EA03B3" w:rsidRDefault="00EA03B3" w:rsidP="00CA0D72">
            <w:pPr>
              <w:pStyle w:val="Table"/>
              <w:ind w:right="-3"/>
            </w:pPr>
            <w:r>
              <w:t>184 (18%)</w:t>
            </w:r>
          </w:p>
        </w:tc>
      </w:tr>
      <w:tr w:rsidR="00AE5ADF" w14:paraId="7764ED4D" w14:textId="77777777" w:rsidTr="00AE5ADF">
        <w:trPr>
          <w:trHeight w:val="255"/>
        </w:trPr>
        <w:tc>
          <w:tcPr>
            <w:tcW w:w="1242" w:type="dxa"/>
            <w:noWrap/>
          </w:tcPr>
          <w:p w14:paraId="0B67A331" w14:textId="77777777" w:rsidR="00EA03B3" w:rsidRDefault="00EA03B3" w:rsidP="00CA0D72">
            <w:pPr>
              <w:pStyle w:val="Table"/>
              <w:ind w:right="-3"/>
            </w:pPr>
            <w:r>
              <w:t>NT</w:t>
            </w:r>
          </w:p>
        </w:tc>
        <w:tc>
          <w:tcPr>
            <w:tcW w:w="1134" w:type="dxa"/>
            <w:noWrap/>
          </w:tcPr>
          <w:p w14:paraId="21EC388A" w14:textId="77777777" w:rsidR="00EA03B3" w:rsidRDefault="00EA03B3" w:rsidP="00CA0D72">
            <w:pPr>
              <w:pStyle w:val="Table"/>
              <w:ind w:right="-3"/>
            </w:pPr>
            <w:r>
              <w:t>TC</w:t>
            </w:r>
          </w:p>
        </w:tc>
        <w:tc>
          <w:tcPr>
            <w:tcW w:w="1439" w:type="dxa"/>
            <w:noWrap/>
          </w:tcPr>
          <w:p w14:paraId="7E41C046" w14:textId="77777777" w:rsidR="00EA03B3" w:rsidRDefault="00EA03B3" w:rsidP="00CA0D72">
            <w:pPr>
              <w:pStyle w:val="Table"/>
              <w:ind w:right="-3"/>
            </w:pPr>
            <w:r>
              <w:t>*</w:t>
            </w:r>
          </w:p>
        </w:tc>
        <w:tc>
          <w:tcPr>
            <w:tcW w:w="1439" w:type="dxa"/>
            <w:noWrap/>
          </w:tcPr>
          <w:p w14:paraId="3B7A3BD6" w14:textId="77777777" w:rsidR="00EA03B3" w:rsidRDefault="00EA03B3" w:rsidP="00CA0D72">
            <w:pPr>
              <w:pStyle w:val="Table"/>
              <w:ind w:right="-3"/>
            </w:pPr>
            <w:r>
              <w:t>*</w:t>
            </w:r>
          </w:p>
        </w:tc>
        <w:tc>
          <w:tcPr>
            <w:tcW w:w="1439" w:type="dxa"/>
            <w:noWrap/>
          </w:tcPr>
          <w:p w14:paraId="5B5644B3" w14:textId="77777777" w:rsidR="00EA03B3" w:rsidRDefault="00EA03B3" w:rsidP="00CA0D72">
            <w:pPr>
              <w:pStyle w:val="Table"/>
              <w:ind w:right="-3"/>
            </w:pPr>
            <w:r>
              <w:t>*</w:t>
            </w:r>
          </w:p>
        </w:tc>
        <w:tc>
          <w:tcPr>
            <w:tcW w:w="1637" w:type="dxa"/>
            <w:noWrap/>
          </w:tcPr>
          <w:p w14:paraId="17967D91" w14:textId="77777777" w:rsidR="00EA03B3" w:rsidRDefault="00EA03B3" w:rsidP="00CA0D72">
            <w:pPr>
              <w:pStyle w:val="Table"/>
              <w:ind w:right="-3"/>
            </w:pPr>
            <w:r>
              <w:t>*</w:t>
            </w:r>
          </w:p>
        </w:tc>
        <w:tc>
          <w:tcPr>
            <w:tcW w:w="1242" w:type="dxa"/>
            <w:noWrap/>
          </w:tcPr>
          <w:p w14:paraId="035BE4CB" w14:textId="77777777" w:rsidR="00EA03B3" w:rsidRDefault="00EA03B3" w:rsidP="00CA0D72">
            <w:pPr>
              <w:pStyle w:val="Table"/>
              <w:ind w:right="-3"/>
            </w:pPr>
            <w:r>
              <w:t>1 (8%)</w:t>
            </w:r>
          </w:p>
        </w:tc>
      </w:tr>
      <w:tr w:rsidR="00AE5ADF" w14:paraId="54AA3611" w14:textId="77777777" w:rsidTr="00AE5ADF">
        <w:trPr>
          <w:trHeight w:val="255"/>
        </w:trPr>
        <w:tc>
          <w:tcPr>
            <w:tcW w:w="1242" w:type="dxa"/>
            <w:noWrap/>
          </w:tcPr>
          <w:p w14:paraId="75F08D98" w14:textId="2BF33462" w:rsidR="00EA03B3" w:rsidRDefault="00AE5ADF" w:rsidP="00CA0D72">
            <w:pPr>
              <w:pStyle w:val="Table"/>
              <w:ind w:right="-3"/>
            </w:pPr>
            <w:r>
              <w:t>NT</w:t>
            </w:r>
          </w:p>
        </w:tc>
        <w:tc>
          <w:tcPr>
            <w:tcW w:w="1134" w:type="dxa"/>
            <w:noWrap/>
          </w:tcPr>
          <w:p w14:paraId="2874EC58" w14:textId="77777777" w:rsidR="00EA03B3" w:rsidRDefault="00EA03B3" w:rsidP="00CA0D72">
            <w:pPr>
              <w:pStyle w:val="Table"/>
              <w:ind w:right="-3"/>
            </w:pPr>
            <w:r>
              <w:t>Control 1</w:t>
            </w:r>
          </w:p>
        </w:tc>
        <w:tc>
          <w:tcPr>
            <w:tcW w:w="1439" w:type="dxa"/>
            <w:noWrap/>
          </w:tcPr>
          <w:p w14:paraId="289BA3A4" w14:textId="77777777" w:rsidR="00EA03B3" w:rsidRDefault="00EA03B3" w:rsidP="00CA0D72">
            <w:pPr>
              <w:pStyle w:val="Table"/>
              <w:ind w:right="-3"/>
            </w:pPr>
            <w:r>
              <w:t>*</w:t>
            </w:r>
          </w:p>
        </w:tc>
        <w:tc>
          <w:tcPr>
            <w:tcW w:w="1439" w:type="dxa"/>
            <w:noWrap/>
          </w:tcPr>
          <w:p w14:paraId="75E1A2D7" w14:textId="77777777" w:rsidR="00EA03B3" w:rsidRDefault="00EA03B3" w:rsidP="00CA0D72">
            <w:pPr>
              <w:pStyle w:val="Table"/>
              <w:ind w:right="-3"/>
            </w:pPr>
            <w:r>
              <w:t>*</w:t>
            </w:r>
          </w:p>
        </w:tc>
        <w:tc>
          <w:tcPr>
            <w:tcW w:w="1439" w:type="dxa"/>
            <w:noWrap/>
          </w:tcPr>
          <w:p w14:paraId="6C311142" w14:textId="77777777" w:rsidR="00EA03B3" w:rsidRDefault="00EA03B3" w:rsidP="00CA0D72">
            <w:pPr>
              <w:pStyle w:val="Table"/>
              <w:ind w:right="-3"/>
            </w:pPr>
            <w:r>
              <w:t>*</w:t>
            </w:r>
          </w:p>
        </w:tc>
        <w:tc>
          <w:tcPr>
            <w:tcW w:w="1637" w:type="dxa"/>
            <w:noWrap/>
          </w:tcPr>
          <w:p w14:paraId="316FF442" w14:textId="77777777" w:rsidR="00EA03B3" w:rsidRDefault="00EA03B3" w:rsidP="00CA0D72">
            <w:pPr>
              <w:pStyle w:val="Table"/>
              <w:ind w:right="-3"/>
            </w:pPr>
            <w:r>
              <w:t>*</w:t>
            </w:r>
          </w:p>
        </w:tc>
        <w:tc>
          <w:tcPr>
            <w:tcW w:w="1242" w:type="dxa"/>
            <w:noWrap/>
          </w:tcPr>
          <w:p w14:paraId="2EFA5561" w14:textId="77777777" w:rsidR="00EA03B3" w:rsidRDefault="00EA03B3" w:rsidP="00CA0D72">
            <w:pPr>
              <w:pStyle w:val="Table"/>
              <w:ind w:right="-3"/>
            </w:pPr>
            <w:r>
              <w:t>1 (11%)</w:t>
            </w:r>
          </w:p>
        </w:tc>
      </w:tr>
      <w:tr w:rsidR="00AE5ADF" w14:paraId="21A898D0" w14:textId="77777777" w:rsidTr="00AE5ADF">
        <w:trPr>
          <w:trHeight w:val="255"/>
        </w:trPr>
        <w:tc>
          <w:tcPr>
            <w:tcW w:w="1242" w:type="dxa"/>
            <w:noWrap/>
          </w:tcPr>
          <w:p w14:paraId="20E8FD20" w14:textId="41C2D866" w:rsidR="00EA03B3" w:rsidRDefault="00AE5ADF" w:rsidP="00CA0D72">
            <w:pPr>
              <w:pStyle w:val="Table"/>
              <w:ind w:right="-3"/>
            </w:pPr>
            <w:r>
              <w:t>NT</w:t>
            </w:r>
          </w:p>
        </w:tc>
        <w:tc>
          <w:tcPr>
            <w:tcW w:w="1134" w:type="dxa"/>
            <w:noWrap/>
          </w:tcPr>
          <w:p w14:paraId="25436B06" w14:textId="77777777" w:rsidR="00EA03B3" w:rsidRDefault="00EA03B3" w:rsidP="00CA0D72">
            <w:pPr>
              <w:pStyle w:val="Table"/>
              <w:ind w:right="-3"/>
            </w:pPr>
            <w:r>
              <w:t>Control 2</w:t>
            </w:r>
          </w:p>
        </w:tc>
        <w:tc>
          <w:tcPr>
            <w:tcW w:w="1439" w:type="dxa"/>
            <w:noWrap/>
          </w:tcPr>
          <w:p w14:paraId="266D9A13" w14:textId="77777777" w:rsidR="00EA03B3" w:rsidRDefault="00EA03B3" w:rsidP="00CA0D72">
            <w:pPr>
              <w:pStyle w:val="Table"/>
              <w:ind w:right="-3"/>
            </w:pPr>
            <w:r>
              <w:t>*</w:t>
            </w:r>
          </w:p>
        </w:tc>
        <w:tc>
          <w:tcPr>
            <w:tcW w:w="1439" w:type="dxa"/>
            <w:noWrap/>
          </w:tcPr>
          <w:p w14:paraId="55BC9D06" w14:textId="77777777" w:rsidR="00EA03B3" w:rsidRDefault="00EA03B3" w:rsidP="00CA0D72">
            <w:pPr>
              <w:pStyle w:val="Table"/>
              <w:ind w:right="-3"/>
            </w:pPr>
            <w:r>
              <w:t>*</w:t>
            </w:r>
          </w:p>
        </w:tc>
        <w:tc>
          <w:tcPr>
            <w:tcW w:w="1439" w:type="dxa"/>
            <w:noWrap/>
          </w:tcPr>
          <w:p w14:paraId="3FE0CC04" w14:textId="77777777" w:rsidR="00EA03B3" w:rsidRDefault="00EA03B3" w:rsidP="00CA0D72">
            <w:pPr>
              <w:pStyle w:val="Table"/>
              <w:ind w:right="-3"/>
            </w:pPr>
            <w:r>
              <w:t>*</w:t>
            </w:r>
          </w:p>
        </w:tc>
        <w:tc>
          <w:tcPr>
            <w:tcW w:w="1637" w:type="dxa"/>
            <w:noWrap/>
          </w:tcPr>
          <w:p w14:paraId="2DFF9151" w14:textId="77777777" w:rsidR="00EA03B3" w:rsidRDefault="00EA03B3" w:rsidP="00CA0D72">
            <w:pPr>
              <w:pStyle w:val="Table"/>
              <w:ind w:right="-3"/>
            </w:pPr>
            <w:r>
              <w:t>*</w:t>
            </w:r>
          </w:p>
        </w:tc>
        <w:tc>
          <w:tcPr>
            <w:tcW w:w="1242" w:type="dxa"/>
            <w:noWrap/>
          </w:tcPr>
          <w:p w14:paraId="40769E6D" w14:textId="77777777" w:rsidR="00EA03B3" w:rsidRDefault="00EA03B3" w:rsidP="00CA0D72">
            <w:pPr>
              <w:pStyle w:val="Table"/>
              <w:ind w:right="-3"/>
            </w:pPr>
            <w:r>
              <w:t>1 (6%)</w:t>
            </w:r>
          </w:p>
        </w:tc>
      </w:tr>
      <w:tr w:rsidR="00AE5ADF" w14:paraId="11B20EA8" w14:textId="77777777" w:rsidTr="00AE5ADF">
        <w:trPr>
          <w:trHeight w:val="255"/>
        </w:trPr>
        <w:tc>
          <w:tcPr>
            <w:tcW w:w="1242" w:type="dxa"/>
            <w:noWrap/>
          </w:tcPr>
          <w:p w14:paraId="5BFB158A" w14:textId="77777777" w:rsidR="00EA03B3" w:rsidRDefault="00EA03B3" w:rsidP="00CA0D72">
            <w:pPr>
              <w:pStyle w:val="Table"/>
              <w:ind w:right="-3"/>
            </w:pPr>
            <w:r>
              <w:t>QLD</w:t>
            </w:r>
          </w:p>
        </w:tc>
        <w:tc>
          <w:tcPr>
            <w:tcW w:w="1134" w:type="dxa"/>
            <w:noWrap/>
          </w:tcPr>
          <w:p w14:paraId="4A762EE4" w14:textId="77777777" w:rsidR="00EA03B3" w:rsidRDefault="00EA03B3" w:rsidP="00CA0D72">
            <w:pPr>
              <w:pStyle w:val="Table"/>
              <w:ind w:right="-3"/>
            </w:pPr>
            <w:r>
              <w:t>TC</w:t>
            </w:r>
          </w:p>
        </w:tc>
        <w:tc>
          <w:tcPr>
            <w:tcW w:w="1439" w:type="dxa"/>
            <w:noWrap/>
          </w:tcPr>
          <w:p w14:paraId="32F1BFEA" w14:textId="77777777" w:rsidR="00EA03B3" w:rsidRDefault="00EA03B3" w:rsidP="00CA0D72">
            <w:pPr>
              <w:pStyle w:val="Table"/>
              <w:ind w:right="-3"/>
            </w:pPr>
            <w:r>
              <w:t>105 (48%)</w:t>
            </w:r>
          </w:p>
        </w:tc>
        <w:tc>
          <w:tcPr>
            <w:tcW w:w="1439" w:type="dxa"/>
            <w:noWrap/>
          </w:tcPr>
          <w:p w14:paraId="7F5C3ABD" w14:textId="77777777" w:rsidR="00EA03B3" w:rsidRDefault="00EA03B3" w:rsidP="00CA0D72">
            <w:pPr>
              <w:pStyle w:val="Table"/>
              <w:ind w:right="-3"/>
            </w:pPr>
            <w:r>
              <w:t>6 (2–23)</w:t>
            </w:r>
          </w:p>
        </w:tc>
        <w:tc>
          <w:tcPr>
            <w:tcW w:w="1439" w:type="dxa"/>
            <w:noWrap/>
          </w:tcPr>
          <w:p w14:paraId="1046507C" w14:textId="77777777" w:rsidR="00EA03B3" w:rsidRDefault="00EA03B3" w:rsidP="00CA0D72">
            <w:pPr>
              <w:pStyle w:val="Table"/>
              <w:ind w:right="-3"/>
            </w:pPr>
            <w:r>
              <w:t>13 (5%)</w:t>
            </w:r>
          </w:p>
        </w:tc>
        <w:tc>
          <w:tcPr>
            <w:tcW w:w="1637" w:type="dxa"/>
            <w:noWrap/>
          </w:tcPr>
          <w:p w14:paraId="748A6735" w14:textId="77777777" w:rsidR="00EA03B3" w:rsidRDefault="00EA03B3" w:rsidP="00CA0D72">
            <w:pPr>
              <w:pStyle w:val="Table"/>
              <w:ind w:right="-3"/>
            </w:pPr>
            <w:r>
              <w:t>77 (43–97)</w:t>
            </w:r>
          </w:p>
        </w:tc>
        <w:tc>
          <w:tcPr>
            <w:tcW w:w="1242" w:type="dxa"/>
            <w:noWrap/>
          </w:tcPr>
          <w:p w14:paraId="7CA64500" w14:textId="77777777" w:rsidR="00EA03B3" w:rsidRDefault="00EA03B3" w:rsidP="00CA0D72">
            <w:pPr>
              <w:pStyle w:val="Table"/>
              <w:ind w:right="-3"/>
            </w:pPr>
            <w:r>
              <w:t>17 (6%)</w:t>
            </w:r>
          </w:p>
        </w:tc>
      </w:tr>
      <w:tr w:rsidR="00AE5ADF" w14:paraId="119F07D1" w14:textId="77777777" w:rsidTr="00AE5ADF">
        <w:trPr>
          <w:trHeight w:val="255"/>
        </w:trPr>
        <w:tc>
          <w:tcPr>
            <w:tcW w:w="1242" w:type="dxa"/>
            <w:noWrap/>
          </w:tcPr>
          <w:p w14:paraId="76E90E08" w14:textId="3EB9418D" w:rsidR="00EA03B3" w:rsidRDefault="00AE5ADF" w:rsidP="00CA0D72">
            <w:pPr>
              <w:pStyle w:val="Table"/>
              <w:ind w:right="-3"/>
            </w:pPr>
            <w:r>
              <w:t>QLD</w:t>
            </w:r>
          </w:p>
        </w:tc>
        <w:tc>
          <w:tcPr>
            <w:tcW w:w="1134" w:type="dxa"/>
            <w:noWrap/>
          </w:tcPr>
          <w:p w14:paraId="65CC424A" w14:textId="77777777" w:rsidR="00EA03B3" w:rsidRDefault="00EA03B3" w:rsidP="00CA0D72">
            <w:pPr>
              <w:pStyle w:val="Table"/>
              <w:ind w:right="-3"/>
            </w:pPr>
            <w:r>
              <w:t>Control 1</w:t>
            </w:r>
          </w:p>
        </w:tc>
        <w:tc>
          <w:tcPr>
            <w:tcW w:w="1439" w:type="dxa"/>
            <w:noWrap/>
          </w:tcPr>
          <w:p w14:paraId="6817F49C" w14:textId="77777777" w:rsidR="00EA03B3" w:rsidRDefault="00EA03B3" w:rsidP="00CA0D72">
            <w:pPr>
              <w:pStyle w:val="Table"/>
              <w:ind w:right="-3"/>
            </w:pPr>
            <w:r>
              <w:t>11 (55%)</w:t>
            </w:r>
          </w:p>
        </w:tc>
        <w:tc>
          <w:tcPr>
            <w:tcW w:w="1439" w:type="dxa"/>
            <w:noWrap/>
          </w:tcPr>
          <w:p w14:paraId="7A0FFBCE" w14:textId="77777777" w:rsidR="00EA03B3" w:rsidRDefault="00EA03B3" w:rsidP="00CA0D72">
            <w:pPr>
              <w:pStyle w:val="Table"/>
              <w:ind w:right="-3"/>
            </w:pPr>
            <w:r>
              <w:t>12 (3–26)</w:t>
            </w:r>
          </w:p>
        </w:tc>
        <w:tc>
          <w:tcPr>
            <w:tcW w:w="1439" w:type="dxa"/>
            <w:noWrap/>
          </w:tcPr>
          <w:p w14:paraId="523C06B2" w14:textId="77777777" w:rsidR="00EA03B3" w:rsidRDefault="00EA03B3" w:rsidP="00CA0D72">
            <w:pPr>
              <w:pStyle w:val="Table"/>
              <w:ind w:right="-3"/>
            </w:pPr>
            <w:r>
              <w:t>6 (21%)</w:t>
            </w:r>
          </w:p>
        </w:tc>
        <w:tc>
          <w:tcPr>
            <w:tcW w:w="1637" w:type="dxa"/>
            <w:noWrap/>
          </w:tcPr>
          <w:p w14:paraId="63D9B40D" w14:textId="77777777" w:rsidR="00EA03B3" w:rsidRDefault="00EA03B3" w:rsidP="00CA0D72">
            <w:pPr>
              <w:pStyle w:val="Table"/>
              <w:ind w:right="-3"/>
            </w:pPr>
            <w:r>
              <w:t>145 (60–178)</w:t>
            </w:r>
          </w:p>
        </w:tc>
        <w:tc>
          <w:tcPr>
            <w:tcW w:w="1242" w:type="dxa"/>
            <w:noWrap/>
          </w:tcPr>
          <w:p w14:paraId="31DD4B50" w14:textId="77777777" w:rsidR="00EA03B3" w:rsidRDefault="00EA03B3" w:rsidP="00CA0D72">
            <w:pPr>
              <w:pStyle w:val="Table"/>
              <w:ind w:right="-3"/>
            </w:pPr>
            <w:r>
              <w:t>3 (10%)</w:t>
            </w:r>
          </w:p>
        </w:tc>
      </w:tr>
      <w:tr w:rsidR="00AE5ADF" w14:paraId="613B6ACD" w14:textId="77777777" w:rsidTr="00AE5ADF">
        <w:trPr>
          <w:trHeight w:val="255"/>
        </w:trPr>
        <w:tc>
          <w:tcPr>
            <w:tcW w:w="1242" w:type="dxa"/>
            <w:noWrap/>
          </w:tcPr>
          <w:p w14:paraId="1CFBA8E8" w14:textId="64148926" w:rsidR="00EA03B3" w:rsidRDefault="00AE5ADF" w:rsidP="00CA0D72">
            <w:pPr>
              <w:pStyle w:val="Table"/>
              <w:ind w:right="-3"/>
            </w:pPr>
            <w:r>
              <w:t>QLD</w:t>
            </w:r>
          </w:p>
        </w:tc>
        <w:tc>
          <w:tcPr>
            <w:tcW w:w="1134" w:type="dxa"/>
            <w:noWrap/>
          </w:tcPr>
          <w:p w14:paraId="7D8B86CC" w14:textId="77777777" w:rsidR="00EA03B3" w:rsidRDefault="00EA03B3" w:rsidP="00CA0D72">
            <w:pPr>
              <w:pStyle w:val="Table"/>
              <w:ind w:right="-3"/>
            </w:pPr>
            <w:r>
              <w:t>Control 2</w:t>
            </w:r>
          </w:p>
        </w:tc>
        <w:tc>
          <w:tcPr>
            <w:tcW w:w="1439" w:type="dxa"/>
            <w:noWrap/>
          </w:tcPr>
          <w:p w14:paraId="6CBF3AFD" w14:textId="77777777" w:rsidR="00EA03B3" w:rsidRDefault="00EA03B3" w:rsidP="00CA0D72">
            <w:pPr>
              <w:pStyle w:val="Table"/>
              <w:ind w:right="-3"/>
            </w:pPr>
            <w:r>
              <w:t>99 (56%)</w:t>
            </w:r>
          </w:p>
        </w:tc>
        <w:tc>
          <w:tcPr>
            <w:tcW w:w="1439" w:type="dxa"/>
            <w:noWrap/>
          </w:tcPr>
          <w:p w14:paraId="7F46F7EA" w14:textId="77777777" w:rsidR="00EA03B3" w:rsidRDefault="00EA03B3" w:rsidP="00CA0D72">
            <w:pPr>
              <w:pStyle w:val="Table"/>
              <w:ind w:right="-3"/>
            </w:pPr>
            <w:r>
              <w:t>15 (8–42)</w:t>
            </w:r>
          </w:p>
        </w:tc>
        <w:tc>
          <w:tcPr>
            <w:tcW w:w="1439" w:type="dxa"/>
            <w:noWrap/>
          </w:tcPr>
          <w:p w14:paraId="60A1BD86" w14:textId="77777777" w:rsidR="00EA03B3" w:rsidRDefault="00EA03B3" w:rsidP="00CA0D72">
            <w:pPr>
              <w:pStyle w:val="Table"/>
              <w:ind w:right="-3"/>
            </w:pPr>
            <w:r>
              <w:t>0 (0%)</w:t>
            </w:r>
          </w:p>
        </w:tc>
        <w:tc>
          <w:tcPr>
            <w:tcW w:w="1637" w:type="dxa"/>
            <w:noWrap/>
          </w:tcPr>
          <w:p w14:paraId="37F09EB6" w14:textId="77777777" w:rsidR="00EA03B3" w:rsidRDefault="00EA03B3" w:rsidP="00CA0D72">
            <w:pPr>
              <w:pStyle w:val="Table"/>
              <w:ind w:right="-3"/>
            </w:pPr>
            <w:r>
              <w:t xml:space="preserve">- </w:t>
            </w:r>
          </w:p>
        </w:tc>
        <w:tc>
          <w:tcPr>
            <w:tcW w:w="1242" w:type="dxa"/>
            <w:noWrap/>
          </w:tcPr>
          <w:p w14:paraId="25058E93" w14:textId="77777777" w:rsidR="00EA03B3" w:rsidRDefault="00EA03B3" w:rsidP="00CA0D72">
            <w:pPr>
              <w:pStyle w:val="Table"/>
              <w:ind w:right="-3"/>
            </w:pPr>
            <w:r>
              <w:t>41 (15%)</w:t>
            </w:r>
          </w:p>
        </w:tc>
      </w:tr>
      <w:tr w:rsidR="00AE5ADF" w14:paraId="6B5E0FF9" w14:textId="77777777" w:rsidTr="00AE5ADF">
        <w:trPr>
          <w:trHeight w:val="255"/>
        </w:trPr>
        <w:tc>
          <w:tcPr>
            <w:tcW w:w="1242" w:type="dxa"/>
            <w:noWrap/>
          </w:tcPr>
          <w:p w14:paraId="3F7D2CAA" w14:textId="77777777" w:rsidR="00EA03B3" w:rsidRDefault="00EA03B3" w:rsidP="00CA0D72">
            <w:pPr>
              <w:pStyle w:val="Table"/>
              <w:ind w:right="-3"/>
            </w:pPr>
            <w:r>
              <w:t>SA</w:t>
            </w:r>
          </w:p>
        </w:tc>
        <w:tc>
          <w:tcPr>
            <w:tcW w:w="1134" w:type="dxa"/>
            <w:noWrap/>
          </w:tcPr>
          <w:p w14:paraId="402748B4" w14:textId="77777777" w:rsidR="00EA03B3" w:rsidRDefault="00EA03B3" w:rsidP="00CA0D72">
            <w:pPr>
              <w:pStyle w:val="Table"/>
              <w:ind w:right="-3"/>
            </w:pPr>
            <w:r>
              <w:t>TC</w:t>
            </w:r>
          </w:p>
        </w:tc>
        <w:tc>
          <w:tcPr>
            <w:tcW w:w="1439" w:type="dxa"/>
            <w:noWrap/>
          </w:tcPr>
          <w:p w14:paraId="3E1CFE27" w14:textId="77777777" w:rsidR="00EA03B3" w:rsidRDefault="00EA03B3" w:rsidP="00CA0D72">
            <w:pPr>
              <w:pStyle w:val="Table"/>
              <w:ind w:right="-3"/>
            </w:pPr>
            <w:r>
              <w:t>111 (47%)</w:t>
            </w:r>
          </w:p>
        </w:tc>
        <w:tc>
          <w:tcPr>
            <w:tcW w:w="1439" w:type="dxa"/>
            <w:noWrap/>
          </w:tcPr>
          <w:p w14:paraId="794EF30F" w14:textId="77777777" w:rsidR="00EA03B3" w:rsidRDefault="00EA03B3" w:rsidP="00CA0D72">
            <w:pPr>
              <w:pStyle w:val="Table"/>
              <w:ind w:right="-3"/>
            </w:pPr>
            <w:r>
              <w:t>9 (4–27)</w:t>
            </w:r>
          </w:p>
        </w:tc>
        <w:tc>
          <w:tcPr>
            <w:tcW w:w="1439" w:type="dxa"/>
            <w:noWrap/>
          </w:tcPr>
          <w:p w14:paraId="64CF7EEF" w14:textId="77777777" w:rsidR="00EA03B3" w:rsidRDefault="00EA03B3" w:rsidP="00CA0D72">
            <w:pPr>
              <w:pStyle w:val="Table"/>
              <w:ind w:right="-3"/>
            </w:pPr>
            <w:r>
              <w:t>76 (26%)</w:t>
            </w:r>
          </w:p>
        </w:tc>
        <w:tc>
          <w:tcPr>
            <w:tcW w:w="1637" w:type="dxa"/>
            <w:noWrap/>
          </w:tcPr>
          <w:p w14:paraId="074573AA" w14:textId="77777777" w:rsidR="00EA03B3" w:rsidRDefault="00EA03B3" w:rsidP="00CA0D72">
            <w:pPr>
              <w:pStyle w:val="Table"/>
              <w:ind w:right="-3"/>
            </w:pPr>
            <w:r>
              <w:t>92 (56–120)</w:t>
            </w:r>
          </w:p>
        </w:tc>
        <w:tc>
          <w:tcPr>
            <w:tcW w:w="1242" w:type="dxa"/>
            <w:noWrap/>
          </w:tcPr>
          <w:p w14:paraId="0E72F643" w14:textId="77777777" w:rsidR="00EA03B3" w:rsidRDefault="00EA03B3" w:rsidP="00CA0D72">
            <w:pPr>
              <w:pStyle w:val="Table"/>
              <w:ind w:right="-3"/>
            </w:pPr>
            <w:r>
              <w:t>32 (11%)</w:t>
            </w:r>
          </w:p>
        </w:tc>
      </w:tr>
      <w:tr w:rsidR="00AE5ADF" w14:paraId="4D05C6CF" w14:textId="77777777" w:rsidTr="00AE5ADF">
        <w:trPr>
          <w:trHeight w:val="255"/>
        </w:trPr>
        <w:tc>
          <w:tcPr>
            <w:tcW w:w="1242" w:type="dxa"/>
            <w:noWrap/>
          </w:tcPr>
          <w:p w14:paraId="1297C709" w14:textId="4604874D" w:rsidR="00AE5ADF" w:rsidRDefault="00AE5ADF" w:rsidP="00CA0D72">
            <w:pPr>
              <w:pStyle w:val="Table"/>
              <w:ind w:right="-3"/>
            </w:pPr>
            <w:r>
              <w:t>SA</w:t>
            </w:r>
          </w:p>
        </w:tc>
        <w:tc>
          <w:tcPr>
            <w:tcW w:w="1134" w:type="dxa"/>
            <w:noWrap/>
          </w:tcPr>
          <w:p w14:paraId="63BB563F" w14:textId="77777777" w:rsidR="00AE5ADF" w:rsidRDefault="00AE5ADF" w:rsidP="00CA0D72">
            <w:pPr>
              <w:pStyle w:val="Table"/>
              <w:ind w:right="-3"/>
            </w:pPr>
            <w:r>
              <w:t>Control 1</w:t>
            </w:r>
          </w:p>
        </w:tc>
        <w:tc>
          <w:tcPr>
            <w:tcW w:w="1439" w:type="dxa"/>
            <w:noWrap/>
          </w:tcPr>
          <w:p w14:paraId="24E88EA6" w14:textId="77777777" w:rsidR="00AE5ADF" w:rsidRDefault="00AE5ADF" w:rsidP="00CA0D72">
            <w:pPr>
              <w:pStyle w:val="Table"/>
              <w:ind w:right="-3"/>
            </w:pPr>
            <w:r>
              <w:t>46 (56%)</w:t>
            </w:r>
          </w:p>
        </w:tc>
        <w:tc>
          <w:tcPr>
            <w:tcW w:w="1439" w:type="dxa"/>
            <w:noWrap/>
          </w:tcPr>
          <w:p w14:paraId="08B52F07" w14:textId="77777777" w:rsidR="00AE5ADF" w:rsidRDefault="00AE5ADF" w:rsidP="00CA0D72">
            <w:pPr>
              <w:pStyle w:val="Table"/>
              <w:ind w:right="-3"/>
            </w:pPr>
            <w:r>
              <w:t>17 (8–31)</w:t>
            </w:r>
          </w:p>
        </w:tc>
        <w:tc>
          <w:tcPr>
            <w:tcW w:w="1439" w:type="dxa"/>
            <w:noWrap/>
          </w:tcPr>
          <w:p w14:paraId="29D9E647" w14:textId="77777777" w:rsidR="00AE5ADF" w:rsidRDefault="00AE5ADF" w:rsidP="00CA0D72">
            <w:pPr>
              <w:pStyle w:val="Table"/>
              <w:ind w:right="-3"/>
            </w:pPr>
            <w:r>
              <w:t>33 (32%)</w:t>
            </w:r>
          </w:p>
        </w:tc>
        <w:tc>
          <w:tcPr>
            <w:tcW w:w="1637" w:type="dxa"/>
            <w:noWrap/>
          </w:tcPr>
          <w:p w14:paraId="2763F741" w14:textId="77777777" w:rsidR="00AE5ADF" w:rsidRDefault="00AE5ADF" w:rsidP="00CA0D72">
            <w:pPr>
              <w:pStyle w:val="Table"/>
              <w:ind w:right="-3"/>
            </w:pPr>
            <w:r>
              <w:t>117 (64–139)</w:t>
            </w:r>
          </w:p>
        </w:tc>
        <w:tc>
          <w:tcPr>
            <w:tcW w:w="1242" w:type="dxa"/>
            <w:noWrap/>
          </w:tcPr>
          <w:p w14:paraId="41113AB3" w14:textId="77777777" w:rsidR="00AE5ADF" w:rsidRDefault="00AE5ADF" w:rsidP="00CA0D72">
            <w:pPr>
              <w:pStyle w:val="Table"/>
              <w:ind w:right="-3"/>
            </w:pPr>
            <w:r>
              <w:t>24 (23%)</w:t>
            </w:r>
          </w:p>
        </w:tc>
      </w:tr>
      <w:tr w:rsidR="00AE5ADF" w14:paraId="5DABAF17" w14:textId="77777777" w:rsidTr="00AE5ADF">
        <w:trPr>
          <w:trHeight w:val="255"/>
        </w:trPr>
        <w:tc>
          <w:tcPr>
            <w:tcW w:w="1242" w:type="dxa"/>
            <w:noWrap/>
          </w:tcPr>
          <w:p w14:paraId="71A8CE9C" w14:textId="4759BFCB" w:rsidR="00AE5ADF" w:rsidRDefault="00AE5ADF" w:rsidP="00CA0D72">
            <w:pPr>
              <w:pStyle w:val="Table"/>
              <w:ind w:right="-3"/>
            </w:pPr>
            <w:r>
              <w:t>SA</w:t>
            </w:r>
          </w:p>
        </w:tc>
        <w:tc>
          <w:tcPr>
            <w:tcW w:w="1134" w:type="dxa"/>
            <w:noWrap/>
          </w:tcPr>
          <w:p w14:paraId="740B2796" w14:textId="77777777" w:rsidR="00AE5ADF" w:rsidRDefault="00AE5ADF" w:rsidP="00CA0D72">
            <w:pPr>
              <w:pStyle w:val="Table"/>
              <w:ind w:right="-3"/>
            </w:pPr>
            <w:r>
              <w:t>Control 2</w:t>
            </w:r>
          </w:p>
        </w:tc>
        <w:tc>
          <w:tcPr>
            <w:tcW w:w="1439" w:type="dxa"/>
            <w:noWrap/>
          </w:tcPr>
          <w:p w14:paraId="6AFA9B81" w14:textId="77777777" w:rsidR="00AE5ADF" w:rsidRDefault="00AE5ADF" w:rsidP="00CA0D72">
            <w:pPr>
              <w:pStyle w:val="Table"/>
              <w:ind w:right="-3"/>
            </w:pPr>
            <w:r>
              <w:t>122 (60%)</w:t>
            </w:r>
          </w:p>
        </w:tc>
        <w:tc>
          <w:tcPr>
            <w:tcW w:w="1439" w:type="dxa"/>
            <w:noWrap/>
          </w:tcPr>
          <w:p w14:paraId="2B2C8100" w14:textId="77777777" w:rsidR="00AE5ADF" w:rsidRDefault="00AE5ADF" w:rsidP="00CA0D72">
            <w:pPr>
              <w:pStyle w:val="Table"/>
              <w:ind w:right="-3"/>
            </w:pPr>
            <w:r>
              <w:t>13 (5–24)</w:t>
            </w:r>
          </w:p>
        </w:tc>
        <w:tc>
          <w:tcPr>
            <w:tcW w:w="1439" w:type="dxa"/>
            <w:noWrap/>
          </w:tcPr>
          <w:p w14:paraId="655DAE72" w14:textId="77777777" w:rsidR="00AE5ADF" w:rsidRDefault="00AE5ADF" w:rsidP="00CA0D72">
            <w:pPr>
              <w:pStyle w:val="Table"/>
              <w:ind w:right="-3"/>
            </w:pPr>
            <w:r>
              <w:t>58 (24%)</w:t>
            </w:r>
          </w:p>
        </w:tc>
        <w:tc>
          <w:tcPr>
            <w:tcW w:w="1637" w:type="dxa"/>
            <w:noWrap/>
          </w:tcPr>
          <w:p w14:paraId="55FA3643" w14:textId="77777777" w:rsidR="00AE5ADF" w:rsidRDefault="00AE5ADF" w:rsidP="00CA0D72">
            <w:pPr>
              <w:pStyle w:val="Table"/>
              <w:ind w:right="-3"/>
            </w:pPr>
            <w:r>
              <w:t>113 (62–137)</w:t>
            </w:r>
          </w:p>
        </w:tc>
        <w:tc>
          <w:tcPr>
            <w:tcW w:w="1242" w:type="dxa"/>
            <w:noWrap/>
          </w:tcPr>
          <w:p w14:paraId="7B0082ED" w14:textId="77777777" w:rsidR="00AE5ADF" w:rsidRDefault="00AE5ADF" w:rsidP="00CA0D72">
            <w:pPr>
              <w:pStyle w:val="Table"/>
              <w:ind w:right="-3"/>
            </w:pPr>
            <w:r>
              <w:t>35 (14%)</w:t>
            </w:r>
          </w:p>
        </w:tc>
      </w:tr>
      <w:tr w:rsidR="00AE5ADF" w14:paraId="69B931F7" w14:textId="77777777" w:rsidTr="00AE5ADF">
        <w:trPr>
          <w:trHeight w:val="255"/>
        </w:trPr>
        <w:tc>
          <w:tcPr>
            <w:tcW w:w="1242" w:type="dxa"/>
            <w:noWrap/>
          </w:tcPr>
          <w:p w14:paraId="1E68DBE6" w14:textId="77777777" w:rsidR="00AE5ADF" w:rsidRDefault="00AE5ADF" w:rsidP="00CA0D72">
            <w:pPr>
              <w:pStyle w:val="Table"/>
              <w:ind w:right="-3"/>
            </w:pPr>
            <w:r>
              <w:t>TAS</w:t>
            </w:r>
          </w:p>
        </w:tc>
        <w:tc>
          <w:tcPr>
            <w:tcW w:w="1134" w:type="dxa"/>
            <w:noWrap/>
          </w:tcPr>
          <w:p w14:paraId="37C8D887" w14:textId="77777777" w:rsidR="00AE5ADF" w:rsidRDefault="00AE5ADF" w:rsidP="00CA0D72">
            <w:pPr>
              <w:pStyle w:val="Table"/>
              <w:ind w:right="-3"/>
            </w:pPr>
            <w:r>
              <w:t>TC</w:t>
            </w:r>
          </w:p>
        </w:tc>
        <w:tc>
          <w:tcPr>
            <w:tcW w:w="1439" w:type="dxa"/>
            <w:noWrap/>
          </w:tcPr>
          <w:p w14:paraId="2F2781F2" w14:textId="77777777" w:rsidR="00AE5ADF" w:rsidRDefault="00AE5ADF" w:rsidP="00CA0D72">
            <w:pPr>
              <w:pStyle w:val="Table"/>
              <w:ind w:right="-3"/>
            </w:pPr>
            <w:r>
              <w:t>84 (90%)</w:t>
            </w:r>
          </w:p>
        </w:tc>
        <w:tc>
          <w:tcPr>
            <w:tcW w:w="1439" w:type="dxa"/>
            <w:noWrap/>
          </w:tcPr>
          <w:p w14:paraId="19B0DEA8" w14:textId="77777777" w:rsidR="00AE5ADF" w:rsidRDefault="00AE5ADF" w:rsidP="00CA0D72">
            <w:pPr>
              <w:pStyle w:val="Table"/>
              <w:ind w:right="-3"/>
            </w:pPr>
            <w:r>
              <w:t>41 (17–75)</w:t>
            </w:r>
          </w:p>
        </w:tc>
        <w:tc>
          <w:tcPr>
            <w:tcW w:w="1439" w:type="dxa"/>
            <w:noWrap/>
          </w:tcPr>
          <w:p w14:paraId="315AA049" w14:textId="77777777" w:rsidR="00AE5ADF" w:rsidRDefault="00AE5ADF" w:rsidP="00CA0D72">
            <w:pPr>
              <w:pStyle w:val="Table"/>
              <w:ind w:right="-3"/>
            </w:pPr>
            <w:r>
              <w:t>15 (15%)</w:t>
            </w:r>
          </w:p>
        </w:tc>
        <w:tc>
          <w:tcPr>
            <w:tcW w:w="1637" w:type="dxa"/>
            <w:noWrap/>
          </w:tcPr>
          <w:p w14:paraId="7CC3CE68" w14:textId="77777777" w:rsidR="00AE5ADF" w:rsidRDefault="00AE5ADF" w:rsidP="00CA0D72">
            <w:pPr>
              <w:pStyle w:val="Table"/>
              <w:ind w:right="-3"/>
            </w:pPr>
            <w:r>
              <w:t>110 (51–148)</w:t>
            </w:r>
          </w:p>
        </w:tc>
        <w:tc>
          <w:tcPr>
            <w:tcW w:w="1242" w:type="dxa"/>
            <w:noWrap/>
          </w:tcPr>
          <w:p w14:paraId="7ED26D54" w14:textId="77777777" w:rsidR="00AE5ADF" w:rsidRDefault="00AE5ADF" w:rsidP="00CA0D72">
            <w:pPr>
              <w:pStyle w:val="Table"/>
              <w:ind w:right="-3"/>
            </w:pPr>
            <w:r>
              <w:t>6 (6%)</w:t>
            </w:r>
          </w:p>
        </w:tc>
      </w:tr>
      <w:tr w:rsidR="00AE5ADF" w14:paraId="6BC6ED3E" w14:textId="77777777" w:rsidTr="00AE5ADF">
        <w:trPr>
          <w:trHeight w:val="255"/>
        </w:trPr>
        <w:tc>
          <w:tcPr>
            <w:tcW w:w="1242" w:type="dxa"/>
            <w:noWrap/>
          </w:tcPr>
          <w:p w14:paraId="00BEB3B7" w14:textId="37977D6D" w:rsidR="00AE5ADF" w:rsidRDefault="00AE5ADF" w:rsidP="00CA0D72">
            <w:pPr>
              <w:pStyle w:val="Table"/>
              <w:ind w:right="-3"/>
            </w:pPr>
            <w:r>
              <w:t>TAS</w:t>
            </w:r>
          </w:p>
        </w:tc>
        <w:tc>
          <w:tcPr>
            <w:tcW w:w="1134" w:type="dxa"/>
            <w:noWrap/>
          </w:tcPr>
          <w:p w14:paraId="2F0124EF" w14:textId="77777777" w:rsidR="00AE5ADF" w:rsidRDefault="00AE5ADF" w:rsidP="00CA0D72">
            <w:pPr>
              <w:pStyle w:val="Table"/>
              <w:ind w:right="-3"/>
            </w:pPr>
            <w:r>
              <w:t>Control 1</w:t>
            </w:r>
          </w:p>
        </w:tc>
        <w:tc>
          <w:tcPr>
            <w:tcW w:w="1439" w:type="dxa"/>
            <w:noWrap/>
          </w:tcPr>
          <w:p w14:paraId="59F2BA2B" w14:textId="77777777" w:rsidR="00AE5ADF" w:rsidRDefault="00AE5ADF" w:rsidP="00CA0D72">
            <w:pPr>
              <w:pStyle w:val="Table"/>
              <w:ind w:right="-3"/>
            </w:pPr>
            <w:r>
              <w:t>7 (70%)</w:t>
            </w:r>
          </w:p>
        </w:tc>
        <w:tc>
          <w:tcPr>
            <w:tcW w:w="1439" w:type="dxa"/>
            <w:noWrap/>
          </w:tcPr>
          <w:p w14:paraId="4FDCE4B1" w14:textId="77777777" w:rsidR="00AE5ADF" w:rsidRDefault="00AE5ADF" w:rsidP="00CA0D72">
            <w:pPr>
              <w:pStyle w:val="Table"/>
              <w:ind w:right="-3"/>
            </w:pPr>
            <w:r>
              <w:t>4 (1–5)</w:t>
            </w:r>
          </w:p>
        </w:tc>
        <w:tc>
          <w:tcPr>
            <w:tcW w:w="1439" w:type="dxa"/>
            <w:noWrap/>
          </w:tcPr>
          <w:p w14:paraId="683E2D18" w14:textId="77777777" w:rsidR="00AE5ADF" w:rsidRDefault="00AE5ADF" w:rsidP="00CA0D72">
            <w:pPr>
              <w:pStyle w:val="Table"/>
              <w:ind w:right="-3"/>
            </w:pPr>
            <w:r>
              <w:t>1 (9%)</w:t>
            </w:r>
          </w:p>
        </w:tc>
        <w:tc>
          <w:tcPr>
            <w:tcW w:w="1637" w:type="dxa"/>
            <w:noWrap/>
          </w:tcPr>
          <w:p w14:paraId="3454E6E8" w14:textId="77777777" w:rsidR="00AE5ADF" w:rsidRDefault="00AE5ADF" w:rsidP="00CA0D72">
            <w:pPr>
              <w:pStyle w:val="Table"/>
              <w:ind w:right="-3"/>
            </w:pPr>
            <w:r>
              <w:t xml:space="preserve">- </w:t>
            </w:r>
          </w:p>
        </w:tc>
        <w:tc>
          <w:tcPr>
            <w:tcW w:w="1242" w:type="dxa"/>
            <w:noWrap/>
          </w:tcPr>
          <w:p w14:paraId="382B2F6B" w14:textId="77777777" w:rsidR="00AE5ADF" w:rsidRDefault="00AE5ADF" w:rsidP="00CA0D72">
            <w:pPr>
              <w:pStyle w:val="Table"/>
              <w:ind w:right="-3"/>
            </w:pPr>
            <w:r>
              <w:t>0 (0%)</w:t>
            </w:r>
          </w:p>
        </w:tc>
      </w:tr>
      <w:tr w:rsidR="00AE5ADF" w14:paraId="49227D16" w14:textId="77777777" w:rsidTr="00AE5ADF">
        <w:trPr>
          <w:trHeight w:val="255"/>
        </w:trPr>
        <w:tc>
          <w:tcPr>
            <w:tcW w:w="1242" w:type="dxa"/>
            <w:noWrap/>
          </w:tcPr>
          <w:p w14:paraId="49884767" w14:textId="49B3839B" w:rsidR="00AE5ADF" w:rsidRDefault="00AE5ADF" w:rsidP="00CA0D72">
            <w:pPr>
              <w:pStyle w:val="Table"/>
              <w:ind w:right="-3"/>
            </w:pPr>
            <w:r>
              <w:t>TAS</w:t>
            </w:r>
          </w:p>
        </w:tc>
        <w:tc>
          <w:tcPr>
            <w:tcW w:w="1134" w:type="dxa"/>
            <w:noWrap/>
          </w:tcPr>
          <w:p w14:paraId="0C281935" w14:textId="77777777" w:rsidR="00AE5ADF" w:rsidRDefault="00AE5ADF" w:rsidP="00CA0D72">
            <w:pPr>
              <w:pStyle w:val="Table"/>
              <w:ind w:right="-3"/>
            </w:pPr>
            <w:r>
              <w:t>Control 2</w:t>
            </w:r>
          </w:p>
        </w:tc>
        <w:tc>
          <w:tcPr>
            <w:tcW w:w="1439" w:type="dxa"/>
            <w:noWrap/>
          </w:tcPr>
          <w:p w14:paraId="795BB11C" w14:textId="77777777" w:rsidR="00AE5ADF" w:rsidRDefault="00AE5ADF" w:rsidP="00CA0D72">
            <w:pPr>
              <w:pStyle w:val="Table"/>
              <w:ind w:right="-3"/>
            </w:pPr>
            <w:r>
              <w:t>20 (83%)</w:t>
            </w:r>
          </w:p>
        </w:tc>
        <w:tc>
          <w:tcPr>
            <w:tcW w:w="1439" w:type="dxa"/>
            <w:noWrap/>
          </w:tcPr>
          <w:p w14:paraId="4DA67B7A" w14:textId="77777777" w:rsidR="00AE5ADF" w:rsidRDefault="00AE5ADF" w:rsidP="00CA0D72">
            <w:pPr>
              <w:pStyle w:val="Table"/>
              <w:ind w:right="-3"/>
            </w:pPr>
            <w:r>
              <w:t>21 (2–52)</w:t>
            </w:r>
          </w:p>
        </w:tc>
        <w:tc>
          <w:tcPr>
            <w:tcW w:w="1439" w:type="dxa"/>
            <w:noWrap/>
          </w:tcPr>
          <w:p w14:paraId="06DBDE5A" w14:textId="77777777" w:rsidR="00AE5ADF" w:rsidRDefault="00AE5ADF" w:rsidP="00CA0D72">
            <w:pPr>
              <w:pStyle w:val="Table"/>
              <w:ind w:right="-3"/>
            </w:pPr>
            <w:r>
              <w:t>7 (28%)</w:t>
            </w:r>
          </w:p>
        </w:tc>
        <w:tc>
          <w:tcPr>
            <w:tcW w:w="1637" w:type="dxa"/>
            <w:noWrap/>
          </w:tcPr>
          <w:p w14:paraId="3BEDCCCE" w14:textId="77777777" w:rsidR="00AE5ADF" w:rsidRDefault="00AE5ADF" w:rsidP="00CA0D72">
            <w:pPr>
              <w:pStyle w:val="Table"/>
              <w:ind w:right="-3"/>
            </w:pPr>
            <w:r>
              <w:t>109 (53–163)</w:t>
            </w:r>
          </w:p>
        </w:tc>
        <w:tc>
          <w:tcPr>
            <w:tcW w:w="1242" w:type="dxa"/>
            <w:noWrap/>
          </w:tcPr>
          <w:p w14:paraId="2CD6D7D3" w14:textId="77777777" w:rsidR="00AE5ADF" w:rsidRDefault="00AE5ADF" w:rsidP="00CA0D72">
            <w:pPr>
              <w:pStyle w:val="Table"/>
              <w:ind w:right="-3"/>
            </w:pPr>
            <w:r>
              <w:t>4 (16%)</w:t>
            </w:r>
          </w:p>
        </w:tc>
      </w:tr>
      <w:tr w:rsidR="00AE5ADF" w14:paraId="342A487C" w14:textId="77777777" w:rsidTr="00AE5ADF">
        <w:trPr>
          <w:trHeight w:val="255"/>
        </w:trPr>
        <w:tc>
          <w:tcPr>
            <w:tcW w:w="1242" w:type="dxa"/>
            <w:noWrap/>
          </w:tcPr>
          <w:p w14:paraId="4B25A11D" w14:textId="77777777" w:rsidR="00AE5ADF" w:rsidRDefault="00AE5ADF" w:rsidP="00CA0D72">
            <w:pPr>
              <w:pStyle w:val="Table"/>
              <w:ind w:right="-3"/>
            </w:pPr>
            <w:r>
              <w:t>VIC</w:t>
            </w:r>
          </w:p>
        </w:tc>
        <w:tc>
          <w:tcPr>
            <w:tcW w:w="1134" w:type="dxa"/>
            <w:noWrap/>
          </w:tcPr>
          <w:p w14:paraId="7DA2B37E" w14:textId="77777777" w:rsidR="00AE5ADF" w:rsidRDefault="00AE5ADF" w:rsidP="00CA0D72">
            <w:pPr>
              <w:pStyle w:val="Table"/>
              <w:ind w:right="-3"/>
            </w:pPr>
            <w:r>
              <w:t>TC</w:t>
            </w:r>
          </w:p>
        </w:tc>
        <w:tc>
          <w:tcPr>
            <w:tcW w:w="1439" w:type="dxa"/>
            <w:noWrap/>
          </w:tcPr>
          <w:p w14:paraId="65CCE06F" w14:textId="77777777" w:rsidR="00AE5ADF" w:rsidRDefault="00AE5ADF" w:rsidP="00CA0D72">
            <w:pPr>
              <w:pStyle w:val="Table"/>
              <w:ind w:right="-3"/>
            </w:pPr>
            <w:r>
              <w:t>268 (38%)</w:t>
            </w:r>
          </w:p>
        </w:tc>
        <w:tc>
          <w:tcPr>
            <w:tcW w:w="1439" w:type="dxa"/>
            <w:noWrap/>
          </w:tcPr>
          <w:p w14:paraId="7FCADF4F" w14:textId="77777777" w:rsidR="00AE5ADF" w:rsidRDefault="00AE5ADF" w:rsidP="00CA0D72">
            <w:pPr>
              <w:pStyle w:val="Table"/>
              <w:ind w:right="-3"/>
            </w:pPr>
            <w:r>
              <w:t>13 (4–37)</w:t>
            </w:r>
          </w:p>
        </w:tc>
        <w:tc>
          <w:tcPr>
            <w:tcW w:w="1439" w:type="dxa"/>
            <w:noWrap/>
          </w:tcPr>
          <w:p w14:paraId="24E5C380" w14:textId="77777777" w:rsidR="00AE5ADF" w:rsidRDefault="00AE5ADF" w:rsidP="00CA0D72">
            <w:pPr>
              <w:pStyle w:val="Table"/>
              <w:ind w:right="-3"/>
            </w:pPr>
            <w:r>
              <w:t>494 (53%)</w:t>
            </w:r>
          </w:p>
        </w:tc>
        <w:tc>
          <w:tcPr>
            <w:tcW w:w="1637" w:type="dxa"/>
            <w:noWrap/>
          </w:tcPr>
          <w:p w14:paraId="1D89CB43" w14:textId="77777777" w:rsidR="00AE5ADF" w:rsidRDefault="00AE5ADF" w:rsidP="00CA0D72">
            <w:pPr>
              <w:pStyle w:val="Table"/>
              <w:ind w:right="-3"/>
            </w:pPr>
            <w:r>
              <w:t>122 (81–148)</w:t>
            </w:r>
          </w:p>
        </w:tc>
        <w:tc>
          <w:tcPr>
            <w:tcW w:w="1242" w:type="dxa"/>
            <w:noWrap/>
          </w:tcPr>
          <w:p w14:paraId="4A4780F0" w14:textId="77777777" w:rsidR="00AE5ADF" w:rsidRDefault="00AE5ADF" w:rsidP="00CA0D72">
            <w:pPr>
              <w:pStyle w:val="Table"/>
              <w:ind w:right="-3"/>
            </w:pPr>
            <w:r>
              <w:t>184 (20%)</w:t>
            </w:r>
          </w:p>
        </w:tc>
      </w:tr>
      <w:tr w:rsidR="00AE5ADF" w14:paraId="1C164CE1" w14:textId="77777777" w:rsidTr="00AE5ADF">
        <w:trPr>
          <w:trHeight w:val="255"/>
        </w:trPr>
        <w:tc>
          <w:tcPr>
            <w:tcW w:w="1242" w:type="dxa"/>
            <w:noWrap/>
          </w:tcPr>
          <w:p w14:paraId="552B99F5" w14:textId="65379D6B" w:rsidR="00AE5ADF" w:rsidRDefault="00AE5ADF" w:rsidP="00CA0D72">
            <w:pPr>
              <w:pStyle w:val="Table"/>
              <w:ind w:right="-3"/>
            </w:pPr>
            <w:r>
              <w:t>VIC</w:t>
            </w:r>
          </w:p>
        </w:tc>
        <w:tc>
          <w:tcPr>
            <w:tcW w:w="1134" w:type="dxa"/>
            <w:noWrap/>
          </w:tcPr>
          <w:p w14:paraId="04BE2ED7" w14:textId="77777777" w:rsidR="00AE5ADF" w:rsidRDefault="00AE5ADF" w:rsidP="00CA0D72">
            <w:pPr>
              <w:pStyle w:val="Table"/>
              <w:ind w:right="-3"/>
            </w:pPr>
            <w:r>
              <w:t>Control 1</w:t>
            </w:r>
          </w:p>
        </w:tc>
        <w:tc>
          <w:tcPr>
            <w:tcW w:w="1439" w:type="dxa"/>
            <w:noWrap/>
          </w:tcPr>
          <w:p w14:paraId="0F1791A0" w14:textId="77777777" w:rsidR="00AE5ADF" w:rsidRDefault="00AE5ADF" w:rsidP="00CA0D72">
            <w:pPr>
              <w:pStyle w:val="Table"/>
              <w:ind w:right="-3"/>
            </w:pPr>
            <w:r>
              <w:t>126 (40%)</w:t>
            </w:r>
          </w:p>
        </w:tc>
        <w:tc>
          <w:tcPr>
            <w:tcW w:w="1439" w:type="dxa"/>
            <w:noWrap/>
          </w:tcPr>
          <w:p w14:paraId="163A5E5A" w14:textId="77777777" w:rsidR="00AE5ADF" w:rsidRDefault="00AE5ADF" w:rsidP="00CA0D72">
            <w:pPr>
              <w:pStyle w:val="Table"/>
              <w:ind w:right="-3"/>
            </w:pPr>
            <w:r>
              <w:t>14 (6–37)</w:t>
            </w:r>
          </w:p>
        </w:tc>
        <w:tc>
          <w:tcPr>
            <w:tcW w:w="1439" w:type="dxa"/>
            <w:noWrap/>
          </w:tcPr>
          <w:p w14:paraId="58425126" w14:textId="77777777" w:rsidR="00AE5ADF" w:rsidRDefault="00AE5ADF" w:rsidP="00CA0D72">
            <w:pPr>
              <w:pStyle w:val="Table"/>
              <w:ind w:right="-3"/>
            </w:pPr>
            <w:r>
              <w:t>272 (63%)</w:t>
            </w:r>
          </w:p>
        </w:tc>
        <w:tc>
          <w:tcPr>
            <w:tcW w:w="1637" w:type="dxa"/>
            <w:noWrap/>
          </w:tcPr>
          <w:p w14:paraId="03301053" w14:textId="77777777" w:rsidR="00AE5ADF" w:rsidRDefault="00AE5ADF" w:rsidP="00CA0D72">
            <w:pPr>
              <w:pStyle w:val="Table"/>
              <w:ind w:right="-3"/>
            </w:pPr>
            <w:r>
              <w:t>162 (118–176)</w:t>
            </w:r>
          </w:p>
        </w:tc>
        <w:tc>
          <w:tcPr>
            <w:tcW w:w="1242" w:type="dxa"/>
            <w:noWrap/>
          </w:tcPr>
          <w:p w14:paraId="65EEFABF" w14:textId="77777777" w:rsidR="00AE5ADF" w:rsidRDefault="00AE5ADF" w:rsidP="00CA0D72">
            <w:pPr>
              <w:pStyle w:val="Table"/>
              <w:ind w:right="-3"/>
            </w:pPr>
            <w:r>
              <w:t>106 (25%)</w:t>
            </w:r>
          </w:p>
        </w:tc>
      </w:tr>
      <w:tr w:rsidR="00AE5ADF" w14:paraId="3232EF0F" w14:textId="77777777" w:rsidTr="00AE5ADF">
        <w:trPr>
          <w:trHeight w:val="255"/>
        </w:trPr>
        <w:tc>
          <w:tcPr>
            <w:tcW w:w="1242" w:type="dxa"/>
            <w:noWrap/>
          </w:tcPr>
          <w:p w14:paraId="1E9015E7" w14:textId="219EF18F" w:rsidR="00AE5ADF" w:rsidRDefault="00AE5ADF" w:rsidP="00CA0D72">
            <w:pPr>
              <w:pStyle w:val="Table"/>
              <w:ind w:right="-3"/>
            </w:pPr>
            <w:r>
              <w:t>VIC</w:t>
            </w:r>
          </w:p>
        </w:tc>
        <w:tc>
          <w:tcPr>
            <w:tcW w:w="1134" w:type="dxa"/>
            <w:noWrap/>
          </w:tcPr>
          <w:p w14:paraId="18A5014F" w14:textId="77777777" w:rsidR="00AE5ADF" w:rsidRDefault="00AE5ADF" w:rsidP="00CA0D72">
            <w:pPr>
              <w:pStyle w:val="Table"/>
              <w:ind w:right="-3"/>
            </w:pPr>
            <w:r>
              <w:t>Control 2</w:t>
            </w:r>
          </w:p>
        </w:tc>
        <w:tc>
          <w:tcPr>
            <w:tcW w:w="1439" w:type="dxa"/>
            <w:noWrap/>
          </w:tcPr>
          <w:p w14:paraId="0D2FE4A1" w14:textId="77777777" w:rsidR="00AE5ADF" w:rsidRDefault="00AE5ADF" w:rsidP="00CA0D72">
            <w:pPr>
              <w:pStyle w:val="Table"/>
              <w:ind w:right="-3"/>
            </w:pPr>
            <w:r>
              <w:t>132 (58%)</w:t>
            </w:r>
          </w:p>
        </w:tc>
        <w:tc>
          <w:tcPr>
            <w:tcW w:w="1439" w:type="dxa"/>
            <w:noWrap/>
          </w:tcPr>
          <w:p w14:paraId="0162BF6C" w14:textId="77777777" w:rsidR="00AE5ADF" w:rsidRDefault="00AE5ADF" w:rsidP="00CA0D72">
            <w:pPr>
              <w:pStyle w:val="Table"/>
              <w:ind w:right="-3"/>
            </w:pPr>
            <w:r>
              <w:t>22 (9–43)</w:t>
            </w:r>
          </w:p>
        </w:tc>
        <w:tc>
          <w:tcPr>
            <w:tcW w:w="1439" w:type="dxa"/>
            <w:noWrap/>
          </w:tcPr>
          <w:p w14:paraId="445637EC" w14:textId="77777777" w:rsidR="00AE5ADF" w:rsidRDefault="00AE5ADF" w:rsidP="00CA0D72">
            <w:pPr>
              <w:pStyle w:val="Table"/>
              <w:ind w:right="-3"/>
            </w:pPr>
            <w:r>
              <w:t>114 (36%)</w:t>
            </w:r>
          </w:p>
        </w:tc>
        <w:tc>
          <w:tcPr>
            <w:tcW w:w="1637" w:type="dxa"/>
            <w:noWrap/>
          </w:tcPr>
          <w:p w14:paraId="3AAC4096" w14:textId="77777777" w:rsidR="00AE5ADF" w:rsidRDefault="00AE5ADF" w:rsidP="00CA0D72">
            <w:pPr>
              <w:pStyle w:val="Table"/>
              <w:ind w:right="-3"/>
            </w:pPr>
            <w:r>
              <w:t>133 (77–167)</w:t>
            </w:r>
          </w:p>
        </w:tc>
        <w:tc>
          <w:tcPr>
            <w:tcW w:w="1242" w:type="dxa"/>
            <w:noWrap/>
          </w:tcPr>
          <w:p w14:paraId="7D36965A" w14:textId="77777777" w:rsidR="00AE5ADF" w:rsidRDefault="00AE5ADF" w:rsidP="00CA0D72">
            <w:pPr>
              <w:pStyle w:val="Table"/>
              <w:ind w:right="-3"/>
            </w:pPr>
            <w:r>
              <w:t>50 (16%)</w:t>
            </w:r>
          </w:p>
        </w:tc>
      </w:tr>
      <w:tr w:rsidR="00AE5ADF" w14:paraId="4E00A630" w14:textId="77777777" w:rsidTr="00AE5ADF">
        <w:trPr>
          <w:trHeight w:val="255"/>
        </w:trPr>
        <w:tc>
          <w:tcPr>
            <w:tcW w:w="1242" w:type="dxa"/>
            <w:noWrap/>
          </w:tcPr>
          <w:p w14:paraId="6709EFBC" w14:textId="77777777" w:rsidR="00AE5ADF" w:rsidRDefault="00AE5ADF" w:rsidP="00CA0D72">
            <w:pPr>
              <w:pStyle w:val="Table"/>
              <w:ind w:right="-3"/>
            </w:pPr>
            <w:r>
              <w:t>WA</w:t>
            </w:r>
          </w:p>
        </w:tc>
        <w:tc>
          <w:tcPr>
            <w:tcW w:w="1134" w:type="dxa"/>
            <w:noWrap/>
          </w:tcPr>
          <w:p w14:paraId="033EDE9C" w14:textId="77777777" w:rsidR="00AE5ADF" w:rsidRDefault="00AE5ADF" w:rsidP="00CA0D72">
            <w:pPr>
              <w:pStyle w:val="Table"/>
              <w:ind w:right="-3"/>
            </w:pPr>
            <w:r>
              <w:t>TC</w:t>
            </w:r>
          </w:p>
        </w:tc>
        <w:tc>
          <w:tcPr>
            <w:tcW w:w="1439" w:type="dxa"/>
            <w:noWrap/>
          </w:tcPr>
          <w:p w14:paraId="1DEEBBF3" w14:textId="77777777" w:rsidR="00AE5ADF" w:rsidRDefault="00AE5ADF" w:rsidP="00CA0D72">
            <w:pPr>
              <w:pStyle w:val="Table"/>
              <w:ind w:right="-3"/>
            </w:pPr>
            <w:r>
              <w:t>68 (50%)</w:t>
            </w:r>
          </w:p>
        </w:tc>
        <w:tc>
          <w:tcPr>
            <w:tcW w:w="1439" w:type="dxa"/>
            <w:noWrap/>
          </w:tcPr>
          <w:p w14:paraId="6AAD125F" w14:textId="77777777" w:rsidR="00AE5ADF" w:rsidRDefault="00AE5ADF" w:rsidP="00CA0D72">
            <w:pPr>
              <w:pStyle w:val="Table"/>
              <w:ind w:right="-3"/>
            </w:pPr>
            <w:r>
              <w:t>15 (2–35)</w:t>
            </w:r>
          </w:p>
        </w:tc>
        <w:tc>
          <w:tcPr>
            <w:tcW w:w="1439" w:type="dxa"/>
            <w:noWrap/>
          </w:tcPr>
          <w:p w14:paraId="0CA6C718" w14:textId="77777777" w:rsidR="00AE5ADF" w:rsidRDefault="00AE5ADF" w:rsidP="00CA0D72">
            <w:pPr>
              <w:pStyle w:val="Table"/>
              <w:ind w:right="-3"/>
            </w:pPr>
            <w:r>
              <w:t>31 (23%)</w:t>
            </w:r>
          </w:p>
        </w:tc>
        <w:tc>
          <w:tcPr>
            <w:tcW w:w="1637" w:type="dxa"/>
            <w:noWrap/>
          </w:tcPr>
          <w:p w14:paraId="75308B81" w14:textId="77777777" w:rsidR="00AE5ADF" w:rsidRDefault="00AE5ADF" w:rsidP="00CA0D72">
            <w:pPr>
              <w:pStyle w:val="Table"/>
              <w:ind w:right="-3"/>
            </w:pPr>
            <w:r>
              <w:t>93 (55–117)</w:t>
            </w:r>
          </w:p>
        </w:tc>
        <w:tc>
          <w:tcPr>
            <w:tcW w:w="1242" w:type="dxa"/>
            <w:noWrap/>
          </w:tcPr>
          <w:p w14:paraId="6264BF02" w14:textId="77777777" w:rsidR="00AE5ADF" w:rsidRDefault="00AE5ADF" w:rsidP="00CA0D72">
            <w:pPr>
              <w:pStyle w:val="Table"/>
              <w:ind w:right="-3"/>
            </w:pPr>
            <w:r>
              <w:t>16 (12%)</w:t>
            </w:r>
          </w:p>
        </w:tc>
      </w:tr>
      <w:tr w:rsidR="00AE5ADF" w14:paraId="2D7B8763" w14:textId="77777777" w:rsidTr="00AE5ADF">
        <w:trPr>
          <w:trHeight w:val="255"/>
        </w:trPr>
        <w:tc>
          <w:tcPr>
            <w:tcW w:w="1242" w:type="dxa"/>
            <w:noWrap/>
          </w:tcPr>
          <w:p w14:paraId="09F45FF3" w14:textId="76B075F8" w:rsidR="00AE5ADF" w:rsidRDefault="00AE5ADF" w:rsidP="00CA0D72">
            <w:pPr>
              <w:pStyle w:val="Table"/>
              <w:ind w:right="-3"/>
            </w:pPr>
            <w:r>
              <w:t>WA</w:t>
            </w:r>
          </w:p>
        </w:tc>
        <w:tc>
          <w:tcPr>
            <w:tcW w:w="1134" w:type="dxa"/>
            <w:noWrap/>
          </w:tcPr>
          <w:p w14:paraId="7F119EF4" w14:textId="77777777" w:rsidR="00AE5ADF" w:rsidRDefault="00AE5ADF" w:rsidP="00CA0D72">
            <w:pPr>
              <w:pStyle w:val="Table"/>
              <w:ind w:right="-3"/>
            </w:pPr>
            <w:r>
              <w:t>Control 1</w:t>
            </w:r>
          </w:p>
        </w:tc>
        <w:tc>
          <w:tcPr>
            <w:tcW w:w="1439" w:type="dxa"/>
            <w:noWrap/>
          </w:tcPr>
          <w:p w14:paraId="620BE0E3" w14:textId="77777777" w:rsidR="00AE5ADF" w:rsidRDefault="00AE5ADF" w:rsidP="00CA0D72">
            <w:pPr>
              <w:pStyle w:val="Table"/>
              <w:ind w:right="-3"/>
            </w:pPr>
            <w:r>
              <w:t>68 (54%)</w:t>
            </w:r>
          </w:p>
        </w:tc>
        <w:tc>
          <w:tcPr>
            <w:tcW w:w="1439" w:type="dxa"/>
            <w:noWrap/>
          </w:tcPr>
          <w:p w14:paraId="7CBF5408" w14:textId="77777777" w:rsidR="00AE5ADF" w:rsidRDefault="00AE5ADF" w:rsidP="00CA0D72">
            <w:pPr>
              <w:pStyle w:val="Table"/>
              <w:ind w:right="-3"/>
            </w:pPr>
            <w:r>
              <w:t>9 (3–36)</w:t>
            </w:r>
          </w:p>
        </w:tc>
        <w:tc>
          <w:tcPr>
            <w:tcW w:w="1439" w:type="dxa"/>
            <w:noWrap/>
          </w:tcPr>
          <w:p w14:paraId="5307A281" w14:textId="77777777" w:rsidR="00AE5ADF" w:rsidRDefault="00AE5ADF" w:rsidP="00CA0D72">
            <w:pPr>
              <w:pStyle w:val="Table"/>
              <w:ind w:right="-3"/>
            </w:pPr>
            <w:r>
              <w:t>45 (36%)</w:t>
            </w:r>
          </w:p>
        </w:tc>
        <w:tc>
          <w:tcPr>
            <w:tcW w:w="1637" w:type="dxa"/>
            <w:noWrap/>
          </w:tcPr>
          <w:p w14:paraId="66F20268" w14:textId="77777777" w:rsidR="00AE5ADF" w:rsidRDefault="00AE5ADF" w:rsidP="00CA0D72">
            <w:pPr>
              <w:pStyle w:val="Table"/>
              <w:ind w:right="-3"/>
            </w:pPr>
            <w:r>
              <w:t>99 (58–155)</w:t>
            </w:r>
          </w:p>
        </w:tc>
        <w:tc>
          <w:tcPr>
            <w:tcW w:w="1242" w:type="dxa"/>
            <w:noWrap/>
          </w:tcPr>
          <w:p w14:paraId="6D533DEC" w14:textId="77777777" w:rsidR="00AE5ADF" w:rsidRDefault="00AE5ADF" w:rsidP="00CA0D72">
            <w:pPr>
              <w:pStyle w:val="Table"/>
              <w:ind w:right="-3"/>
            </w:pPr>
            <w:r>
              <w:t>12 (10%)</w:t>
            </w:r>
          </w:p>
        </w:tc>
      </w:tr>
      <w:tr w:rsidR="00AE5ADF" w14:paraId="07889AF8" w14:textId="77777777" w:rsidTr="00AE5ADF">
        <w:trPr>
          <w:trHeight w:val="255"/>
        </w:trPr>
        <w:tc>
          <w:tcPr>
            <w:tcW w:w="1242" w:type="dxa"/>
            <w:noWrap/>
          </w:tcPr>
          <w:p w14:paraId="7705B628" w14:textId="6AAA9710" w:rsidR="00AE5ADF" w:rsidRDefault="00AE5ADF" w:rsidP="00CA0D72">
            <w:pPr>
              <w:pStyle w:val="Table"/>
              <w:ind w:right="-3"/>
            </w:pPr>
            <w:r>
              <w:t>WA</w:t>
            </w:r>
          </w:p>
        </w:tc>
        <w:tc>
          <w:tcPr>
            <w:tcW w:w="1134" w:type="dxa"/>
            <w:noWrap/>
          </w:tcPr>
          <w:p w14:paraId="312A0A87" w14:textId="77777777" w:rsidR="00AE5ADF" w:rsidRDefault="00AE5ADF" w:rsidP="00CA0D72">
            <w:pPr>
              <w:pStyle w:val="Table"/>
              <w:ind w:right="-3"/>
            </w:pPr>
            <w:r>
              <w:t>Control 2</w:t>
            </w:r>
          </w:p>
        </w:tc>
        <w:tc>
          <w:tcPr>
            <w:tcW w:w="1439" w:type="dxa"/>
            <w:noWrap/>
          </w:tcPr>
          <w:p w14:paraId="34E2A965" w14:textId="77777777" w:rsidR="00AE5ADF" w:rsidRDefault="00AE5ADF" w:rsidP="00CA0D72">
            <w:pPr>
              <w:pStyle w:val="Table"/>
              <w:ind w:right="-3"/>
            </w:pPr>
            <w:r>
              <w:t>139 (65%)</w:t>
            </w:r>
          </w:p>
        </w:tc>
        <w:tc>
          <w:tcPr>
            <w:tcW w:w="1439" w:type="dxa"/>
            <w:noWrap/>
          </w:tcPr>
          <w:p w14:paraId="7689650D" w14:textId="77777777" w:rsidR="00AE5ADF" w:rsidRDefault="00AE5ADF" w:rsidP="00CA0D72">
            <w:pPr>
              <w:pStyle w:val="Table"/>
              <w:ind w:right="-3"/>
            </w:pPr>
            <w:r>
              <w:t>30 (9–49)</w:t>
            </w:r>
          </w:p>
        </w:tc>
        <w:tc>
          <w:tcPr>
            <w:tcW w:w="1439" w:type="dxa"/>
            <w:noWrap/>
          </w:tcPr>
          <w:p w14:paraId="0FF68A01" w14:textId="77777777" w:rsidR="00AE5ADF" w:rsidRDefault="00AE5ADF" w:rsidP="00CA0D72">
            <w:pPr>
              <w:pStyle w:val="Table"/>
              <w:ind w:right="-3"/>
            </w:pPr>
            <w:r>
              <w:t>56 (25%)</w:t>
            </w:r>
          </w:p>
        </w:tc>
        <w:tc>
          <w:tcPr>
            <w:tcW w:w="1637" w:type="dxa"/>
            <w:noWrap/>
          </w:tcPr>
          <w:p w14:paraId="0018F998" w14:textId="77777777" w:rsidR="00AE5ADF" w:rsidRDefault="00AE5ADF" w:rsidP="00CA0D72">
            <w:pPr>
              <w:pStyle w:val="Table"/>
              <w:ind w:right="-3"/>
            </w:pPr>
            <w:r>
              <w:t>107 (64–154)</w:t>
            </w:r>
          </w:p>
        </w:tc>
        <w:tc>
          <w:tcPr>
            <w:tcW w:w="1242" w:type="dxa"/>
            <w:noWrap/>
          </w:tcPr>
          <w:p w14:paraId="592BFCA8" w14:textId="77777777" w:rsidR="00AE5ADF" w:rsidRDefault="00AE5ADF" w:rsidP="00CA0D72">
            <w:pPr>
              <w:pStyle w:val="Table"/>
              <w:ind w:right="-3"/>
            </w:pPr>
            <w:r>
              <w:t>35 (16%)</w:t>
            </w:r>
          </w:p>
        </w:tc>
      </w:tr>
      <w:tr w:rsidR="00AE5ADF" w14:paraId="1F047D0C" w14:textId="77777777" w:rsidTr="00AE5ADF">
        <w:trPr>
          <w:trHeight w:val="255"/>
        </w:trPr>
        <w:tc>
          <w:tcPr>
            <w:tcW w:w="1242" w:type="dxa"/>
            <w:noWrap/>
          </w:tcPr>
          <w:p w14:paraId="1EADC65B" w14:textId="77777777" w:rsidR="00AE5ADF" w:rsidRDefault="00AE5ADF" w:rsidP="00CA0D72">
            <w:pPr>
              <w:pStyle w:val="Table"/>
              <w:ind w:right="-3"/>
            </w:pPr>
            <w:r>
              <w:t>National</w:t>
            </w:r>
          </w:p>
        </w:tc>
        <w:tc>
          <w:tcPr>
            <w:tcW w:w="1134" w:type="dxa"/>
            <w:noWrap/>
          </w:tcPr>
          <w:p w14:paraId="0B9F559F" w14:textId="77777777" w:rsidR="00AE5ADF" w:rsidRDefault="00AE5ADF" w:rsidP="00CA0D72">
            <w:pPr>
              <w:pStyle w:val="Table"/>
              <w:ind w:right="-3"/>
            </w:pPr>
            <w:r>
              <w:t>TC</w:t>
            </w:r>
          </w:p>
        </w:tc>
        <w:tc>
          <w:tcPr>
            <w:tcW w:w="1439" w:type="dxa"/>
            <w:noWrap/>
          </w:tcPr>
          <w:p w14:paraId="7AA46FF4" w14:textId="77777777" w:rsidR="00AE5ADF" w:rsidRDefault="00AE5ADF" w:rsidP="00CA0D72">
            <w:pPr>
              <w:pStyle w:val="Table"/>
              <w:ind w:right="-3"/>
            </w:pPr>
            <w:r>
              <w:t>929 (47%)</w:t>
            </w:r>
          </w:p>
        </w:tc>
        <w:tc>
          <w:tcPr>
            <w:tcW w:w="1439" w:type="dxa"/>
            <w:noWrap/>
          </w:tcPr>
          <w:p w14:paraId="1167D084" w14:textId="77777777" w:rsidR="00AE5ADF" w:rsidRDefault="00AE5ADF" w:rsidP="00CA0D72">
            <w:pPr>
              <w:pStyle w:val="Table"/>
              <w:ind w:right="-3"/>
            </w:pPr>
            <w:r>
              <w:t>14 (4–37)</w:t>
            </w:r>
          </w:p>
        </w:tc>
        <w:tc>
          <w:tcPr>
            <w:tcW w:w="1439" w:type="dxa"/>
            <w:noWrap/>
          </w:tcPr>
          <w:p w14:paraId="56B70895" w14:textId="77777777" w:rsidR="00AE5ADF" w:rsidRDefault="00AE5ADF" w:rsidP="00CA0D72">
            <w:pPr>
              <w:pStyle w:val="Table"/>
              <w:ind w:right="-3"/>
            </w:pPr>
            <w:r>
              <w:t>723 (30%)</w:t>
            </w:r>
          </w:p>
        </w:tc>
        <w:tc>
          <w:tcPr>
            <w:tcW w:w="1637" w:type="dxa"/>
            <w:noWrap/>
          </w:tcPr>
          <w:p w14:paraId="46D1118C" w14:textId="77777777" w:rsidR="00AE5ADF" w:rsidRDefault="00AE5ADF" w:rsidP="00CA0D72">
            <w:pPr>
              <w:pStyle w:val="Table"/>
              <w:ind w:right="-3"/>
            </w:pPr>
            <w:r>
              <w:t>112 (71–142)</w:t>
            </w:r>
          </w:p>
        </w:tc>
        <w:tc>
          <w:tcPr>
            <w:tcW w:w="1242" w:type="dxa"/>
            <w:noWrap/>
          </w:tcPr>
          <w:p w14:paraId="5D9B0465" w14:textId="77777777" w:rsidR="00AE5ADF" w:rsidRDefault="00AE5ADF" w:rsidP="00CA0D72">
            <w:pPr>
              <w:pStyle w:val="Table"/>
              <w:ind w:right="-3"/>
            </w:pPr>
            <w:r>
              <w:t>330 (14%)</w:t>
            </w:r>
          </w:p>
        </w:tc>
      </w:tr>
      <w:tr w:rsidR="00AE5ADF" w14:paraId="2AAA3245" w14:textId="77777777" w:rsidTr="00AE5ADF">
        <w:trPr>
          <w:trHeight w:val="255"/>
        </w:trPr>
        <w:tc>
          <w:tcPr>
            <w:tcW w:w="1242" w:type="dxa"/>
            <w:noWrap/>
          </w:tcPr>
          <w:p w14:paraId="0A3DED7C" w14:textId="74C3C73A" w:rsidR="00AE5ADF" w:rsidRDefault="00AE5ADF" w:rsidP="00CA0D72">
            <w:pPr>
              <w:pStyle w:val="Table"/>
              <w:ind w:right="-3"/>
            </w:pPr>
            <w:r>
              <w:t>National</w:t>
            </w:r>
          </w:p>
        </w:tc>
        <w:tc>
          <w:tcPr>
            <w:tcW w:w="1134" w:type="dxa"/>
            <w:noWrap/>
          </w:tcPr>
          <w:p w14:paraId="04CC6366" w14:textId="77777777" w:rsidR="00AE5ADF" w:rsidRDefault="00AE5ADF" w:rsidP="00CA0D72">
            <w:pPr>
              <w:pStyle w:val="Table"/>
              <w:ind w:right="-3"/>
            </w:pPr>
            <w:r>
              <w:t>Control 1</w:t>
            </w:r>
          </w:p>
        </w:tc>
        <w:tc>
          <w:tcPr>
            <w:tcW w:w="1439" w:type="dxa"/>
            <w:noWrap/>
          </w:tcPr>
          <w:p w14:paraId="300E001F" w14:textId="77777777" w:rsidR="00AE5ADF" w:rsidRDefault="00AE5ADF" w:rsidP="00CA0D72">
            <w:pPr>
              <w:pStyle w:val="Table"/>
              <w:ind w:right="-3"/>
            </w:pPr>
            <w:r>
              <w:t>338 (49%)</w:t>
            </w:r>
          </w:p>
        </w:tc>
        <w:tc>
          <w:tcPr>
            <w:tcW w:w="1439" w:type="dxa"/>
            <w:noWrap/>
          </w:tcPr>
          <w:p w14:paraId="2427645A" w14:textId="77777777" w:rsidR="00AE5ADF" w:rsidRDefault="00AE5ADF" w:rsidP="00CA0D72">
            <w:pPr>
              <w:pStyle w:val="Table"/>
              <w:ind w:right="-3"/>
            </w:pPr>
            <w:r>
              <w:t>15 (5–34)</w:t>
            </w:r>
          </w:p>
        </w:tc>
        <w:tc>
          <w:tcPr>
            <w:tcW w:w="1439" w:type="dxa"/>
            <w:noWrap/>
          </w:tcPr>
          <w:p w14:paraId="1641A84A" w14:textId="77777777" w:rsidR="00AE5ADF" w:rsidRDefault="00AE5ADF" w:rsidP="00CA0D72">
            <w:pPr>
              <w:pStyle w:val="Table"/>
              <w:ind w:right="-3"/>
            </w:pPr>
            <w:r>
              <w:t>381 (43%)</w:t>
            </w:r>
          </w:p>
        </w:tc>
        <w:tc>
          <w:tcPr>
            <w:tcW w:w="1637" w:type="dxa"/>
            <w:noWrap/>
          </w:tcPr>
          <w:p w14:paraId="6FE1DF52" w14:textId="77777777" w:rsidR="00AE5ADF" w:rsidRDefault="00AE5ADF" w:rsidP="00CA0D72">
            <w:pPr>
              <w:pStyle w:val="Table"/>
              <w:ind w:right="-3"/>
            </w:pPr>
            <w:r>
              <w:t>149 (88–173)</w:t>
            </w:r>
          </w:p>
        </w:tc>
        <w:tc>
          <w:tcPr>
            <w:tcW w:w="1242" w:type="dxa"/>
            <w:noWrap/>
          </w:tcPr>
          <w:p w14:paraId="47412EB8" w14:textId="77777777" w:rsidR="00AE5ADF" w:rsidRDefault="00AE5ADF" w:rsidP="00CA0D72">
            <w:pPr>
              <w:pStyle w:val="Table"/>
              <w:ind w:right="-3"/>
            </w:pPr>
            <w:r>
              <w:t>165 (19%)</w:t>
            </w:r>
          </w:p>
        </w:tc>
      </w:tr>
      <w:tr w:rsidR="00AE5ADF" w14:paraId="5B9FF26E" w14:textId="77777777" w:rsidTr="00AE5ADF">
        <w:trPr>
          <w:trHeight w:val="255"/>
        </w:trPr>
        <w:tc>
          <w:tcPr>
            <w:tcW w:w="1242" w:type="dxa"/>
            <w:noWrap/>
          </w:tcPr>
          <w:p w14:paraId="5E574A58" w14:textId="15BEE652" w:rsidR="00AE5ADF" w:rsidRDefault="00AE5ADF" w:rsidP="00CA0D72">
            <w:pPr>
              <w:pStyle w:val="Table"/>
              <w:ind w:right="-3"/>
            </w:pPr>
            <w:r>
              <w:t>National</w:t>
            </w:r>
          </w:p>
        </w:tc>
        <w:tc>
          <w:tcPr>
            <w:tcW w:w="1134" w:type="dxa"/>
            <w:noWrap/>
          </w:tcPr>
          <w:p w14:paraId="55CC0488" w14:textId="77777777" w:rsidR="00AE5ADF" w:rsidRDefault="00AE5ADF" w:rsidP="00CA0D72">
            <w:pPr>
              <w:pStyle w:val="Table"/>
              <w:ind w:right="-3"/>
            </w:pPr>
            <w:r>
              <w:t>Control 2</w:t>
            </w:r>
          </w:p>
        </w:tc>
        <w:tc>
          <w:tcPr>
            <w:tcW w:w="1439" w:type="dxa"/>
            <w:noWrap/>
          </w:tcPr>
          <w:p w14:paraId="0ED6CB32" w14:textId="77777777" w:rsidR="00AE5ADF" w:rsidRDefault="00AE5ADF" w:rsidP="00CA0D72">
            <w:pPr>
              <w:pStyle w:val="Table"/>
              <w:ind w:right="-3"/>
            </w:pPr>
            <w:r>
              <w:t>925 (58%)</w:t>
            </w:r>
          </w:p>
        </w:tc>
        <w:tc>
          <w:tcPr>
            <w:tcW w:w="1439" w:type="dxa"/>
            <w:noWrap/>
          </w:tcPr>
          <w:p w14:paraId="613E0551" w14:textId="77777777" w:rsidR="00AE5ADF" w:rsidRDefault="00AE5ADF" w:rsidP="00CA0D72">
            <w:pPr>
              <w:pStyle w:val="Table"/>
              <w:ind w:right="-3"/>
            </w:pPr>
            <w:r>
              <w:t>17 (7–37)</w:t>
            </w:r>
          </w:p>
        </w:tc>
        <w:tc>
          <w:tcPr>
            <w:tcW w:w="1439" w:type="dxa"/>
            <w:noWrap/>
          </w:tcPr>
          <w:p w14:paraId="235EF18F" w14:textId="77777777" w:rsidR="00AE5ADF" w:rsidRDefault="00AE5ADF" w:rsidP="00CA0D72">
            <w:pPr>
              <w:pStyle w:val="Table"/>
              <w:ind w:right="-3"/>
            </w:pPr>
            <w:r>
              <w:t>486 (22%)</w:t>
            </w:r>
          </w:p>
        </w:tc>
        <w:tc>
          <w:tcPr>
            <w:tcW w:w="1637" w:type="dxa"/>
            <w:noWrap/>
          </w:tcPr>
          <w:p w14:paraId="0C65BB77" w14:textId="77777777" w:rsidR="00AE5ADF" w:rsidRDefault="00AE5ADF" w:rsidP="00CA0D72">
            <w:pPr>
              <w:pStyle w:val="Table"/>
              <w:ind w:right="-3"/>
            </w:pPr>
            <w:r>
              <w:t>110 (60–151)</w:t>
            </w:r>
          </w:p>
        </w:tc>
        <w:tc>
          <w:tcPr>
            <w:tcW w:w="1242" w:type="dxa"/>
            <w:noWrap/>
          </w:tcPr>
          <w:p w14:paraId="35D586C5" w14:textId="77777777" w:rsidR="00AE5ADF" w:rsidRDefault="00AE5ADF" w:rsidP="00CA0D72">
            <w:pPr>
              <w:pStyle w:val="Table"/>
              <w:ind w:right="-3"/>
            </w:pPr>
            <w:r>
              <w:t>357 (16%)</w:t>
            </w:r>
          </w:p>
        </w:tc>
      </w:tr>
    </w:tbl>
    <w:p w14:paraId="742996B0" w14:textId="77777777" w:rsidR="005D7ABA" w:rsidRDefault="005D7ABA" w:rsidP="00CA0D72">
      <w:pPr>
        <w:pStyle w:val="Note"/>
        <w:ind w:right="-3"/>
      </w:pPr>
    </w:p>
    <w:p w14:paraId="2027DDBB" w14:textId="77777777" w:rsidR="005D7ABA" w:rsidRDefault="00533847" w:rsidP="00CA0D72">
      <w:pPr>
        <w:pStyle w:val="Note"/>
        <w:ind w:right="-3"/>
      </w:pPr>
      <w:r w:rsidRPr="00533847">
        <w:t xml:space="preserve">* Too few individuals to present results without compromising </w:t>
      </w:r>
      <w:proofErr w:type="spellStart"/>
      <w:r w:rsidRPr="00533847">
        <w:t>identifiability</w:t>
      </w:r>
      <w:proofErr w:type="spellEnd"/>
    </w:p>
    <w:p w14:paraId="742DF5A2" w14:textId="7A86CB08" w:rsidR="00533847" w:rsidRPr="00533847" w:rsidRDefault="00533847" w:rsidP="00CA0D72">
      <w:pPr>
        <w:ind w:right="-3"/>
      </w:pPr>
    </w:p>
    <w:p w14:paraId="1706AE79" w14:textId="77777777" w:rsidR="005D7ABA" w:rsidRDefault="00F92550" w:rsidP="00CA0D72">
      <w:pPr>
        <w:pStyle w:val="Heading2"/>
        <w:ind w:right="-3"/>
      </w:pPr>
      <w:r>
        <w:br w:type="page"/>
      </w:r>
      <w:bookmarkStart w:id="79" w:name="_Toc402348925"/>
      <w:r w:rsidR="00533847" w:rsidRPr="00533847">
        <w:lastRenderedPageBreak/>
        <w:t>5.3. Impact on the hospital system</w:t>
      </w:r>
      <w:bookmarkEnd w:id="79"/>
    </w:p>
    <w:p w14:paraId="5D41B764" w14:textId="77777777" w:rsidR="005D7ABA" w:rsidRDefault="00533847" w:rsidP="00CA0D72">
      <w:pPr>
        <w:ind w:right="-3"/>
      </w:pPr>
      <w:r w:rsidRPr="00533847">
        <w:t>Nationally the risk of hospital readmission during the three months post ACAT approval was between one third and one half greater for the two control groups compared with the TC recipients (Control 1 IRR 1.3; 95%CI 1.1 - 1.6; Control 2 IRR 1.5; 95%CI 1.3 - 1.8).  There was no difference in the incidence of any hospital readmissions between those who received TC only in a community setting and those who received TC only in a residential setting.  When the hospital readmissions during the six months post ACAT approval were considered, the analyses showed a significant effect of group on hospital readmissions over the six months post ACAT approval, such that there was an increased risk of readmission among the Control 2 group (IRR 1.17; 95%CI 1.11 - 1.24) in comparison to the TC recipients.</w:t>
      </w:r>
    </w:p>
    <w:p w14:paraId="5F5685DF" w14:textId="77777777" w:rsidR="005D7ABA" w:rsidRDefault="00533847" w:rsidP="00CA0D72">
      <w:pPr>
        <w:ind w:right="-3"/>
      </w:pPr>
      <w:r w:rsidRPr="00533847">
        <w:t>A Cox proportional hazards model was fit to examine the hazard of a hospital readmission over the six months post ACAT approval.  The response variable was time to first hospital readmission.  Age, availability of aged care places and total hospital beds per 1,000 older people, jurisdiction, and type of TC or group (TC community, TC residential, TC combination, Control 1, Control 2) were included in the analysis.  The results showed that there were significant effects of all of these variables, as shown in Table 5.5.  Control 1 group had a 17% increased risk of hospital readmission and Control 2 group had a 35% increased risk of hospital readmission relative to those who received TC only in a community setting.</w:t>
      </w:r>
    </w:p>
    <w:p w14:paraId="7E6F9C82" w14:textId="3D2569BE" w:rsidR="00533847" w:rsidRPr="00533847" w:rsidRDefault="00533847" w:rsidP="001C757F">
      <w:pPr>
        <w:pStyle w:val="Heading3"/>
      </w:pPr>
      <w:bookmarkStart w:id="80" w:name="_Toc402348926"/>
      <w:r w:rsidRPr="00533847">
        <w:t>Table 5.5: Hazard of hospital readmission in six months post ACAT approval</w:t>
      </w:r>
      <w:bookmarkEnd w:id="80"/>
    </w:p>
    <w:tbl>
      <w:tblPr>
        <w:tblStyle w:val="TableGrid"/>
        <w:tblW w:w="6421" w:type="dxa"/>
        <w:tblLook w:val="0000" w:firstRow="0" w:lastRow="0" w:firstColumn="0" w:lastColumn="0" w:noHBand="0" w:noVBand="0"/>
        <w:tblDescription w:val="Table 5.5: Hazard of hospital readmission in six months post ACAT approval"/>
      </w:tblPr>
      <w:tblGrid>
        <w:gridCol w:w="4412"/>
        <w:gridCol w:w="636"/>
        <w:gridCol w:w="1373"/>
      </w:tblGrid>
      <w:tr w:rsidR="00EC0D64" w:rsidRPr="00E63450" w14:paraId="35281B6A" w14:textId="77777777" w:rsidTr="001C757F">
        <w:trPr>
          <w:trHeight w:val="255"/>
          <w:tblHeader/>
        </w:trPr>
        <w:tc>
          <w:tcPr>
            <w:tcW w:w="4412" w:type="dxa"/>
            <w:noWrap/>
          </w:tcPr>
          <w:p w14:paraId="1AD41BE4" w14:textId="77777777" w:rsidR="00EC0D64" w:rsidRPr="00E63450" w:rsidRDefault="00EC0D64" w:rsidP="00CA0D72">
            <w:pPr>
              <w:pStyle w:val="Table"/>
              <w:ind w:right="-3"/>
              <w:rPr>
                <w:b/>
              </w:rPr>
            </w:pPr>
            <w:r w:rsidRPr="00E63450">
              <w:rPr>
                <w:b/>
              </w:rPr>
              <w:t>Variable</w:t>
            </w:r>
          </w:p>
        </w:tc>
        <w:tc>
          <w:tcPr>
            <w:tcW w:w="636" w:type="dxa"/>
            <w:noWrap/>
          </w:tcPr>
          <w:p w14:paraId="563ECC9F" w14:textId="77777777" w:rsidR="00EC0D64" w:rsidRPr="00E63450" w:rsidRDefault="00EC0D64" w:rsidP="00CA0D72">
            <w:pPr>
              <w:pStyle w:val="Table"/>
              <w:ind w:right="-3"/>
              <w:rPr>
                <w:b/>
              </w:rPr>
            </w:pPr>
            <w:r w:rsidRPr="00E63450">
              <w:rPr>
                <w:b/>
              </w:rPr>
              <w:t>HR</w:t>
            </w:r>
          </w:p>
        </w:tc>
        <w:tc>
          <w:tcPr>
            <w:tcW w:w="1373" w:type="dxa"/>
            <w:noWrap/>
          </w:tcPr>
          <w:p w14:paraId="423CE4F3" w14:textId="77777777" w:rsidR="00EC0D64" w:rsidRPr="00E63450" w:rsidRDefault="00EC0D64" w:rsidP="00CA0D72">
            <w:pPr>
              <w:pStyle w:val="Table"/>
              <w:ind w:right="-3"/>
              <w:rPr>
                <w:b/>
              </w:rPr>
            </w:pPr>
            <w:r w:rsidRPr="00E63450">
              <w:rPr>
                <w:b/>
              </w:rPr>
              <w:t>95%CI</w:t>
            </w:r>
          </w:p>
        </w:tc>
      </w:tr>
      <w:tr w:rsidR="00EC0D64" w:rsidRPr="00E63450" w14:paraId="2E29156D" w14:textId="77777777" w:rsidTr="001C757F">
        <w:trPr>
          <w:trHeight w:val="255"/>
        </w:trPr>
        <w:tc>
          <w:tcPr>
            <w:tcW w:w="4412" w:type="dxa"/>
            <w:noWrap/>
          </w:tcPr>
          <w:p w14:paraId="5EB082E1" w14:textId="77777777" w:rsidR="00EC0D64" w:rsidRPr="00E63450" w:rsidRDefault="00EC0D64" w:rsidP="00CA0D72">
            <w:pPr>
              <w:pStyle w:val="Table"/>
              <w:ind w:right="-3"/>
            </w:pPr>
            <w:r w:rsidRPr="00E63450">
              <w:t>Age</w:t>
            </w:r>
          </w:p>
        </w:tc>
        <w:tc>
          <w:tcPr>
            <w:tcW w:w="636" w:type="dxa"/>
            <w:noWrap/>
          </w:tcPr>
          <w:p w14:paraId="3499D59E" w14:textId="77777777" w:rsidR="00EC0D64" w:rsidRPr="00E63450" w:rsidRDefault="00EC0D64" w:rsidP="00CA0D72">
            <w:pPr>
              <w:pStyle w:val="Table"/>
              <w:ind w:right="-3"/>
            </w:pPr>
            <w:r w:rsidRPr="00E63450">
              <w:t>0.99</w:t>
            </w:r>
          </w:p>
        </w:tc>
        <w:tc>
          <w:tcPr>
            <w:tcW w:w="1373" w:type="dxa"/>
            <w:noWrap/>
          </w:tcPr>
          <w:p w14:paraId="0CA4ED1C" w14:textId="77777777" w:rsidR="00EC0D64" w:rsidRPr="00E63450" w:rsidRDefault="00EC0D64" w:rsidP="00CA0D72">
            <w:pPr>
              <w:pStyle w:val="Table"/>
              <w:ind w:right="-3"/>
            </w:pPr>
            <w:r w:rsidRPr="00E63450">
              <w:t>0.98–1</w:t>
            </w:r>
          </w:p>
        </w:tc>
      </w:tr>
      <w:tr w:rsidR="00EC0D64" w:rsidRPr="00E63450" w14:paraId="65039E44" w14:textId="77777777" w:rsidTr="001C757F">
        <w:trPr>
          <w:trHeight w:val="255"/>
        </w:trPr>
        <w:tc>
          <w:tcPr>
            <w:tcW w:w="4412" w:type="dxa"/>
            <w:noWrap/>
          </w:tcPr>
          <w:p w14:paraId="7927D0A9" w14:textId="77777777" w:rsidR="00EC0D64" w:rsidRPr="00E63450" w:rsidRDefault="00EC0D64" w:rsidP="00CA0D72">
            <w:pPr>
              <w:pStyle w:val="Table"/>
              <w:ind w:right="-3"/>
            </w:pPr>
            <w:r w:rsidRPr="00E63450">
              <w:t>Type of TC/Group</w:t>
            </w:r>
          </w:p>
        </w:tc>
        <w:tc>
          <w:tcPr>
            <w:tcW w:w="636" w:type="dxa"/>
            <w:noWrap/>
          </w:tcPr>
          <w:p w14:paraId="077CC9FA" w14:textId="77777777" w:rsidR="00EC0D64" w:rsidRPr="00E63450" w:rsidRDefault="00EC0D64" w:rsidP="00CA0D72">
            <w:pPr>
              <w:pStyle w:val="Table"/>
              <w:ind w:right="-3"/>
            </w:pPr>
          </w:p>
        </w:tc>
        <w:tc>
          <w:tcPr>
            <w:tcW w:w="1373" w:type="dxa"/>
            <w:noWrap/>
          </w:tcPr>
          <w:p w14:paraId="595D228F" w14:textId="77777777" w:rsidR="00EC0D64" w:rsidRPr="00E63450" w:rsidRDefault="00EC0D64" w:rsidP="00CA0D72">
            <w:pPr>
              <w:pStyle w:val="Table"/>
              <w:ind w:right="-3"/>
            </w:pPr>
          </w:p>
        </w:tc>
      </w:tr>
      <w:tr w:rsidR="00EC0D64" w:rsidRPr="00E63450" w14:paraId="651C2044" w14:textId="77777777" w:rsidTr="001C757F">
        <w:trPr>
          <w:trHeight w:val="255"/>
        </w:trPr>
        <w:tc>
          <w:tcPr>
            <w:tcW w:w="4412" w:type="dxa"/>
            <w:noWrap/>
          </w:tcPr>
          <w:p w14:paraId="56DB7A22" w14:textId="77777777" w:rsidR="00EC0D64" w:rsidRPr="00E63450" w:rsidRDefault="00EC0D64" w:rsidP="00CA0D72">
            <w:pPr>
              <w:pStyle w:val="Table"/>
              <w:ind w:right="-3"/>
              <w:rPr>
                <w:i/>
                <w:iCs/>
              </w:rPr>
            </w:pPr>
            <w:r w:rsidRPr="00E63450">
              <w:rPr>
                <w:i/>
                <w:iCs/>
              </w:rPr>
              <w:t xml:space="preserve">  Community (referent)</w:t>
            </w:r>
          </w:p>
        </w:tc>
        <w:tc>
          <w:tcPr>
            <w:tcW w:w="636" w:type="dxa"/>
            <w:noWrap/>
          </w:tcPr>
          <w:p w14:paraId="3CE9459D" w14:textId="77777777" w:rsidR="00EC0D64" w:rsidRPr="00E63450" w:rsidRDefault="00EC0D64" w:rsidP="00CA0D72">
            <w:pPr>
              <w:pStyle w:val="Table"/>
              <w:ind w:right="-3"/>
            </w:pPr>
            <w:r w:rsidRPr="00E63450">
              <w:t>1</w:t>
            </w:r>
          </w:p>
        </w:tc>
        <w:tc>
          <w:tcPr>
            <w:tcW w:w="1373" w:type="dxa"/>
            <w:noWrap/>
          </w:tcPr>
          <w:p w14:paraId="5C207B04" w14:textId="77777777" w:rsidR="00EC0D64" w:rsidRPr="00E63450" w:rsidRDefault="00EC0D64" w:rsidP="00CA0D72">
            <w:pPr>
              <w:pStyle w:val="Table"/>
              <w:ind w:right="-3"/>
            </w:pPr>
          </w:p>
        </w:tc>
      </w:tr>
      <w:tr w:rsidR="00EC0D64" w:rsidRPr="00E63450" w14:paraId="4201DAF8" w14:textId="77777777" w:rsidTr="001C757F">
        <w:trPr>
          <w:trHeight w:val="255"/>
        </w:trPr>
        <w:tc>
          <w:tcPr>
            <w:tcW w:w="4412" w:type="dxa"/>
            <w:noWrap/>
          </w:tcPr>
          <w:p w14:paraId="030ECC6A" w14:textId="77777777" w:rsidR="00EC0D64" w:rsidRPr="00E63450" w:rsidRDefault="00EC0D64" w:rsidP="00CA0D72">
            <w:pPr>
              <w:pStyle w:val="Table"/>
              <w:ind w:right="-3"/>
              <w:rPr>
                <w:i/>
                <w:iCs/>
              </w:rPr>
            </w:pPr>
            <w:r w:rsidRPr="00E63450">
              <w:rPr>
                <w:i/>
                <w:iCs/>
              </w:rPr>
              <w:t xml:space="preserve">  Residential</w:t>
            </w:r>
          </w:p>
        </w:tc>
        <w:tc>
          <w:tcPr>
            <w:tcW w:w="636" w:type="dxa"/>
            <w:noWrap/>
          </w:tcPr>
          <w:p w14:paraId="69C4ADB6" w14:textId="77777777" w:rsidR="00EC0D64" w:rsidRPr="00E63450" w:rsidRDefault="00EC0D64" w:rsidP="00CA0D72">
            <w:pPr>
              <w:pStyle w:val="Table"/>
              <w:ind w:right="-3"/>
            </w:pPr>
            <w:r w:rsidRPr="00E63450">
              <w:t>0.98</w:t>
            </w:r>
          </w:p>
        </w:tc>
        <w:tc>
          <w:tcPr>
            <w:tcW w:w="1373" w:type="dxa"/>
            <w:noWrap/>
          </w:tcPr>
          <w:p w14:paraId="39490998" w14:textId="77777777" w:rsidR="00EC0D64" w:rsidRPr="00E63450" w:rsidRDefault="00EC0D64" w:rsidP="00CA0D72">
            <w:pPr>
              <w:pStyle w:val="Table"/>
              <w:ind w:right="-3"/>
            </w:pPr>
            <w:r w:rsidRPr="00E63450">
              <w:t>0.84 – 1.14</w:t>
            </w:r>
          </w:p>
        </w:tc>
      </w:tr>
      <w:tr w:rsidR="00EC0D64" w:rsidRPr="00E63450" w14:paraId="23D4A756" w14:textId="77777777" w:rsidTr="001C757F">
        <w:trPr>
          <w:trHeight w:val="255"/>
        </w:trPr>
        <w:tc>
          <w:tcPr>
            <w:tcW w:w="4412" w:type="dxa"/>
            <w:noWrap/>
          </w:tcPr>
          <w:p w14:paraId="5C3A3243" w14:textId="77777777" w:rsidR="00EC0D64" w:rsidRPr="00E63450" w:rsidRDefault="00EC0D64" w:rsidP="00CA0D72">
            <w:pPr>
              <w:pStyle w:val="Table"/>
              <w:ind w:right="-3"/>
              <w:rPr>
                <w:i/>
                <w:iCs/>
              </w:rPr>
            </w:pPr>
            <w:r w:rsidRPr="00E63450">
              <w:rPr>
                <w:i/>
                <w:iCs/>
              </w:rPr>
              <w:t xml:space="preserve">  Combination</w:t>
            </w:r>
          </w:p>
        </w:tc>
        <w:tc>
          <w:tcPr>
            <w:tcW w:w="636" w:type="dxa"/>
            <w:noWrap/>
          </w:tcPr>
          <w:p w14:paraId="3FA709D5" w14:textId="77777777" w:rsidR="00EC0D64" w:rsidRPr="00E63450" w:rsidRDefault="00EC0D64" w:rsidP="00CA0D72">
            <w:pPr>
              <w:pStyle w:val="Table"/>
              <w:ind w:right="-3"/>
            </w:pPr>
            <w:r w:rsidRPr="00E63450">
              <w:t>0.95</w:t>
            </w:r>
          </w:p>
        </w:tc>
        <w:tc>
          <w:tcPr>
            <w:tcW w:w="1373" w:type="dxa"/>
            <w:noWrap/>
          </w:tcPr>
          <w:p w14:paraId="063113E3" w14:textId="77777777" w:rsidR="00EC0D64" w:rsidRPr="00E63450" w:rsidRDefault="00EC0D64" w:rsidP="00CA0D72">
            <w:pPr>
              <w:pStyle w:val="Table"/>
              <w:ind w:right="-3"/>
            </w:pPr>
            <w:r w:rsidRPr="00E63450">
              <w:t>0.75 – 1.21</w:t>
            </w:r>
          </w:p>
        </w:tc>
      </w:tr>
      <w:tr w:rsidR="00EC0D64" w:rsidRPr="00E63450" w14:paraId="41DB41C8" w14:textId="77777777" w:rsidTr="001C757F">
        <w:trPr>
          <w:trHeight w:val="255"/>
        </w:trPr>
        <w:tc>
          <w:tcPr>
            <w:tcW w:w="4412" w:type="dxa"/>
            <w:noWrap/>
          </w:tcPr>
          <w:p w14:paraId="302446BD" w14:textId="77777777" w:rsidR="00EC0D64" w:rsidRPr="00E63450" w:rsidRDefault="00EC0D64" w:rsidP="00CA0D72">
            <w:pPr>
              <w:pStyle w:val="Table"/>
              <w:ind w:right="-3"/>
              <w:rPr>
                <w:i/>
                <w:iCs/>
              </w:rPr>
            </w:pPr>
            <w:r w:rsidRPr="00E63450">
              <w:rPr>
                <w:i/>
                <w:iCs/>
              </w:rPr>
              <w:t xml:space="preserve">  Control 1</w:t>
            </w:r>
          </w:p>
        </w:tc>
        <w:tc>
          <w:tcPr>
            <w:tcW w:w="636" w:type="dxa"/>
            <w:noWrap/>
          </w:tcPr>
          <w:p w14:paraId="7ABA98D9" w14:textId="77777777" w:rsidR="00EC0D64" w:rsidRPr="00E63450" w:rsidRDefault="00EC0D64" w:rsidP="00CA0D72">
            <w:pPr>
              <w:pStyle w:val="Table"/>
              <w:ind w:right="-3"/>
            </w:pPr>
            <w:r w:rsidRPr="00E63450">
              <w:t>1.17</w:t>
            </w:r>
          </w:p>
        </w:tc>
        <w:tc>
          <w:tcPr>
            <w:tcW w:w="1373" w:type="dxa"/>
            <w:noWrap/>
          </w:tcPr>
          <w:p w14:paraId="6386B504" w14:textId="77777777" w:rsidR="00EC0D64" w:rsidRPr="00E63450" w:rsidRDefault="00EC0D64" w:rsidP="00CA0D72">
            <w:pPr>
              <w:pStyle w:val="Table"/>
              <w:ind w:right="-3"/>
            </w:pPr>
            <w:r w:rsidRPr="00E63450">
              <w:t>1.01 – 1.36</w:t>
            </w:r>
          </w:p>
        </w:tc>
      </w:tr>
      <w:tr w:rsidR="00EC0D64" w:rsidRPr="00E63450" w14:paraId="764B9B58" w14:textId="77777777" w:rsidTr="001C757F">
        <w:trPr>
          <w:trHeight w:val="255"/>
        </w:trPr>
        <w:tc>
          <w:tcPr>
            <w:tcW w:w="4412" w:type="dxa"/>
            <w:noWrap/>
          </w:tcPr>
          <w:p w14:paraId="13775BA4" w14:textId="77777777" w:rsidR="00EC0D64" w:rsidRPr="00E63450" w:rsidRDefault="00EC0D64" w:rsidP="00CA0D72">
            <w:pPr>
              <w:pStyle w:val="Table"/>
              <w:ind w:right="-3"/>
              <w:rPr>
                <w:i/>
                <w:iCs/>
              </w:rPr>
            </w:pPr>
            <w:r w:rsidRPr="00E63450">
              <w:rPr>
                <w:i/>
                <w:iCs/>
              </w:rPr>
              <w:t xml:space="preserve">  Control 2</w:t>
            </w:r>
          </w:p>
        </w:tc>
        <w:tc>
          <w:tcPr>
            <w:tcW w:w="636" w:type="dxa"/>
            <w:noWrap/>
          </w:tcPr>
          <w:p w14:paraId="65036F14" w14:textId="77777777" w:rsidR="00EC0D64" w:rsidRPr="00E63450" w:rsidRDefault="00EC0D64" w:rsidP="00CA0D72">
            <w:pPr>
              <w:pStyle w:val="Table"/>
              <w:ind w:right="-3"/>
            </w:pPr>
            <w:r w:rsidRPr="00E63450">
              <w:t>1.35</w:t>
            </w:r>
          </w:p>
        </w:tc>
        <w:tc>
          <w:tcPr>
            <w:tcW w:w="1373" w:type="dxa"/>
            <w:noWrap/>
          </w:tcPr>
          <w:p w14:paraId="4FC93D90" w14:textId="77777777" w:rsidR="00EC0D64" w:rsidRPr="00E63450" w:rsidRDefault="00EC0D64" w:rsidP="00CA0D72">
            <w:pPr>
              <w:pStyle w:val="Table"/>
              <w:ind w:right="-3"/>
            </w:pPr>
            <w:r w:rsidRPr="00E63450">
              <w:t>1.21 – 1.51</w:t>
            </w:r>
          </w:p>
        </w:tc>
      </w:tr>
      <w:tr w:rsidR="00EC0D64" w:rsidRPr="00E63450" w14:paraId="316A8334" w14:textId="77777777" w:rsidTr="001C757F">
        <w:trPr>
          <w:trHeight w:val="255"/>
        </w:trPr>
        <w:tc>
          <w:tcPr>
            <w:tcW w:w="4412" w:type="dxa"/>
            <w:noWrap/>
          </w:tcPr>
          <w:p w14:paraId="4D937D99" w14:textId="77777777" w:rsidR="00EC0D64" w:rsidRPr="00E63450" w:rsidRDefault="00EC0D64" w:rsidP="00CA0D72">
            <w:pPr>
              <w:pStyle w:val="Table"/>
              <w:ind w:right="-3"/>
            </w:pPr>
            <w:r w:rsidRPr="00E63450">
              <w:t>Aged care places per 1,000 older people</w:t>
            </w:r>
          </w:p>
        </w:tc>
        <w:tc>
          <w:tcPr>
            <w:tcW w:w="636" w:type="dxa"/>
            <w:noWrap/>
          </w:tcPr>
          <w:p w14:paraId="2E462F60" w14:textId="77777777" w:rsidR="00EC0D64" w:rsidRPr="00E63450" w:rsidRDefault="00EC0D64" w:rsidP="00CA0D72">
            <w:pPr>
              <w:pStyle w:val="Table"/>
              <w:ind w:right="-3"/>
            </w:pPr>
            <w:r w:rsidRPr="00E63450">
              <w:t>1</w:t>
            </w:r>
          </w:p>
        </w:tc>
        <w:tc>
          <w:tcPr>
            <w:tcW w:w="1373" w:type="dxa"/>
            <w:noWrap/>
          </w:tcPr>
          <w:p w14:paraId="559432B7" w14:textId="77777777" w:rsidR="00EC0D64" w:rsidRPr="00E63450" w:rsidRDefault="00EC0D64" w:rsidP="00CA0D72">
            <w:pPr>
              <w:pStyle w:val="Table"/>
              <w:ind w:right="-3"/>
            </w:pPr>
            <w:r w:rsidRPr="00E63450">
              <w:t>0.99 – 1</w:t>
            </w:r>
          </w:p>
        </w:tc>
      </w:tr>
      <w:tr w:rsidR="00EC0D64" w:rsidRPr="00E63450" w14:paraId="34FF00A2" w14:textId="77777777" w:rsidTr="001C757F">
        <w:trPr>
          <w:trHeight w:val="255"/>
        </w:trPr>
        <w:tc>
          <w:tcPr>
            <w:tcW w:w="4412" w:type="dxa"/>
            <w:noWrap/>
          </w:tcPr>
          <w:p w14:paraId="5E382ADF" w14:textId="77777777" w:rsidR="00EC0D64" w:rsidRPr="00E63450" w:rsidRDefault="00EC0D64" w:rsidP="00CA0D72">
            <w:pPr>
              <w:pStyle w:val="Table"/>
              <w:ind w:right="-3"/>
            </w:pPr>
            <w:r w:rsidRPr="00E63450">
              <w:t>Total hospital beds per 1,000 older people</w:t>
            </w:r>
          </w:p>
        </w:tc>
        <w:tc>
          <w:tcPr>
            <w:tcW w:w="636" w:type="dxa"/>
            <w:noWrap/>
          </w:tcPr>
          <w:p w14:paraId="2BD183B5" w14:textId="77777777" w:rsidR="00EC0D64" w:rsidRPr="00E63450" w:rsidRDefault="00EC0D64" w:rsidP="00CA0D72">
            <w:pPr>
              <w:pStyle w:val="Table"/>
              <w:ind w:right="-3"/>
            </w:pPr>
            <w:r w:rsidRPr="00E63450">
              <w:t>1</w:t>
            </w:r>
          </w:p>
        </w:tc>
        <w:tc>
          <w:tcPr>
            <w:tcW w:w="1373" w:type="dxa"/>
            <w:noWrap/>
          </w:tcPr>
          <w:p w14:paraId="1FB6704D" w14:textId="77777777" w:rsidR="00EC0D64" w:rsidRPr="00E63450" w:rsidRDefault="00EC0D64" w:rsidP="00CA0D72">
            <w:pPr>
              <w:pStyle w:val="Table"/>
              <w:ind w:right="-3"/>
            </w:pPr>
            <w:r w:rsidRPr="00E63450">
              <w:t>1 – 1.01</w:t>
            </w:r>
          </w:p>
        </w:tc>
      </w:tr>
      <w:tr w:rsidR="00EC0D64" w:rsidRPr="00E63450" w14:paraId="46B4CD0C" w14:textId="77777777" w:rsidTr="001C757F">
        <w:trPr>
          <w:trHeight w:val="255"/>
        </w:trPr>
        <w:tc>
          <w:tcPr>
            <w:tcW w:w="4412" w:type="dxa"/>
            <w:noWrap/>
          </w:tcPr>
          <w:p w14:paraId="35C80558" w14:textId="77777777" w:rsidR="00EC0D64" w:rsidRPr="00E63450" w:rsidRDefault="00EC0D64" w:rsidP="00CA0D72">
            <w:pPr>
              <w:pStyle w:val="Table"/>
              <w:ind w:right="-3"/>
            </w:pPr>
            <w:r w:rsidRPr="00E63450">
              <w:t>State</w:t>
            </w:r>
          </w:p>
        </w:tc>
        <w:tc>
          <w:tcPr>
            <w:tcW w:w="636" w:type="dxa"/>
            <w:noWrap/>
          </w:tcPr>
          <w:p w14:paraId="5581C72D" w14:textId="77777777" w:rsidR="00EC0D64" w:rsidRPr="00E63450" w:rsidRDefault="00EC0D64" w:rsidP="00CA0D72">
            <w:pPr>
              <w:pStyle w:val="Table"/>
              <w:ind w:right="-3"/>
            </w:pPr>
          </w:p>
        </w:tc>
        <w:tc>
          <w:tcPr>
            <w:tcW w:w="1373" w:type="dxa"/>
            <w:noWrap/>
          </w:tcPr>
          <w:p w14:paraId="6EC2EAC0" w14:textId="77777777" w:rsidR="00EC0D64" w:rsidRPr="00E63450" w:rsidRDefault="00EC0D64" w:rsidP="00CA0D72">
            <w:pPr>
              <w:pStyle w:val="Table"/>
              <w:ind w:right="-3"/>
            </w:pPr>
          </w:p>
        </w:tc>
      </w:tr>
      <w:tr w:rsidR="00EC0D64" w:rsidRPr="00E63450" w14:paraId="34E43E32" w14:textId="77777777" w:rsidTr="001C757F">
        <w:trPr>
          <w:trHeight w:val="255"/>
        </w:trPr>
        <w:tc>
          <w:tcPr>
            <w:tcW w:w="4412" w:type="dxa"/>
            <w:noWrap/>
          </w:tcPr>
          <w:p w14:paraId="212B2498" w14:textId="77777777" w:rsidR="00EC0D64" w:rsidRPr="00E63450" w:rsidRDefault="00EC0D64" w:rsidP="00CA0D72">
            <w:pPr>
              <w:pStyle w:val="Table"/>
              <w:ind w:right="-3"/>
              <w:rPr>
                <w:i/>
                <w:iCs/>
              </w:rPr>
            </w:pPr>
            <w:r w:rsidRPr="00E63450">
              <w:rPr>
                <w:i/>
                <w:iCs/>
              </w:rPr>
              <w:t xml:space="preserve">  ACT (referent)</w:t>
            </w:r>
          </w:p>
        </w:tc>
        <w:tc>
          <w:tcPr>
            <w:tcW w:w="636" w:type="dxa"/>
            <w:noWrap/>
          </w:tcPr>
          <w:p w14:paraId="0F27AFE4" w14:textId="77777777" w:rsidR="00EC0D64" w:rsidRPr="00E63450" w:rsidRDefault="00EC0D64" w:rsidP="00CA0D72">
            <w:pPr>
              <w:pStyle w:val="Table"/>
              <w:ind w:right="-3"/>
            </w:pPr>
            <w:r w:rsidRPr="00E63450">
              <w:t>1</w:t>
            </w:r>
          </w:p>
        </w:tc>
        <w:tc>
          <w:tcPr>
            <w:tcW w:w="1373" w:type="dxa"/>
            <w:noWrap/>
          </w:tcPr>
          <w:p w14:paraId="00937B0C" w14:textId="77777777" w:rsidR="00EC0D64" w:rsidRPr="00E63450" w:rsidRDefault="00EC0D64" w:rsidP="00CA0D72">
            <w:pPr>
              <w:pStyle w:val="Table"/>
              <w:ind w:right="-3"/>
            </w:pPr>
          </w:p>
        </w:tc>
      </w:tr>
      <w:tr w:rsidR="00EC0D64" w:rsidRPr="00E63450" w14:paraId="613B9A4E" w14:textId="77777777" w:rsidTr="001C757F">
        <w:trPr>
          <w:trHeight w:val="255"/>
        </w:trPr>
        <w:tc>
          <w:tcPr>
            <w:tcW w:w="4412" w:type="dxa"/>
            <w:noWrap/>
          </w:tcPr>
          <w:p w14:paraId="3332DEE8" w14:textId="77777777" w:rsidR="00EC0D64" w:rsidRPr="00E63450" w:rsidRDefault="00EC0D64" w:rsidP="00CA0D72">
            <w:pPr>
              <w:pStyle w:val="Table"/>
              <w:ind w:right="-3"/>
              <w:rPr>
                <w:i/>
                <w:iCs/>
              </w:rPr>
            </w:pPr>
            <w:r w:rsidRPr="00E63450">
              <w:rPr>
                <w:i/>
                <w:iCs/>
              </w:rPr>
              <w:t xml:space="preserve">  NSW</w:t>
            </w:r>
          </w:p>
        </w:tc>
        <w:tc>
          <w:tcPr>
            <w:tcW w:w="636" w:type="dxa"/>
            <w:noWrap/>
          </w:tcPr>
          <w:p w14:paraId="419E27FC" w14:textId="77777777" w:rsidR="00EC0D64" w:rsidRPr="00E63450" w:rsidRDefault="00EC0D64" w:rsidP="00CA0D72">
            <w:pPr>
              <w:pStyle w:val="Table"/>
              <w:ind w:right="-3"/>
            </w:pPr>
            <w:r w:rsidRPr="00E63450">
              <w:t>0.67</w:t>
            </w:r>
          </w:p>
        </w:tc>
        <w:tc>
          <w:tcPr>
            <w:tcW w:w="1373" w:type="dxa"/>
            <w:noWrap/>
          </w:tcPr>
          <w:p w14:paraId="6B70CB7E" w14:textId="77777777" w:rsidR="00EC0D64" w:rsidRPr="00E63450" w:rsidRDefault="00EC0D64" w:rsidP="00CA0D72">
            <w:pPr>
              <w:pStyle w:val="Table"/>
              <w:ind w:right="-3"/>
            </w:pPr>
            <w:r w:rsidRPr="00E63450">
              <w:t>0.53 – 0.86</w:t>
            </w:r>
          </w:p>
        </w:tc>
      </w:tr>
      <w:tr w:rsidR="00EC0D64" w:rsidRPr="00E63450" w14:paraId="3E1C70F6" w14:textId="77777777" w:rsidTr="001C757F">
        <w:trPr>
          <w:trHeight w:val="255"/>
        </w:trPr>
        <w:tc>
          <w:tcPr>
            <w:tcW w:w="4412" w:type="dxa"/>
            <w:noWrap/>
          </w:tcPr>
          <w:p w14:paraId="469B9401" w14:textId="77777777" w:rsidR="00EC0D64" w:rsidRPr="00E63450" w:rsidRDefault="00EC0D64" w:rsidP="00CA0D72">
            <w:pPr>
              <w:pStyle w:val="Table"/>
              <w:ind w:right="-3"/>
              <w:rPr>
                <w:i/>
                <w:iCs/>
              </w:rPr>
            </w:pPr>
            <w:r w:rsidRPr="00E63450">
              <w:rPr>
                <w:i/>
                <w:iCs/>
              </w:rPr>
              <w:t xml:space="preserve">  NT</w:t>
            </w:r>
          </w:p>
        </w:tc>
        <w:tc>
          <w:tcPr>
            <w:tcW w:w="636" w:type="dxa"/>
            <w:noWrap/>
          </w:tcPr>
          <w:p w14:paraId="5989B2E5" w14:textId="77777777" w:rsidR="00EC0D64" w:rsidRPr="00E63450" w:rsidRDefault="00EC0D64" w:rsidP="00CA0D72">
            <w:pPr>
              <w:pStyle w:val="Table"/>
              <w:ind w:right="-3"/>
            </w:pPr>
            <w:r w:rsidRPr="00E63450">
              <w:t>0.37</w:t>
            </w:r>
          </w:p>
        </w:tc>
        <w:tc>
          <w:tcPr>
            <w:tcW w:w="1373" w:type="dxa"/>
            <w:noWrap/>
          </w:tcPr>
          <w:p w14:paraId="12A0CE71" w14:textId="77777777" w:rsidR="00EC0D64" w:rsidRPr="00E63450" w:rsidRDefault="00EC0D64" w:rsidP="00CA0D72">
            <w:pPr>
              <w:pStyle w:val="Table"/>
              <w:ind w:right="-3"/>
            </w:pPr>
            <w:r w:rsidRPr="00E63450">
              <w:t>0.12 – 1.19</w:t>
            </w:r>
          </w:p>
        </w:tc>
      </w:tr>
      <w:tr w:rsidR="00EC0D64" w:rsidRPr="00E63450" w14:paraId="28FC0DA5" w14:textId="77777777" w:rsidTr="001C757F">
        <w:trPr>
          <w:trHeight w:val="255"/>
        </w:trPr>
        <w:tc>
          <w:tcPr>
            <w:tcW w:w="4412" w:type="dxa"/>
            <w:noWrap/>
          </w:tcPr>
          <w:p w14:paraId="642651C6" w14:textId="77777777" w:rsidR="00EC0D64" w:rsidRPr="00E63450" w:rsidRDefault="00EC0D64" w:rsidP="00CA0D72">
            <w:pPr>
              <w:pStyle w:val="Table"/>
              <w:ind w:right="-3"/>
              <w:rPr>
                <w:i/>
                <w:iCs/>
              </w:rPr>
            </w:pPr>
            <w:r w:rsidRPr="00E63450">
              <w:rPr>
                <w:i/>
                <w:iCs/>
              </w:rPr>
              <w:t xml:space="preserve">  QLD  </w:t>
            </w:r>
          </w:p>
        </w:tc>
        <w:tc>
          <w:tcPr>
            <w:tcW w:w="636" w:type="dxa"/>
            <w:noWrap/>
          </w:tcPr>
          <w:p w14:paraId="2D1C12EA" w14:textId="77777777" w:rsidR="00EC0D64" w:rsidRPr="00E63450" w:rsidRDefault="00EC0D64" w:rsidP="00CA0D72">
            <w:pPr>
              <w:pStyle w:val="Table"/>
              <w:ind w:right="-3"/>
            </w:pPr>
            <w:r w:rsidRPr="00E63450">
              <w:t>0.67</w:t>
            </w:r>
          </w:p>
        </w:tc>
        <w:tc>
          <w:tcPr>
            <w:tcW w:w="1373" w:type="dxa"/>
            <w:noWrap/>
          </w:tcPr>
          <w:p w14:paraId="290E69C2" w14:textId="77777777" w:rsidR="00EC0D64" w:rsidRPr="00E63450" w:rsidRDefault="00EC0D64" w:rsidP="00CA0D72">
            <w:pPr>
              <w:pStyle w:val="Table"/>
              <w:ind w:right="-3"/>
            </w:pPr>
            <w:r w:rsidRPr="00E63450">
              <w:t>0.51 – 0.87</w:t>
            </w:r>
          </w:p>
        </w:tc>
      </w:tr>
      <w:tr w:rsidR="00EC0D64" w:rsidRPr="00E63450" w14:paraId="26ECCFC0" w14:textId="77777777" w:rsidTr="001C757F">
        <w:trPr>
          <w:trHeight w:val="255"/>
        </w:trPr>
        <w:tc>
          <w:tcPr>
            <w:tcW w:w="4412" w:type="dxa"/>
            <w:noWrap/>
          </w:tcPr>
          <w:p w14:paraId="68A4486F" w14:textId="77777777" w:rsidR="00EC0D64" w:rsidRPr="00E63450" w:rsidRDefault="00EC0D64" w:rsidP="00CA0D72">
            <w:pPr>
              <w:pStyle w:val="Table"/>
              <w:ind w:right="-3"/>
              <w:rPr>
                <w:i/>
                <w:iCs/>
              </w:rPr>
            </w:pPr>
            <w:r w:rsidRPr="00E63450">
              <w:rPr>
                <w:i/>
                <w:iCs/>
              </w:rPr>
              <w:t xml:space="preserve">  SA  </w:t>
            </w:r>
          </w:p>
        </w:tc>
        <w:tc>
          <w:tcPr>
            <w:tcW w:w="636" w:type="dxa"/>
            <w:noWrap/>
          </w:tcPr>
          <w:p w14:paraId="017BADD5" w14:textId="77777777" w:rsidR="00EC0D64" w:rsidRPr="00E63450" w:rsidRDefault="00EC0D64" w:rsidP="00CA0D72">
            <w:pPr>
              <w:pStyle w:val="Table"/>
              <w:ind w:right="-3"/>
            </w:pPr>
            <w:r w:rsidRPr="00E63450">
              <w:t>0.78</w:t>
            </w:r>
          </w:p>
        </w:tc>
        <w:tc>
          <w:tcPr>
            <w:tcW w:w="1373" w:type="dxa"/>
            <w:noWrap/>
          </w:tcPr>
          <w:p w14:paraId="00C88040" w14:textId="77777777" w:rsidR="00EC0D64" w:rsidRPr="00E63450" w:rsidRDefault="00EC0D64" w:rsidP="00CA0D72">
            <w:pPr>
              <w:pStyle w:val="Table"/>
              <w:ind w:right="-3"/>
            </w:pPr>
            <w:r w:rsidRPr="00E63450">
              <w:t>0.6 – 1.01</w:t>
            </w:r>
          </w:p>
        </w:tc>
      </w:tr>
      <w:tr w:rsidR="00EC0D64" w:rsidRPr="00E63450" w14:paraId="09618EE7" w14:textId="77777777" w:rsidTr="001C757F">
        <w:trPr>
          <w:trHeight w:val="255"/>
        </w:trPr>
        <w:tc>
          <w:tcPr>
            <w:tcW w:w="4412" w:type="dxa"/>
            <w:noWrap/>
          </w:tcPr>
          <w:p w14:paraId="65EAB613" w14:textId="77777777" w:rsidR="00EC0D64" w:rsidRPr="00E63450" w:rsidRDefault="00EC0D64" w:rsidP="00CA0D72">
            <w:pPr>
              <w:pStyle w:val="Table"/>
              <w:ind w:right="-3"/>
              <w:rPr>
                <w:i/>
                <w:iCs/>
              </w:rPr>
            </w:pPr>
            <w:r w:rsidRPr="00E63450">
              <w:rPr>
                <w:i/>
                <w:iCs/>
              </w:rPr>
              <w:t xml:space="preserve">  TAS </w:t>
            </w:r>
          </w:p>
        </w:tc>
        <w:tc>
          <w:tcPr>
            <w:tcW w:w="636" w:type="dxa"/>
            <w:noWrap/>
          </w:tcPr>
          <w:p w14:paraId="7857E6BB" w14:textId="77777777" w:rsidR="00EC0D64" w:rsidRPr="00E63450" w:rsidRDefault="00EC0D64" w:rsidP="00CA0D72">
            <w:pPr>
              <w:pStyle w:val="Table"/>
              <w:ind w:right="-3"/>
            </w:pPr>
            <w:r w:rsidRPr="00E63450">
              <w:t>2.49</w:t>
            </w:r>
          </w:p>
        </w:tc>
        <w:tc>
          <w:tcPr>
            <w:tcW w:w="1373" w:type="dxa"/>
            <w:noWrap/>
          </w:tcPr>
          <w:p w14:paraId="5F3B84C6" w14:textId="77777777" w:rsidR="00EC0D64" w:rsidRPr="00E63450" w:rsidRDefault="00EC0D64" w:rsidP="00CA0D72">
            <w:pPr>
              <w:pStyle w:val="Table"/>
              <w:ind w:right="-3"/>
            </w:pPr>
            <w:r w:rsidRPr="00E63450">
              <w:t>1.85 – 3.36</w:t>
            </w:r>
          </w:p>
        </w:tc>
      </w:tr>
      <w:tr w:rsidR="00EC0D64" w:rsidRPr="00E63450" w14:paraId="61371975" w14:textId="77777777" w:rsidTr="001C757F">
        <w:trPr>
          <w:trHeight w:val="255"/>
        </w:trPr>
        <w:tc>
          <w:tcPr>
            <w:tcW w:w="4412" w:type="dxa"/>
            <w:noWrap/>
          </w:tcPr>
          <w:p w14:paraId="7EB3E7C4" w14:textId="77777777" w:rsidR="00EC0D64" w:rsidRPr="00E63450" w:rsidRDefault="00EC0D64" w:rsidP="00CA0D72">
            <w:pPr>
              <w:pStyle w:val="Table"/>
              <w:ind w:right="-3"/>
              <w:rPr>
                <w:i/>
                <w:iCs/>
              </w:rPr>
            </w:pPr>
            <w:r w:rsidRPr="00E63450">
              <w:rPr>
                <w:i/>
                <w:iCs/>
              </w:rPr>
              <w:t xml:space="preserve">  VIC</w:t>
            </w:r>
          </w:p>
        </w:tc>
        <w:tc>
          <w:tcPr>
            <w:tcW w:w="636" w:type="dxa"/>
            <w:noWrap/>
          </w:tcPr>
          <w:p w14:paraId="56CF3EB7" w14:textId="77777777" w:rsidR="00EC0D64" w:rsidRPr="00E63450" w:rsidRDefault="00EC0D64" w:rsidP="00CA0D72">
            <w:pPr>
              <w:pStyle w:val="Table"/>
              <w:ind w:right="-3"/>
            </w:pPr>
            <w:r w:rsidRPr="00E63450">
              <w:t>0.61</w:t>
            </w:r>
          </w:p>
        </w:tc>
        <w:tc>
          <w:tcPr>
            <w:tcW w:w="1373" w:type="dxa"/>
            <w:noWrap/>
          </w:tcPr>
          <w:p w14:paraId="67A5DDB3" w14:textId="77777777" w:rsidR="00EC0D64" w:rsidRPr="00E63450" w:rsidRDefault="00EC0D64" w:rsidP="00CA0D72">
            <w:pPr>
              <w:pStyle w:val="Table"/>
              <w:ind w:right="-3"/>
            </w:pPr>
            <w:r w:rsidRPr="00E63450">
              <w:t>0.48 – 0.78</w:t>
            </w:r>
          </w:p>
        </w:tc>
      </w:tr>
      <w:tr w:rsidR="00EC0D64" w:rsidRPr="00E63450" w14:paraId="624EF736" w14:textId="77777777" w:rsidTr="001C757F">
        <w:trPr>
          <w:trHeight w:val="255"/>
        </w:trPr>
        <w:tc>
          <w:tcPr>
            <w:tcW w:w="4412" w:type="dxa"/>
            <w:noWrap/>
          </w:tcPr>
          <w:p w14:paraId="19D879E5" w14:textId="77777777" w:rsidR="00EC0D64" w:rsidRPr="00E63450" w:rsidRDefault="00EC0D64" w:rsidP="00CA0D72">
            <w:pPr>
              <w:pStyle w:val="Table"/>
              <w:ind w:right="-3"/>
              <w:rPr>
                <w:i/>
                <w:iCs/>
              </w:rPr>
            </w:pPr>
            <w:r w:rsidRPr="00E63450">
              <w:rPr>
                <w:i/>
                <w:iCs/>
              </w:rPr>
              <w:t xml:space="preserve">  WA</w:t>
            </w:r>
          </w:p>
        </w:tc>
        <w:tc>
          <w:tcPr>
            <w:tcW w:w="636" w:type="dxa"/>
            <w:noWrap/>
          </w:tcPr>
          <w:p w14:paraId="20C8F83F" w14:textId="77777777" w:rsidR="00EC0D64" w:rsidRPr="00E63450" w:rsidRDefault="00EC0D64" w:rsidP="00CA0D72">
            <w:pPr>
              <w:pStyle w:val="Table"/>
              <w:ind w:right="-3"/>
            </w:pPr>
            <w:r w:rsidRPr="00E63450">
              <w:t>0.77</w:t>
            </w:r>
          </w:p>
        </w:tc>
        <w:tc>
          <w:tcPr>
            <w:tcW w:w="1373" w:type="dxa"/>
            <w:noWrap/>
          </w:tcPr>
          <w:p w14:paraId="58E84940" w14:textId="77777777" w:rsidR="00EC0D64" w:rsidRPr="00E63450" w:rsidRDefault="00EC0D64" w:rsidP="00CA0D72">
            <w:pPr>
              <w:pStyle w:val="Table"/>
              <w:ind w:right="-3"/>
            </w:pPr>
            <w:r w:rsidRPr="00E63450">
              <w:t>0.6 – 1</w:t>
            </w:r>
          </w:p>
        </w:tc>
      </w:tr>
    </w:tbl>
    <w:p w14:paraId="0A6EC017" w14:textId="77777777" w:rsidR="00EC0D64" w:rsidRDefault="00EC0D64" w:rsidP="00CA0D72">
      <w:pPr>
        <w:ind w:right="-3"/>
      </w:pPr>
    </w:p>
    <w:p w14:paraId="53892BF2" w14:textId="77777777" w:rsidR="005D7ABA" w:rsidRDefault="00533847" w:rsidP="00CA0D72">
      <w:pPr>
        <w:ind w:right="-3"/>
      </w:pPr>
      <w:r w:rsidRPr="00533847">
        <w:t xml:space="preserve">The median time to hospital readmission among those who were readmitted was 42 days (IQR 15-88) among the recipients of TC only in a community, 23 days (IQR 3-61) among the recipients of TC only in a residential setting, 27 days (IQR 3-76) among the recipients of combination TC, 20 days (IQR 5 - 56) among the Control 1 group and 28 days (8 - 76) among the Control 2 group.  Figure 5.1 presents the cumulative hazard function for the TC recipients </w:t>
      </w:r>
      <w:r w:rsidRPr="00533847">
        <w:lastRenderedPageBreak/>
        <w:t>and control groups adjusted for the other variables included in the Cox proportional hazards model.</w:t>
      </w:r>
    </w:p>
    <w:p w14:paraId="39C36720" w14:textId="77777777" w:rsidR="005D7ABA" w:rsidRDefault="00533847" w:rsidP="00CA0D72">
      <w:pPr>
        <w:ind w:right="-3"/>
        <w:rPr>
          <w:b/>
        </w:rPr>
      </w:pPr>
      <w:r w:rsidRPr="00533847">
        <w:rPr>
          <w:b/>
        </w:rPr>
        <w:t>Figure 5.1: Hazard of hospital readmission in six months post ACAT approval</w:t>
      </w:r>
    </w:p>
    <w:p w14:paraId="019B1704" w14:textId="5067D0D5" w:rsidR="00EC0D64" w:rsidRDefault="00CA0D72" w:rsidP="00CA0D72">
      <w:pPr>
        <w:ind w:right="-3"/>
      </w:pPr>
      <w:r>
        <w:rPr>
          <w:noProof/>
        </w:rPr>
        <w:drawing>
          <wp:inline distT="0" distB="0" distL="0" distR="0" wp14:anchorId="307DBC63" wp14:editId="62B0E6F9">
            <wp:extent cx="5749925" cy="3962400"/>
            <wp:effectExtent l="0" t="0" r="0" b="0"/>
            <wp:docPr id="44" name="Picture 44" descr="Graph of hazard of hospital readmissions over time to first hospital readmission.&#10;&#10;Order from highest hazard:  Control 2, Control 1, TC Community, TC residential, TC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raph of hazard of hospital readmissions over time to first hospital readmission.&#10;&#10;Order from highest hazard:  Control 2, Control 1, TC Community, TC residential, TC Combin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925" cy="3962400"/>
                    </a:xfrm>
                    <a:prstGeom prst="rect">
                      <a:avLst/>
                    </a:prstGeom>
                    <a:noFill/>
                    <a:ln>
                      <a:noFill/>
                    </a:ln>
                  </pic:spPr>
                </pic:pic>
              </a:graphicData>
            </a:graphic>
          </wp:inline>
        </w:drawing>
      </w:r>
    </w:p>
    <w:p w14:paraId="06A1A9B7" w14:textId="77777777" w:rsidR="005D7ABA" w:rsidRDefault="004F197C" w:rsidP="00CA0D72">
      <w:pPr>
        <w:ind w:right="-3"/>
      </w:pPr>
      <w:r w:rsidRPr="00533847">
        <w:t>Figure 5.2 presents the proportion of readmissions in each state by type of TC.</w:t>
      </w:r>
    </w:p>
    <w:p w14:paraId="51A602CF" w14:textId="1858181C" w:rsidR="00533847" w:rsidRPr="00533847" w:rsidRDefault="00533847" w:rsidP="00CA0D72">
      <w:pPr>
        <w:ind w:right="-3"/>
        <w:rPr>
          <w:b/>
        </w:rPr>
      </w:pPr>
      <w:r w:rsidRPr="00533847">
        <w:rPr>
          <w:b/>
        </w:rPr>
        <w:t xml:space="preserve">Figure 5.2: Proportion of people with one or more hospital readmissions by jurisdiction in the six months post ACAT approval </w:t>
      </w:r>
      <w:r w:rsidR="003E5056">
        <w:rPr>
          <w:b/>
        </w:rPr>
        <w:br/>
      </w:r>
    </w:p>
    <w:p w14:paraId="68C6A39A" w14:textId="77777777" w:rsidR="003E5056" w:rsidRDefault="00CA0D72" w:rsidP="00CA0D72">
      <w:pPr>
        <w:pStyle w:val="Note"/>
        <w:ind w:right="-3"/>
      </w:pPr>
      <w:r>
        <w:rPr>
          <w:noProof/>
        </w:rPr>
        <w:drawing>
          <wp:inline distT="0" distB="0" distL="0" distR="0" wp14:anchorId="3799C376" wp14:editId="20EC5A04">
            <wp:extent cx="6179185" cy="3214370"/>
            <wp:effectExtent l="0" t="0" r="0" b="0"/>
            <wp:docPr id="45" name="Picture 45" descr="Graph of proportion of hospital readmissions by type of TC by state/territ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raph of proportion of hospital readmissions by type of TC by state/territory.&#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9185" cy="3214370"/>
                    </a:xfrm>
                    <a:prstGeom prst="rect">
                      <a:avLst/>
                    </a:prstGeom>
                    <a:noFill/>
                    <a:ln>
                      <a:noFill/>
                    </a:ln>
                  </pic:spPr>
                </pic:pic>
              </a:graphicData>
            </a:graphic>
          </wp:inline>
        </w:drawing>
      </w:r>
    </w:p>
    <w:p w14:paraId="133F7A9C" w14:textId="77777777" w:rsidR="005D7ABA" w:rsidRDefault="00533847" w:rsidP="00CA0D72">
      <w:pPr>
        <w:pStyle w:val="Note"/>
        <w:ind w:right="-3"/>
      </w:pPr>
      <w:r w:rsidRPr="00533847">
        <w:t>* No community places in NT; residential data not presented for Queensland as too few cases</w:t>
      </w:r>
    </w:p>
    <w:p w14:paraId="55FD6A4F" w14:textId="02F88629" w:rsidR="003E5056" w:rsidRDefault="003E5056" w:rsidP="00CA0D72">
      <w:pPr>
        <w:ind w:right="-3"/>
      </w:pPr>
    </w:p>
    <w:p w14:paraId="539B56A2" w14:textId="77777777" w:rsidR="005D7ABA" w:rsidRDefault="00533847" w:rsidP="00CA0D72">
      <w:pPr>
        <w:ind w:right="-3"/>
      </w:pPr>
      <w:r w:rsidRPr="00533847">
        <w:lastRenderedPageBreak/>
        <w:t>The data linkage component of the National Evaluation showed that 23% of the TC recipients elected to be treated as private patients during their index hospitalization.  However, it must be noted that election status for TC recipients in Northern Territory, Tasmania, and Victoria was not available in the evaluation.  For the other jurisdictions, the proportion of TC recipients who elected to be treated as private patients differed slightly according to the type of TC received, with 24% of recipients of TC only in a community setting, 19% of recipients of TC only in a residential setting and 24% of those who received a combination of community-based and residential-based TC services having an election status of private for their index hospitalization.</w:t>
      </w:r>
    </w:p>
    <w:p w14:paraId="776E22C1" w14:textId="77777777" w:rsidR="005D7ABA" w:rsidRDefault="00533847" w:rsidP="00CA0D72">
      <w:pPr>
        <w:ind w:right="-3"/>
      </w:pPr>
      <w:r w:rsidRPr="00533847">
        <w:t>The median length of stay for the index hospitalization varied considerably between jurisdictions (see Table 5.6). Nationally, the length of stay of the index hospitalization was shorter in the Control 2 group than the other groups, and the length of stay was also longer in the Control 1 group (28 days) than in the other groups.  At a jurisdictional level the variations in length of stay between groups were less clear.  For example, in ACT the median length of stay was similar for the TC recipients and control groups, whereas in SA the Control 2 group had a clearly shorter median length of stay than the TC recipients or the Control 1 group.  The opposite held in Tasmania, although the numbers were small</w:t>
      </w:r>
      <w:r w:rsidR="006F0F97">
        <w:t xml:space="preserve"> in each group for this state.</w:t>
      </w:r>
    </w:p>
    <w:p w14:paraId="24B9D513" w14:textId="09575BEC" w:rsidR="00533847" w:rsidRPr="006F0F97" w:rsidRDefault="00533847" w:rsidP="00C335A5">
      <w:pPr>
        <w:pStyle w:val="Heading4"/>
      </w:pPr>
      <w:r w:rsidRPr="006F0F97">
        <w:t xml:space="preserve">Table 5.6: Median length of stay of index hospitalization by group </w:t>
      </w:r>
    </w:p>
    <w:tbl>
      <w:tblPr>
        <w:tblStyle w:val="TableGrid"/>
        <w:tblW w:w="6538" w:type="dxa"/>
        <w:tblLook w:val="0000" w:firstRow="0" w:lastRow="0" w:firstColumn="0" w:lastColumn="0" w:noHBand="0" w:noVBand="0"/>
        <w:tblDescription w:val="Table 5.6: Median length of stay of index hospitalization by group"/>
      </w:tblPr>
      <w:tblGrid>
        <w:gridCol w:w="1440"/>
        <w:gridCol w:w="2367"/>
        <w:gridCol w:w="1080"/>
        <w:gridCol w:w="1755"/>
      </w:tblGrid>
      <w:tr w:rsidR="00B069C6" w:rsidRPr="00B069C6" w14:paraId="749493CD" w14:textId="77777777" w:rsidTr="00C335A5">
        <w:trPr>
          <w:trHeight w:val="765"/>
          <w:tblHeader/>
        </w:trPr>
        <w:tc>
          <w:tcPr>
            <w:tcW w:w="1336" w:type="dxa"/>
            <w:noWrap/>
          </w:tcPr>
          <w:p w14:paraId="082FF001" w14:textId="77777777" w:rsidR="00B069C6" w:rsidRPr="00B069C6" w:rsidRDefault="00B069C6" w:rsidP="00CA0D72">
            <w:pPr>
              <w:pStyle w:val="Table"/>
              <w:ind w:right="-3"/>
              <w:rPr>
                <w:b/>
              </w:rPr>
            </w:pPr>
            <w:r w:rsidRPr="00B069C6">
              <w:rPr>
                <w:b/>
              </w:rPr>
              <w:t>Jurisdiction</w:t>
            </w:r>
          </w:p>
        </w:tc>
        <w:tc>
          <w:tcPr>
            <w:tcW w:w="2367" w:type="dxa"/>
            <w:noWrap/>
          </w:tcPr>
          <w:p w14:paraId="32170F63" w14:textId="77777777" w:rsidR="00B069C6" w:rsidRPr="00B069C6" w:rsidRDefault="00B069C6" w:rsidP="00CA0D72">
            <w:pPr>
              <w:pStyle w:val="Table"/>
              <w:ind w:right="-3"/>
              <w:rPr>
                <w:b/>
              </w:rPr>
            </w:pPr>
            <w:r w:rsidRPr="00B069C6">
              <w:rPr>
                <w:b/>
              </w:rPr>
              <w:t>Group</w:t>
            </w:r>
          </w:p>
        </w:tc>
        <w:tc>
          <w:tcPr>
            <w:tcW w:w="1080" w:type="dxa"/>
            <w:noWrap/>
          </w:tcPr>
          <w:p w14:paraId="39B60535" w14:textId="77777777" w:rsidR="00B069C6" w:rsidRPr="00B069C6" w:rsidRDefault="00B069C6" w:rsidP="00CA0D72">
            <w:pPr>
              <w:pStyle w:val="Table"/>
              <w:ind w:right="-3"/>
              <w:rPr>
                <w:b/>
              </w:rPr>
            </w:pPr>
            <w:r w:rsidRPr="00B069C6">
              <w:rPr>
                <w:b/>
              </w:rPr>
              <w:t>n</w:t>
            </w:r>
          </w:p>
        </w:tc>
        <w:tc>
          <w:tcPr>
            <w:tcW w:w="1755" w:type="dxa"/>
          </w:tcPr>
          <w:p w14:paraId="16F29D98" w14:textId="77777777" w:rsidR="00B069C6" w:rsidRPr="00B069C6" w:rsidRDefault="00B069C6" w:rsidP="00CA0D72">
            <w:pPr>
              <w:pStyle w:val="Table"/>
              <w:ind w:right="-3"/>
              <w:rPr>
                <w:b/>
              </w:rPr>
            </w:pPr>
            <w:r w:rsidRPr="00B069C6">
              <w:rPr>
                <w:b/>
              </w:rPr>
              <w:t>LOS</w:t>
            </w:r>
            <w:r w:rsidRPr="00B069C6">
              <w:rPr>
                <w:b/>
              </w:rPr>
              <w:br/>
              <w:t>Median (IQR)</w:t>
            </w:r>
          </w:p>
        </w:tc>
      </w:tr>
      <w:tr w:rsidR="00B069C6" w:rsidRPr="00B069C6" w14:paraId="652D922D" w14:textId="77777777" w:rsidTr="00C335A5">
        <w:trPr>
          <w:trHeight w:val="255"/>
        </w:trPr>
        <w:tc>
          <w:tcPr>
            <w:tcW w:w="1336" w:type="dxa"/>
            <w:noWrap/>
          </w:tcPr>
          <w:p w14:paraId="02F71989" w14:textId="77777777" w:rsidR="00B069C6" w:rsidRPr="00B069C6" w:rsidRDefault="00B069C6" w:rsidP="00CA0D72">
            <w:pPr>
              <w:pStyle w:val="Table"/>
              <w:ind w:right="-3"/>
            </w:pPr>
            <w:r w:rsidRPr="00B069C6">
              <w:t>ACT</w:t>
            </w:r>
          </w:p>
        </w:tc>
        <w:tc>
          <w:tcPr>
            <w:tcW w:w="2367" w:type="dxa"/>
            <w:noWrap/>
          </w:tcPr>
          <w:p w14:paraId="5C9B4C33" w14:textId="77777777" w:rsidR="00B069C6" w:rsidRPr="00B069C6" w:rsidRDefault="00B069C6" w:rsidP="00CA0D72">
            <w:pPr>
              <w:pStyle w:val="Table"/>
              <w:ind w:right="-3"/>
            </w:pPr>
            <w:r w:rsidRPr="00B069C6">
              <w:t>TC - Community</w:t>
            </w:r>
          </w:p>
        </w:tc>
        <w:tc>
          <w:tcPr>
            <w:tcW w:w="1080" w:type="dxa"/>
            <w:noWrap/>
          </w:tcPr>
          <w:p w14:paraId="4CC7198B" w14:textId="77777777" w:rsidR="00B069C6" w:rsidRPr="00B069C6" w:rsidRDefault="00B069C6" w:rsidP="00CA0D72">
            <w:pPr>
              <w:pStyle w:val="Table"/>
              <w:ind w:right="-3"/>
            </w:pPr>
            <w:r w:rsidRPr="00B069C6">
              <w:t>20</w:t>
            </w:r>
          </w:p>
        </w:tc>
        <w:tc>
          <w:tcPr>
            <w:tcW w:w="1755" w:type="dxa"/>
            <w:noWrap/>
          </w:tcPr>
          <w:p w14:paraId="0D2BD240" w14:textId="77777777" w:rsidR="00B069C6" w:rsidRPr="00B069C6" w:rsidRDefault="00B069C6" w:rsidP="00CA0D72">
            <w:pPr>
              <w:pStyle w:val="Table"/>
              <w:ind w:right="-3"/>
            </w:pPr>
            <w:r w:rsidRPr="00B069C6">
              <w:t>14 (7–40)</w:t>
            </w:r>
          </w:p>
        </w:tc>
      </w:tr>
      <w:tr w:rsidR="00B069C6" w:rsidRPr="00B069C6" w14:paraId="349E5A62" w14:textId="77777777" w:rsidTr="00C335A5">
        <w:trPr>
          <w:trHeight w:val="255"/>
        </w:trPr>
        <w:tc>
          <w:tcPr>
            <w:tcW w:w="1336" w:type="dxa"/>
            <w:noWrap/>
          </w:tcPr>
          <w:p w14:paraId="204DB9A4" w14:textId="64DE3374" w:rsidR="00B069C6" w:rsidRPr="00B069C6" w:rsidRDefault="00C335A5" w:rsidP="00CA0D72">
            <w:pPr>
              <w:pStyle w:val="Table"/>
              <w:ind w:right="-3"/>
            </w:pPr>
            <w:r w:rsidRPr="00B069C6">
              <w:t>ACT</w:t>
            </w:r>
          </w:p>
        </w:tc>
        <w:tc>
          <w:tcPr>
            <w:tcW w:w="2367" w:type="dxa"/>
            <w:noWrap/>
          </w:tcPr>
          <w:p w14:paraId="60D794A1" w14:textId="77777777" w:rsidR="00B069C6" w:rsidRPr="00B069C6" w:rsidRDefault="00B069C6" w:rsidP="00CA0D72">
            <w:pPr>
              <w:pStyle w:val="Table"/>
              <w:ind w:right="-3"/>
            </w:pPr>
            <w:r w:rsidRPr="00B069C6">
              <w:t>TC - Residential</w:t>
            </w:r>
          </w:p>
        </w:tc>
        <w:tc>
          <w:tcPr>
            <w:tcW w:w="1080" w:type="dxa"/>
            <w:noWrap/>
          </w:tcPr>
          <w:p w14:paraId="496DCC57" w14:textId="77777777" w:rsidR="00B069C6" w:rsidRPr="00B069C6" w:rsidRDefault="00B069C6" w:rsidP="00CA0D72">
            <w:pPr>
              <w:pStyle w:val="Table"/>
              <w:ind w:right="-3"/>
            </w:pPr>
            <w:r w:rsidRPr="00B069C6">
              <w:t>14</w:t>
            </w:r>
          </w:p>
        </w:tc>
        <w:tc>
          <w:tcPr>
            <w:tcW w:w="1755" w:type="dxa"/>
            <w:noWrap/>
          </w:tcPr>
          <w:p w14:paraId="1444F602" w14:textId="77777777" w:rsidR="00B069C6" w:rsidRPr="00B069C6" w:rsidRDefault="00B069C6" w:rsidP="00CA0D72">
            <w:pPr>
              <w:pStyle w:val="Table"/>
              <w:ind w:right="-3"/>
            </w:pPr>
            <w:r w:rsidRPr="00B069C6">
              <w:t>13 (9–20)</w:t>
            </w:r>
          </w:p>
        </w:tc>
      </w:tr>
      <w:tr w:rsidR="00B069C6" w:rsidRPr="00B069C6" w14:paraId="302006EB" w14:textId="77777777" w:rsidTr="00C335A5">
        <w:trPr>
          <w:trHeight w:val="255"/>
        </w:trPr>
        <w:tc>
          <w:tcPr>
            <w:tcW w:w="1336" w:type="dxa"/>
            <w:noWrap/>
          </w:tcPr>
          <w:p w14:paraId="39FE2929" w14:textId="3B68D9E9" w:rsidR="00B069C6" w:rsidRPr="00B069C6" w:rsidRDefault="00C335A5" w:rsidP="00CA0D72">
            <w:pPr>
              <w:pStyle w:val="Table"/>
              <w:ind w:right="-3"/>
            </w:pPr>
            <w:r w:rsidRPr="00B069C6">
              <w:t>ACT</w:t>
            </w:r>
          </w:p>
        </w:tc>
        <w:tc>
          <w:tcPr>
            <w:tcW w:w="2367" w:type="dxa"/>
            <w:noWrap/>
          </w:tcPr>
          <w:p w14:paraId="667DCF47" w14:textId="77777777" w:rsidR="00B069C6" w:rsidRPr="00B069C6" w:rsidRDefault="00B069C6" w:rsidP="00CA0D72">
            <w:pPr>
              <w:pStyle w:val="Table"/>
              <w:ind w:right="-3"/>
            </w:pPr>
            <w:r w:rsidRPr="00B069C6">
              <w:t>TC - Combination</w:t>
            </w:r>
          </w:p>
        </w:tc>
        <w:tc>
          <w:tcPr>
            <w:tcW w:w="1080" w:type="dxa"/>
            <w:noWrap/>
          </w:tcPr>
          <w:p w14:paraId="0385B847" w14:textId="77777777" w:rsidR="00B069C6" w:rsidRPr="00B069C6" w:rsidRDefault="00B069C6" w:rsidP="00CA0D72">
            <w:pPr>
              <w:pStyle w:val="Table"/>
              <w:ind w:right="-3"/>
            </w:pPr>
            <w:r w:rsidRPr="00B069C6">
              <w:t>24</w:t>
            </w:r>
          </w:p>
        </w:tc>
        <w:tc>
          <w:tcPr>
            <w:tcW w:w="1755" w:type="dxa"/>
            <w:noWrap/>
          </w:tcPr>
          <w:p w14:paraId="3BFB3B55" w14:textId="77777777" w:rsidR="00B069C6" w:rsidRPr="00B069C6" w:rsidRDefault="00B069C6" w:rsidP="00CA0D72">
            <w:pPr>
              <w:pStyle w:val="Table"/>
              <w:ind w:right="-3"/>
            </w:pPr>
            <w:r w:rsidRPr="00B069C6">
              <w:t>16 (9–24)</w:t>
            </w:r>
          </w:p>
        </w:tc>
      </w:tr>
      <w:tr w:rsidR="00B069C6" w:rsidRPr="00B069C6" w14:paraId="10A88EDB" w14:textId="77777777" w:rsidTr="00C335A5">
        <w:trPr>
          <w:trHeight w:val="255"/>
        </w:trPr>
        <w:tc>
          <w:tcPr>
            <w:tcW w:w="1336" w:type="dxa"/>
            <w:noWrap/>
          </w:tcPr>
          <w:p w14:paraId="57B63372" w14:textId="407C8148" w:rsidR="00B069C6" w:rsidRPr="00B069C6" w:rsidRDefault="00C335A5" w:rsidP="00CA0D72">
            <w:pPr>
              <w:pStyle w:val="Table"/>
              <w:ind w:right="-3"/>
              <w:rPr>
                <w:i/>
                <w:iCs/>
              </w:rPr>
            </w:pPr>
            <w:r w:rsidRPr="00B069C6">
              <w:t>ACT</w:t>
            </w:r>
          </w:p>
        </w:tc>
        <w:tc>
          <w:tcPr>
            <w:tcW w:w="2367" w:type="dxa"/>
            <w:noWrap/>
          </w:tcPr>
          <w:p w14:paraId="03E08099" w14:textId="77777777" w:rsidR="00B069C6" w:rsidRPr="00B069C6" w:rsidRDefault="00B069C6" w:rsidP="00CA0D72">
            <w:pPr>
              <w:pStyle w:val="Table"/>
              <w:ind w:right="-3"/>
            </w:pPr>
            <w:r w:rsidRPr="00B069C6">
              <w:t>Control 1</w:t>
            </w:r>
          </w:p>
        </w:tc>
        <w:tc>
          <w:tcPr>
            <w:tcW w:w="1080" w:type="dxa"/>
            <w:noWrap/>
          </w:tcPr>
          <w:p w14:paraId="56B21B70" w14:textId="77777777" w:rsidR="00B069C6" w:rsidRPr="00B069C6" w:rsidRDefault="00B069C6" w:rsidP="00CA0D72">
            <w:pPr>
              <w:pStyle w:val="Table"/>
              <w:ind w:right="-3"/>
            </w:pPr>
            <w:r w:rsidRPr="00B069C6">
              <w:t>33</w:t>
            </w:r>
          </w:p>
        </w:tc>
        <w:tc>
          <w:tcPr>
            <w:tcW w:w="1755" w:type="dxa"/>
            <w:noWrap/>
          </w:tcPr>
          <w:p w14:paraId="09D377D3" w14:textId="77777777" w:rsidR="00B069C6" w:rsidRPr="00B069C6" w:rsidRDefault="00B069C6" w:rsidP="00CA0D72">
            <w:pPr>
              <w:pStyle w:val="Table"/>
              <w:ind w:right="-3"/>
            </w:pPr>
            <w:r w:rsidRPr="00B069C6">
              <w:t>16 (11–28)</w:t>
            </w:r>
          </w:p>
        </w:tc>
      </w:tr>
      <w:tr w:rsidR="00B069C6" w:rsidRPr="00B069C6" w14:paraId="5FA8DB67" w14:textId="77777777" w:rsidTr="00C335A5">
        <w:trPr>
          <w:trHeight w:val="255"/>
        </w:trPr>
        <w:tc>
          <w:tcPr>
            <w:tcW w:w="1336" w:type="dxa"/>
            <w:noWrap/>
          </w:tcPr>
          <w:p w14:paraId="2D7D19B0" w14:textId="0378857F" w:rsidR="00B069C6" w:rsidRPr="00B069C6" w:rsidRDefault="00C335A5" w:rsidP="00CA0D72">
            <w:pPr>
              <w:pStyle w:val="Table"/>
              <w:ind w:right="-3"/>
              <w:rPr>
                <w:i/>
                <w:iCs/>
              </w:rPr>
            </w:pPr>
            <w:r w:rsidRPr="00B069C6">
              <w:t>ACT</w:t>
            </w:r>
          </w:p>
        </w:tc>
        <w:tc>
          <w:tcPr>
            <w:tcW w:w="2367" w:type="dxa"/>
            <w:noWrap/>
          </w:tcPr>
          <w:p w14:paraId="334F3C45" w14:textId="77777777" w:rsidR="00B069C6" w:rsidRPr="00B069C6" w:rsidRDefault="00B069C6" w:rsidP="00CA0D72">
            <w:pPr>
              <w:pStyle w:val="Table"/>
              <w:ind w:right="-3"/>
            </w:pPr>
            <w:r w:rsidRPr="00B069C6">
              <w:t>Control 2</w:t>
            </w:r>
          </w:p>
        </w:tc>
        <w:tc>
          <w:tcPr>
            <w:tcW w:w="1080" w:type="dxa"/>
            <w:noWrap/>
          </w:tcPr>
          <w:p w14:paraId="01C7F9EA" w14:textId="77777777" w:rsidR="00B069C6" w:rsidRPr="00B069C6" w:rsidRDefault="00B069C6" w:rsidP="00CA0D72">
            <w:pPr>
              <w:pStyle w:val="Table"/>
              <w:ind w:right="-3"/>
            </w:pPr>
            <w:r w:rsidRPr="00B069C6">
              <w:t>29</w:t>
            </w:r>
          </w:p>
        </w:tc>
        <w:tc>
          <w:tcPr>
            <w:tcW w:w="1755" w:type="dxa"/>
            <w:noWrap/>
          </w:tcPr>
          <w:p w14:paraId="6FCB2720" w14:textId="77777777" w:rsidR="00B069C6" w:rsidRPr="00B069C6" w:rsidRDefault="00B069C6" w:rsidP="00CA0D72">
            <w:pPr>
              <w:pStyle w:val="Table"/>
              <w:ind w:right="-3"/>
            </w:pPr>
            <w:r w:rsidRPr="00B069C6">
              <w:t>15 (9–34)</w:t>
            </w:r>
          </w:p>
        </w:tc>
      </w:tr>
      <w:tr w:rsidR="00B069C6" w:rsidRPr="00B069C6" w14:paraId="0AD2C5CC" w14:textId="77777777" w:rsidTr="00C335A5">
        <w:trPr>
          <w:trHeight w:val="255"/>
        </w:trPr>
        <w:tc>
          <w:tcPr>
            <w:tcW w:w="1336" w:type="dxa"/>
            <w:noWrap/>
          </w:tcPr>
          <w:p w14:paraId="6BF5FB05" w14:textId="77777777" w:rsidR="00B069C6" w:rsidRPr="00B069C6" w:rsidRDefault="00B069C6" w:rsidP="00CA0D72">
            <w:pPr>
              <w:pStyle w:val="Table"/>
              <w:ind w:right="-3"/>
              <w:rPr>
                <w:iCs/>
              </w:rPr>
            </w:pPr>
            <w:r w:rsidRPr="00B069C6">
              <w:rPr>
                <w:iCs/>
              </w:rPr>
              <w:t>NSW</w:t>
            </w:r>
          </w:p>
        </w:tc>
        <w:tc>
          <w:tcPr>
            <w:tcW w:w="2367" w:type="dxa"/>
            <w:noWrap/>
          </w:tcPr>
          <w:p w14:paraId="56ABF1A4" w14:textId="77777777" w:rsidR="00B069C6" w:rsidRPr="00B069C6" w:rsidRDefault="00B069C6" w:rsidP="00CA0D72">
            <w:pPr>
              <w:pStyle w:val="Table"/>
              <w:ind w:right="-3"/>
            </w:pPr>
            <w:r w:rsidRPr="00B069C6">
              <w:t>TC - Community</w:t>
            </w:r>
          </w:p>
        </w:tc>
        <w:tc>
          <w:tcPr>
            <w:tcW w:w="1080" w:type="dxa"/>
            <w:noWrap/>
          </w:tcPr>
          <w:p w14:paraId="1D61FFF7" w14:textId="77777777" w:rsidR="00B069C6" w:rsidRPr="00B069C6" w:rsidRDefault="00B069C6" w:rsidP="00CA0D72">
            <w:pPr>
              <w:pStyle w:val="Table"/>
              <w:ind w:right="-3"/>
            </w:pPr>
            <w:r w:rsidRPr="00B069C6">
              <w:t>435</w:t>
            </w:r>
          </w:p>
        </w:tc>
        <w:tc>
          <w:tcPr>
            <w:tcW w:w="1755" w:type="dxa"/>
            <w:noWrap/>
          </w:tcPr>
          <w:p w14:paraId="53A562F9" w14:textId="77777777" w:rsidR="00B069C6" w:rsidRPr="00B069C6" w:rsidRDefault="00B069C6" w:rsidP="00CA0D72">
            <w:pPr>
              <w:pStyle w:val="Table"/>
              <w:ind w:right="-3"/>
            </w:pPr>
            <w:r w:rsidRPr="00B069C6">
              <w:t>20 (13–34)</w:t>
            </w:r>
          </w:p>
        </w:tc>
      </w:tr>
      <w:tr w:rsidR="00B069C6" w:rsidRPr="00B069C6" w14:paraId="0A48B97F" w14:textId="77777777" w:rsidTr="00C335A5">
        <w:trPr>
          <w:trHeight w:val="255"/>
        </w:trPr>
        <w:tc>
          <w:tcPr>
            <w:tcW w:w="1336" w:type="dxa"/>
            <w:noWrap/>
          </w:tcPr>
          <w:p w14:paraId="52FAE6B2" w14:textId="185EC4C0" w:rsidR="00B069C6" w:rsidRPr="00B069C6" w:rsidRDefault="00C335A5" w:rsidP="00CA0D72">
            <w:pPr>
              <w:pStyle w:val="Table"/>
              <w:ind w:right="-3"/>
              <w:rPr>
                <w:i/>
                <w:iCs/>
              </w:rPr>
            </w:pPr>
            <w:r w:rsidRPr="00B069C6">
              <w:rPr>
                <w:iCs/>
              </w:rPr>
              <w:t>NSW</w:t>
            </w:r>
          </w:p>
        </w:tc>
        <w:tc>
          <w:tcPr>
            <w:tcW w:w="2367" w:type="dxa"/>
            <w:noWrap/>
          </w:tcPr>
          <w:p w14:paraId="7E710E5B" w14:textId="77777777" w:rsidR="00B069C6" w:rsidRPr="00B069C6" w:rsidRDefault="00B069C6" w:rsidP="00CA0D72">
            <w:pPr>
              <w:pStyle w:val="Table"/>
              <w:ind w:right="-3"/>
            </w:pPr>
            <w:r w:rsidRPr="00B069C6">
              <w:t>TC - Residential</w:t>
            </w:r>
          </w:p>
        </w:tc>
        <w:tc>
          <w:tcPr>
            <w:tcW w:w="1080" w:type="dxa"/>
            <w:noWrap/>
          </w:tcPr>
          <w:p w14:paraId="5240B524" w14:textId="77777777" w:rsidR="00B069C6" w:rsidRPr="00B069C6" w:rsidRDefault="00B069C6" w:rsidP="00CA0D72">
            <w:pPr>
              <w:pStyle w:val="Table"/>
              <w:ind w:right="-3"/>
            </w:pPr>
            <w:r w:rsidRPr="00B069C6">
              <w:t>77</w:t>
            </w:r>
          </w:p>
        </w:tc>
        <w:tc>
          <w:tcPr>
            <w:tcW w:w="1755" w:type="dxa"/>
            <w:noWrap/>
          </w:tcPr>
          <w:p w14:paraId="1771F821" w14:textId="77777777" w:rsidR="00B069C6" w:rsidRPr="00B069C6" w:rsidRDefault="00B069C6" w:rsidP="00CA0D72">
            <w:pPr>
              <w:pStyle w:val="Table"/>
              <w:ind w:right="-3"/>
            </w:pPr>
            <w:r w:rsidRPr="00B069C6">
              <w:t>19 (13–31)</w:t>
            </w:r>
          </w:p>
        </w:tc>
      </w:tr>
      <w:tr w:rsidR="00B069C6" w:rsidRPr="00B069C6" w14:paraId="4E8FC614" w14:textId="77777777" w:rsidTr="00C335A5">
        <w:trPr>
          <w:trHeight w:val="255"/>
        </w:trPr>
        <w:tc>
          <w:tcPr>
            <w:tcW w:w="1336" w:type="dxa"/>
            <w:noWrap/>
          </w:tcPr>
          <w:p w14:paraId="2300F6C2" w14:textId="06AEB206" w:rsidR="00B069C6" w:rsidRPr="00B069C6" w:rsidRDefault="00C335A5" w:rsidP="00CA0D72">
            <w:pPr>
              <w:pStyle w:val="Table"/>
              <w:ind w:right="-3"/>
              <w:rPr>
                <w:i/>
                <w:iCs/>
              </w:rPr>
            </w:pPr>
            <w:r w:rsidRPr="00B069C6">
              <w:rPr>
                <w:iCs/>
              </w:rPr>
              <w:t>NSW</w:t>
            </w:r>
          </w:p>
        </w:tc>
        <w:tc>
          <w:tcPr>
            <w:tcW w:w="2367" w:type="dxa"/>
            <w:noWrap/>
          </w:tcPr>
          <w:p w14:paraId="77073E19" w14:textId="77777777" w:rsidR="00B069C6" w:rsidRPr="00B069C6" w:rsidRDefault="00B069C6" w:rsidP="00CA0D72">
            <w:pPr>
              <w:pStyle w:val="Table"/>
              <w:ind w:right="-3"/>
            </w:pPr>
            <w:r w:rsidRPr="00B069C6">
              <w:t>TC - Combination</w:t>
            </w:r>
          </w:p>
        </w:tc>
        <w:tc>
          <w:tcPr>
            <w:tcW w:w="1080" w:type="dxa"/>
            <w:noWrap/>
          </w:tcPr>
          <w:p w14:paraId="6BE64C2D" w14:textId="77777777" w:rsidR="00B069C6" w:rsidRPr="00B069C6" w:rsidRDefault="00B069C6" w:rsidP="00CA0D72">
            <w:pPr>
              <w:pStyle w:val="Table"/>
              <w:ind w:right="-3"/>
            </w:pPr>
            <w:r w:rsidRPr="00B069C6">
              <w:t>4</w:t>
            </w:r>
          </w:p>
        </w:tc>
        <w:tc>
          <w:tcPr>
            <w:tcW w:w="1755" w:type="dxa"/>
            <w:noWrap/>
          </w:tcPr>
          <w:p w14:paraId="7D05475D" w14:textId="77777777" w:rsidR="00B069C6" w:rsidRPr="00B069C6" w:rsidRDefault="00B069C6" w:rsidP="00CA0D72">
            <w:pPr>
              <w:pStyle w:val="Table"/>
              <w:ind w:right="-3"/>
            </w:pPr>
            <w:r w:rsidRPr="00B069C6">
              <w:t>19 (11–58)</w:t>
            </w:r>
          </w:p>
        </w:tc>
      </w:tr>
      <w:tr w:rsidR="00B069C6" w:rsidRPr="00B069C6" w14:paraId="5C7362C0" w14:textId="77777777" w:rsidTr="00C335A5">
        <w:trPr>
          <w:trHeight w:val="255"/>
        </w:trPr>
        <w:tc>
          <w:tcPr>
            <w:tcW w:w="1336" w:type="dxa"/>
            <w:noWrap/>
          </w:tcPr>
          <w:p w14:paraId="7CAEBA83" w14:textId="76F05376" w:rsidR="00B069C6" w:rsidRPr="00B069C6" w:rsidRDefault="00C335A5" w:rsidP="00CA0D72">
            <w:pPr>
              <w:pStyle w:val="Table"/>
              <w:ind w:right="-3"/>
            </w:pPr>
            <w:r w:rsidRPr="00B069C6">
              <w:rPr>
                <w:iCs/>
              </w:rPr>
              <w:t>NSW</w:t>
            </w:r>
          </w:p>
        </w:tc>
        <w:tc>
          <w:tcPr>
            <w:tcW w:w="2367" w:type="dxa"/>
            <w:noWrap/>
          </w:tcPr>
          <w:p w14:paraId="56363E35" w14:textId="77777777" w:rsidR="00B069C6" w:rsidRPr="00B069C6" w:rsidRDefault="00B069C6" w:rsidP="00CA0D72">
            <w:pPr>
              <w:pStyle w:val="Table"/>
              <w:ind w:right="-3"/>
            </w:pPr>
            <w:r w:rsidRPr="00B069C6">
              <w:t>Control 1</w:t>
            </w:r>
          </w:p>
        </w:tc>
        <w:tc>
          <w:tcPr>
            <w:tcW w:w="1080" w:type="dxa"/>
            <w:noWrap/>
          </w:tcPr>
          <w:p w14:paraId="79FD5270" w14:textId="77777777" w:rsidR="00B069C6" w:rsidRPr="00B069C6" w:rsidRDefault="00B069C6" w:rsidP="00CA0D72">
            <w:pPr>
              <w:pStyle w:val="Table"/>
              <w:ind w:right="-3"/>
            </w:pPr>
            <w:r w:rsidRPr="00B069C6">
              <w:t>103</w:t>
            </w:r>
          </w:p>
        </w:tc>
        <w:tc>
          <w:tcPr>
            <w:tcW w:w="1755" w:type="dxa"/>
            <w:noWrap/>
          </w:tcPr>
          <w:p w14:paraId="06509511" w14:textId="77777777" w:rsidR="00B069C6" w:rsidRPr="00B069C6" w:rsidRDefault="00B069C6" w:rsidP="00CA0D72">
            <w:pPr>
              <w:pStyle w:val="Table"/>
              <w:ind w:right="-3"/>
            </w:pPr>
            <w:r w:rsidRPr="00B069C6">
              <w:t>25 (14–40)</w:t>
            </w:r>
          </w:p>
        </w:tc>
      </w:tr>
      <w:tr w:rsidR="00B069C6" w:rsidRPr="00B069C6" w14:paraId="32D864FE" w14:textId="77777777" w:rsidTr="00C335A5">
        <w:trPr>
          <w:trHeight w:val="255"/>
        </w:trPr>
        <w:tc>
          <w:tcPr>
            <w:tcW w:w="1336" w:type="dxa"/>
            <w:noWrap/>
          </w:tcPr>
          <w:p w14:paraId="51A034B8" w14:textId="7CBEDA69" w:rsidR="00B069C6" w:rsidRPr="00B069C6" w:rsidRDefault="00C335A5" w:rsidP="00CA0D72">
            <w:pPr>
              <w:pStyle w:val="Table"/>
              <w:ind w:right="-3"/>
            </w:pPr>
            <w:r w:rsidRPr="00B069C6">
              <w:rPr>
                <w:iCs/>
              </w:rPr>
              <w:t>NSW</w:t>
            </w:r>
          </w:p>
        </w:tc>
        <w:tc>
          <w:tcPr>
            <w:tcW w:w="2367" w:type="dxa"/>
            <w:noWrap/>
          </w:tcPr>
          <w:p w14:paraId="0A134FF0" w14:textId="77777777" w:rsidR="00B069C6" w:rsidRPr="00B069C6" w:rsidRDefault="00B069C6" w:rsidP="00CA0D72">
            <w:pPr>
              <w:pStyle w:val="Table"/>
              <w:ind w:right="-3"/>
            </w:pPr>
            <w:r w:rsidRPr="00B069C6">
              <w:t>Control 2</w:t>
            </w:r>
          </w:p>
        </w:tc>
        <w:tc>
          <w:tcPr>
            <w:tcW w:w="1080" w:type="dxa"/>
            <w:noWrap/>
          </w:tcPr>
          <w:p w14:paraId="21EE5C8B" w14:textId="77777777" w:rsidR="00B069C6" w:rsidRPr="00B069C6" w:rsidRDefault="00B069C6" w:rsidP="00CA0D72">
            <w:pPr>
              <w:pStyle w:val="Table"/>
              <w:ind w:right="-3"/>
            </w:pPr>
            <w:r w:rsidRPr="00B069C6">
              <w:t>727</w:t>
            </w:r>
          </w:p>
        </w:tc>
        <w:tc>
          <w:tcPr>
            <w:tcW w:w="1755" w:type="dxa"/>
            <w:noWrap/>
          </w:tcPr>
          <w:p w14:paraId="5060F65E" w14:textId="77777777" w:rsidR="00B069C6" w:rsidRPr="00B069C6" w:rsidRDefault="00B069C6" w:rsidP="00CA0D72">
            <w:pPr>
              <w:pStyle w:val="Table"/>
              <w:ind w:right="-3"/>
            </w:pPr>
            <w:r w:rsidRPr="00B069C6">
              <w:t>18 (9–32)</w:t>
            </w:r>
          </w:p>
        </w:tc>
      </w:tr>
      <w:tr w:rsidR="00B069C6" w:rsidRPr="00B069C6" w14:paraId="5A7A3081" w14:textId="77777777" w:rsidTr="00C335A5">
        <w:trPr>
          <w:trHeight w:val="255"/>
        </w:trPr>
        <w:tc>
          <w:tcPr>
            <w:tcW w:w="1336" w:type="dxa"/>
            <w:noWrap/>
          </w:tcPr>
          <w:p w14:paraId="32A72CE1" w14:textId="77777777" w:rsidR="00B069C6" w:rsidRPr="00B069C6" w:rsidRDefault="00B069C6" w:rsidP="00CA0D72">
            <w:pPr>
              <w:pStyle w:val="Table"/>
              <w:ind w:right="-3"/>
            </w:pPr>
            <w:r w:rsidRPr="00B069C6">
              <w:t>NT</w:t>
            </w:r>
          </w:p>
        </w:tc>
        <w:tc>
          <w:tcPr>
            <w:tcW w:w="2367" w:type="dxa"/>
            <w:noWrap/>
          </w:tcPr>
          <w:p w14:paraId="52718DF3" w14:textId="77777777" w:rsidR="00B069C6" w:rsidRPr="00B069C6" w:rsidRDefault="00B069C6" w:rsidP="00CA0D72">
            <w:pPr>
              <w:pStyle w:val="Table"/>
              <w:ind w:right="-3"/>
            </w:pPr>
            <w:r w:rsidRPr="00B069C6">
              <w:t>TC - Residential</w:t>
            </w:r>
          </w:p>
        </w:tc>
        <w:tc>
          <w:tcPr>
            <w:tcW w:w="1080" w:type="dxa"/>
            <w:noWrap/>
          </w:tcPr>
          <w:p w14:paraId="695F97CA" w14:textId="77777777" w:rsidR="00B069C6" w:rsidRPr="00B069C6" w:rsidRDefault="00B069C6" w:rsidP="00CA0D72">
            <w:pPr>
              <w:pStyle w:val="Table"/>
              <w:ind w:right="-3"/>
            </w:pPr>
            <w:r w:rsidRPr="00B069C6">
              <w:t>8</w:t>
            </w:r>
          </w:p>
        </w:tc>
        <w:tc>
          <w:tcPr>
            <w:tcW w:w="1755" w:type="dxa"/>
            <w:noWrap/>
          </w:tcPr>
          <w:p w14:paraId="134F0B89" w14:textId="77777777" w:rsidR="00B069C6" w:rsidRPr="00B069C6" w:rsidRDefault="00B069C6" w:rsidP="00CA0D72">
            <w:pPr>
              <w:pStyle w:val="Table"/>
              <w:ind w:right="-3"/>
            </w:pPr>
            <w:r w:rsidRPr="00B069C6">
              <w:t>17 (10–20)</w:t>
            </w:r>
          </w:p>
        </w:tc>
      </w:tr>
      <w:tr w:rsidR="00B069C6" w:rsidRPr="00B069C6" w14:paraId="352E2B7E" w14:textId="77777777" w:rsidTr="00C335A5">
        <w:trPr>
          <w:trHeight w:val="255"/>
        </w:trPr>
        <w:tc>
          <w:tcPr>
            <w:tcW w:w="1336" w:type="dxa"/>
            <w:noWrap/>
          </w:tcPr>
          <w:p w14:paraId="1CA3A560" w14:textId="538EEF79" w:rsidR="00B069C6" w:rsidRPr="00B069C6" w:rsidRDefault="00C335A5" w:rsidP="00CA0D72">
            <w:pPr>
              <w:pStyle w:val="Table"/>
              <w:ind w:right="-3"/>
              <w:rPr>
                <w:i/>
                <w:iCs/>
              </w:rPr>
            </w:pPr>
            <w:r w:rsidRPr="00B069C6">
              <w:t>NT</w:t>
            </w:r>
          </w:p>
        </w:tc>
        <w:tc>
          <w:tcPr>
            <w:tcW w:w="2367" w:type="dxa"/>
            <w:noWrap/>
          </w:tcPr>
          <w:p w14:paraId="4D0C058D" w14:textId="77777777" w:rsidR="00B069C6" w:rsidRPr="00B069C6" w:rsidRDefault="00B069C6" w:rsidP="00CA0D72">
            <w:pPr>
              <w:pStyle w:val="Table"/>
              <w:ind w:right="-3"/>
            </w:pPr>
            <w:r w:rsidRPr="00B069C6">
              <w:t>Control 2</w:t>
            </w:r>
          </w:p>
        </w:tc>
        <w:tc>
          <w:tcPr>
            <w:tcW w:w="1080" w:type="dxa"/>
            <w:noWrap/>
          </w:tcPr>
          <w:p w14:paraId="613DDC78" w14:textId="77777777" w:rsidR="00B069C6" w:rsidRPr="00B069C6" w:rsidRDefault="00B069C6" w:rsidP="00CA0D72">
            <w:pPr>
              <w:pStyle w:val="Table"/>
              <w:ind w:right="-3"/>
            </w:pPr>
            <w:r w:rsidRPr="00B069C6">
              <w:t>1</w:t>
            </w:r>
          </w:p>
        </w:tc>
        <w:tc>
          <w:tcPr>
            <w:tcW w:w="1755" w:type="dxa"/>
            <w:noWrap/>
          </w:tcPr>
          <w:p w14:paraId="1D3FD72A" w14:textId="77777777" w:rsidR="00B069C6" w:rsidRPr="00B069C6" w:rsidRDefault="00B069C6" w:rsidP="00CA0D72">
            <w:pPr>
              <w:pStyle w:val="Table"/>
              <w:ind w:right="-3"/>
            </w:pPr>
            <w:r w:rsidRPr="00B069C6">
              <w:t xml:space="preserve">* </w:t>
            </w:r>
          </w:p>
        </w:tc>
      </w:tr>
      <w:tr w:rsidR="00B069C6" w:rsidRPr="00B069C6" w14:paraId="3463C8E1" w14:textId="77777777" w:rsidTr="00C335A5">
        <w:trPr>
          <w:trHeight w:val="255"/>
        </w:trPr>
        <w:tc>
          <w:tcPr>
            <w:tcW w:w="1336" w:type="dxa"/>
            <w:noWrap/>
          </w:tcPr>
          <w:p w14:paraId="47475452" w14:textId="77777777" w:rsidR="00B069C6" w:rsidRPr="00B069C6" w:rsidRDefault="00B069C6" w:rsidP="00CA0D72">
            <w:pPr>
              <w:pStyle w:val="Table"/>
              <w:ind w:right="-3"/>
              <w:rPr>
                <w:iCs/>
              </w:rPr>
            </w:pPr>
            <w:r w:rsidRPr="00B069C6">
              <w:rPr>
                <w:iCs/>
              </w:rPr>
              <w:t>QLD</w:t>
            </w:r>
          </w:p>
        </w:tc>
        <w:tc>
          <w:tcPr>
            <w:tcW w:w="2367" w:type="dxa"/>
            <w:noWrap/>
          </w:tcPr>
          <w:p w14:paraId="167A9593" w14:textId="77777777" w:rsidR="00B069C6" w:rsidRPr="00B069C6" w:rsidRDefault="00B069C6" w:rsidP="00CA0D72">
            <w:pPr>
              <w:pStyle w:val="Table"/>
              <w:ind w:right="-3"/>
            </w:pPr>
            <w:r w:rsidRPr="00B069C6">
              <w:t>TC</w:t>
            </w:r>
          </w:p>
        </w:tc>
        <w:tc>
          <w:tcPr>
            <w:tcW w:w="1080" w:type="dxa"/>
            <w:noWrap/>
          </w:tcPr>
          <w:p w14:paraId="77C8DC53" w14:textId="77777777" w:rsidR="00B069C6" w:rsidRPr="00B069C6" w:rsidRDefault="00B069C6" w:rsidP="00CA0D72">
            <w:pPr>
              <w:pStyle w:val="Table"/>
              <w:ind w:right="-3"/>
            </w:pPr>
            <w:r w:rsidRPr="00B069C6">
              <w:t>213</w:t>
            </w:r>
          </w:p>
        </w:tc>
        <w:tc>
          <w:tcPr>
            <w:tcW w:w="1755" w:type="dxa"/>
            <w:noWrap/>
          </w:tcPr>
          <w:p w14:paraId="6FB957A2" w14:textId="77777777" w:rsidR="00B069C6" w:rsidRPr="00B069C6" w:rsidRDefault="00B069C6" w:rsidP="00CA0D72">
            <w:pPr>
              <w:pStyle w:val="Table"/>
              <w:ind w:right="-3"/>
            </w:pPr>
            <w:r w:rsidRPr="00B069C6">
              <w:t>26 (15–43)</w:t>
            </w:r>
          </w:p>
        </w:tc>
      </w:tr>
      <w:tr w:rsidR="00B069C6" w:rsidRPr="00B069C6" w14:paraId="6BC38AC5" w14:textId="77777777" w:rsidTr="00C335A5">
        <w:trPr>
          <w:trHeight w:val="255"/>
        </w:trPr>
        <w:tc>
          <w:tcPr>
            <w:tcW w:w="1336" w:type="dxa"/>
            <w:noWrap/>
          </w:tcPr>
          <w:p w14:paraId="731E3049" w14:textId="2979333D" w:rsidR="00B069C6" w:rsidRPr="00B069C6" w:rsidRDefault="00C335A5" w:rsidP="00CA0D72">
            <w:pPr>
              <w:pStyle w:val="Table"/>
              <w:ind w:right="-3"/>
              <w:rPr>
                <w:i/>
                <w:iCs/>
              </w:rPr>
            </w:pPr>
            <w:r w:rsidRPr="00B069C6">
              <w:rPr>
                <w:iCs/>
              </w:rPr>
              <w:t>QLD</w:t>
            </w:r>
          </w:p>
        </w:tc>
        <w:tc>
          <w:tcPr>
            <w:tcW w:w="2367" w:type="dxa"/>
            <w:noWrap/>
          </w:tcPr>
          <w:p w14:paraId="682F4479" w14:textId="77777777" w:rsidR="00B069C6" w:rsidRPr="00B069C6" w:rsidRDefault="00B069C6" w:rsidP="00CA0D72">
            <w:pPr>
              <w:pStyle w:val="Table"/>
              <w:ind w:right="-3"/>
            </w:pPr>
            <w:r w:rsidRPr="00B069C6">
              <w:t>TC - Residential</w:t>
            </w:r>
          </w:p>
        </w:tc>
        <w:tc>
          <w:tcPr>
            <w:tcW w:w="1080" w:type="dxa"/>
            <w:noWrap/>
          </w:tcPr>
          <w:p w14:paraId="7862BBA2" w14:textId="77777777" w:rsidR="00B069C6" w:rsidRPr="00B069C6" w:rsidRDefault="00B069C6" w:rsidP="00CA0D72">
            <w:pPr>
              <w:pStyle w:val="Table"/>
              <w:ind w:right="-3"/>
            </w:pPr>
            <w:r w:rsidRPr="00B069C6">
              <w:t>3</w:t>
            </w:r>
          </w:p>
        </w:tc>
        <w:tc>
          <w:tcPr>
            <w:tcW w:w="1755" w:type="dxa"/>
            <w:noWrap/>
          </w:tcPr>
          <w:p w14:paraId="7EC52258" w14:textId="77777777" w:rsidR="00B069C6" w:rsidRPr="00B069C6" w:rsidRDefault="00B069C6" w:rsidP="00CA0D72">
            <w:pPr>
              <w:pStyle w:val="Table"/>
              <w:ind w:right="-3"/>
            </w:pPr>
            <w:r w:rsidRPr="00B069C6">
              <w:t xml:space="preserve">* </w:t>
            </w:r>
          </w:p>
        </w:tc>
      </w:tr>
      <w:tr w:rsidR="00B069C6" w:rsidRPr="00B069C6" w14:paraId="1DE26E91" w14:textId="77777777" w:rsidTr="00C335A5">
        <w:trPr>
          <w:trHeight w:val="255"/>
        </w:trPr>
        <w:tc>
          <w:tcPr>
            <w:tcW w:w="1336" w:type="dxa"/>
            <w:noWrap/>
          </w:tcPr>
          <w:p w14:paraId="47AF8AB2" w14:textId="29AF7B7D" w:rsidR="00B069C6" w:rsidRPr="00B069C6" w:rsidRDefault="00C335A5" w:rsidP="00CA0D72">
            <w:pPr>
              <w:pStyle w:val="Table"/>
              <w:ind w:right="-3"/>
              <w:rPr>
                <w:i/>
                <w:iCs/>
              </w:rPr>
            </w:pPr>
            <w:r w:rsidRPr="00B069C6">
              <w:rPr>
                <w:iCs/>
              </w:rPr>
              <w:t>QLD</w:t>
            </w:r>
          </w:p>
        </w:tc>
        <w:tc>
          <w:tcPr>
            <w:tcW w:w="2367" w:type="dxa"/>
            <w:noWrap/>
          </w:tcPr>
          <w:p w14:paraId="3468B47E" w14:textId="77777777" w:rsidR="00B069C6" w:rsidRPr="00B069C6" w:rsidRDefault="00B069C6" w:rsidP="00CA0D72">
            <w:pPr>
              <w:pStyle w:val="Table"/>
              <w:ind w:right="-3"/>
            </w:pPr>
            <w:r w:rsidRPr="00B069C6">
              <w:t>TC - Combination</w:t>
            </w:r>
          </w:p>
        </w:tc>
        <w:tc>
          <w:tcPr>
            <w:tcW w:w="1080" w:type="dxa"/>
            <w:noWrap/>
          </w:tcPr>
          <w:p w14:paraId="2FE119D8" w14:textId="77777777" w:rsidR="00B069C6" w:rsidRPr="00B069C6" w:rsidRDefault="00B069C6" w:rsidP="00CA0D72">
            <w:pPr>
              <w:pStyle w:val="Table"/>
              <w:ind w:right="-3"/>
            </w:pPr>
            <w:r w:rsidRPr="00B069C6">
              <w:t>5</w:t>
            </w:r>
          </w:p>
        </w:tc>
        <w:tc>
          <w:tcPr>
            <w:tcW w:w="1755" w:type="dxa"/>
            <w:noWrap/>
          </w:tcPr>
          <w:p w14:paraId="69A945AA" w14:textId="77777777" w:rsidR="00B069C6" w:rsidRPr="00B069C6" w:rsidRDefault="00B069C6" w:rsidP="00CA0D72">
            <w:pPr>
              <w:pStyle w:val="Table"/>
              <w:ind w:right="-3"/>
            </w:pPr>
            <w:r w:rsidRPr="00B069C6">
              <w:t>21 (19–77)</w:t>
            </w:r>
          </w:p>
        </w:tc>
      </w:tr>
      <w:tr w:rsidR="00B069C6" w:rsidRPr="00B069C6" w14:paraId="1FF23535" w14:textId="77777777" w:rsidTr="00C335A5">
        <w:trPr>
          <w:trHeight w:val="255"/>
        </w:trPr>
        <w:tc>
          <w:tcPr>
            <w:tcW w:w="1336" w:type="dxa"/>
            <w:noWrap/>
          </w:tcPr>
          <w:p w14:paraId="12B8620E" w14:textId="4C212A19" w:rsidR="00B069C6" w:rsidRPr="00B069C6" w:rsidRDefault="00C335A5" w:rsidP="00CA0D72">
            <w:pPr>
              <w:pStyle w:val="Table"/>
              <w:ind w:right="-3"/>
              <w:rPr>
                <w:i/>
                <w:iCs/>
              </w:rPr>
            </w:pPr>
            <w:r w:rsidRPr="00B069C6">
              <w:rPr>
                <w:iCs/>
              </w:rPr>
              <w:t>QLD</w:t>
            </w:r>
          </w:p>
        </w:tc>
        <w:tc>
          <w:tcPr>
            <w:tcW w:w="2367" w:type="dxa"/>
            <w:noWrap/>
          </w:tcPr>
          <w:p w14:paraId="46968176" w14:textId="77777777" w:rsidR="00B069C6" w:rsidRPr="00B069C6" w:rsidRDefault="00B069C6" w:rsidP="00CA0D72">
            <w:pPr>
              <w:pStyle w:val="Table"/>
              <w:ind w:right="-3"/>
            </w:pPr>
            <w:r w:rsidRPr="00B069C6">
              <w:t>Control 1</w:t>
            </w:r>
          </w:p>
        </w:tc>
        <w:tc>
          <w:tcPr>
            <w:tcW w:w="1080" w:type="dxa"/>
            <w:noWrap/>
          </w:tcPr>
          <w:p w14:paraId="16F1658F" w14:textId="77777777" w:rsidR="00B069C6" w:rsidRPr="00B069C6" w:rsidRDefault="00B069C6" w:rsidP="00CA0D72">
            <w:pPr>
              <w:pStyle w:val="Table"/>
              <w:ind w:right="-3"/>
            </w:pPr>
            <w:r w:rsidRPr="00B069C6">
              <w:t>20</w:t>
            </w:r>
          </w:p>
        </w:tc>
        <w:tc>
          <w:tcPr>
            <w:tcW w:w="1755" w:type="dxa"/>
            <w:noWrap/>
          </w:tcPr>
          <w:p w14:paraId="45D1E2AF" w14:textId="77777777" w:rsidR="00B069C6" w:rsidRPr="00B069C6" w:rsidRDefault="00B069C6" w:rsidP="00CA0D72">
            <w:pPr>
              <w:pStyle w:val="Table"/>
              <w:ind w:right="-3"/>
            </w:pPr>
            <w:r w:rsidRPr="00B069C6">
              <w:t>40 (27–76)</w:t>
            </w:r>
          </w:p>
        </w:tc>
      </w:tr>
      <w:tr w:rsidR="00B069C6" w:rsidRPr="00B069C6" w14:paraId="7B810667" w14:textId="77777777" w:rsidTr="00C335A5">
        <w:trPr>
          <w:trHeight w:val="255"/>
        </w:trPr>
        <w:tc>
          <w:tcPr>
            <w:tcW w:w="1336" w:type="dxa"/>
            <w:noWrap/>
          </w:tcPr>
          <w:p w14:paraId="29EFFFBB" w14:textId="2F58EA0F" w:rsidR="00B069C6" w:rsidRPr="00B069C6" w:rsidRDefault="00C335A5" w:rsidP="00CA0D72">
            <w:pPr>
              <w:pStyle w:val="Table"/>
              <w:ind w:right="-3"/>
              <w:rPr>
                <w:i/>
                <w:iCs/>
              </w:rPr>
            </w:pPr>
            <w:r w:rsidRPr="00B069C6">
              <w:rPr>
                <w:iCs/>
              </w:rPr>
              <w:t>QLD</w:t>
            </w:r>
          </w:p>
        </w:tc>
        <w:tc>
          <w:tcPr>
            <w:tcW w:w="2367" w:type="dxa"/>
            <w:noWrap/>
          </w:tcPr>
          <w:p w14:paraId="77327BBA" w14:textId="77777777" w:rsidR="00B069C6" w:rsidRPr="00B069C6" w:rsidRDefault="00B069C6" w:rsidP="00CA0D72">
            <w:pPr>
              <w:pStyle w:val="Table"/>
              <w:ind w:right="-3"/>
            </w:pPr>
            <w:r w:rsidRPr="00B069C6">
              <w:t>Control 2</w:t>
            </w:r>
          </w:p>
        </w:tc>
        <w:tc>
          <w:tcPr>
            <w:tcW w:w="1080" w:type="dxa"/>
            <w:noWrap/>
          </w:tcPr>
          <w:p w14:paraId="66C183C2" w14:textId="77777777" w:rsidR="00B069C6" w:rsidRPr="00B069C6" w:rsidRDefault="00B069C6" w:rsidP="00CA0D72">
            <w:pPr>
              <w:pStyle w:val="Table"/>
              <w:ind w:right="-3"/>
            </w:pPr>
            <w:r w:rsidRPr="00B069C6">
              <w:t>176</w:t>
            </w:r>
          </w:p>
        </w:tc>
        <w:tc>
          <w:tcPr>
            <w:tcW w:w="1755" w:type="dxa"/>
            <w:noWrap/>
          </w:tcPr>
          <w:p w14:paraId="28E8869D" w14:textId="77777777" w:rsidR="00B069C6" w:rsidRPr="00B069C6" w:rsidRDefault="00B069C6" w:rsidP="00CA0D72">
            <w:pPr>
              <w:pStyle w:val="Table"/>
              <w:ind w:right="-3"/>
            </w:pPr>
            <w:r w:rsidRPr="00B069C6">
              <w:t>22 (13–45)</w:t>
            </w:r>
          </w:p>
        </w:tc>
      </w:tr>
      <w:tr w:rsidR="00B069C6" w:rsidRPr="00B069C6" w14:paraId="052C0229" w14:textId="77777777" w:rsidTr="00C335A5">
        <w:trPr>
          <w:trHeight w:val="255"/>
        </w:trPr>
        <w:tc>
          <w:tcPr>
            <w:tcW w:w="1336" w:type="dxa"/>
            <w:noWrap/>
          </w:tcPr>
          <w:p w14:paraId="1FDFA7AA" w14:textId="77777777" w:rsidR="00B069C6" w:rsidRPr="00B069C6" w:rsidRDefault="00B069C6" w:rsidP="00CA0D72">
            <w:pPr>
              <w:pStyle w:val="Table"/>
              <w:ind w:right="-3"/>
              <w:rPr>
                <w:i/>
                <w:iCs/>
              </w:rPr>
            </w:pPr>
            <w:r w:rsidRPr="00B069C6">
              <w:rPr>
                <w:i/>
                <w:iCs/>
              </w:rPr>
              <w:t>SA</w:t>
            </w:r>
          </w:p>
        </w:tc>
        <w:tc>
          <w:tcPr>
            <w:tcW w:w="2367" w:type="dxa"/>
            <w:noWrap/>
          </w:tcPr>
          <w:p w14:paraId="622FDD2D" w14:textId="77777777" w:rsidR="00B069C6" w:rsidRPr="00B069C6" w:rsidRDefault="00B069C6" w:rsidP="00CA0D72">
            <w:pPr>
              <w:pStyle w:val="Table"/>
              <w:ind w:right="-3"/>
            </w:pPr>
            <w:r w:rsidRPr="00B069C6">
              <w:t>TC - Community</w:t>
            </w:r>
          </w:p>
        </w:tc>
        <w:tc>
          <w:tcPr>
            <w:tcW w:w="1080" w:type="dxa"/>
            <w:noWrap/>
          </w:tcPr>
          <w:p w14:paraId="6144FEEE" w14:textId="77777777" w:rsidR="00B069C6" w:rsidRPr="00B069C6" w:rsidRDefault="00B069C6" w:rsidP="00CA0D72">
            <w:pPr>
              <w:pStyle w:val="Table"/>
              <w:ind w:right="-3"/>
            </w:pPr>
            <w:r w:rsidRPr="00B069C6">
              <w:t>93</w:t>
            </w:r>
          </w:p>
        </w:tc>
        <w:tc>
          <w:tcPr>
            <w:tcW w:w="1755" w:type="dxa"/>
            <w:noWrap/>
          </w:tcPr>
          <w:p w14:paraId="2EF4ECC5" w14:textId="77777777" w:rsidR="00B069C6" w:rsidRPr="00B069C6" w:rsidRDefault="00B069C6" w:rsidP="00CA0D72">
            <w:pPr>
              <w:pStyle w:val="Table"/>
              <w:ind w:right="-3"/>
            </w:pPr>
            <w:r w:rsidRPr="00B069C6">
              <w:t>21 (15–35)</w:t>
            </w:r>
          </w:p>
        </w:tc>
      </w:tr>
      <w:tr w:rsidR="00B069C6" w:rsidRPr="00B069C6" w14:paraId="4563A0D1" w14:textId="77777777" w:rsidTr="00C335A5">
        <w:trPr>
          <w:trHeight w:val="255"/>
        </w:trPr>
        <w:tc>
          <w:tcPr>
            <w:tcW w:w="1336" w:type="dxa"/>
            <w:noWrap/>
          </w:tcPr>
          <w:p w14:paraId="045B820A" w14:textId="48AD2B2B" w:rsidR="00B069C6" w:rsidRPr="00B069C6" w:rsidRDefault="00C335A5" w:rsidP="00CA0D72">
            <w:pPr>
              <w:pStyle w:val="Table"/>
              <w:ind w:right="-3"/>
              <w:rPr>
                <w:i/>
                <w:iCs/>
              </w:rPr>
            </w:pPr>
            <w:r w:rsidRPr="00B069C6">
              <w:rPr>
                <w:i/>
                <w:iCs/>
              </w:rPr>
              <w:t>SA</w:t>
            </w:r>
          </w:p>
        </w:tc>
        <w:tc>
          <w:tcPr>
            <w:tcW w:w="2367" w:type="dxa"/>
            <w:noWrap/>
          </w:tcPr>
          <w:p w14:paraId="45987460" w14:textId="77777777" w:rsidR="00B069C6" w:rsidRPr="00B069C6" w:rsidRDefault="00B069C6" w:rsidP="00CA0D72">
            <w:pPr>
              <w:pStyle w:val="Table"/>
              <w:ind w:right="-3"/>
            </w:pPr>
            <w:r w:rsidRPr="00B069C6">
              <w:t>TC - Residential</w:t>
            </w:r>
          </w:p>
        </w:tc>
        <w:tc>
          <w:tcPr>
            <w:tcW w:w="1080" w:type="dxa"/>
            <w:noWrap/>
          </w:tcPr>
          <w:p w14:paraId="04B5704E" w14:textId="77777777" w:rsidR="00B069C6" w:rsidRPr="00B069C6" w:rsidRDefault="00B069C6" w:rsidP="00CA0D72">
            <w:pPr>
              <w:pStyle w:val="Table"/>
              <w:ind w:right="-3"/>
            </w:pPr>
            <w:r w:rsidRPr="00B069C6">
              <w:t>109</w:t>
            </w:r>
          </w:p>
        </w:tc>
        <w:tc>
          <w:tcPr>
            <w:tcW w:w="1755" w:type="dxa"/>
            <w:noWrap/>
          </w:tcPr>
          <w:p w14:paraId="3FA20341" w14:textId="77777777" w:rsidR="00B069C6" w:rsidRPr="00B069C6" w:rsidRDefault="00B069C6" w:rsidP="00CA0D72">
            <w:pPr>
              <w:pStyle w:val="Table"/>
              <w:ind w:right="-3"/>
            </w:pPr>
            <w:r w:rsidRPr="00B069C6">
              <w:t>21 (16–31)</w:t>
            </w:r>
          </w:p>
        </w:tc>
      </w:tr>
      <w:tr w:rsidR="00B069C6" w:rsidRPr="00B069C6" w14:paraId="5CE6157F" w14:textId="77777777" w:rsidTr="00C335A5">
        <w:trPr>
          <w:trHeight w:val="255"/>
        </w:trPr>
        <w:tc>
          <w:tcPr>
            <w:tcW w:w="1336" w:type="dxa"/>
            <w:noWrap/>
          </w:tcPr>
          <w:p w14:paraId="1A1D415A" w14:textId="365DF969" w:rsidR="00B069C6" w:rsidRPr="00B069C6" w:rsidRDefault="00C335A5" w:rsidP="00CA0D72">
            <w:pPr>
              <w:pStyle w:val="Table"/>
              <w:ind w:right="-3"/>
            </w:pPr>
            <w:r w:rsidRPr="00B069C6">
              <w:rPr>
                <w:i/>
                <w:iCs/>
              </w:rPr>
              <w:t>SA</w:t>
            </w:r>
          </w:p>
        </w:tc>
        <w:tc>
          <w:tcPr>
            <w:tcW w:w="2367" w:type="dxa"/>
            <w:noWrap/>
          </w:tcPr>
          <w:p w14:paraId="6F60E1D9" w14:textId="77777777" w:rsidR="00B069C6" w:rsidRPr="00B069C6" w:rsidRDefault="00B069C6" w:rsidP="00CA0D72">
            <w:pPr>
              <w:pStyle w:val="Table"/>
              <w:ind w:right="-3"/>
            </w:pPr>
            <w:r w:rsidRPr="00B069C6">
              <w:t>TC - Combination</w:t>
            </w:r>
          </w:p>
        </w:tc>
        <w:tc>
          <w:tcPr>
            <w:tcW w:w="1080" w:type="dxa"/>
            <w:noWrap/>
          </w:tcPr>
          <w:p w14:paraId="72C53EF6" w14:textId="77777777" w:rsidR="00B069C6" w:rsidRPr="00B069C6" w:rsidRDefault="00B069C6" w:rsidP="00CA0D72">
            <w:pPr>
              <w:pStyle w:val="Table"/>
              <w:ind w:right="-3"/>
            </w:pPr>
            <w:r w:rsidRPr="00B069C6">
              <w:t>33</w:t>
            </w:r>
          </w:p>
        </w:tc>
        <w:tc>
          <w:tcPr>
            <w:tcW w:w="1755" w:type="dxa"/>
            <w:noWrap/>
          </w:tcPr>
          <w:p w14:paraId="140D4A3F" w14:textId="77777777" w:rsidR="00B069C6" w:rsidRPr="00B069C6" w:rsidRDefault="00B069C6" w:rsidP="00CA0D72">
            <w:pPr>
              <w:pStyle w:val="Table"/>
              <w:ind w:right="-3"/>
            </w:pPr>
            <w:r w:rsidRPr="00B069C6">
              <w:t>25 (17–35)</w:t>
            </w:r>
          </w:p>
        </w:tc>
      </w:tr>
      <w:tr w:rsidR="00B069C6" w:rsidRPr="00B069C6" w14:paraId="5F556880" w14:textId="77777777" w:rsidTr="00C335A5">
        <w:trPr>
          <w:trHeight w:val="255"/>
        </w:trPr>
        <w:tc>
          <w:tcPr>
            <w:tcW w:w="1336" w:type="dxa"/>
            <w:noWrap/>
          </w:tcPr>
          <w:p w14:paraId="01D39556" w14:textId="4E35F8C7" w:rsidR="00B069C6" w:rsidRPr="00B069C6" w:rsidRDefault="00C335A5" w:rsidP="00CA0D72">
            <w:pPr>
              <w:pStyle w:val="Table"/>
              <w:ind w:right="-3"/>
            </w:pPr>
            <w:r w:rsidRPr="00B069C6">
              <w:rPr>
                <w:i/>
                <w:iCs/>
              </w:rPr>
              <w:t>SA</w:t>
            </w:r>
          </w:p>
        </w:tc>
        <w:tc>
          <w:tcPr>
            <w:tcW w:w="2367" w:type="dxa"/>
            <w:noWrap/>
          </w:tcPr>
          <w:p w14:paraId="2D14C2CF" w14:textId="77777777" w:rsidR="00B069C6" w:rsidRPr="00B069C6" w:rsidRDefault="00B069C6" w:rsidP="00CA0D72">
            <w:pPr>
              <w:pStyle w:val="Table"/>
              <w:ind w:right="-3"/>
            </w:pPr>
            <w:r w:rsidRPr="00B069C6">
              <w:t>Control 1</w:t>
            </w:r>
          </w:p>
        </w:tc>
        <w:tc>
          <w:tcPr>
            <w:tcW w:w="1080" w:type="dxa"/>
            <w:noWrap/>
          </w:tcPr>
          <w:p w14:paraId="10824C62" w14:textId="77777777" w:rsidR="00B069C6" w:rsidRPr="00B069C6" w:rsidRDefault="00B069C6" w:rsidP="00CA0D72">
            <w:pPr>
              <w:pStyle w:val="Table"/>
              <w:ind w:right="-3"/>
            </w:pPr>
            <w:r w:rsidRPr="00B069C6">
              <w:t>82</w:t>
            </w:r>
          </w:p>
        </w:tc>
        <w:tc>
          <w:tcPr>
            <w:tcW w:w="1755" w:type="dxa"/>
            <w:noWrap/>
          </w:tcPr>
          <w:p w14:paraId="71B8F329" w14:textId="77777777" w:rsidR="00B069C6" w:rsidRPr="00B069C6" w:rsidRDefault="00B069C6" w:rsidP="00CA0D72">
            <w:pPr>
              <w:pStyle w:val="Table"/>
              <w:ind w:right="-3"/>
            </w:pPr>
            <w:r w:rsidRPr="00B069C6">
              <w:t>25 (17–34)</w:t>
            </w:r>
          </w:p>
        </w:tc>
      </w:tr>
      <w:tr w:rsidR="00B069C6" w:rsidRPr="00B069C6" w14:paraId="2045B003" w14:textId="77777777" w:rsidTr="00C335A5">
        <w:trPr>
          <w:trHeight w:val="255"/>
        </w:trPr>
        <w:tc>
          <w:tcPr>
            <w:tcW w:w="1336" w:type="dxa"/>
            <w:noWrap/>
          </w:tcPr>
          <w:p w14:paraId="6A96D309" w14:textId="0BE493A3" w:rsidR="00B069C6" w:rsidRPr="00B069C6" w:rsidRDefault="00C335A5" w:rsidP="00CA0D72">
            <w:pPr>
              <w:pStyle w:val="Table"/>
              <w:ind w:right="-3"/>
            </w:pPr>
            <w:r w:rsidRPr="00B069C6">
              <w:rPr>
                <w:i/>
                <w:iCs/>
              </w:rPr>
              <w:t>SA</w:t>
            </w:r>
          </w:p>
        </w:tc>
        <w:tc>
          <w:tcPr>
            <w:tcW w:w="2367" w:type="dxa"/>
            <w:noWrap/>
          </w:tcPr>
          <w:p w14:paraId="372AE69F" w14:textId="77777777" w:rsidR="00B069C6" w:rsidRPr="00B069C6" w:rsidRDefault="00B069C6" w:rsidP="00CA0D72">
            <w:pPr>
              <w:pStyle w:val="Table"/>
              <w:ind w:right="-3"/>
            </w:pPr>
            <w:r w:rsidRPr="00B069C6">
              <w:t>Control 2</w:t>
            </w:r>
          </w:p>
        </w:tc>
        <w:tc>
          <w:tcPr>
            <w:tcW w:w="1080" w:type="dxa"/>
            <w:noWrap/>
          </w:tcPr>
          <w:p w14:paraId="03DE4040" w14:textId="77777777" w:rsidR="00B069C6" w:rsidRPr="00B069C6" w:rsidRDefault="00B069C6" w:rsidP="00CA0D72">
            <w:pPr>
              <w:pStyle w:val="Table"/>
              <w:ind w:right="-3"/>
            </w:pPr>
            <w:r w:rsidRPr="00B069C6">
              <w:t>202</w:t>
            </w:r>
          </w:p>
        </w:tc>
        <w:tc>
          <w:tcPr>
            <w:tcW w:w="1755" w:type="dxa"/>
            <w:noWrap/>
          </w:tcPr>
          <w:p w14:paraId="00538C9A" w14:textId="77777777" w:rsidR="00B069C6" w:rsidRPr="00B069C6" w:rsidRDefault="00B069C6" w:rsidP="00CA0D72">
            <w:pPr>
              <w:pStyle w:val="Table"/>
              <w:ind w:right="-3"/>
            </w:pPr>
            <w:r w:rsidRPr="00B069C6">
              <w:t>16 (9–24)</w:t>
            </w:r>
          </w:p>
        </w:tc>
      </w:tr>
      <w:tr w:rsidR="00B069C6" w:rsidRPr="00B069C6" w14:paraId="5D979F33" w14:textId="77777777" w:rsidTr="00C335A5">
        <w:trPr>
          <w:trHeight w:val="255"/>
        </w:trPr>
        <w:tc>
          <w:tcPr>
            <w:tcW w:w="1336" w:type="dxa"/>
            <w:noWrap/>
          </w:tcPr>
          <w:p w14:paraId="2C7E222F" w14:textId="77777777" w:rsidR="00B069C6" w:rsidRPr="00B069C6" w:rsidRDefault="00B069C6" w:rsidP="00CA0D72">
            <w:pPr>
              <w:pStyle w:val="Table"/>
              <w:ind w:right="-3"/>
            </w:pPr>
            <w:r w:rsidRPr="00B069C6">
              <w:t>TAS</w:t>
            </w:r>
          </w:p>
        </w:tc>
        <w:tc>
          <w:tcPr>
            <w:tcW w:w="2367" w:type="dxa"/>
            <w:noWrap/>
          </w:tcPr>
          <w:p w14:paraId="7DF224AF" w14:textId="77777777" w:rsidR="00B069C6" w:rsidRPr="00B069C6" w:rsidRDefault="00B069C6" w:rsidP="00CA0D72">
            <w:pPr>
              <w:pStyle w:val="Table"/>
              <w:ind w:right="-3"/>
            </w:pPr>
            <w:r w:rsidRPr="00B069C6">
              <w:t>TC - Community</w:t>
            </w:r>
          </w:p>
        </w:tc>
        <w:tc>
          <w:tcPr>
            <w:tcW w:w="1080" w:type="dxa"/>
            <w:noWrap/>
          </w:tcPr>
          <w:p w14:paraId="4D7655F1" w14:textId="77777777" w:rsidR="00B069C6" w:rsidRPr="00B069C6" w:rsidRDefault="00B069C6" w:rsidP="00CA0D72">
            <w:pPr>
              <w:pStyle w:val="Table"/>
              <w:ind w:right="-3"/>
            </w:pPr>
            <w:r w:rsidRPr="00B069C6">
              <w:t>32</w:t>
            </w:r>
          </w:p>
        </w:tc>
        <w:tc>
          <w:tcPr>
            <w:tcW w:w="1755" w:type="dxa"/>
            <w:noWrap/>
          </w:tcPr>
          <w:p w14:paraId="4FCBEEDE" w14:textId="77777777" w:rsidR="00B069C6" w:rsidRPr="00B069C6" w:rsidRDefault="00B069C6" w:rsidP="00CA0D72">
            <w:pPr>
              <w:pStyle w:val="Table"/>
              <w:ind w:right="-3"/>
            </w:pPr>
            <w:r w:rsidRPr="00B069C6">
              <w:t>25 (15–36)</w:t>
            </w:r>
          </w:p>
        </w:tc>
      </w:tr>
      <w:tr w:rsidR="00B069C6" w:rsidRPr="00B069C6" w14:paraId="6ED19859" w14:textId="77777777" w:rsidTr="00C335A5">
        <w:trPr>
          <w:trHeight w:val="255"/>
        </w:trPr>
        <w:tc>
          <w:tcPr>
            <w:tcW w:w="1336" w:type="dxa"/>
            <w:noWrap/>
          </w:tcPr>
          <w:p w14:paraId="1CC35E97" w14:textId="37BE5B13" w:rsidR="00B069C6" w:rsidRPr="00B069C6" w:rsidRDefault="00C335A5" w:rsidP="00CA0D72">
            <w:pPr>
              <w:pStyle w:val="Table"/>
              <w:ind w:right="-3"/>
            </w:pPr>
            <w:r w:rsidRPr="00B069C6">
              <w:t>TAS</w:t>
            </w:r>
          </w:p>
        </w:tc>
        <w:tc>
          <w:tcPr>
            <w:tcW w:w="2367" w:type="dxa"/>
            <w:noWrap/>
          </w:tcPr>
          <w:p w14:paraId="0E109263" w14:textId="77777777" w:rsidR="00B069C6" w:rsidRPr="00B069C6" w:rsidRDefault="00B069C6" w:rsidP="00CA0D72">
            <w:pPr>
              <w:pStyle w:val="Table"/>
              <w:ind w:right="-3"/>
            </w:pPr>
            <w:r w:rsidRPr="00B069C6">
              <w:t>TC - Residential</w:t>
            </w:r>
          </w:p>
        </w:tc>
        <w:tc>
          <w:tcPr>
            <w:tcW w:w="1080" w:type="dxa"/>
            <w:noWrap/>
          </w:tcPr>
          <w:p w14:paraId="2CCC970A" w14:textId="77777777" w:rsidR="00B069C6" w:rsidRPr="00B069C6" w:rsidRDefault="00B069C6" w:rsidP="00CA0D72">
            <w:pPr>
              <w:pStyle w:val="Table"/>
              <w:ind w:right="-3"/>
            </w:pPr>
            <w:r w:rsidRPr="00B069C6">
              <w:t>55</w:t>
            </w:r>
          </w:p>
        </w:tc>
        <w:tc>
          <w:tcPr>
            <w:tcW w:w="1755" w:type="dxa"/>
            <w:noWrap/>
          </w:tcPr>
          <w:p w14:paraId="3FCB2184" w14:textId="77777777" w:rsidR="00B069C6" w:rsidRPr="00B069C6" w:rsidRDefault="00B069C6" w:rsidP="00CA0D72">
            <w:pPr>
              <w:pStyle w:val="Table"/>
              <w:ind w:right="-3"/>
            </w:pPr>
            <w:r w:rsidRPr="00B069C6">
              <w:t>11 (6–19)</w:t>
            </w:r>
          </w:p>
        </w:tc>
      </w:tr>
      <w:tr w:rsidR="00B069C6" w:rsidRPr="00B069C6" w14:paraId="7AF1DABE" w14:textId="77777777" w:rsidTr="00C335A5">
        <w:trPr>
          <w:trHeight w:val="255"/>
        </w:trPr>
        <w:tc>
          <w:tcPr>
            <w:tcW w:w="1336" w:type="dxa"/>
            <w:noWrap/>
          </w:tcPr>
          <w:p w14:paraId="79CE6E89" w14:textId="1CB8B096" w:rsidR="00B069C6" w:rsidRPr="00B069C6" w:rsidRDefault="00C335A5" w:rsidP="00CA0D72">
            <w:pPr>
              <w:pStyle w:val="Table"/>
              <w:ind w:right="-3"/>
            </w:pPr>
            <w:r w:rsidRPr="00B069C6">
              <w:t>TAS</w:t>
            </w:r>
          </w:p>
        </w:tc>
        <w:tc>
          <w:tcPr>
            <w:tcW w:w="2367" w:type="dxa"/>
            <w:noWrap/>
          </w:tcPr>
          <w:p w14:paraId="7F7386A9" w14:textId="77777777" w:rsidR="00B069C6" w:rsidRPr="00B069C6" w:rsidRDefault="00B069C6" w:rsidP="00CA0D72">
            <w:pPr>
              <w:pStyle w:val="Table"/>
              <w:ind w:right="-3"/>
            </w:pPr>
            <w:r w:rsidRPr="00B069C6">
              <w:t>TC - Combination</w:t>
            </w:r>
          </w:p>
        </w:tc>
        <w:tc>
          <w:tcPr>
            <w:tcW w:w="1080" w:type="dxa"/>
            <w:noWrap/>
          </w:tcPr>
          <w:p w14:paraId="0E01FC35" w14:textId="77777777" w:rsidR="00B069C6" w:rsidRPr="00B069C6" w:rsidRDefault="00B069C6" w:rsidP="00CA0D72">
            <w:pPr>
              <w:pStyle w:val="Table"/>
              <w:ind w:right="-3"/>
            </w:pPr>
            <w:r w:rsidRPr="00B069C6">
              <w:t>6</w:t>
            </w:r>
          </w:p>
        </w:tc>
        <w:tc>
          <w:tcPr>
            <w:tcW w:w="1755" w:type="dxa"/>
            <w:noWrap/>
          </w:tcPr>
          <w:p w14:paraId="7D3525A3" w14:textId="77777777" w:rsidR="00B069C6" w:rsidRPr="00B069C6" w:rsidRDefault="00B069C6" w:rsidP="00CA0D72">
            <w:pPr>
              <w:pStyle w:val="Table"/>
              <w:ind w:right="-3"/>
            </w:pPr>
            <w:r w:rsidRPr="00B069C6">
              <w:t>26 (10–37)</w:t>
            </w:r>
          </w:p>
        </w:tc>
      </w:tr>
      <w:tr w:rsidR="00B069C6" w:rsidRPr="00B069C6" w14:paraId="4E10F3DA" w14:textId="77777777" w:rsidTr="00C335A5">
        <w:trPr>
          <w:trHeight w:val="255"/>
        </w:trPr>
        <w:tc>
          <w:tcPr>
            <w:tcW w:w="1336" w:type="dxa"/>
            <w:noWrap/>
          </w:tcPr>
          <w:p w14:paraId="2B61A6E2" w14:textId="745B254F" w:rsidR="00B069C6" w:rsidRPr="00B069C6" w:rsidRDefault="00C335A5" w:rsidP="00CA0D72">
            <w:pPr>
              <w:pStyle w:val="Table"/>
              <w:ind w:right="-3"/>
            </w:pPr>
            <w:r>
              <w:t>v</w:t>
            </w:r>
          </w:p>
        </w:tc>
        <w:tc>
          <w:tcPr>
            <w:tcW w:w="2367" w:type="dxa"/>
            <w:noWrap/>
          </w:tcPr>
          <w:p w14:paraId="5C4BE951" w14:textId="77777777" w:rsidR="00B069C6" w:rsidRPr="00B069C6" w:rsidRDefault="00B069C6" w:rsidP="00CA0D72">
            <w:pPr>
              <w:pStyle w:val="Table"/>
              <w:ind w:right="-3"/>
            </w:pPr>
            <w:r w:rsidRPr="00B069C6">
              <w:t>Control 1</w:t>
            </w:r>
          </w:p>
        </w:tc>
        <w:tc>
          <w:tcPr>
            <w:tcW w:w="1080" w:type="dxa"/>
            <w:noWrap/>
          </w:tcPr>
          <w:p w14:paraId="6742B19F" w14:textId="77777777" w:rsidR="00B069C6" w:rsidRPr="00B069C6" w:rsidRDefault="00B069C6" w:rsidP="00CA0D72">
            <w:pPr>
              <w:pStyle w:val="Table"/>
              <w:ind w:right="-3"/>
            </w:pPr>
            <w:r w:rsidRPr="00B069C6">
              <w:t>10</w:t>
            </w:r>
          </w:p>
        </w:tc>
        <w:tc>
          <w:tcPr>
            <w:tcW w:w="1755" w:type="dxa"/>
            <w:noWrap/>
          </w:tcPr>
          <w:p w14:paraId="04A521DE" w14:textId="77777777" w:rsidR="00B069C6" w:rsidRPr="00B069C6" w:rsidRDefault="00B069C6" w:rsidP="00CA0D72">
            <w:pPr>
              <w:pStyle w:val="Table"/>
              <w:ind w:right="-3"/>
            </w:pPr>
            <w:r w:rsidRPr="00B069C6">
              <w:t>14 (9–20)</w:t>
            </w:r>
          </w:p>
        </w:tc>
      </w:tr>
      <w:tr w:rsidR="00B069C6" w:rsidRPr="00B069C6" w14:paraId="0407F239" w14:textId="77777777" w:rsidTr="00C335A5">
        <w:trPr>
          <w:trHeight w:val="255"/>
        </w:trPr>
        <w:tc>
          <w:tcPr>
            <w:tcW w:w="1336" w:type="dxa"/>
            <w:noWrap/>
          </w:tcPr>
          <w:p w14:paraId="7B67C07E" w14:textId="67B33817" w:rsidR="00B069C6" w:rsidRPr="00B069C6" w:rsidRDefault="00C335A5" w:rsidP="00CA0D72">
            <w:pPr>
              <w:pStyle w:val="Table"/>
              <w:ind w:right="-3"/>
            </w:pPr>
            <w:r w:rsidRPr="00B069C6">
              <w:lastRenderedPageBreak/>
              <w:t>TAS</w:t>
            </w:r>
          </w:p>
        </w:tc>
        <w:tc>
          <w:tcPr>
            <w:tcW w:w="2367" w:type="dxa"/>
            <w:noWrap/>
          </w:tcPr>
          <w:p w14:paraId="56509ADB" w14:textId="77777777" w:rsidR="00B069C6" w:rsidRPr="00B069C6" w:rsidRDefault="00B069C6" w:rsidP="00CA0D72">
            <w:pPr>
              <w:pStyle w:val="Table"/>
              <w:ind w:right="-3"/>
            </w:pPr>
            <w:r w:rsidRPr="00B069C6">
              <w:t>Control 2</w:t>
            </w:r>
          </w:p>
        </w:tc>
        <w:tc>
          <w:tcPr>
            <w:tcW w:w="1080" w:type="dxa"/>
            <w:noWrap/>
          </w:tcPr>
          <w:p w14:paraId="6D51B1C7" w14:textId="77777777" w:rsidR="00B069C6" w:rsidRPr="00B069C6" w:rsidRDefault="00B069C6" w:rsidP="00CA0D72">
            <w:pPr>
              <w:pStyle w:val="Table"/>
              <w:ind w:right="-3"/>
            </w:pPr>
            <w:r w:rsidRPr="00B069C6">
              <w:t>24</w:t>
            </w:r>
          </w:p>
        </w:tc>
        <w:tc>
          <w:tcPr>
            <w:tcW w:w="1755" w:type="dxa"/>
            <w:noWrap/>
          </w:tcPr>
          <w:p w14:paraId="721E008C" w14:textId="77777777" w:rsidR="00B069C6" w:rsidRPr="00B069C6" w:rsidRDefault="00B069C6" w:rsidP="00CA0D72">
            <w:pPr>
              <w:pStyle w:val="Table"/>
              <w:ind w:right="-3"/>
            </w:pPr>
            <w:r w:rsidRPr="00B069C6">
              <w:t>33 (16–47)</w:t>
            </w:r>
          </w:p>
        </w:tc>
      </w:tr>
      <w:tr w:rsidR="00B069C6" w:rsidRPr="00B069C6" w14:paraId="517D233A" w14:textId="77777777" w:rsidTr="00C335A5">
        <w:trPr>
          <w:trHeight w:val="255"/>
        </w:trPr>
        <w:tc>
          <w:tcPr>
            <w:tcW w:w="1336" w:type="dxa"/>
            <w:noWrap/>
          </w:tcPr>
          <w:p w14:paraId="3FE435D2" w14:textId="77777777" w:rsidR="00B069C6" w:rsidRPr="00B069C6" w:rsidRDefault="00B069C6" w:rsidP="00CA0D72">
            <w:pPr>
              <w:pStyle w:val="Table"/>
              <w:ind w:right="-3"/>
            </w:pPr>
            <w:r w:rsidRPr="00B069C6">
              <w:t>VIC</w:t>
            </w:r>
          </w:p>
        </w:tc>
        <w:tc>
          <w:tcPr>
            <w:tcW w:w="2367" w:type="dxa"/>
            <w:noWrap/>
          </w:tcPr>
          <w:p w14:paraId="30F18D36" w14:textId="77777777" w:rsidR="00B069C6" w:rsidRPr="00B069C6" w:rsidRDefault="00B069C6" w:rsidP="00CA0D72">
            <w:pPr>
              <w:pStyle w:val="Table"/>
              <w:ind w:right="-3"/>
            </w:pPr>
            <w:r w:rsidRPr="00B069C6">
              <w:t>TC - Community</w:t>
            </w:r>
          </w:p>
        </w:tc>
        <w:tc>
          <w:tcPr>
            <w:tcW w:w="1080" w:type="dxa"/>
            <w:noWrap/>
          </w:tcPr>
          <w:p w14:paraId="3DC314E1" w14:textId="77777777" w:rsidR="00B069C6" w:rsidRPr="00B069C6" w:rsidRDefault="00B069C6" w:rsidP="00CA0D72">
            <w:pPr>
              <w:pStyle w:val="Table"/>
              <w:ind w:right="-3"/>
            </w:pPr>
            <w:r w:rsidRPr="00B069C6">
              <w:t>166</w:t>
            </w:r>
          </w:p>
        </w:tc>
        <w:tc>
          <w:tcPr>
            <w:tcW w:w="1755" w:type="dxa"/>
            <w:noWrap/>
          </w:tcPr>
          <w:p w14:paraId="0004C16D" w14:textId="77777777" w:rsidR="00B069C6" w:rsidRPr="00B069C6" w:rsidRDefault="00B069C6" w:rsidP="00CA0D72">
            <w:pPr>
              <w:pStyle w:val="Table"/>
              <w:ind w:right="-3"/>
            </w:pPr>
            <w:r w:rsidRPr="00B069C6">
              <w:t>27 (17–42)</w:t>
            </w:r>
          </w:p>
        </w:tc>
      </w:tr>
      <w:tr w:rsidR="00B069C6" w:rsidRPr="00B069C6" w14:paraId="0D102FAA" w14:textId="77777777" w:rsidTr="00C335A5">
        <w:trPr>
          <w:trHeight w:val="255"/>
        </w:trPr>
        <w:tc>
          <w:tcPr>
            <w:tcW w:w="1336" w:type="dxa"/>
            <w:noWrap/>
          </w:tcPr>
          <w:p w14:paraId="48BD3D7D" w14:textId="4C590054" w:rsidR="00B069C6" w:rsidRPr="00B069C6" w:rsidRDefault="00C335A5" w:rsidP="00CA0D72">
            <w:pPr>
              <w:pStyle w:val="Table"/>
              <w:ind w:right="-3"/>
            </w:pPr>
            <w:r w:rsidRPr="00B069C6">
              <w:t>VIC</w:t>
            </w:r>
          </w:p>
        </w:tc>
        <w:tc>
          <w:tcPr>
            <w:tcW w:w="2367" w:type="dxa"/>
            <w:noWrap/>
          </w:tcPr>
          <w:p w14:paraId="1EECCED0" w14:textId="77777777" w:rsidR="00B069C6" w:rsidRPr="00B069C6" w:rsidRDefault="00B069C6" w:rsidP="00CA0D72">
            <w:pPr>
              <w:pStyle w:val="Table"/>
              <w:ind w:right="-3"/>
            </w:pPr>
            <w:r w:rsidRPr="00B069C6">
              <w:t>TC - Residential</w:t>
            </w:r>
          </w:p>
        </w:tc>
        <w:tc>
          <w:tcPr>
            <w:tcW w:w="1080" w:type="dxa"/>
            <w:noWrap/>
          </w:tcPr>
          <w:p w14:paraId="7DC6B256" w14:textId="77777777" w:rsidR="00B069C6" w:rsidRPr="00B069C6" w:rsidRDefault="00B069C6" w:rsidP="00CA0D72">
            <w:pPr>
              <w:pStyle w:val="Table"/>
              <w:ind w:right="-3"/>
            </w:pPr>
            <w:r w:rsidRPr="00B069C6">
              <w:t>478</w:t>
            </w:r>
          </w:p>
        </w:tc>
        <w:tc>
          <w:tcPr>
            <w:tcW w:w="1755" w:type="dxa"/>
            <w:noWrap/>
          </w:tcPr>
          <w:p w14:paraId="4AB496F6" w14:textId="77777777" w:rsidR="00B069C6" w:rsidRPr="00B069C6" w:rsidRDefault="00B069C6" w:rsidP="00CA0D72">
            <w:pPr>
              <w:pStyle w:val="Table"/>
              <w:ind w:right="-3"/>
            </w:pPr>
            <w:r w:rsidRPr="00B069C6">
              <w:t>27 (17–38)</w:t>
            </w:r>
          </w:p>
        </w:tc>
      </w:tr>
      <w:tr w:rsidR="00B069C6" w:rsidRPr="00B069C6" w14:paraId="0DE6CBFF" w14:textId="77777777" w:rsidTr="00C335A5">
        <w:trPr>
          <w:trHeight w:val="255"/>
        </w:trPr>
        <w:tc>
          <w:tcPr>
            <w:tcW w:w="1336" w:type="dxa"/>
            <w:noWrap/>
          </w:tcPr>
          <w:p w14:paraId="41014D7F" w14:textId="0D6E706F" w:rsidR="00B069C6" w:rsidRPr="00B069C6" w:rsidRDefault="00C335A5" w:rsidP="00CA0D72">
            <w:pPr>
              <w:pStyle w:val="Table"/>
              <w:ind w:right="-3"/>
            </w:pPr>
            <w:r w:rsidRPr="00B069C6">
              <w:t>VIC</w:t>
            </w:r>
          </w:p>
        </w:tc>
        <w:tc>
          <w:tcPr>
            <w:tcW w:w="2367" w:type="dxa"/>
            <w:noWrap/>
          </w:tcPr>
          <w:p w14:paraId="6A06D893" w14:textId="77777777" w:rsidR="00B069C6" w:rsidRPr="00B069C6" w:rsidRDefault="00B069C6" w:rsidP="00CA0D72">
            <w:pPr>
              <w:pStyle w:val="Table"/>
              <w:ind w:right="-3"/>
            </w:pPr>
            <w:r w:rsidRPr="00B069C6">
              <w:t>TC - Combination</w:t>
            </w:r>
          </w:p>
        </w:tc>
        <w:tc>
          <w:tcPr>
            <w:tcW w:w="1080" w:type="dxa"/>
            <w:noWrap/>
          </w:tcPr>
          <w:p w14:paraId="23AF7EA2" w14:textId="77777777" w:rsidR="00B069C6" w:rsidRPr="00B069C6" w:rsidRDefault="00B069C6" w:rsidP="00CA0D72">
            <w:pPr>
              <w:pStyle w:val="Table"/>
              <w:ind w:right="-3"/>
            </w:pPr>
            <w:r w:rsidRPr="00B069C6">
              <w:t>61</w:t>
            </w:r>
          </w:p>
        </w:tc>
        <w:tc>
          <w:tcPr>
            <w:tcW w:w="1755" w:type="dxa"/>
            <w:noWrap/>
          </w:tcPr>
          <w:p w14:paraId="1E99D0AA" w14:textId="77777777" w:rsidR="00B069C6" w:rsidRPr="00B069C6" w:rsidRDefault="00B069C6" w:rsidP="00CA0D72">
            <w:pPr>
              <w:pStyle w:val="Table"/>
              <w:ind w:right="-3"/>
            </w:pPr>
            <w:r w:rsidRPr="00B069C6">
              <w:t>26 (17–40)</w:t>
            </w:r>
          </w:p>
        </w:tc>
      </w:tr>
      <w:tr w:rsidR="00B069C6" w:rsidRPr="00B069C6" w14:paraId="406AB21F" w14:textId="77777777" w:rsidTr="00C335A5">
        <w:trPr>
          <w:trHeight w:val="255"/>
        </w:trPr>
        <w:tc>
          <w:tcPr>
            <w:tcW w:w="1336" w:type="dxa"/>
            <w:noWrap/>
          </w:tcPr>
          <w:p w14:paraId="6A2CBEFD" w14:textId="60DC0499" w:rsidR="00B069C6" w:rsidRPr="00B069C6" w:rsidRDefault="00C335A5" w:rsidP="00CA0D72">
            <w:pPr>
              <w:pStyle w:val="Table"/>
              <w:ind w:right="-3"/>
            </w:pPr>
            <w:r w:rsidRPr="00B069C6">
              <w:t>VIC</w:t>
            </w:r>
          </w:p>
        </w:tc>
        <w:tc>
          <w:tcPr>
            <w:tcW w:w="2367" w:type="dxa"/>
            <w:noWrap/>
          </w:tcPr>
          <w:p w14:paraId="51A7E971" w14:textId="77777777" w:rsidR="00B069C6" w:rsidRPr="00B069C6" w:rsidRDefault="00B069C6" w:rsidP="00CA0D72">
            <w:pPr>
              <w:pStyle w:val="Table"/>
              <w:ind w:right="-3"/>
            </w:pPr>
            <w:r w:rsidRPr="00B069C6">
              <w:t>Control 1</w:t>
            </w:r>
          </w:p>
        </w:tc>
        <w:tc>
          <w:tcPr>
            <w:tcW w:w="1080" w:type="dxa"/>
            <w:noWrap/>
          </w:tcPr>
          <w:p w14:paraId="31B385B8" w14:textId="77777777" w:rsidR="00B069C6" w:rsidRPr="00B069C6" w:rsidRDefault="00B069C6" w:rsidP="00CA0D72">
            <w:pPr>
              <w:pStyle w:val="Table"/>
              <w:ind w:right="-3"/>
            </w:pPr>
            <w:r w:rsidRPr="00B069C6">
              <w:t>312</w:t>
            </w:r>
          </w:p>
        </w:tc>
        <w:tc>
          <w:tcPr>
            <w:tcW w:w="1755" w:type="dxa"/>
            <w:noWrap/>
          </w:tcPr>
          <w:p w14:paraId="4F1DAC60" w14:textId="77777777" w:rsidR="00B069C6" w:rsidRPr="00B069C6" w:rsidRDefault="00B069C6" w:rsidP="00CA0D72">
            <w:pPr>
              <w:pStyle w:val="Table"/>
              <w:ind w:right="-3"/>
            </w:pPr>
            <w:r w:rsidRPr="00B069C6">
              <w:t>30 (20–43)</w:t>
            </w:r>
          </w:p>
        </w:tc>
      </w:tr>
      <w:tr w:rsidR="00B069C6" w:rsidRPr="00B069C6" w14:paraId="000A5AA9" w14:textId="77777777" w:rsidTr="00C335A5">
        <w:trPr>
          <w:trHeight w:val="255"/>
        </w:trPr>
        <w:tc>
          <w:tcPr>
            <w:tcW w:w="1336" w:type="dxa"/>
            <w:noWrap/>
          </w:tcPr>
          <w:p w14:paraId="58402188" w14:textId="73A95D36" w:rsidR="00B069C6" w:rsidRPr="00B069C6" w:rsidRDefault="00C335A5" w:rsidP="00CA0D72">
            <w:pPr>
              <w:pStyle w:val="Table"/>
              <w:ind w:right="-3"/>
            </w:pPr>
            <w:r w:rsidRPr="00B069C6">
              <w:t>VIC</w:t>
            </w:r>
          </w:p>
        </w:tc>
        <w:tc>
          <w:tcPr>
            <w:tcW w:w="2367" w:type="dxa"/>
            <w:noWrap/>
          </w:tcPr>
          <w:p w14:paraId="2F53492E" w14:textId="77777777" w:rsidR="00B069C6" w:rsidRPr="00B069C6" w:rsidRDefault="00B069C6" w:rsidP="00CA0D72">
            <w:pPr>
              <w:pStyle w:val="Table"/>
              <w:ind w:right="-3"/>
            </w:pPr>
            <w:r w:rsidRPr="00B069C6">
              <w:t>Control 2</w:t>
            </w:r>
          </w:p>
        </w:tc>
        <w:tc>
          <w:tcPr>
            <w:tcW w:w="1080" w:type="dxa"/>
            <w:noWrap/>
          </w:tcPr>
          <w:p w14:paraId="292B3D55" w14:textId="77777777" w:rsidR="00B069C6" w:rsidRPr="00B069C6" w:rsidRDefault="00B069C6" w:rsidP="00CA0D72">
            <w:pPr>
              <w:pStyle w:val="Table"/>
              <w:ind w:right="-3"/>
            </w:pPr>
            <w:r w:rsidRPr="00B069C6">
              <w:t>226</w:t>
            </w:r>
          </w:p>
        </w:tc>
        <w:tc>
          <w:tcPr>
            <w:tcW w:w="1755" w:type="dxa"/>
            <w:noWrap/>
          </w:tcPr>
          <w:p w14:paraId="7ADCB4A0" w14:textId="77777777" w:rsidR="00B069C6" w:rsidRPr="00B069C6" w:rsidRDefault="00B069C6" w:rsidP="00CA0D72">
            <w:pPr>
              <w:pStyle w:val="Table"/>
              <w:ind w:right="-3"/>
            </w:pPr>
            <w:r w:rsidRPr="00B069C6">
              <w:t>20 (12–29)</w:t>
            </w:r>
          </w:p>
        </w:tc>
      </w:tr>
      <w:tr w:rsidR="00B069C6" w:rsidRPr="00B069C6" w14:paraId="7FD25266" w14:textId="77777777" w:rsidTr="00C335A5">
        <w:trPr>
          <w:trHeight w:val="255"/>
        </w:trPr>
        <w:tc>
          <w:tcPr>
            <w:tcW w:w="1336" w:type="dxa"/>
            <w:noWrap/>
          </w:tcPr>
          <w:p w14:paraId="2844B487" w14:textId="77777777" w:rsidR="00B069C6" w:rsidRPr="00B069C6" w:rsidRDefault="00B069C6" w:rsidP="00CA0D72">
            <w:pPr>
              <w:pStyle w:val="Table"/>
              <w:ind w:right="-3"/>
            </w:pPr>
            <w:r w:rsidRPr="00B069C6">
              <w:t>WA</w:t>
            </w:r>
          </w:p>
        </w:tc>
        <w:tc>
          <w:tcPr>
            <w:tcW w:w="2367" w:type="dxa"/>
            <w:noWrap/>
          </w:tcPr>
          <w:p w14:paraId="6ECE5C2F" w14:textId="77777777" w:rsidR="00B069C6" w:rsidRPr="00B069C6" w:rsidRDefault="00B069C6" w:rsidP="00CA0D72">
            <w:pPr>
              <w:pStyle w:val="Table"/>
              <w:ind w:right="-3"/>
            </w:pPr>
            <w:r w:rsidRPr="00B069C6">
              <w:t>TC - Community</w:t>
            </w:r>
          </w:p>
        </w:tc>
        <w:tc>
          <w:tcPr>
            <w:tcW w:w="1080" w:type="dxa"/>
            <w:noWrap/>
          </w:tcPr>
          <w:p w14:paraId="7DB366F0" w14:textId="77777777" w:rsidR="00B069C6" w:rsidRPr="00B069C6" w:rsidRDefault="00B069C6" w:rsidP="00CA0D72">
            <w:pPr>
              <w:pStyle w:val="Table"/>
              <w:ind w:right="-3"/>
            </w:pPr>
            <w:r w:rsidRPr="00B069C6">
              <w:t>34</w:t>
            </w:r>
          </w:p>
        </w:tc>
        <w:tc>
          <w:tcPr>
            <w:tcW w:w="1755" w:type="dxa"/>
            <w:noWrap/>
          </w:tcPr>
          <w:p w14:paraId="66810CBB" w14:textId="77777777" w:rsidR="00B069C6" w:rsidRPr="00B069C6" w:rsidRDefault="00B069C6" w:rsidP="00CA0D72">
            <w:pPr>
              <w:pStyle w:val="Table"/>
              <w:ind w:right="-3"/>
            </w:pPr>
            <w:r w:rsidRPr="00B069C6">
              <w:t>31 (21–48)</w:t>
            </w:r>
          </w:p>
        </w:tc>
      </w:tr>
      <w:tr w:rsidR="00B069C6" w:rsidRPr="00B069C6" w14:paraId="6619A10D" w14:textId="77777777" w:rsidTr="00C335A5">
        <w:trPr>
          <w:trHeight w:val="255"/>
        </w:trPr>
        <w:tc>
          <w:tcPr>
            <w:tcW w:w="1336" w:type="dxa"/>
            <w:noWrap/>
          </w:tcPr>
          <w:p w14:paraId="42B0058C" w14:textId="285FF008" w:rsidR="00B069C6" w:rsidRPr="00B069C6" w:rsidRDefault="00C335A5" w:rsidP="00CA0D72">
            <w:pPr>
              <w:pStyle w:val="Table"/>
              <w:ind w:right="-3"/>
            </w:pPr>
            <w:r w:rsidRPr="00B069C6">
              <w:t>WA</w:t>
            </w:r>
          </w:p>
        </w:tc>
        <w:tc>
          <w:tcPr>
            <w:tcW w:w="2367" w:type="dxa"/>
            <w:noWrap/>
          </w:tcPr>
          <w:p w14:paraId="75D19450" w14:textId="77777777" w:rsidR="00B069C6" w:rsidRPr="00B069C6" w:rsidRDefault="00B069C6" w:rsidP="00CA0D72">
            <w:pPr>
              <w:pStyle w:val="Table"/>
              <w:ind w:right="-3"/>
            </w:pPr>
            <w:r w:rsidRPr="00B069C6">
              <w:t>TC - Residential</w:t>
            </w:r>
          </w:p>
        </w:tc>
        <w:tc>
          <w:tcPr>
            <w:tcW w:w="1080" w:type="dxa"/>
            <w:noWrap/>
          </w:tcPr>
          <w:p w14:paraId="0433B3B5" w14:textId="77777777" w:rsidR="00B069C6" w:rsidRPr="00B069C6" w:rsidRDefault="00B069C6" w:rsidP="00CA0D72">
            <w:pPr>
              <w:pStyle w:val="Table"/>
              <w:ind w:right="-3"/>
            </w:pPr>
            <w:r w:rsidRPr="00B069C6">
              <w:t>55</w:t>
            </w:r>
          </w:p>
        </w:tc>
        <w:tc>
          <w:tcPr>
            <w:tcW w:w="1755" w:type="dxa"/>
            <w:noWrap/>
          </w:tcPr>
          <w:p w14:paraId="4E81D6C8" w14:textId="77777777" w:rsidR="00B069C6" w:rsidRPr="00B069C6" w:rsidRDefault="00B069C6" w:rsidP="00CA0D72">
            <w:pPr>
              <w:pStyle w:val="Table"/>
              <w:ind w:right="-3"/>
            </w:pPr>
            <w:r w:rsidRPr="00B069C6">
              <w:t>26 (16–52)</w:t>
            </w:r>
          </w:p>
        </w:tc>
      </w:tr>
      <w:tr w:rsidR="00B069C6" w:rsidRPr="00B069C6" w14:paraId="20E5A813" w14:textId="77777777" w:rsidTr="00C335A5">
        <w:trPr>
          <w:trHeight w:val="255"/>
        </w:trPr>
        <w:tc>
          <w:tcPr>
            <w:tcW w:w="1336" w:type="dxa"/>
            <w:noWrap/>
          </w:tcPr>
          <w:p w14:paraId="00446D3B" w14:textId="03881B2E" w:rsidR="00B069C6" w:rsidRPr="00B069C6" w:rsidRDefault="00C335A5" w:rsidP="00CA0D72">
            <w:pPr>
              <w:pStyle w:val="Table"/>
              <w:ind w:right="-3"/>
            </w:pPr>
            <w:r w:rsidRPr="00B069C6">
              <w:t>WA</w:t>
            </w:r>
          </w:p>
        </w:tc>
        <w:tc>
          <w:tcPr>
            <w:tcW w:w="2367" w:type="dxa"/>
            <w:noWrap/>
          </w:tcPr>
          <w:p w14:paraId="5C1F2D6D" w14:textId="77777777" w:rsidR="00B069C6" w:rsidRPr="00B069C6" w:rsidRDefault="00B069C6" w:rsidP="00CA0D72">
            <w:pPr>
              <w:pStyle w:val="Table"/>
              <w:ind w:right="-3"/>
            </w:pPr>
            <w:r w:rsidRPr="00B069C6">
              <w:t>TC - Combination</w:t>
            </w:r>
          </w:p>
        </w:tc>
        <w:tc>
          <w:tcPr>
            <w:tcW w:w="1080" w:type="dxa"/>
            <w:noWrap/>
          </w:tcPr>
          <w:p w14:paraId="331E82E5" w14:textId="77777777" w:rsidR="00B069C6" w:rsidRPr="00B069C6" w:rsidRDefault="00B069C6" w:rsidP="00CA0D72">
            <w:pPr>
              <w:pStyle w:val="Table"/>
              <w:ind w:right="-3"/>
            </w:pPr>
            <w:r w:rsidRPr="00B069C6">
              <w:t>46</w:t>
            </w:r>
          </w:p>
        </w:tc>
        <w:tc>
          <w:tcPr>
            <w:tcW w:w="1755" w:type="dxa"/>
            <w:noWrap/>
          </w:tcPr>
          <w:p w14:paraId="34905A51" w14:textId="77777777" w:rsidR="00B069C6" w:rsidRPr="00B069C6" w:rsidRDefault="00B069C6" w:rsidP="00CA0D72">
            <w:pPr>
              <w:pStyle w:val="Table"/>
              <w:ind w:right="-3"/>
            </w:pPr>
            <w:r w:rsidRPr="00B069C6">
              <w:t>17 (10–24)</w:t>
            </w:r>
          </w:p>
        </w:tc>
      </w:tr>
      <w:tr w:rsidR="00B069C6" w:rsidRPr="00B069C6" w14:paraId="3C940FF1" w14:textId="77777777" w:rsidTr="00C335A5">
        <w:trPr>
          <w:trHeight w:val="255"/>
        </w:trPr>
        <w:tc>
          <w:tcPr>
            <w:tcW w:w="1336" w:type="dxa"/>
            <w:noWrap/>
          </w:tcPr>
          <w:p w14:paraId="256DA1CB" w14:textId="17877700" w:rsidR="00B069C6" w:rsidRPr="00B069C6" w:rsidRDefault="00C335A5" w:rsidP="00CA0D72">
            <w:pPr>
              <w:pStyle w:val="Table"/>
              <w:ind w:right="-3"/>
            </w:pPr>
            <w:r w:rsidRPr="00B069C6">
              <w:t>WA</w:t>
            </w:r>
          </w:p>
        </w:tc>
        <w:tc>
          <w:tcPr>
            <w:tcW w:w="2367" w:type="dxa"/>
            <w:noWrap/>
          </w:tcPr>
          <w:p w14:paraId="79E4A7C2" w14:textId="77777777" w:rsidR="00B069C6" w:rsidRPr="00B069C6" w:rsidRDefault="00B069C6" w:rsidP="00CA0D72">
            <w:pPr>
              <w:pStyle w:val="Table"/>
              <w:ind w:right="-3"/>
            </w:pPr>
            <w:r w:rsidRPr="00B069C6">
              <w:t>Control 1</w:t>
            </w:r>
          </w:p>
        </w:tc>
        <w:tc>
          <w:tcPr>
            <w:tcW w:w="1080" w:type="dxa"/>
            <w:noWrap/>
          </w:tcPr>
          <w:p w14:paraId="5404B476" w14:textId="77777777" w:rsidR="00B069C6" w:rsidRPr="00B069C6" w:rsidRDefault="00B069C6" w:rsidP="00CA0D72">
            <w:pPr>
              <w:pStyle w:val="Table"/>
              <w:ind w:right="-3"/>
            </w:pPr>
            <w:r w:rsidRPr="00B069C6">
              <w:t>126</w:t>
            </w:r>
          </w:p>
        </w:tc>
        <w:tc>
          <w:tcPr>
            <w:tcW w:w="1755" w:type="dxa"/>
            <w:noWrap/>
          </w:tcPr>
          <w:p w14:paraId="538BFDCA" w14:textId="77777777" w:rsidR="00B069C6" w:rsidRPr="00B069C6" w:rsidRDefault="00B069C6" w:rsidP="00CA0D72">
            <w:pPr>
              <w:pStyle w:val="Table"/>
              <w:ind w:right="-3"/>
            </w:pPr>
            <w:r w:rsidRPr="00B069C6">
              <w:t>28 (16–41)</w:t>
            </w:r>
          </w:p>
        </w:tc>
      </w:tr>
      <w:tr w:rsidR="00B069C6" w:rsidRPr="00B069C6" w14:paraId="59545923" w14:textId="77777777" w:rsidTr="00C335A5">
        <w:trPr>
          <w:trHeight w:val="255"/>
        </w:trPr>
        <w:tc>
          <w:tcPr>
            <w:tcW w:w="1336" w:type="dxa"/>
            <w:noWrap/>
          </w:tcPr>
          <w:p w14:paraId="17345710" w14:textId="42ECF2D2" w:rsidR="00B069C6" w:rsidRPr="00B069C6" w:rsidRDefault="00C335A5" w:rsidP="00CA0D72">
            <w:pPr>
              <w:pStyle w:val="Table"/>
              <w:ind w:right="-3"/>
            </w:pPr>
            <w:r w:rsidRPr="00B069C6">
              <w:t>WA</w:t>
            </w:r>
          </w:p>
        </w:tc>
        <w:tc>
          <w:tcPr>
            <w:tcW w:w="2367" w:type="dxa"/>
            <w:noWrap/>
          </w:tcPr>
          <w:p w14:paraId="4DFCB15E" w14:textId="77777777" w:rsidR="00B069C6" w:rsidRPr="00B069C6" w:rsidRDefault="00B069C6" w:rsidP="00CA0D72">
            <w:pPr>
              <w:pStyle w:val="Table"/>
              <w:ind w:right="-3"/>
            </w:pPr>
            <w:r w:rsidRPr="00B069C6">
              <w:t>Control 2</w:t>
            </w:r>
          </w:p>
        </w:tc>
        <w:tc>
          <w:tcPr>
            <w:tcW w:w="1080" w:type="dxa"/>
            <w:noWrap/>
          </w:tcPr>
          <w:p w14:paraId="722D3198" w14:textId="77777777" w:rsidR="00B069C6" w:rsidRPr="00B069C6" w:rsidRDefault="00B069C6" w:rsidP="00CA0D72">
            <w:pPr>
              <w:pStyle w:val="Table"/>
              <w:ind w:right="-3"/>
            </w:pPr>
            <w:r w:rsidRPr="00B069C6">
              <w:t>215</w:t>
            </w:r>
          </w:p>
        </w:tc>
        <w:tc>
          <w:tcPr>
            <w:tcW w:w="1755" w:type="dxa"/>
            <w:noWrap/>
          </w:tcPr>
          <w:p w14:paraId="4AD49B3D" w14:textId="77777777" w:rsidR="00B069C6" w:rsidRPr="00B069C6" w:rsidRDefault="00B069C6" w:rsidP="00CA0D72">
            <w:pPr>
              <w:pStyle w:val="Table"/>
              <w:ind w:right="-3"/>
            </w:pPr>
            <w:r w:rsidRPr="00B069C6">
              <w:t>21 (13--33)</w:t>
            </w:r>
          </w:p>
        </w:tc>
      </w:tr>
      <w:tr w:rsidR="00B069C6" w:rsidRPr="00B069C6" w14:paraId="1FA994ED" w14:textId="77777777" w:rsidTr="00C335A5">
        <w:trPr>
          <w:trHeight w:val="255"/>
        </w:trPr>
        <w:tc>
          <w:tcPr>
            <w:tcW w:w="1336" w:type="dxa"/>
            <w:noWrap/>
          </w:tcPr>
          <w:p w14:paraId="13EC75B9" w14:textId="77777777" w:rsidR="00B069C6" w:rsidRPr="00B069C6" w:rsidRDefault="00B069C6" w:rsidP="00CA0D72">
            <w:pPr>
              <w:pStyle w:val="Table"/>
              <w:ind w:right="-3"/>
            </w:pPr>
            <w:r w:rsidRPr="00B069C6">
              <w:t>National</w:t>
            </w:r>
          </w:p>
        </w:tc>
        <w:tc>
          <w:tcPr>
            <w:tcW w:w="2367" w:type="dxa"/>
            <w:noWrap/>
          </w:tcPr>
          <w:p w14:paraId="716D0429" w14:textId="77777777" w:rsidR="00B069C6" w:rsidRPr="00B069C6" w:rsidRDefault="00B069C6" w:rsidP="00CA0D72">
            <w:pPr>
              <w:pStyle w:val="Table"/>
              <w:ind w:right="-3"/>
            </w:pPr>
            <w:r w:rsidRPr="00B069C6">
              <w:t>TC - Community</w:t>
            </w:r>
          </w:p>
        </w:tc>
        <w:tc>
          <w:tcPr>
            <w:tcW w:w="1080" w:type="dxa"/>
            <w:noWrap/>
          </w:tcPr>
          <w:p w14:paraId="7E457D72" w14:textId="77777777" w:rsidR="00B069C6" w:rsidRPr="00B069C6" w:rsidRDefault="00B069C6" w:rsidP="00CA0D72">
            <w:pPr>
              <w:pStyle w:val="Table"/>
              <w:ind w:right="-3"/>
            </w:pPr>
            <w:r w:rsidRPr="00B069C6">
              <w:t>993</w:t>
            </w:r>
          </w:p>
        </w:tc>
        <w:tc>
          <w:tcPr>
            <w:tcW w:w="1755" w:type="dxa"/>
            <w:noWrap/>
          </w:tcPr>
          <w:p w14:paraId="4AEA757A" w14:textId="77777777" w:rsidR="00B069C6" w:rsidRPr="00B069C6" w:rsidRDefault="00B069C6" w:rsidP="00CA0D72">
            <w:pPr>
              <w:pStyle w:val="Table"/>
              <w:ind w:right="-3"/>
            </w:pPr>
            <w:r w:rsidRPr="00B069C6">
              <w:t>23 (14–38)</w:t>
            </w:r>
          </w:p>
        </w:tc>
      </w:tr>
      <w:tr w:rsidR="00B069C6" w:rsidRPr="00B069C6" w14:paraId="543275D0" w14:textId="77777777" w:rsidTr="00C335A5">
        <w:trPr>
          <w:trHeight w:val="255"/>
        </w:trPr>
        <w:tc>
          <w:tcPr>
            <w:tcW w:w="1336" w:type="dxa"/>
            <w:noWrap/>
          </w:tcPr>
          <w:p w14:paraId="47C30623" w14:textId="44F55FBE" w:rsidR="00B069C6" w:rsidRPr="00B069C6" w:rsidRDefault="00C335A5" w:rsidP="00CA0D72">
            <w:pPr>
              <w:pStyle w:val="Table"/>
              <w:ind w:right="-3"/>
            </w:pPr>
            <w:r w:rsidRPr="00B069C6">
              <w:t>National</w:t>
            </w:r>
          </w:p>
        </w:tc>
        <w:tc>
          <w:tcPr>
            <w:tcW w:w="2367" w:type="dxa"/>
            <w:noWrap/>
          </w:tcPr>
          <w:p w14:paraId="1FCF55D7" w14:textId="77777777" w:rsidR="00B069C6" w:rsidRPr="00B069C6" w:rsidRDefault="00B069C6" w:rsidP="00CA0D72">
            <w:pPr>
              <w:pStyle w:val="Table"/>
              <w:ind w:right="-3"/>
            </w:pPr>
            <w:r w:rsidRPr="00B069C6">
              <w:t>TC - Residential</w:t>
            </w:r>
          </w:p>
        </w:tc>
        <w:tc>
          <w:tcPr>
            <w:tcW w:w="1080" w:type="dxa"/>
            <w:noWrap/>
          </w:tcPr>
          <w:p w14:paraId="701CECDF" w14:textId="77777777" w:rsidR="00B069C6" w:rsidRPr="00B069C6" w:rsidRDefault="00B069C6" w:rsidP="00CA0D72">
            <w:pPr>
              <w:pStyle w:val="Table"/>
              <w:ind w:right="-3"/>
            </w:pPr>
            <w:r w:rsidRPr="00B069C6">
              <w:t>799</w:t>
            </w:r>
          </w:p>
        </w:tc>
        <w:tc>
          <w:tcPr>
            <w:tcW w:w="1755" w:type="dxa"/>
            <w:noWrap/>
          </w:tcPr>
          <w:p w14:paraId="20B82A10" w14:textId="77777777" w:rsidR="00B069C6" w:rsidRPr="00B069C6" w:rsidRDefault="00B069C6" w:rsidP="00CA0D72">
            <w:pPr>
              <w:pStyle w:val="Table"/>
              <w:ind w:right="-3"/>
            </w:pPr>
            <w:r w:rsidRPr="00B069C6">
              <w:t>23 (15–36)</w:t>
            </w:r>
          </w:p>
        </w:tc>
      </w:tr>
      <w:tr w:rsidR="00B069C6" w:rsidRPr="00B069C6" w14:paraId="3EB95565" w14:textId="77777777" w:rsidTr="00C335A5">
        <w:trPr>
          <w:trHeight w:val="255"/>
        </w:trPr>
        <w:tc>
          <w:tcPr>
            <w:tcW w:w="1336" w:type="dxa"/>
            <w:noWrap/>
          </w:tcPr>
          <w:p w14:paraId="2EDE89C6" w14:textId="1466E1B4" w:rsidR="00B069C6" w:rsidRPr="00B069C6" w:rsidRDefault="00C335A5" w:rsidP="00CA0D72">
            <w:pPr>
              <w:pStyle w:val="Table"/>
              <w:ind w:right="-3"/>
            </w:pPr>
            <w:r w:rsidRPr="00B069C6">
              <w:t>National</w:t>
            </w:r>
          </w:p>
        </w:tc>
        <w:tc>
          <w:tcPr>
            <w:tcW w:w="2367" w:type="dxa"/>
            <w:noWrap/>
          </w:tcPr>
          <w:p w14:paraId="2A584946" w14:textId="77777777" w:rsidR="00B069C6" w:rsidRPr="00B069C6" w:rsidRDefault="00B069C6" w:rsidP="00CA0D72">
            <w:pPr>
              <w:pStyle w:val="Table"/>
              <w:ind w:right="-3"/>
            </w:pPr>
            <w:r w:rsidRPr="00B069C6">
              <w:t>TC - Combination</w:t>
            </w:r>
          </w:p>
        </w:tc>
        <w:tc>
          <w:tcPr>
            <w:tcW w:w="1080" w:type="dxa"/>
            <w:noWrap/>
          </w:tcPr>
          <w:p w14:paraId="17FFBBD4" w14:textId="77777777" w:rsidR="00B069C6" w:rsidRPr="00B069C6" w:rsidRDefault="00B069C6" w:rsidP="00CA0D72">
            <w:pPr>
              <w:pStyle w:val="Table"/>
              <w:ind w:right="-3"/>
            </w:pPr>
            <w:r w:rsidRPr="00B069C6">
              <w:t>179</w:t>
            </w:r>
          </w:p>
        </w:tc>
        <w:tc>
          <w:tcPr>
            <w:tcW w:w="1755" w:type="dxa"/>
            <w:noWrap/>
          </w:tcPr>
          <w:p w14:paraId="48D56CBC" w14:textId="77777777" w:rsidR="00B069C6" w:rsidRPr="00B069C6" w:rsidRDefault="00B069C6" w:rsidP="00CA0D72">
            <w:pPr>
              <w:pStyle w:val="Table"/>
              <w:ind w:right="-3"/>
            </w:pPr>
            <w:r w:rsidRPr="00B069C6">
              <w:t>21 (14–35)</w:t>
            </w:r>
          </w:p>
        </w:tc>
      </w:tr>
      <w:tr w:rsidR="00B069C6" w:rsidRPr="00B069C6" w14:paraId="00E30E5E" w14:textId="77777777" w:rsidTr="00C335A5">
        <w:trPr>
          <w:trHeight w:val="255"/>
        </w:trPr>
        <w:tc>
          <w:tcPr>
            <w:tcW w:w="1336" w:type="dxa"/>
            <w:noWrap/>
          </w:tcPr>
          <w:p w14:paraId="670DC926" w14:textId="49ED7C86" w:rsidR="00B069C6" w:rsidRPr="00B069C6" w:rsidRDefault="00C335A5" w:rsidP="00CA0D72">
            <w:pPr>
              <w:pStyle w:val="Table"/>
              <w:ind w:right="-3"/>
            </w:pPr>
            <w:r w:rsidRPr="00B069C6">
              <w:t>National</w:t>
            </w:r>
          </w:p>
        </w:tc>
        <w:tc>
          <w:tcPr>
            <w:tcW w:w="2367" w:type="dxa"/>
            <w:noWrap/>
          </w:tcPr>
          <w:p w14:paraId="16EA9F42" w14:textId="77777777" w:rsidR="00B069C6" w:rsidRPr="00B069C6" w:rsidRDefault="00B069C6" w:rsidP="00CA0D72">
            <w:pPr>
              <w:pStyle w:val="Table"/>
              <w:ind w:right="-3"/>
            </w:pPr>
            <w:r w:rsidRPr="00B069C6">
              <w:t>Control 1</w:t>
            </w:r>
          </w:p>
        </w:tc>
        <w:tc>
          <w:tcPr>
            <w:tcW w:w="1080" w:type="dxa"/>
            <w:noWrap/>
          </w:tcPr>
          <w:p w14:paraId="41EC6265" w14:textId="77777777" w:rsidR="00B069C6" w:rsidRPr="00B069C6" w:rsidRDefault="00B069C6" w:rsidP="00CA0D72">
            <w:pPr>
              <w:pStyle w:val="Table"/>
              <w:ind w:right="-3"/>
            </w:pPr>
            <w:r w:rsidRPr="00B069C6">
              <w:t>686</w:t>
            </w:r>
          </w:p>
        </w:tc>
        <w:tc>
          <w:tcPr>
            <w:tcW w:w="1755" w:type="dxa"/>
            <w:noWrap/>
          </w:tcPr>
          <w:p w14:paraId="2487981B" w14:textId="77777777" w:rsidR="00B069C6" w:rsidRPr="00B069C6" w:rsidRDefault="00B069C6" w:rsidP="00CA0D72">
            <w:pPr>
              <w:pStyle w:val="Table"/>
              <w:ind w:right="-3"/>
            </w:pPr>
            <w:r w:rsidRPr="00B069C6">
              <w:t>28 (17–41)</w:t>
            </w:r>
          </w:p>
        </w:tc>
      </w:tr>
      <w:tr w:rsidR="00B069C6" w:rsidRPr="00B069C6" w14:paraId="33F37D07" w14:textId="77777777" w:rsidTr="00C335A5">
        <w:trPr>
          <w:trHeight w:val="255"/>
        </w:trPr>
        <w:tc>
          <w:tcPr>
            <w:tcW w:w="1336" w:type="dxa"/>
            <w:noWrap/>
          </w:tcPr>
          <w:p w14:paraId="21AAD55C" w14:textId="36CEFB1E" w:rsidR="00B069C6" w:rsidRPr="00B069C6" w:rsidRDefault="00C335A5" w:rsidP="00CA0D72">
            <w:pPr>
              <w:pStyle w:val="Table"/>
              <w:ind w:right="-3"/>
            </w:pPr>
            <w:r w:rsidRPr="00B069C6">
              <w:t>National</w:t>
            </w:r>
          </w:p>
        </w:tc>
        <w:tc>
          <w:tcPr>
            <w:tcW w:w="2367" w:type="dxa"/>
            <w:noWrap/>
          </w:tcPr>
          <w:p w14:paraId="31C80084" w14:textId="77777777" w:rsidR="00B069C6" w:rsidRPr="00B069C6" w:rsidRDefault="00B069C6" w:rsidP="00CA0D72">
            <w:pPr>
              <w:pStyle w:val="Table"/>
              <w:ind w:right="-3"/>
            </w:pPr>
            <w:r w:rsidRPr="00B069C6">
              <w:t>Control 2</w:t>
            </w:r>
          </w:p>
        </w:tc>
        <w:tc>
          <w:tcPr>
            <w:tcW w:w="1080" w:type="dxa"/>
            <w:noWrap/>
          </w:tcPr>
          <w:p w14:paraId="60C8A1FA" w14:textId="77777777" w:rsidR="00B069C6" w:rsidRPr="00B069C6" w:rsidRDefault="00B069C6" w:rsidP="00CA0D72">
            <w:pPr>
              <w:pStyle w:val="Table"/>
              <w:ind w:right="-3"/>
            </w:pPr>
            <w:r w:rsidRPr="00B069C6">
              <w:t>1,600</w:t>
            </w:r>
          </w:p>
        </w:tc>
        <w:tc>
          <w:tcPr>
            <w:tcW w:w="1755" w:type="dxa"/>
            <w:noWrap/>
          </w:tcPr>
          <w:p w14:paraId="0BFAEA19" w14:textId="77777777" w:rsidR="00B069C6" w:rsidRPr="00B069C6" w:rsidRDefault="00B069C6" w:rsidP="00CA0D72">
            <w:pPr>
              <w:pStyle w:val="Table"/>
              <w:ind w:right="-3"/>
            </w:pPr>
            <w:r w:rsidRPr="00B069C6">
              <w:t>19 (10–32)</w:t>
            </w:r>
          </w:p>
        </w:tc>
      </w:tr>
    </w:tbl>
    <w:p w14:paraId="24B7C58F" w14:textId="77777777" w:rsidR="005D7ABA" w:rsidRDefault="00B069C6" w:rsidP="00CA0D72">
      <w:pPr>
        <w:pStyle w:val="Note"/>
        <w:ind w:right="-3"/>
      </w:pPr>
      <w:r>
        <w:br/>
      </w:r>
      <w:r w:rsidR="00533847" w:rsidRPr="00533847">
        <w:t xml:space="preserve">* </w:t>
      </w:r>
      <w:proofErr w:type="gramStart"/>
      <w:r w:rsidR="00533847" w:rsidRPr="00533847">
        <w:t>data</w:t>
      </w:r>
      <w:proofErr w:type="gramEnd"/>
      <w:r w:rsidR="00533847" w:rsidRPr="00533847">
        <w:t xml:space="preserve"> not shown as too few cases</w:t>
      </w:r>
    </w:p>
    <w:p w14:paraId="4BCE61CC" w14:textId="573844E4" w:rsidR="00533847" w:rsidRPr="00533847" w:rsidRDefault="00533847" w:rsidP="00CA0D72">
      <w:pPr>
        <w:ind w:right="-3"/>
      </w:pPr>
    </w:p>
    <w:p w14:paraId="034EEF55" w14:textId="77777777" w:rsidR="005D7ABA" w:rsidRDefault="00533847" w:rsidP="00CA0D72">
      <w:pPr>
        <w:ind w:right="-3"/>
      </w:pPr>
      <w:r w:rsidRPr="00533847">
        <w:t>In terms of total length of hospital stay during the six months post ACAT approval, there was no difference between the former public versus former private patients, with an average length of stay of 25.6 (SD 43.5) among the public patients and 27.2 (SD 32.5) among those who elected to be treated as private patients at their index hospitalization.</w:t>
      </w:r>
    </w:p>
    <w:p w14:paraId="6C8F92C5" w14:textId="77777777" w:rsidR="005D7ABA" w:rsidRDefault="00533847" w:rsidP="00CA0D72">
      <w:pPr>
        <w:pStyle w:val="Heading2"/>
        <w:ind w:right="-3"/>
      </w:pPr>
      <w:bookmarkStart w:id="81" w:name="_Toc402348927"/>
      <w:r w:rsidRPr="00533847">
        <w:t>5.4. Impact on the aged care system</w:t>
      </w:r>
      <w:bookmarkEnd w:id="81"/>
    </w:p>
    <w:p w14:paraId="6F10AEAD" w14:textId="064051D2" w:rsidR="005D7ABA" w:rsidRDefault="00533847" w:rsidP="00CA0D72">
      <w:pPr>
        <w:ind w:right="-3"/>
      </w:pPr>
      <w:r w:rsidRPr="00533847">
        <w:t>The risk of using residential aged care during the three months post ACAT approval was shown in the Final Report of the Controlled Comparison and Costs and Costs and Effects Study (National Evaluation of the Transition Care Program 2008) to be greater among the two control groups than among the TC recipients (Control 1 OR 1.9; 95%CI 1.5 - 2.3; Control 2 OR 1.2; 95%CI 1.0 - 1.4).</w:t>
      </w:r>
    </w:p>
    <w:p w14:paraId="720965E0" w14:textId="77777777" w:rsidR="005D7ABA" w:rsidRDefault="00533847" w:rsidP="00CA0D72">
      <w:pPr>
        <w:ind w:right="-3"/>
      </w:pPr>
      <w:r w:rsidRPr="00533847">
        <w:t>A separate Cox proportional hazards model was fit for the hazard of a residential aged care admission over the six months post ACAT approval.  Age, availability of aged care places and total hospital beds per 1,000 older people, jurisdiction, and type of TC or group (TC community, TC residential, TC combination, Control 1, Control 2) were included in the initial model.  The results showed there were no effects of the availability of aged care places or hospital beds, but significant effects of increasing age, type of TC or Group, and jurisdiction.  The hazard of a residential aged care admission was greatest among those who received TC only in a residential setting or Control 1 (a seven fold increase in risk) when compared with the recipients of TC only in a community setting.  The hazard ratios from the final model are shown in Table 5.7.  It must be borne in mind that the reference group used is those who received TC only in a community setting but this does not affect the size of the differences.  If Control 1 were used as the reference group instead Figure 5.3 would appear identical to that shown.</w:t>
      </w:r>
    </w:p>
    <w:p w14:paraId="0E4C3273" w14:textId="5AFE8A38" w:rsidR="00533847" w:rsidRPr="006F0F97" w:rsidRDefault="00624120" w:rsidP="00CA0D72">
      <w:pPr>
        <w:ind w:right="-3"/>
        <w:rPr>
          <w:b/>
        </w:rPr>
      </w:pPr>
      <w:r>
        <w:rPr>
          <w:b/>
        </w:rPr>
        <w:br w:type="page"/>
      </w:r>
      <w:r w:rsidR="00533847" w:rsidRPr="006F0F97">
        <w:rPr>
          <w:b/>
        </w:rPr>
        <w:lastRenderedPageBreak/>
        <w:t xml:space="preserve">Table 5.7: Summary of hazard of residential aged care admission in six months post ACAT approval </w:t>
      </w:r>
    </w:p>
    <w:tbl>
      <w:tblPr>
        <w:tblStyle w:val="TableGrid"/>
        <w:tblW w:w="5404" w:type="dxa"/>
        <w:tblLook w:val="0000" w:firstRow="0" w:lastRow="0" w:firstColumn="0" w:lastColumn="0" w:noHBand="0" w:noVBand="0"/>
        <w:tblDescription w:val="Table 5.7: Summary of hazard of residential aged care admission in six months post ACAT approval "/>
      </w:tblPr>
      <w:tblGrid>
        <w:gridCol w:w="2711"/>
        <w:gridCol w:w="1134"/>
        <w:gridCol w:w="1559"/>
      </w:tblGrid>
      <w:tr w:rsidR="00624120" w:rsidRPr="00C335A5" w14:paraId="5F437DDE" w14:textId="77777777" w:rsidTr="00C335A5">
        <w:trPr>
          <w:trHeight w:val="255"/>
          <w:tblHeader/>
        </w:trPr>
        <w:tc>
          <w:tcPr>
            <w:tcW w:w="2711" w:type="dxa"/>
            <w:noWrap/>
          </w:tcPr>
          <w:p w14:paraId="1C382984" w14:textId="77777777" w:rsidR="00624120" w:rsidRPr="00C335A5" w:rsidRDefault="00624120" w:rsidP="00CA0D72">
            <w:pPr>
              <w:pStyle w:val="Table"/>
              <w:ind w:right="-3"/>
              <w:rPr>
                <w:b/>
              </w:rPr>
            </w:pPr>
            <w:r w:rsidRPr="00C335A5">
              <w:rPr>
                <w:b/>
              </w:rPr>
              <w:t>Variable</w:t>
            </w:r>
          </w:p>
        </w:tc>
        <w:tc>
          <w:tcPr>
            <w:tcW w:w="1134" w:type="dxa"/>
            <w:noWrap/>
          </w:tcPr>
          <w:p w14:paraId="319D6839" w14:textId="77777777" w:rsidR="00624120" w:rsidRPr="00C335A5" w:rsidRDefault="00624120" w:rsidP="00CA0D72">
            <w:pPr>
              <w:pStyle w:val="Table"/>
              <w:ind w:right="-3"/>
              <w:rPr>
                <w:b/>
              </w:rPr>
            </w:pPr>
            <w:r w:rsidRPr="00C335A5">
              <w:rPr>
                <w:b/>
              </w:rPr>
              <w:t>HR</w:t>
            </w:r>
          </w:p>
        </w:tc>
        <w:tc>
          <w:tcPr>
            <w:tcW w:w="1559" w:type="dxa"/>
            <w:noWrap/>
          </w:tcPr>
          <w:p w14:paraId="7EB4202E" w14:textId="77777777" w:rsidR="00624120" w:rsidRPr="00C335A5" w:rsidRDefault="00624120" w:rsidP="00CA0D72">
            <w:pPr>
              <w:pStyle w:val="Table"/>
              <w:ind w:right="-3"/>
              <w:jc w:val="center"/>
              <w:rPr>
                <w:b/>
              </w:rPr>
            </w:pPr>
            <w:r w:rsidRPr="00C335A5">
              <w:rPr>
                <w:b/>
              </w:rPr>
              <w:t>95%CI</w:t>
            </w:r>
          </w:p>
        </w:tc>
      </w:tr>
      <w:tr w:rsidR="00624120" w:rsidRPr="00C335A5" w14:paraId="276B3342" w14:textId="77777777" w:rsidTr="00C335A5">
        <w:trPr>
          <w:trHeight w:val="255"/>
        </w:trPr>
        <w:tc>
          <w:tcPr>
            <w:tcW w:w="2711" w:type="dxa"/>
            <w:noWrap/>
          </w:tcPr>
          <w:p w14:paraId="3B40A2E9" w14:textId="77777777" w:rsidR="00624120" w:rsidRPr="00C335A5" w:rsidRDefault="00624120" w:rsidP="00CA0D72">
            <w:pPr>
              <w:pStyle w:val="Table"/>
              <w:ind w:right="-3"/>
            </w:pPr>
            <w:r w:rsidRPr="00C335A5">
              <w:t>Age</w:t>
            </w:r>
          </w:p>
        </w:tc>
        <w:tc>
          <w:tcPr>
            <w:tcW w:w="1134" w:type="dxa"/>
            <w:noWrap/>
          </w:tcPr>
          <w:p w14:paraId="39B6A8C0" w14:textId="77777777" w:rsidR="00624120" w:rsidRPr="00C335A5" w:rsidRDefault="00624120" w:rsidP="00CA0D72">
            <w:pPr>
              <w:pStyle w:val="Table"/>
              <w:ind w:right="-3"/>
            </w:pPr>
            <w:r w:rsidRPr="00C335A5">
              <w:t>1.02</w:t>
            </w:r>
          </w:p>
        </w:tc>
        <w:tc>
          <w:tcPr>
            <w:tcW w:w="1559" w:type="dxa"/>
            <w:noWrap/>
          </w:tcPr>
          <w:p w14:paraId="2F749B01" w14:textId="77777777" w:rsidR="00624120" w:rsidRPr="00C335A5" w:rsidRDefault="00624120" w:rsidP="00CA0D72">
            <w:pPr>
              <w:pStyle w:val="Table"/>
              <w:ind w:right="-3"/>
            </w:pPr>
            <w:r w:rsidRPr="00C335A5">
              <w:t>1.01 – 1.03</w:t>
            </w:r>
          </w:p>
        </w:tc>
      </w:tr>
      <w:tr w:rsidR="00624120" w:rsidRPr="00C335A5" w14:paraId="1FB578E9" w14:textId="77777777" w:rsidTr="00C335A5">
        <w:trPr>
          <w:trHeight w:val="255"/>
        </w:trPr>
        <w:tc>
          <w:tcPr>
            <w:tcW w:w="2711" w:type="dxa"/>
            <w:noWrap/>
          </w:tcPr>
          <w:p w14:paraId="3639DBEA" w14:textId="2D577057" w:rsidR="00624120" w:rsidRPr="00C335A5" w:rsidRDefault="00624120" w:rsidP="00CA0D72">
            <w:pPr>
              <w:pStyle w:val="Table"/>
              <w:ind w:right="-3"/>
              <w:rPr>
                <w:iCs/>
              </w:rPr>
            </w:pPr>
            <w:r w:rsidRPr="00C335A5">
              <w:rPr>
                <w:iCs/>
              </w:rPr>
              <w:t>Community (referent)</w:t>
            </w:r>
          </w:p>
        </w:tc>
        <w:tc>
          <w:tcPr>
            <w:tcW w:w="1134" w:type="dxa"/>
            <w:noWrap/>
          </w:tcPr>
          <w:p w14:paraId="64B6749A" w14:textId="77777777" w:rsidR="00624120" w:rsidRPr="00C335A5" w:rsidRDefault="00624120" w:rsidP="00CA0D72">
            <w:pPr>
              <w:pStyle w:val="Table"/>
              <w:ind w:right="-3"/>
            </w:pPr>
            <w:r w:rsidRPr="00C335A5">
              <w:t>1</w:t>
            </w:r>
          </w:p>
        </w:tc>
        <w:tc>
          <w:tcPr>
            <w:tcW w:w="1559" w:type="dxa"/>
            <w:noWrap/>
          </w:tcPr>
          <w:p w14:paraId="46A4148E" w14:textId="77777777" w:rsidR="00624120" w:rsidRPr="00C335A5" w:rsidRDefault="00624120" w:rsidP="00CA0D72">
            <w:pPr>
              <w:pStyle w:val="Table"/>
              <w:ind w:right="-3"/>
            </w:pPr>
          </w:p>
        </w:tc>
      </w:tr>
      <w:tr w:rsidR="00624120" w:rsidRPr="00C335A5" w14:paraId="56B5B3A0" w14:textId="77777777" w:rsidTr="00C335A5">
        <w:trPr>
          <w:trHeight w:val="255"/>
        </w:trPr>
        <w:tc>
          <w:tcPr>
            <w:tcW w:w="2711" w:type="dxa"/>
            <w:noWrap/>
          </w:tcPr>
          <w:p w14:paraId="0FEC36A6" w14:textId="3FE3DACA" w:rsidR="00624120" w:rsidRPr="00C335A5" w:rsidRDefault="00624120" w:rsidP="00CA0D72">
            <w:pPr>
              <w:pStyle w:val="Table"/>
              <w:ind w:right="-3"/>
              <w:rPr>
                <w:iCs/>
              </w:rPr>
            </w:pPr>
            <w:r w:rsidRPr="00C335A5">
              <w:rPr>
                <w:iCs/>
              </w:rPr>
              <w:t>Residential</w:t>
            </w:r>
          </w:p>
        </w:tc>
        <w:tc>
          <w:tcPr>
            <w:tcW w:w="1134" w:type="dxa"/>
            <w:noWrap/>
          </w:tcPr>
          <w:p w14:paraId="73F93407" w14:textId="77777777" w:rsidR="00624120" w:rsidRPr="00C335A5" w:rsidRDefault="00624120" w:rsidP="00CA0D72">
            <w:pPr>
              <w:pStyle w:val="Table"/>
              <w:ind w:right="-3"/>
            </w:pPr>
            <w:r w:rsidRPr="00C335A5">
              <w:t>7.36</w:t>
            </w:r>
          </w:p>
        </w:tc>
        <w:tc>
          <w:tcPr>
            <w:tcW w:w="1559" w:type="dxa"/>
            <w:noWrap/>
          </w:tcPr>
          <w:p w14:paraId="3A4DD373" w14:textId="77777777" w:rsidR="00624120" w:rsidRPr="00C335A5" w:rsidRDefault="00624120" w:rsidP="00CA0D72">
            <w:pPr>
              <w:pStyle w:val="Table"/>
              <w:ind w:right="-3"/>
            </w:pPr>
            <w:r w:rsidRPr="00C335A5">
              <w:t>5.84 – 9.28</w:t>
            </w:r>
          </w:p>
        </w:tc>
      </w:tr>
      <w:tr w:rsidR="00624120" w:rsidRPr="00C335A5" w14:paraId="20F1E96A" w14:textId="77777777" w:rsidTr="00C335A5">
        <w:trPr>
          <w:trHeight w:val="255"/>
        </w:trPr>
        <w:tc>
          <w:tcPr>
            <w:tcW w:w="2711" w:type="dxa"/>
            <w:noWrap/>
          </w:tcPr>
          <w:p w14:paraId="13B8DA98" w14:textId="0D9A9FEA" w:rsidR="00624120" w:rsidRPr="00C335A5" w:rsidRDefault="00624120" w:rsidP="00CA0D72">
            <w:pPr>
              <w:pStyle w:val="Table"/>
              <w:ind w:right="-3"/>
              <w:rPr>
                <w:iCs/>
              </w:rPr>
            </w:pPr>
            <w:r w:rsidRPr="00C335A5">
              <w:rPr>
                <w:iCs/>
              </w:rPr>
              <w:t>Combination</w:t>
            </w:r>
          </w:p>
        </w:tc>
        <w:tc>
          <w:tcPr>
            <w:tcW w:w="1134" w:type="dxa"/>
            <w:noWrap/>
          </w:tcPr>
          <w:p w14:paraId="35A6A80D" w14:textId="77777777" w:rsidR="00624120" w:rsidRPr="00C335A5" w:rsidRDefault="00624120" w:rsidP="00CA0D72">
            <w:pPr>
              <w:pStyle w:val="Table"/>
              <w:ind w:right="-3"/>
            </w:pPr>
            <w:r w:rsidRPr="00C335A5">
              <w:t>1.99</w:t>
            </w:r>
          </w:p>
        </w:tc>
        <w:tc>
          <w:tcPr>
            <w:tcW w:w="1559" w:type="dxa"/>
            <w:noWrap/>
          </w:tcPr>
          <w:p w14:paraId="5589C25A" w14:textId="77777777" w:rsidR="00624120" w:rsidRPr="00C335A5" w:rsidRDefault="00624120" w:rsidP="00CA0D72">
            <w:pPr>
              <w:pStyle w:val="Table"/>
              <w:ind w:right="-3"/>
            </w:pPr>
            <w:r w:rsidRPr="00C335A5">
              <w:t>1.37 – 2.91</w:t>
            </w:r>
          </w:p>
        </w:tc>
      </w:tr>
      <w:tr w:rsidR="00624120" w:rsidRPr="00C335A5" w14:paraId="16E0DBED" w14:textId="77777777" w:rsidTr="00C335A5">
        <w:trPr>
          <w:trHeight w:val="255"/>
        </w:trPr>
        <w:tc>
          <w:tcPr>
            <w:tcW w:w="2711" w:type="dxa"/>
            <w:noWrap/>
          </w:tcPr>
          <w:p w14:paraId="7B943E80" w14:textId="022EA8FD" w:rsidR="00624120" w:rsidRPr="00C335A5" w:rsidRDefault="00624120" w:rsidP="00CA0D72">
            <w:pPr>
              <w:pStyle w:val="Table"/>
              <w:ind w:right="-3"/>
              <w:rPr>
                <w:iCs/>
              </w:rPr>
            </w:pPr>
            <w:r w:rsidRPr="00C335A5">
              <w:rPr>
                <w:iCs/>
              </w:rPr>
              <w:t>Control 1</w:t>
            </w:r>
          </w:p>
        </w:tc>
        <w:tc>
          <w:tcPr>
            <w:tcW w:w="1134" w:type="dxa"/>
            <w:noWrap/>
          </w:tcPr>
          <w:p w14:paraId="012EC125" w14:textId="77777777" w:rsidR="00624120" w:rsidRPr="00C335A5" w:rsidRDefault="00624120" w:rsidP="00CA0D72">
            <w:pPr>
              <w:pStyle w:val="Table"/>
              <w:ind w:right="-3"/>
            </w:pPr>
            <w:r w:rsidRPr="00C335A5">
              <w:t>6.99</w:t>
            </w:r>
          </w:p>
        </w:tc>
        <w:tc>
          <w:tcPr>
            <w:tcW w:w="1559" w:type="dxa"/>
            <w:noWrap/>
          </w:tcPr>
          <w:p w14:paraId="79B459AB" w14:textId="77777777" w:rsidR="00624120" w:rsidRPr="00C335A5" w:rsidRDefault="00624120" w:rsidP="00CA0D72">
            <w:pPr>
              <w:pStyle w:val="Table"/>
              <w:ind w:right="-3"/>
            </w:pPr>
            <w:r w:rsidRPr="00C335A5">
              <w:t>5.52 – 8.86</w:t>
            </w:r>
          </w:p>
        </w:tc>
      </w:tr>
      <w:tr w:rsidR="00624120" w:rsidRPr="00C335A5" w14:paraId="217C0999" w14:textId="77777777" w:rsidTr="00C335A5">
        <w:trPr>
          <w:trHeight w:val="255"/>
        </w:trPr>
        <w:tc>
          <w:tcPr>
            <w:tcW w:w="2711" w:type="dxa"/>
            <w:noWrap/>
          </w:tcPr>
          <w:p w14:paraId="4B61DA34" w14:textId="451216C0" w:rsidR="00624120" w:rsidRPr="00C335A5" w:rsidRDefault="00624120" w:rsidP="00CA0D72">
            <w:pPr>
              <w:pStyle w:val="Table"/>
              <w:ind w:right="-3"/>
              <w:rPr>
                <w:iCs/>
              </w:rPr>
            </w:pPr>
            <w:r w:rsidRPr="00C335A5">
              <w:rPr>
                <w:iCs/>
              </w:rPr>
              <w:t>Control 2</w:t>
            </w:r>
          </w:p>
        </w:tc>
        <w:tc>
          <w:tcPr>
            <w:tcW w:w="1134" w:type="dxa"/>
            <w:noWrap/>
          </w:tcPr>
          <w:p w14:paraId="03FCE532" w14:textId="77777777" w:rsidR="00624120" w:rsidRPr="00C335A5" w:rsidRDefault="00624120" w:rsidP="00CA0D72">
            <w:pPr>
              <w:pStyle w:val="Table"/>
              <w:ind w:right="-3"/>
            </w:pPr>
            <w:r w:rsidRPr="00C335A5">
              <w:t>3.48</w:t>
            </w:r>
          </w:p>
        </w:tc>
        <w:tc>
          <w:tcPr>
            <w:tcW w:w="1559" w:type="dxa"/>
            <w:noWrap/>
          </w:tcPr>
          <w:p w14:paraId="17F15CA6" w14:textId="77777777" w:rsidR="00624120" w:rsidRPr="00C335A5" w:rsidRDefault="00624120" w:rsidP="00CA0D72">
            <w:pPr>
              <w:pStyle w:val="Table"/>
              <w:ind w:right="-3"/>
            </w:pPr>
            <w:r w:rsidRPr="00C335A5">
              <w:t>2.77 – 4.38</w:t>
            </w:r>
          </w:p>
        </w:tc>
      </w:tr>
      <w:tr w:rsidR="00624120" w:rsidRPr="00C335A5" w14:paraId="38E8F8CC" w14:textId="77777777" w:rsidTr="00C335A5">
        <w:trPr>
          <w:trHeight w:val="255"/>
        </w:trPr>
        <w:tc>
          <w:tcPr>
            <w:tcW w:w="2711" w:type="dxa"/>
            <w:noWrap/>
          </w:tcPr>
          <w:p w14:paraId="1B42DDE8" w14:textId="18BBEB8B" w:rsidR="00624120" w:rsidRPr="00C335A5" w:rsidRDefault="00624120" w:rsidP="00CA0D72">
            <w:pPr>
              <w:pStyle w:val="Table"/>
              <w:ind w:right="-3"/>
            </w:pPr>
            <w:r w:rsidRPr="00C335A5">
              <w:t>ACT (referent)</w:t>
            </w:r>
          </w:p>
        </w:tc>
        <w:tc>
          <w:tcPr>
            <w:tcW w:w="1134" w:type="dxa"/>
            <w:noWrap/>
          </w:tcPr>
          <w:p w14:paraId="6F47D702" w14:textId="77777777" w:rsidR="00624120" w:rsidRPr="00C335A5" w:rsidRDefault="00624120" w:rsidP="00CA0D72">
            <w:pPr>
              <w:pStyle w:val="Table"/>
              <w:ind w:right="-3"/>
            </w:pPr>
            <w:r w:rsidRPr="00C335A5">
              <w:t>1</w:t>
            </w:r>
          </w:p>
        </w:tc>
        <w:tc>
          <w:tcPr>
            <w:tcW w:w="1559" w:type="dxa"/>
            <w:noWrap/>
          </w:tcPr>
          <w:p w14:paraId="32105DBD" w14:textId="77777777" w:rsidR="00624120" w:rsidRPr="00C335A5" w:rsidRDefault="00624120" w:rsidP="00CA0D72">
            <w:pPr>
              <w:pStyle w:val="Table"/>
              <w:ind w:right="-3"/>
            </w:pPr>
          </w:p>
        </w:tc>
      </w:tr>
      <w:tr w:rsidR="00624120" w:rsidRPr="00C335A5" w14:paraId="64F0406F" w14:textId="77777777" w:rsidTr="00C335A5">
        <w:trPr>
          <w:trHeight w:val="255"/>
        </w:trPr>
        <w:tc>
          <w:tcPr>
            <w:tcW w:w="2711" w:type="dxa"/>
            <w:noWrap/>
          </w:tcPr>
          <w:p w14:paraId="5C9D7B7B" w14:textId="34062C43" w:rsidR="00624120" w:rsidRPr="00C335A5" w:rsidRDefault="00624120" w:rsidP="00CA0D72">
            <w:pPr>
              <w:pStyle w:val="Table"/>
              <w:ind w:right="-3"/>
            </w:pPr>
            <w:r w:rsidRPr="00C335A5">
              <w:t>NSW</w:t>
            </w:r>
          </w:p>
        </w:tc>
        <w:tc>
          <w:tcPr>
            <w:tcW w:w="1134" w:type="dxa"/>
            <w:noWrap/>
          </w:tcPr>
          <w:p w14:paraId="20970191" w14:textId="77777777" w:rsidR="00624120" w:rsidRPr="00C335A5" w:rsidRDefault="00624120" w:rsidP="00CA0D72">
            <w:pPr>
              <w:pStyle w:val="Table"/>
              <w:ind w:right="-3"/>
            </w:pPr>
            <w:r w:rsidRPr="00C335A5">
              <w:t>1.89</w:t>
            </w:r>
          </w:p>
        </w:tc>
        <w:tc>
          <w:tcPr>
            <w:tcW w:w="1559" w:type="dxa"/>
            <w:noWrap/>
          </w:tcPr>
          <w:p w14:paraId="5C23D005" w14:textId="77777777" w:rsidR="00624120" w:rsidRPr="00C335A5" w:rsidRDefault="00624120" w:rsidP="00CA0D72">
            <w:pPr>
              <w:pStyle w:val="Table"/>
              <w:ind w:right="-3"/>
            </w:pPr>
            <w:r w:rsidRPr="00C335A5">
              <w:t>1.2 – 2.98</w:t>
            </w:r>
          </w:p>
        </w:tc>
      </w:tr>
      <w:tr w:rsidR="00624120" w:rsidRPr="00C335A5" w14:paraId="512B88E6" w14:textId="77777777" w:rsidTr="00C335A5">
        <w:trPr>
          <w:trHeight w:val="255"/>
        </w:trPr>
        <w:tc>
          <w:tcPr>
            <w:tcW w:w="2711" w:type="dxa"/>
            <w:noWrap/>
          </w:tcPr>
          <w:p w14:paraId="6FE4BC63" w14:textId="640427A3" w:rsidR="00624120" w:rsidRPr="00C335A5" w:rsidRDefault="00624120" w:rsidP="00CA0D72">
            <w:pPr>
              <w:pStyle w:val="Table"/>
              <w:ind w:right="-3"/>
            </w:pPr>
            <w:r w:rsidRPr="00C335A5">
              <w:t>NT</w:t>
            </w:r>
          </w:p>
        </w:tc>
        <w:tc>
          <w:tcPr>
            <w:tcW w:w="1134" w:type="dxa"/>
            <w:noWrap/>
          </w:tcPr>
          <w:p w14:paraId="351C088B" w14:textId="77777777" w:rsidR="00624120" w:rsidRPr="00C335A5" w:rsidRDefault="00624120" w:rsidP="00CA0D72">
            <w:pPr>
              <w:pStyle w:val="Table"/>
              <w:ind w:right="-3"/>
            </w:pPr>
            <w:r w:rsidRPr="00C335A5">
              <w:t>0.33</w:t>
            </w:r>
          </w:p>
        </w:tc>
        <w:tc>
          <w:tcPr>
            <w:tcW w:w="1559" w:type="dxa"/>
            <w:noWrap/>
          </w:tcPr>
          <w:p w14:paraId="0F80899A" w14:textId="77777777" w:rsidR="00624120" w:rsidRPr="00C335A5" w:rsidRDefault="00624120" w:rsidP="00CA0D72">
            <w:pPr>
              <w:pStyle w:val="Table"/>
              <w:ind w:right="-3"/>
            </w:pPr>
            <w:r w:rsidRPr="00C335A5">
              <w:t>0.08 – 1.42</w:t>
            </w:r>
          </w:p>
        </w:tc>
      </w:tr>
      <w:tr w:rsidR="00624120" w:rsidRPr="00C335A5" w14:paraId="1659DC88" w14:textId="77777777" w:rsidTr="00C335A5">
        <w:trPr>
          <w:trHeight w:val="255"/>
        </w:trPr>
        <w:tc>
          <w:tcPr>
            <w:tcW w:w="2711" w:type="dxa"/>
            <w:noWrap/>
          </w:tcPr>
          <w:p w14:paraId="0E2FC2FD" w14:textId="6214CE1A" w:rsidR="00624120" w:rsidRPr="00C335A5" w:rsidRDefault="00624120" w:rsidP="00CA0D72">
            <w:pPr>
              <w:pStyle w:val="Table"/>
              <w:ind w:right="-3"/>
              <w:rPr>
                <w:iCs/>
              </w:rPr>
            </w:pPr>
            <w:r w:rsidRPr="00C335A5">
              <w:rPr>
                <w:iCs/>
              </w:rPr>
              <w:t>QLD</w:t>
            </w:r>
          </w:p>
        </w:tc>
        <w:tc>
          <w:tcPr>
            <w:tcW w:w="1134" w:type="dxa"/>
            <w:noWrap/>
          </w:tcPr>
          <w:p w14:paraId="595818CF" w14:textId="77777777" w:rsidR="00624120" w:rsidRPr="00C335A5" w:rsidRDefault="00624120" w:rsidP="00CA0D72">
            <w:pPr>
              <w:pStyle w:val="Table"/>
              <w:ind w:right="-3"/>
            </w:pPr>
            <w:r w:rsidRPr="00C335A5">
              <w:t>0.38</w:t>
            </w:r>
          </w:p>
        </w:tc>
        <w:tc>
          <w:tcPr>
            <w:tcW w:w="1559" w:type="dxa"/>
            <w:noWrap/>
          </w:tcPr>
          <w:p w14:paraId="23BCA02E" w14:textId="77777777" w:rsidR="00624120" w:rsidRPr="00C335A5" w:rsidRDefault="00624120" w:rsidP="00CA0D72">
            <w:pPr>
              <w:pStyle w:val="Table"/>
              <w:ind w:right="-3"/>
            </w:pPr>
            <w:r w:rsidRPr="00C335A5">
              <w:t>0.2 – 0.71</w:t>
            </w:r>
          </w:p>
        </w:tc>
      </w:tr>
      <w:tr w:rsidR="00624120" w:rsidRPr="00C335A5" w14:paraId="256703DA" w14:textId="77777777" w:rsidTr="00C335A5">
        <w:trPr>
          <w:trHeight w:val="255"/>
        </w:trPr>
        <w:tc>
          <w:tcPr>
            <w:tcW w:w="2711" w:type="dxa"/>
            <w:noWrap/>
          </w:tcPr>
          <w:p w14:paraId="106DFC64" w14:textId="34056253" w:rsidR="00624120" w:rsidRPr="00C335A5" w:rsidRDefault="00624120" w:rsidP="00CA0D72">
            <w:pPr>
              <w:pStyle w:val="Table"/>
              <w:ind w:right="-3"/>
              <w:rPr>
                <w:iCs/>
              </w:rPr>
            </w:pPr>
            <w:r w:rsidRPr="00C335A5">
              <w:rPr>
                <w:iCs/>
              </w:rPr>
              <w:t>SA</w:t>
            </w:r>
          </w:p>
        </w:tc>
        <w:tc>
          <w:tcPr>
            <w:tcW w:w="1134" w:type="dxa"/>
            <w:noWrap/>
          </w:tcPr>
          <w:p w14:paraId="66783788" w14:textId="77777777" w:rsidR="00624120" w:rsidRPr="00C335A5" w:rsidRDefault="00624120" w:rsidP="00CA0D72">
            <w:pPr>
              <w:pStyle w:val="Table"/>
              <w:ind w:right="-3"/>
            </w:pPr>
            <w:r w:rsidRPr="00C335A5">
              <w:t>1.95</w:t>
            </w:r>
          </w:p>
        </w:tc>
        <w:tc>
          <w:tcPr>
            <w:tcW w:w="1559" w:type="dxa"/>
            <w:noWrap/>
          </w:tcPr>
          <w:p w14:paraId="2CF746E1" w14:textId="77777777" w:rsidR="00624120" w:rsidRPr="00C335A5" w:rsidRDefault="00624120" w:rsidP="00CA0D72">
            <w:pPr>
              <w:pStyle w:val="Table"/>
              <w:ind w:right="-3"/>
            </w:pPr>
            <w:r w:rsidRPr="00C335A5">
              <w:t>1.22 – 3.11</w:t>
            </w:r>
          </w:p>
        </w:tc>
      </w:tr>
      <w:tr w:rsidR="00624120" w:rsidRPr="00C335A5" w14:paraId="308F768F" w14:textId="77777777" w:rsidTr="00C335A5">
        <w:trPr>
          <w:trHeight w:val="255"/>
        </w:trPr>
        <w:tc>
          <w:tcPr>
            <w:tcW w:w="2711" w:type="dxa"/>
            <w:noWrap/>
          </w:tcPr>
          <w:p w14:paraId="7C0B7B10" w14:textId="448774C4" w:rsidR="00624120" w:rsidRPr="00C335A5" w:rsidRDefault="00624120" w:rsidP="00CA0D72">
            <w:pPr>
              <w:pStyle w:val="Table"/>
              <w:ind w:right="-3"/>
              <w:rPr>
                <w:iCs/>
              </w:rPr>
            </w:pPr>
            <w:r w:rsidRPr="00C335A5">
              <w:rPr>
                <w:iCs/>
              </w:rPr>
              <w:t>TAS</w:t>
            </w:r>
          </w:p>
        </w:tc>
        <w:tc>
          <w:tcPr>
            <w:tcW w:w="1134" w:type="dxa"/>
            <w:noWrap/>
          </w:tcPr>
          <w:p w14:paraId="5F7D0FD8" w14:textId="77777777" w:rsidR="00624120" w:rsidRPr="00C335A5" w:rsidRDefault="00624120" w:rsidP="00CA0D72">
            <w:pPr>
              <w:pStyle w:val="Table"/>
              <w:ind w:right="-3"/>
            </w:pPr>
            <w:r w:rsidRPr="00C335A5">
              <w:t>1.09</w:t>
            </w:r>
          </w:p>
        </w:tc>
        <w:tc>
          <w:tcPr>
            <w:tcW w:w="1559" w:type="dxa"/>
            <w:noWrap/>
          </w:tcPr>
          <w:p w14:paraId="5BD5B50C" w14:textId="77777777" w:rsidR="00624120" w:rsidRPr="00C335A5" w:rsidRDefault="00624120" w:rsidP="00CA0D72">
            <w:pPr>
              <w:pStyle w:val="Table"/>
              <w:ind w:right="-3"/>
            </w:pPr>
            <w:r w:rsidRPr="00C335A5">
              <w:t>0.6 – 2</w:t>
            </w:r>
          </w:p>
        </w:tc>
      </w:tr>
      <w:tr w:rsidR="00624120" w:rsidRPr="00C335A5" w14:paraId="0E998AFB" w14:textId="77777777" w:rsidTr="00C335A5">
        <w:trPr>
          <w:trHeight w:val="255"/>
        </w:trPr>
        <w:tc>
          <w:tcPr>
            <w:tcW w:w="2711" w:type="dxa"/>
            <w:noWrap/>
          </w:tcPr>
          <w:p w14:paraId="0AC426B1" w14:textId="55CC09CE" w:rsidR="00624120" w:rsidRPr="00C335A5" w:rsidRDefault="00624120" w:rsidP="00CA0D72">
            <w:pPr>
              <w:pStyle w:val="Table"/>
              <w:ind w:right="-3"/>
              <w:rPr>
                <w:iCs/>
              </w:rPr>
            </w:pPr>
            <w:r w:rsidRPr="00C335A5">
              <w:rPr>
                <w:iCs/>
              </w:rPr>
              <w:t>VIC</w:t>
            </w:r>
          </w:p>
        </w:tc>
        <w:tc>
          <w:tcPr>
            <w:tcW w:w="1134" w:type="dxa"/>
            <w:noWrap/>
          </w:tcPr>
          <w:p w14:paraId="220D0681" w14:textId="77777777" w:rsidR="00624120" w:rsidRPr="00C335A5" w:rsidRDefault="00624120" w:rsidP="00CA0D72">
            <w:pPr>
              <w:pStyle w:val="Table"/>
              <w:ind w:right="-3"/>
            </w:pPr>
            <w:r w:rsidRPr="00C335A5">
              <w:t>5.03</w:t>
            </w:r>
          </w:p>
        </w:tc>
        <w:tc>
          <w:tcPr>
            <w:tcW w:w="1559" w:type="dxa"/>
            <w:noWrap/>
          </w:tcPr>
          <w:p w14:paraId="68BF5129" w14:textId="77777777" w:rsidR="00624120" w:rsidRPr="00C335A5" w:rsidRDefault="00624120" w:rsidP="00CA0D72">
            <w:pPr>
              <w:pStyle w:val="Table"/>
              <w:ind w:right="-3"/>
            </w:pPr>
            <w:r w:rsidRPr="00C335A5">
              <w:t>3.22 – 7.85</w:t>
            </w:r>
          </w:p>
        </w:tc>
      </w:tr>
      <w:tr w:rsidR="00624120" w:rsidRPr="00C335A5" w14:paraId="076CB80F" w14:textId="77777777" w:rsidTr="00C335A5">
        <w:trPr>
          <w:trHeight w:val="255"/>
        </w:trPr>
        <w:tc>
          <w:tcPr>
            <w:tcW w:w="2711" w:type="dxa"/>
            <w:noWrap/>
          </w:tcPr>
          <w:p w14:paraId="3375870A" w14:textId="28E7AF28" w:rsidR="00624120" w:rsidRPr="00C335A5" w:rsidRDefault="00624120" w:rsidP="00CA0D72">
            <w:pPr>
              <w:pStyle w:val="Table"/>
              <w:ind w:right="-3"/>
              <w:rPr>
                <w:iCs/>
              </w:rPr>
            </w:pPr>
            <w:r w:rsidRPr="00C335A5">
              <w:rPr>
                <w:iCs/>
              </w:rPr>
              <w:t>WA</w:t>
            </w:r>
          </w:p>
        </w:tc>
        <w:tc>
          <w:tcPr>
            <w:tcW w:w="1134" w:type="dxa"/>
            <w:noWrap/>
          </w:tcPr>
          <w:p w14:paraId="3ECA6BE4" w14:textId="77777777" w:rsidR="00624120" w:rsidRPr="00C335A5" w:rsidRDefault="00624120" w:rsidP="00CA0D72">
            <w:pPr>
              <w:pStyle w:val="Table"/>
              <w:ind w:right="-3"/>
            </w:pPr>
            <w:r w:rsidRPr="00C335A5">
              <w:t>1.93</w:t>
            </w:r>
          </w:p>
        </w:tc>
        <w:tc>
          <w:tcPr>
            <w:tcW w:w="1559" w:type="dxa"/>
            <w:noWrap/>
          </w:tcPr>
          <w:p w14:paraId="7699DAD3" w14:textId="77777777" w:rsidR="00624120" w:rsidRPr="00C335A5" w:rsidRDefault="00624120" w:rsidP="00CA0D72">
            <w:pPr>
              <w:pStyle w:val="Table"/>
              <w:ind w:right="-3"/>
            </w:pPr>
            <w:r w:rsidRPr="00C335A5">
              <w:t>1.2 – 3.09</w:t>
            </w:r>
          </w:p>
        </w:tc>
      </w:tr>
    </w:tbl>
    <w:p w14:paraId="362C3478" w14:textId="77777777" w:rsidR="005D7ABA" w:rsidRDefault="00533847" w:rsidP="00CA0D72">
      <w:pPr>
        <w:ind w:right="-3"/>
      </w:pPr>
      <w:r w:rsidRPr="00533847">
        <w:t>The median time to first admission to residential aged care among those who were admitted was 83 days (IQR 57-119) among those who received TC only in a community setting, 55 days (IQR 31 - 89) among those who received TC only in a residential setting, 69 days (IQR 45-96 days) among those who received a combination of TC services, 17 days (IQR 7-51) among the Control 1 and 59 days (IQR 28-95) among the Control 2 group. The cumulative hazard function is illustrated in Figure 5.3.</w:t>
      </w:r>
    </w:p>
    <w:p w14:paraId="7CD18DFB" w14:textId="77777777" w:rsidR="005D7ABA" w:rsidRDefault="00533847" w:rsidP="00CA0D72">
      <w:pPr>
        <w:ind w:right="-3"/>
        <w:rPr>
          <w:b/>
        </w:rPr>
      </w:pPr>
      <w:r w:rsidRPr="006F0F97">
        <w:rPr>
          <w:b/>
        </w:rPr>
        <w:t>Figure 5.3: Hazard of residential aged care admission in six months post ACAT approval</w:t>
      </w:r>
    </w:p>
    <w:p w14:paraId="234DB4C4" w14:textId="58E5A401" w:rsidR="00624120" w:rsidRPr="00764D23" w:rsidRDefault="00CA0D72" w:rsidP="00CA0D72">
      <w:pPr>
        <w:ind w:right="-3"/>
      </w:pPr>
      <w:r>
        <w:rPr>
          <w:noProof/>
        </w:rPr>
        <w:drawing>
          <wp:inline distT="0" distB="0" distL="0" distR="0" wp14:anchorId="2645FE42" wp14:editId="1B8AE846">
            <wp:extent cx="4352925" cy="3070558"/>
            <wp:effectExtent l="0" t="0" r="0" b="0"/>
            <wp:docPr id="46" name="Picture 46" descr="The median time to first admission to residential aged care among those who were admitted was 83 days (IQR 57-119) among those who received TC only in a community setting, 55 days (IQR 31 - 89) among those who received TC only in a residential setting, 69 days (IQR 45-96 days) among those who received a combination of TC services, 17 days (IQR 7-51) among the Control 1 and 59 days (IQR 28-95) among the Control 2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raph of cumulative hazard of residential aged admission in six months post ACAT approval for TCP.&#10;&#10;Order of hazard (Highest to lowest):  TC residential, Control 1, Control 2, TC Combinationn, TC Commun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6885" cy="3073351"/>
                    </a:xfrm>
                    <a:prstGeom prst="rect">
                      <a:avLst/>
                    </a:prstGeom>
                    <a:noFill/>
                    <a:ln>
                      <a:noFill/>
                    </a:ln>
                  </pic:spPr>
                </pic:pic>
              </a:graphicData>
            </a:graphic>
          </wp:inline>
        </w:drawing>
      </w:r>
    </w:p>
    <w:p w14:paraId="05EAA6CA" w14:textId="77777777" w:rsidR="0015675E" w:rsidRDefault="00533847" w:rsidP="00CA0D72">
      <w:pPr>
        <w:ind w:right="-3"/>
        <w:sectPr w:rsidR="0015675E" w:rsidSect="00CA0D72">
          <w:pgSz w:w="11904" w:h="17340"/>
          <w:pgMar w:top="1134" w:right="1272" w:bottom="1134" w:left="1276" w:header="720" w:footer="720" w:gutter="0"/>
          <w:cols w:space="720"/>
          <w:noEndnote/>
        </w:sectPr>
      </w:pPr>
      <w:r w:rsidRPr="00533847">
        <w:t>The level at which TC recipients go on to enter residential aged care in the six months post ACAT approval is summarized in Table 5.8.  As this table shows, those who received TC only in a community setting were more likely to enter TC at low-level care according to the Residential Classification Scale (i.e. S5, S6 or S7), although this did not hold in Victoria or New South Wales.  In contrast, those who received TC only in a residential setting generally entered residential aged care at a higher level (i.e. S1, S2, S3, or S4), although New South Wales</w:t>
      </w:r>
      <w:r w:rsidR="0015675E">
        <w:t xml:space="preserve"> was an exception to this.</w:t>
      </w:r>
    </w:p>
    <w:p w14:paraId="771C775A" w14:textId="014C9E0F" w:rsidR="00533847" w:rsidRPr="0015675E" w:rsidRDefault="0015675E" w:rsidP="0038099B">
      <w:pPr>
        <w:pStyle w:val="Heading3"/>
      </w:pPr>
      <w:bookmarkStart w:id="82" w:name="_Toc402348928"/>
      <w:r w:rsidRPr="006F0F97">
        <w:lastRenderedPageBreak/>
        <w:t>Table 5.8: Summary of admission level for Transition Care recipients who were admitted to residential aged care in the six months post ACAT approval</w:t>
      </w:r>
      <w:bookmarkEnd w:id="82"/>
      <w:r w:rsidRPr="006F0F97">
        <w:t xml:space="preserve"> </w:t>
      </w:r>
    </w:p>
    <w:tbl>
      <w:tblPr>
        <w:tblStyle w:val="TableGrid"/>
        <w:tblW w:w="15134" w:type="dxa"/>
        <w:tblLayout w:type="fixed"/>
        <w:tblLook w:val="0000" w:firstRow="0" w:lastRow="0" w:firstColumn="0" w:lastColumn="0" w:noHBand="0" w:noVBand="0"/>
        <w:tblDescription w:val="Table 5.8: Summary of admission level for Transition Care recipients who were admitted to residential aged care in the six months post ACAT approval "/>
      </w:tblPr>
      <w:tblGrid>
        <w:gridCol w:w="1809"/>
        <w:gridCol w:w="709"/>
        <w:gridCol w:w="608"/>
        <w:gridCol w:w="801"/>
        <w:gridCol w:w="800"/>
        <w:gridCol w:w="801"/>
        <w:gridCol w:w="800"/>
        <w:gridCol w:w="801"/>
        <w:gridCol w:w="800"/>
        <w:gridCol w:w="801"/>
        <w:gridCol w:w="800"/>
        <w:gridCol w:w="801"/>
        <w:gridCol w:w="834"/>
        <w:gridCol w:w="850"/>
        <w:gridCol w:w="717"/>
        <w:gridCol w:w="801"/>
        <w:gridCol w:w="800"/>
        <w:gridCol w:w="801"/>
      </w:tblGrid>
      <w:tr w:rsidR="0015675E" w:rsidRPr="00797896" w14:paraId="66A188D4" w14:textId="77777777" w:rsidTr="0038099B">
        <w:trPr>
          <w:trHeight w:val="300"/>
          <w:tblHeader/>
        </w:trPr>
        <w:tc>
          <w:tcPr>
            <w:tcW w:w="1809" w:type="dxa"/>
            <w:noWrap/>
          </w:tcPr>
          <w:p w14:paraId="0F43F986" w14:textId="77777777" w:rsidR="0015675E" w:rsidRPr="00797896" w:rsidRDefault="0015675E" w:rsidP="0015675E">
            <w:pPr>
              <w:pStyle w:val="Table"/>
              <w:ind w:right="-3"/>
            </w:pPr>
            <w:r>
              <w:t>State / Territory</w:t>
            </w:r>
          </w:p>
        </w:tc>
        <w:tc>
          <w:tcPr>
            <w:tcW w:w="709" w:type="dxa"/>
            <w:noWrap/>
          </w:tcPr>
          <w:p w14:paraId="3DC85090" w14:textId="77777777" w:rsidR="0015675E" w:rsidRPr="00797896" w:rsidRDefault="0015675E" w:rsidP="0015675E">
            <w:pPr>
              <w:pStyle w:val="Table"/>
              <w:ind w:right="-3"/>
            </w:pPr>
            <w:r>
              <w:t xml:space="preserve">No. </w:t>
            </w:r>
            <w:r w:rsidRPr="00797896">
              <w:t>S1</w:t>
            </w:r>
          </w:p>
        </w:tc>
        <w:tc>
          <w:tcPr>
            <w:tcW w:w="608" w:type="dxa"/>
            <w:noWrap/>
          </w:tcPr>
          <w:p w14:paraId="48C777B5" w14:textId="77777777" w:rsidR="0015675E" w:rsidRPr="00797896" w:rsidRDefault="0015675E" w:rsidP="0015675E">
            <w:pPr>
              <w:pStyle w:val="Table"/>
              <w:ind w:right="-3"/>
            </w:pPr>
            <w:r>
              <w:t xml:space="preserve">No. </w:t>
            </w:r>
            <w:r w:rsidRPr="00797896">
              <w:t>S2</w:t>
            </w:r>
          </w:p>
        </w:tc>
        <w:tc>
          <w:tcPr>
            <w:tcW w:w="801" w:type="dxa"/>
            <w:noWrap/>
          </w:tcPr>
          <w:p w14:paraId="27483AF7" w14:textId="77777777" w:rsidR="0015675E" w:rsidRPr="00797896" w:rsidRDefault="0015675E" w:rsidP="0015675E">
            <w:pPr>
              <w:pStyle w:val="Table"/>
              <w:ind w:right="-3"/>
            </w:pPr>
            <w:r>
              <w:t xml:space="preserve">No. </w:t>
            </w:r>
            <w:r w:rsidRPr="00797896">
              <w:t>S3</w:t>
            </w:r>
          </w:p>
        </w:tc>
        <w:tc>
          <w:tcPr>
            <w:tcW w:w="800" w:type="dxa"/>
            <w:noWrap/>
          </w:tcPr>
          <w:p w14:paraId="190AD1E7" w14:textId="77777777" w:rsidR="0015675E" w:rsidRPr="00797896" w:rsidRDefault="0015675E" w:rsidP="0015675E">
            <w:pPr>
              <w:pStyle w:val="Table"/>
              <w:ind w:right="-3"/>
            </w:pPr>
            <w:r>
              <w:t xml:space="preserve">No. </w:t>
            </w:r>
            <w:r w:rsidRPr="00797896">
              <w:t>S4</w:t>
            </w:r>
          </w:p>
        </w:tc>
        <w:tc>
          <w:tcPr>
            <w:tcW w:w="801" w:type="dxa"/>
            <w:noWrap/>
          </w:tcPr>
          <w:p w14:paraId="4F2338EC" w14:textId="77777777" w:rsidR="0015675E" w:rsidRPr="00797896" w:rsidRDefault="0015675E" w:rsidP="0015675E">
            <w:pPr>
              <w:pStyle w:val="Table"/>
              <w:ind w:right="-3"/>
            </w:pPr>
            <w:r>
              <w:t xml:space="preserve">No. </w:t>
            </w:r>
            <w:r w:rsidRPr="00797896">
              <w:t>S5</w:t>
            </w:r>
          </w:p>
        </w:tc>
        <w:tc>
          <w:tcPr>
            <w:tcW w:w="800" w:type="dxa"/>
            <w:noWrap/>
          </w:tcPr>
          <w:p w14:paraId="154BA3CF" w14:textId="77777777" w:rsidR="0015675E" w:rsidRPr="00797896" w:rsidRDefault="0015675E" w:rsidP="0015675E">
            <w:pPr>
              <w:pStyle w:val="Table"/>
              <w:ind w:right="-3"/>
            </w:pPr>
            <w:r>
              <w:t xml:space="preserve">No. </w:t>
            </w:r>
            <w:r w:rsidRPr="00797896">
              <w:t>S6</w:t>
            </w:r>
          </w:p>
        </w:tc>
        <w:tc>
          <w:tcPr>
            <w:tcW w:w="801" w:type="dxa"/>
            <w:noWrap/>
          </w:tcPr>
          <w:p w14:paraId="11D7E929" w14:textId="77777777" w:rsidR="0015675E" w:rsidRPr="00797896" w:rsidRDefault="0015675E" w:rsidP="0015675E">
            <w:pPr>
              <w:pStyle w:val="Table"/>
              <w:ind w:right="-3"/>
            </w:pPr>
            <w:r>
              <w:t xml:space="preserve">No. </w:t>
            </w:r>
            <w:r w:rsidRPr="00797896">
              <w:t>S7</w:t>
            </w:r>
          </w:p>
        </w:tc>
        <w:tc>
          <w:tcPr>
            <w:tcW w:w="800" w:type="dxa"/>
            <w:noWrap/>
          </w:tcPr>
          <w:p w14:paraId="23187CC6" w14:textId="77777777" w:rsidR="0015675E" w:rsidRPr="00797896" w:rsidRDefault="0015675E" w:rsidP="0015675E">
            <w:pPr>
              <w:pStyle w:val="Table"/>
              <w:ind w:right="-3"/>
            </w:pPr>
            <w:r>
              <w:t xml:space="preserve">No. </w:t>
            </w:r>
            <w:r w:rsidRPr="00797896">
              <w:t>Total</w:t>
            </w:r>
          </w:p>
        </w:tc>
        <w:tc>
          <w:tcPr>
            <w:tcW w:w="801" w:type="dxa"/>
            <w:noWrap/>
          </w:tcPr>
          <w:p w14:paraId="7D777837" w14:textId="77777777" w:rsidR="0015675E" w:rsidRPr="00797896" w:rsidRDefault="0015675E" w:rsidP="0015675E">
            <w:pPr>
              <w:pStyle w:val="Table"/>
              <w:ind w:right="-3"/>
            </w:pPr>
            <w:r>
              <w:t xml:space="preserve">% </w:t>
            </w:r>
            <w:r w:rsidRPr="00797896">
              <w:t>S1</w:t>
            </w:r>
          </w:p>
        </w:tc>
        <w:tc>
          <w:tcPr>
            <w:tcW w:w="800" w:type="dxa"/>
            <w:noWrap/>
          </w:tcPr>
          <w:p w14:paraId="6B4BD056" w14:textId="77777777" w:rsidR="0015675E" w:rsidRPr="00797896" w:rsidRDefault="0015675E" w:rsidP="0015675E">
            <w:pPr>
              <w:pStyle w:val="Table"/>
              <w:ind w:right="-3"/>
            </w:pPr>
            <w:r>
              <w:t xml:space="preserve">% </w:t>
            </w:r>
            <w:r w:rsidRPr="00797896">
              <w:t>S2</w:t>
            </w:r>
          </w:p>
        </w:tc>
        <w:tc>
          <w:tcPr>
            <w:tcW w:w="801" w:type="dxa"/>
            <w:noWrap/>
          </w:tcPr>
          <w:p w14:paraId="568464E8" w14:textId="77777777" w:rsidR="0015675E" w:rsidRPr="00797896" w:rsidRDefault="0015675E" w:rsidP="0015675E">
            <w:pPr>
              <w:pStyle w:val="Table"/>
              <w:ind w:right="-3"/>
            </w:pPr>
            <w:r>
              <w:t xml:space="preserve">% </w:t>
            </w:r>
            <w:r w:rsidRPr="00797896">
              <w:t>S3</w:t>
            </w:r>
          </w:p>
        </w:tc>
        <w:tc>
          <w:tcPr>
            <w:tcW w:w="834" w:type="dxa"/>
            <w:noWrap/>
          </w:tcPr>
          <w:p w14:paraId="30200740" w14:textId="77777777" w:rsidR="0015675E" w:rsidRPr="00797896" w:rsidRDefault="0015675E" w:rsidP="0015675E">
            <w:pPr>
              <w:pStyle w:val="Table"/>
              <w:ind w:right="-3"/>
            </w:pPr>
            <w:r>
              <w:t xml:space="preserve">% </w:t>
            </w:r>
            <w:r w:rsidRPr="00797896">
              <w:t>S4</w:t>
            </w:r>
          </w:p>
        </w:tc>
        <w:tc>
          <w:tcPr>
            <w:tcW w:w="850" w:type="dxa"/>
            <w:noWrap/>
          </w:tcPr>
          <w:p w14:paraId="57C2FC76" w14:textId="77777777" w:rsidR="0015675E" w:rsidRPr="00797896" w:rsidRDefault="0015675E" w:rsidP="0015675E">
            <w:pPr>
              <w:pStyle w:val="Table"/>
              <w:ind w:right="-3"/>
            </w:pPr>
            <w:r>
              <w:t xml:space="preserve">% </w:t>
            </w:r>
            <w:r w:rsidRPr="00797896">
              <w:t>HLC1</w:t>
            </w:r>
          </w:p>
        </w:tc>
        <w:tc>
          <w:tcPr>
            <w:tcW w:w="717" w:type="dxa"/>
            <w:noWrap/>
          </w:tcPr>
          <w:p w14:paraId="6E5C2F61" w14:textId="77777777" w:rsidR="0015675E" w:rsidRPr="00797896" w:rsidRDefault="0015675E" w:rsidP="0015675E">
            <w:pPr>
              <w:pStyle w:val="Table"/>
              <w:ind w:right="-3"/>
            </w:pPr>
            <w:r>
              <w:t xml:space="preserve">% </w:t>
            </w:r>
            <w:r w:rsidRPr="00797896">
              <w:t>S5</w:t>
            </w:r>
          </w:p>
        </w:tc>
        <w:tc>
          <w:tcPr>
            <w:tcW w:w="801" w:type="dxa"/>
            <w:noWrap/>
          </w:tcPr>
          <w:p w14:paraId="61928762" w14:textId="77777777" w:rsidR="0015675E" w:rsidRPr="00797896" w:rsidRDefault="0015675E" w:rsidP="0015675E">
            <w:pPr>
              <w:pStyle w:val="Table"/>
              <w:ind w:right="-3"/>
            </w:pPr>
            <w:r>
              <w:t xml:space="preserve">% </w:t>
            </w:r>
            <w:r w:rsidRPr="00797896">
              <w:t>S6</w:t>
            </w:r>
          </w:p>
        </w:tc>
        <w:tc>
          <w:tcPr>
            <w:tcW w:w="800" w:type="dxa"/>
            <w:noWrap/>
          </w:tcPr>
          <w:p w14:paraId="4D60B110" w14:textId="77777777" w:rsidR="0015675E" w:rsidRPr="00797896" w:rsidRDefault="0015675E" w:rsidP="0015675E">
            <w:pPr>
              <w:pStyle w:val="Table"/>
              <w:ind w:right="-3"/>
            </w:pPr>
            <w:r>
              <w:t xml:space="preserve">% </w:t>
            </w:r>
            <w:r w:rsidRPr="00797896">
              <w:t>S7</w:t>
            </w:r>
          </w:p>
        </w:tc>
        <w:tc>
          <w:tcPr>
            <w:tcW w:w="801" w:type="dxa"/>
            <w:noWrap/>
          </w:tcPr>
          <w:p w14:paraId="11759353" w14:textId="77777777" w:rsidR="0015675E" w:rsidRPr="00797896" w:rsidRDefault="0015675E" w:rsidP="0015675E">
            <w:pPr>
              <w:pStyle w:val="Table"/>
              <w:ind w:right="-3"/>
            </w:pPr>
            <w:r>
              <w:t xml:space="preserve">% </w:t>
            </w:r>
            <w:r w:rsidRPr="00797896">
              <w:t>LLC2</w:t>
            </w:r>
          </w:p>
        </w:tc>
      </w:tr>
      <w:tr w:rsidR="0015675E" w:rsidRPr="00797896" w14:paraId="02570648" w14:textId="77777777" w:rsidTr="0038099B">
        <w:trPr>
          <w:trHeight w:val="300"/>
        </w:trPr>
        <w:tc>
          <w:tcPr>
            <w:tcW w:w="1809" w:type="dxa"/>
            <w:noWrap/>
          </w:tcPr>
          <w:p w14:paraId="5E0B1743" w14:textId="77777777" w:rsidR="0015675E" w:rsidRPr="00797896" w:rsidRDefault="0015675E" w:rsidP="0015675E">
            <w:pPr>
              <w:pStyle w:val="Table"/>
              <w:ind w:right="-3"/>
            </w:pPr>
            <w:r w:rsidRPr="00797896">
              <w:t>ACT Community</w:t>
            </w:r>
          </w:p>
        </w:tc>
        <w:tc>
          <w:tcPr>
            <w:tcW w:w="709" w:type="dxa"/>
            <w:noWrap/>
          </w:tcPr>
          <w:p w14:paraId="6A8854E8" w14:textId="77777777" w:rsidR="0015675E" w:rsidRPr="00797896" w:rsidRDefault="0015675E" w:rsidP="0015675E">
            <w:pPr>
              <w:pStyle w:val="Table"/>
              <w:ind w:right="-3"/>
            </w:pPr>
            <w:r w:rsidRPr="00797896">
              <w:t>0</w:t>
            </w:r>
          </w:p>
        </w:tc>
        <w:tc>
          <w:tcPr>
            <w:tcW w:w="608" w:type="dxa"/>
            <w:noWrap/>
          </w:tcPr>
          <w:p w14:paraId="0B2E33E2" w14:textId="77777777" w:rsidR="0015675E" w:rsidRPr="00797896" w:rsidRDefault="0015675E" w:rsidP="0015675E">
            <w:pPr>
              <w:pStyle w:val="Table"/>
              <w:ind w:right="-3"/>
            </w:pPr>
            <w:r w:rsidRPr="00797896">
              <w:t>0</w:t>
            </w:r>
          </w:p>
        </w:tc>
        <w:tc>
          <w:tcPr>
            <w:tcW w:w="801" w:type="dxa"/>
            <w:noWrap/>
          </w:tcPr>
          <w:p w14:paraId="0689124A" w14:textId="77777777" w:rsidR="0015675E" w:rsidRPr="00797896" w:rsidRDefault="0015675E" w:rsidP="0015675E">
            <w:pPr>
              <w:pStyle w:val="Table"/>
              <w:ind w:right="-3"/>
            </w:pPr>
          </w:p>
        </w:tc>
        <w:tc>
          <w:tcPr>
            <w:tcW w:w="800" w:type="dxa"/>
            <w:noWrap/>
          </w:tcPr>
          <w:p w14:paraId="538F424D" w14:textId="77777777" w:rsidR="0015675E" w:rsidRPr="00797896" w:rsidRDefault="0015675E" w:rsidP="0015675E">
            <w:pPr>
              <w:pStyle w:val="Table"/>
              <w:ind w:right="-3"/>
            </w:pPr>
          </w:p>
        </w:tc>
        <w:tc>
          <w:tcPr>
            <w:tcW w:w="801" w:type="dxa"/>
            <w:noWrap/>
          </w:tcPr>
          <w:p w14:paraId="39EF5E43" w14:textId="77777777" w:rsidR="0015675E" w:rsidRPr="00797896" w:rsidRDefault="0015675E" w:rsidP="0015675E">
            <w:pPr>
              <w:pStyle w:val="Table"/>
              <w:ind w:right="-3"/>
            </w:pPr>
            <w:r w:rsidRPr="00797896">
              <w:t>1</w:t>
            </w:r>
          </w:p>
        </w:tc>
        <w:tc>
          <w:tcPr>
            <w:tcW w:w="800" w:type="dxa"/>
            <w:noWrap/>
          </w:tcPr>
          <w:p w14:paraId="2F000576" w14:textId="77777777" w:rsidR="0015675E" w:rsidRPr="00797896" w:rsidRDefault="0015675E" w:rsidP="0015675E">
            <w:pPr>
              <w:pStyle w:val="Table"/>
              <w:ind w:right="-3"/>
            </w:pPr>
          </w:p>
        </w:tc>
        <w:tc>
          <w:tcPr>
            <w:tcW w:w="801" w:type="dxa"/>
            <w:noWrap/>
          </w:tcPr>
          <w:p w14:paraId="2EDE4088" w14:textId="77777777" w:rsidR="0015675E" w:rsidRPr="00797896" w:rsidRDefault="0015675E" w:rsidP="0015675E">
            <w:pPr>
              <w:pStyle w:val="Table"/>
              <w:ind w:right="-3"/>
            </w:pPr>
            <w:r w:rsidRPr="00797896">
              <w:t>0</w:t>
            </w:r>
          </w:p>
        </w:tc>
        <w:tc>
          <w:tcPr>
            <w:tcW w:w="800" w:type="dxa"/>
            <w:noWrap/>
          </w:tcPr>
          <w:p w14:paraId="1F5E71E2" w14:textId="77777777" w:rsidR="0015675E" w:rsidRPr="00797896" w:rsidRDefault="0015675E" w:rsidP="0015675E">
            <w:pPr>
              <w:pStyle w:val="Table"/>
              <w:ind w:right="-3"/>
            </w:pPr>
            <w:r w:rsidRPr="00797896">
              <w:t>1</w:t>
            </w:r>
          </w:p>
        </w:tc>
        <w:tc>
          <w:tcPr>
            <w:tcW w:w="801" w:type="dxa"/>
            <w:noWrap/>
          </w:tcPr>
          <w:p w14:paraId="0543A1BA" w14:textId="77777777" w:rsidR="0015675E" w:rsidRPr="00797896" w:rsidRDefault="0015675E" w:rsidP="0015675E">
            <w:pPr>
              <w:pStyle w:val="Table"/>
              <w:ind w:right="-3"/>
            </w:pPr>
            <w:r w:rsidRPr="00797896">
              <w:t>0</w:t>
            </w:r>
          </w:p>
        </w:tc>
        <w:tc>
          <w:tcPr>
            <w:tcW w:w="800" w:type="dxa"/>
            <w:noWrap/>
          </w:tcPr>
          <w:p w14:paraId="0EA02002" w14:textId="77777777" w:rsidR="0015675E" w:rsidRPr="00797896" w:rsidRDefault="0015675E" w:rsidP="0015675E">
            <w:pPr>
              <w:pStyle w:val="Table"/>
              <w:ind w:right="-3"/>
            </w:pPr>
            <w:r w:rsidRPr="00797896">
              <w:t>0</w:t>
            </w:r>
          </w:p>
        </w:tc>
        <w:tc>
          <w:tcPr>
            <w:tcW w:w="801" w:type="dxa"/>
            <w:noWrap/>
          </w:tcPr>
          <w:p w14:paraId="2FF8B27C" w14:textId="77777777" w:rsidR="0015675E" w:rsidRPr="00797896" w:rsidRDefault="0015675E" w:rsidP="0015675E">
            <w:pPr>
              <w:pStyle w:val="Table"/>
              <w:ind w:right="-3"/>
            </w:pPr>
            <w:r w:rsidRPr="00797896">
              <w:t>0</w:t>
            </w:r>
          </w:p>
        </w:tc>
        <w:tc>
          <w:tcPr>
            <w:tcW w:w="834" w:type="dxa"/>
            <w:noWrap/>
          </w:tcPr>
          <w:p w14:paraId="72E41D01" w14:textId="77777777" w:rsidR="0015675E" w:rsidRPr="00797896" w:rsidRDefault="0015675E" w:rsidP="0015675E">
            <w:pPr>
              <w:pStyle w:val="Table"/>
              <w:ind w:right="-3"/>
            </w:pPr>
            <w:r w:rsidRPr="00797896">
              <w:t>0</w:t>
            </w:r>
          </w:p>
        </w:tc>
        <w:tc>
          <w:tcPr>
            <w:tcW w:w="850" w:type="dxa"/>
            <w:noWrap/>
          </w:tcPr>
          <w:p w14:paraId="3439A706" w14:textId="77777777" w:rsidR="0015675E" w:rsidRPr="00797896" w:rsidRDefault="0015675E" w:rsidP="0015675E">
            <w:pPr>
              <w:pStyle w:val="Table"/>
              <w:ind w:right="-3"/>
            </w:pPr>
            <w:r w:rsidRPr="00797896">
              <w:t>0</w:t>
            </w:r>
          </w:p>
        </w:tc>
        <w:tc>
          <w:tcPr>
            <w:tcW w:w="717" w:type="dxa"/>
            <w:noWrap/>
          </w:tcPr>
          <w:p w14:paraId="22C96E2B" w14:textId="77777777" w:rsidR="0015675E" w:rsidRPr="00797896" w:rsidRDefault="0015675E" w:rsidP="0015675E">
            <w:pPr>
              <w:pStyle w:val="Table"/>
              <w:ind w:right="-3"/>
            </w:pPr>
            <w:r w:rsidRPr="00797896">
              <w:t>100</w:t>
            </w:r>
          </w:p>
        </w:tc>
        <w:tc>
          <w:tcPr>
            <w:tcW w:w="801" w:type="dxa"/>
            <w:noWrap/>
          </w:tcPr>
          <w:p w14:paraId="24942B0F" w14:textId="77777777" w:rsidR="0015675E" w:rsidRPr="00797896" w:rsidRDefault="0015675E" w:rsidP="0015675E">
            <w:pPr>
              <w:pStyle w:val="Table"/>
              <w:ind w:right="-3"/>
            </w:pPr>
            <w:r w:rsidRPr="00797896">
              <w:t>0</w:t>
            </w:r>
          </w:p>
        </w:tc>
        <w:tc>
          <w:tcPr>
            <w:tcW w:w="800" w:type="dxa"/>
            <w:noWrap/>
          </w:tcPr>
          <w:p w14:paraId="6344A435" w14:textId="77777777" w:rsidR="0015675E" w:rsidRPr="00797896" w:rsidRDefault="0015675E" w:rsidP="0015675E">
            <w:pPr>
              <w:pStyle w:val="Table"/>
              <w:ind w:right="-3"/>
            </w:pPr>
            <w:r w:rsidRPr="00797896">
              <w:t>0</w:t>
            </w:r>
          </w:p>
        </w:tc>
        <w:tc>
          <w:tcPr>
            <w:tcW w:w="801" w:type="dxa"/>
            <w:noWrap/>
          </w:tcPr>
          <w:p w14:paraId="5B5C6336" w14:textId="77777777" w:rsidR="0015675E" w:rsidRPr="00797896" w:rsidRDefault="0015675E" w:rsidP="0015675E">
            <w:pPr>
              <w:pStyle w:val="Table"/>
              <w:ind w:right="-3"/>
            </w:pPr>
            <w:r w:rsidRPr="00797896">
              <w:t>100</w:t>
            </w:r>
          </w:p>
        </w:tc>
      </w:tr>
      <w:tr w:rsidR="0015675E" w:rsidRPr="00797896" w14:paraId="2857A934" w14:textId="77777777" w:rsidTr="0038099B">
        <w:trPr>
          <w:trHeight w:val="300"/>
        </w:trPr>
        <w:tc>
          <w:tcPr>
            <w:tcW w:w="1809" w:type="dxa"/>
            <w:noWrap/>
          </w:tcPr>
          <w:p w14:paraId="5F98AEB4" w14:textId="77777777" w:rsidR="0015675E" w:rsidRPr="00797896" w:rsidRDefault="0015675E" w:rsidP="0015675E">
            <w:pPr>
              <w:pStyle w:val="Table"/>
              <w:ind w:right="-3"/>
            </w:pPr>
            <w:r w:rsidRPr="00797896">
              <w:t>ACT Residential</w:t>
            </w:r>
          </w:p>
        </w:tc>
        <w:tc>
          <w:tcPr>
            <w:tcW w:w="709" w:type="dxa"/>
            <w:noWrap/>
          </w:tcPr>
          <w:p w14:paraId="7F731238" w14:textId="77777777" w:rsidR="0015675E" w:rsidRPr="00797896" w:rsidRDefault="0015675E" w:rsidP="0015675E">
            <w:pPr>
              <w:pStyle w:val="Table"/>
              <w:ind w:right="-3"/>
            </w:pPr>
            <w:r w:rsidRPr="00797896">
              <w:t>2</w:t>
            </w:r>
          </w:p>
        </w:tc>
        <w:tc>
          <w:tcPr>
            <w:tcW w:w="608" w:type="dxa"/>
            <w:noWrap/>
          </w:tcPr>
          <w:p w14:paraId="7C8EF596" w14:textId="77777777" w:rsidR="0015675E" w:rsidRPr="00797896" w:rsidRDefault="0015675E" w:rsidP="0015675E">
            <w:pPr>
              <w:pStyle w:val="Table"/>
              <w:ind w:right="-3"/>
            </w:pPr>
            <w:r w:rsidRPr="00797896">
              <w:t>4</w:t>
            </w:r>
          </w:p>
        </w:tc>
        <w:tc>
          <w:tcPr>
            <w:tcW w:w="801" w:type="dxa"/>
            <w:noWrap/>
          </w:tcPr>
          <w:p w14:paraId="13707674" w14:textId="77777777" w:rsidR="0015675E" w:rsidRPr="00797896" w:rsidRDefault="0015675E" w:rsidP="0015675E">
            <w:pPr>
              <w:pStyle w:val="Table"/>
              <w:ind w:right="-3"/>
            </w:pPr>
          </w:p>
        </w:tc>
        <w:tc>
          <w:tcPr>
            <w:tcW w:w="800" w:type="dxa"/>
            <w:noWrap/>
          </w:tcPr>
          <w:p w14:paraId="5C7CF676" w14:textId="77777777" w:rsidR="0015675E" w:rsidRPr="00797896" w:rsidRDefault="0015675E" w:rsidP="0015675E">
            <w:pPr>
              <w:pStyle w:val="Table"/>
              <w:ind w:right="-3"/>
            </w:pPr>
          </w:p>
        </w:tc>
        <w:tc>
          <w:tcPr>
            <w:tcW w:w="801" w:type="dxa"/>
            <w:noWrap/>
          </w:tcPr>
          <w:p w14:paraId="41080128" w14:textId="77777777" w:rsidR="0015675E" w:rsidRPr="00797896" w:rsidRDefault="0015675E" w:rsidP="0015675E">
            <w:pPr>
              <w:pStyle w:val="Table"/>
              <w:ind w:right="-3"/>
            </w:pPr>
            <w:r w:rsidRPr="00797896">
              <w:t>0</w:t>
            </w:r>
          </w:p>
        </w:tc>
        <w:tc>
          <w:tcPr>
            <w:tcW w:w="800" w:type="dxa"/>
            <w:noWrap/>
          </w:tcPr>
          <w:p w14:paraId="6B2131C5" w14:textId="77777777" w:rsidR="0015675E" w:rsidRPr="00797896" w:rsidRDefault="0015675E" w:rsidP="0015675E">
            <w:pPr>
              <w:pStyle w:val="Table"/>
              <w:ind w:right="-3"/>
            </w:pPr>
          </w:p>
        </w:tc>
        <w:tc>
          <w:tcPr>
            <w:tcW w:w="801" w:type="dxa"/>
            <w:noWrap/>
          </w:tcPr>
          <w:p w14:paraId="737F5563" w14:textId="77777777" w:rsidR="0015675E" w:rsidRPr="00797896" w:rsidRDefault="0015675E" w:rsidP="0015675E">
            <w:pPr>
              <w:pStyle w:val="Table"/>
              <w:ind w:right="-3"/>
            </w:pPr>
            <w:r w:rsidRPr="00797896">
              <w:t>1</w:t>
            </w:r>
          </w:p>
        </w:tc>
        <w:tc>
          <w:tcPr>
            <w:tcW w:w="800" w:type="dxa"/>
            <w:noWrap/>
          </w:tcPr>
          <w:p w14:paraId="76FBBCB5" w14:textId="77777777" w:rsidR="0015675E" w:rsidRPr="00797896" w:rsidRDefault="0015675E" w:rsidP="0015675E">
            <w:pPr>
              <w:pStyle w:val="Table"/>
              <w:ind w:right="-3"/>
            </w:pPr>
            <w:r w:rsidRPr="00797896">
              <w:t>7</w:t>
            </w:r>
          </w:p>
        </w:tc>
        <w:tc>
          <w:tcPr>
            <w:tcW w:w="801" w:type="dxa"/>
            <w:noWrap/>
          </w:tcPr>
          <w:p w14:paraId="328374CD" w14:textId="77777777" w:rsidR="0015675E" w:rsidRPr="00797896" w:rsidRDefault="0015675E" w:rsidP="0015675E">
            <w:pPr>
              <w:pStyle w:val="Table"/>
              <w:ind w:right="-3"/>
            </w:pPr>
            <w:r w:rsidRPr="00797896">
              <w:t>28.6</w:t>
            </w:r>
          </w:p>
        </w:tc>
        <w:tc>
          <w:tcPr>
            <w:tcW w:w="800" w:type="dxa"/>
            <w:noWrap/>
          </w:tcPr>
          <w:p w14:paraId="7824987D" w14:textId="77777777" w:rsidR="0015675E" w:rsidRPr="00797896" w:rsidRDefault="0015675E" w:rsidP="0015675E">
            <w:pPr>
              <w:pStyle w:val="Table"/>
              <w:ind w:right="-3"/>
            </w:pPr>
            <w:r w:rsidRPr="00797896">
              <w:t>57.1</w:t>
            </w:r>
          </w:p>
        </w:tc>
        <w:tc>
          <w:tcPr>
            <w:tcW w:w="801" w:type="dxa"/>
            <w:noWrap/>
          </w:tcPr>
          <w:p w14:paraId="2EFAE035" w14:textId="77777777" w:rsidR="0015675E" w:rsidRPr="00797896" w:rsidRDefault="0015675E" w:rsidP="0015675E">
            <w:pPr>
              <w:pStyle w:val="Table"/>
              <w:ind w:right="-3"/>
            </w:pPr>
            <w:r w:rsidRPr="00797896">
              <w:t>0</w:t>
            </w:r>
          </w:p>
        </w:tc>
        <w:tc>
          <w:tcPr>
            <w:tcW w:w="834" w:type="dxa"/>
            <w:noWrap/>
          </w:tcPr>
          <w:p w14:paraId="69782133" w14:textId="77777777" w:rsidR="0015675E" w:rsidRPr="00797896" w:rsidRDefault="0015675E" w:rsidP="0015675E">
            <w:pPr>
              <w:pStyle w:val="Table"/>
              <w:ind w:right="-3"/>
            </w:pPr>
            <w:r w:rsidRPr="00797896">
              <w:t>0</w:t>
            </w:r>
          </w:p>
        </w:tc>
        <w:tc>
          <w:tcPr>
            <w:tcW w:w="850" w:type="dxa"/>
            <w:noWrap/>
          </w:tcPr>
          <w:p w14:paraId="409E9A76" w14:textId="77777777" w:rsidR="0015675E" w:rsidRPr="00797896" w:rsidRDefault="0015675E" w:rsidP="0015675E">
            <w:pPr>
              <w:pStyle w:val="Table"/>
              <w:ind w:right="-3"/>
            </w:pPr>
            <w:r w:rsidRPr="00797896">
              <w:t>85.7</w:t>
            </w:r>
          </w:p>
        </w:tc>
        <w:tc>
          <w:tcPr>
            <w:tcW w:w="717" w:type="dxa"/>
            <w:noWrap/>
          </w:tcPr>
          <w:p w14:paraId="1F988127" w14:textId="77777777" w:rsidR="0015675E" w:rsidRPr="00797896" w:rsidRDefault="0015675E" w:rsidP="0015675E">
            <w:pPr>
              <w:pStyle w:val="Table"/>
              <w:ind w:right="-3"/>
            </w:pPr>
            <w:r w:rsidRPr="00797896">
              <w:t>0</w:t>
            </w:r>
          </w:p>
        </w:tc>
        <w:tc>
          <w:tcPr>
            <w:tcW w:w="801" w:type="dxa"/>
            <w:noWrap/>
          </w:tcPr>
          <w:p w14:paraId="389F784E" w14:textId="77777777" w:rsidR="0015675E" w:rsidRPr="00797896" w:rsidRDefault="0015675E" w:rsidP="0015675E">
            <w:pPr>
              <w:pStyle w:val="Table"/>
              <w:ind w:right="-3"/>
            </w:pPr>
            <w:r w:rsidRPr="00797896">
              <w:t>0</w:t>
            </w:r>
          </w:p>
        </w:tc>
        <w:tc>
          <w:tcPr>
            <w:tcW w:w="800" w:type="dxa"/>
            <w:noWrap/>
          </w:tcPr>
          <w:p w14:paraId="58D71895" w14:textId="77777777" w:rsidR="0015675E" w:rsidRPr="00797896" w:rsidRDefault="0015675E" w:rsidP="0015675E">
            <w:pPr>
              <w:pStyle w:val="Table"/>
              <w:ind w:right="-3"/>
            </w:pPr>
            <w:r w:rsidRPr="00797896">
              <w:t>14.3</w:t>
            </w:r>
          </w:p>
        </w:tc>
        <w:tc>
          <w:tcPr>
            <w:tcW w:w="801" w:type="dxa"/>
            <w:noWrap/>
          </w:tcPr>
          <w:p w14:paraId="4ED6FA93" w14:textId="77777777" w:rsidR="0015675E" w:rsidRPr="00797896" w:rsidRDefault="0015675E" w:rsidP="0015675E">
            <w:pPr>
              <w:pStyle w:val="Table"/>
              <w:ind w:right="-3"/>
            </w:pPr>
            <w:r w:rsidRPr="00797896">
              <w:t>14.3</w:t>
            </w:r>
          </w:p>
        </w:tc>
      </w:tr>
      <w:tr w:rsidR="0015675E" w:rsidRPr="00797896" w14:paraId="3AE73C26" w14:textId="77777777" w:rsidTr="0038099B">
        <w:trPr>
          <w:trHeight w:val="300"/>
        </w:trPr>
        <w:tc>
          <w:tcPr>
            <w:tcW w:w="1809" w:type="dxa"/>
            <w:noWrap/>
          </w:tcPr>
          <w:p w14:paraId="4602F486" w14:textId="77777777" w:rsidR="0015675E" w:rsidRPr="00797896" w:rsidRDefault="0015675E" w:rsidP="0015675E">
            <w:pPr>
              <w:pStyle w:val="Table"/>
              <w:ind w:right="-3"/>
            </w:pPr>
            <w:r w:rsidRPr="00797896">
              <w:t>ACT Combination</w:t>
            </w:r>
          </w:p>
        </w:tc>
        <w:tc>
          <w:tcPr>
            <w:tcW w:w="709" w:type="dxa"/>
            <w:noWrap/>
          </w:tcPr>
          <w:p w14:paraId="7A6BA134" w14:textId="77777777" w:rsidR="0015675E" w:rsidRPr="00797896" w:rsidRDefault="0015675E" w:rsidP="0015675E">
            <w:pPr>
              <w:pStyle w:val="Table"/>
              <w:ind w:right="-3"/>
            </w:pPr>
            <w:r w:rsidRPr="00797896">
              <w:t>0</w:t>
            </w:r>
          </w:p>
        </w:tc>
        <w:tc>
          <w:tcPr>
            <w:tcW w:w="608" w:type="dxa"/>
            <w:noWrap/>
          </w:tcPr>
          <w:p w14:paraId="0E1430A5" w14:textId="77777777" w:rsidR="0015675E" w:rsidRPr="00797896" w:rsidRDefault="0015675E" w:rsidP="0015675E">
            <w:pPr>
              <w:pStyle w:val="Table"/>
              <w:ind w:right="-3"/>
            </w:pPr>
            <w:r w:rsidRPr="00797896">
              <w:t>0</w:t>
            </w:r>
          </w:p>
        </w:tc>
        <w:tc>
          <w:tcPr>
            <w:tcW w:w="801" w:type="dxa"/>
            <w:noWrap/>
          </w:tcPr>
          <w:p w14:paraId="379ADADF" w14:textId="77777777" w:rsidR="0015675E" w:rsidRPr="00797896" w:rsidRDefault="0015675E" w:rsidP="0015675E">
            <w:pPr>
              <w:pStyle w:val="Table"/>
              <w:ind w:right="-3"/>
            </w:pPr>
          </w:p>
        </w:tc>
        <w:tc>
          <w:tcPr>
            <w:tcW w:w="800" w:type="dxa"/>
            <w:noWrap/>
          </w:tcPr>
          <w:p w14:paraId="4ACB67F1" w14:textId="77777777" w:rsidR="0015675E" w:rsidRPr="00797896" w:rsidRDefault="0015675E" w:rsidP="0015675E">
            <w:pPr>
              <w:pStyle w:val="Table"/>
              <w:ind w:right="-3"/>
            </w:pPr>
          </w:p>
        </w:tc>
        <w:tc>
          <w:tcPr>
            <w:tcW w:w="801" w:type="dxa"/>
            <w:noWrap/>
          </w:tcPr>
          <w:p w14:paraId="785F549A" w14:textId="77777777" w:rsidR="0015675E" w:rsidRPr="00797896" w:rsidRDefault="0015675E" w:rsidP="0015675E">
            <w:pPr>
              <w:pStyle w:val="Table"/>
              <w:ind w:right="-3"/>
            </w:pPr>
            <w:r w:rsidRPr="00797896">
              <w:t>1</w:t>
            </w:r>
          </w:p>
        </w:tc>
        <w:tc>
          <w:tcPr>
            <w:tcW w:w="800" w:type="dxa"/>
            <w:noWrap/>
          </w:tcPr>
          <w:p w14:paraId="7C3D7FCB" w14:textId="77777777" w:rsidR="0015675E" w:rsidRPr="00797896" w:rsidRDefault="0015675E" w:rsidP="0015675E">
            <w:pPr>
              <w:pStyle w:val="Table"/>
              <w:ind w:right="-3"/>
            </w:pPr>
          </w:p>
        </w:tc>
        <w:tc>
          <w:tcPr>
            <w:tcW w:w="801" w:type="dxa"/>
            <w:noWrap/>
          </w:tcPr>
          <w:p w14:paraId="5E5C8582" w14:textId="77777777" w:rsidR="0015675E" w:rsidRPr="00797896" w:rsidRDefault="0015675E" w:rsidP="0015675E">
            <w:pPr>
              <w:pStyle w:val="Table"/>
              <w:ind w:right="-3"/>
            </w:pPr>
            <w:r w:rsidRPr="00797896">
              <w:t>0</w:t>
            </w:r>
          </w:p>
        </w:tc>
        <w:tc>
          <w:tcPr>
            <w:tcW w:w="800" w:type="dxa"/>
            <w:noWrap/>
          </w:tcPr>
          <w:p w14:paraId="1E7AA252" w14:textId="77777777" w:rsidR="0015675E" w:rsidRPr="00797896" w:rsidRDefault="0015675E" w:rsidP="0015675E">
            <w:pPr>
              <w:pStyle w:val="Table"/>
              <w:ind w:right="-3"/>
            </w:pPr>
            <w:r w:rsidRPr="00797896">
              <w:t>1</w:t>
            </w:r>
          </w:p>
        </w:tc>
        <w:tc>
          <w:tcPr>
            <w:tcW w:w="801" w:type="dxa"/>
            <w:noWrap/>
          </w:tcPr>
          <w:p w14:paraId="61B1F250" w14:textId="77777777" w:rsidR="0015675E" w:rsidRPr="00797896" w:rsidRDefault="0015675E" w:rsidP="0015675E">
            <w:pPr>
              <w:pStyle w:val="Table"/>
              <w:ind w:right="-3"/>
            </w:pPr>
            <w:r w:rsidRPr="00797896">
              <w:t>0</w:t>
            </w:r>
          </w:p>
        </w:tc>
        <w:tc>
          <w:tcPr>
            <w:tcW w:w="800" w:type="dxa"/>
            <w:noWrap/>
          </w:tcPr>
          <w:p w14:paraId="02A9CEB1" w14:textId="77777777" w:rsidR="0015675E" w:rsidRPr="00797896" w:rsidRDefault="0015675E" w:rsidP="0015675E">
            <w:pPr>
              <w:pStyle w:val="Table"/>
              <w:ind w:right="-3"/>
            </w:pPr>
            <w:r w:rsidRPr="00797896">
              <w:t>0</w:t>
            </w:r>
          </w:p>
        </w:tc>
        <w:tc>
          <w:tcPr>
            <w:tcW w:w="801" w:type="dxa"/>
            <w:noWrap/>
          </w:tcPr>
          <w:p w14:paraId="476B17CB" w14:textId="77777777" w:rsidR="0015675E" w:rsidRPr="00797896" w:rsidRDefault="0015675E" w:rsidP="0015675E">
            <w:pPr>
              <w:pStyle w:val="Table"/>
              <w:ind w:right="-3"/>
            </w:pPr>
            <w:r w:rsidRPr="00797896">
              <w:t>0</w:t>
            </w:r>
          </w:p>
        </w:tc>
        <w:tc>
          <w:tcPr>
            <w:tcW w:w="834" w:type="dxa"/>
            <w:noWrap/>
          </w:tcPr>
          <w:p w14:paraId="727CA920" w14:textId="77777777" w:rsidR="0015675E" w:rsidRPr="00797896" w:rsidRDefault="0015675E" w:rsidP="0015675E">
            <w:pPr>
              <w:pStyle w:val="Table"/>
              <w:ind w:right="-3"/>
            </w:pPr>
            <w:r w:rsidRPr="00797896">
              <w:t>0</w:t>
            </w:r>
          </w:p>
        </w:tc>
        <w:tc>
          <w:tcPr>
            <w:tcW w:w="850" w:type="dxa"/>
            <w:noWrap/>
          </w:tcPr>
          <w:p w14:paraId="3371346D" w14:textId="77777777" w:rsidR="0015675E" w:rsidRPr="00797896" w:rsidRDefault="0015675E" w:rsidP="0015675E">
            <w:pPr>
              <w:pStyle w:val="Table"/>
              <w:ind w:right="-3"/>
            </w:pPr>
            <w:r w:rsidRPr="00797896">
              <w:t>0</w:t>
            </w:r>
          </w:p>
        </w:tc>
        <w:tc>
          <w:tcPr>
            <w:tcW w:w="717" w:type="dxa"/>
            <w:noWrap/>
          </w:tcPr>
          <w:p w14:paraId="18F5008F" w14:textId="77777777" w:rsidR="0015675E" w:rsidRPr="00797896" w:rsidRDefault="0015675E" w:rsidP="0015675E">
            <w:pPr>
              <w:pStyle w:val="Table"/>
              <w:ind w:right="-3"/>
            </w:pPr>
            <w:r w:rsidRPr="00797896">
              <w:t>100</w:t>
            </w:r>
          </w:p>
        </w:tc>
        <w:tc>
          <w:tcPr>
            <w:tcW w:w="801" w:type="dxa"/>
            <w:noWrap/>
          </w:tcPr>
          <w:p w14:paraId="0A2321F4" w14:textId="77777777" w:rsidR="0015675E" w:rsidRPr="00797896" w:rsidRDefault="0015675E" w:rsidP="0015675E">
            <w:pPr>
              <w:pStyle w:val="Table"/>
              <w:ind w:right="-3"/>
            </w:pPr>
            <w:r w:rsidRPr="00797896">
              <w:t>0</w:t>
            </w:r>
          </w:p>
        </w:tc>
        <w:tc>
          <w:tcPr>
            <w:tcW w:w="800" w:type="dxa"/>
            <w:noWrap/>
          </w:tcPr>
          <w:p w14:paraId="00DA435E" w14:textId="77777777" w:rsidR="0015675E" w:rsidRPr="00797896" w:rsidRDefault="0015675E" w:rsidP="0015675E">
            <w:pPr>
              <w:pStyle w:val="Table"/>
              <w:ind w:right="-3"/>
            </w:pPr>
            <w:r w:rsidRPr="00797896">
              <w:t>0</w:t>
            </w:r>
          </w:p>
        </w:tc>
        <w:tc>
          <w:tcPr>
            <w:tcW w:w="801" w:type="dxa"/>
            <w:noWrap/>
          </w:tcPr>
          <w:p w14:paraId="505729B1" w14:textId="77777777" w:rsidR="0015675E" w:rsidRPr="00797896" w:rsidRDefault="0015675E" w:rsidP="0015675E">
            <w:pPr>
              <w:pStyle w:val="Table"/>
              <w:ind w:right="-3"/>
            </w:pPr>
            <w:r w:rsidRPr="00797896">
              <w:t>100</w:t>
            </w:r>
          </w:p>
        </w:tc>
      </w:tr>
      <w:tr w:rsidR="0015675E" w:rsidRPr="00797896" w14:paraId="32B767F9" w14:textId="77777777" w:rsidTr="0038099B">
        <w:trPr>
          <w:trHeight w:val="300"/>
        </w:trPr>
        <w:tc>
          <w:tcPr>
            <w:tcW w:w="1809" w:type="dxa"/>
            <w:noWrap/>
          </w:tcPr>
          <w:p w14:paraId="53FB62BB" w14:textId="77777777" w:rsidR="0015675E" w:rsidRPr="00797896" w:rsidRDefault="0015675E" w:rsidP="0015675E">
            <w:pPr>
              <w:pStyle w:val="Table"/>
              <w:ind w:right="-3"/>
            </w:pPr>
            <w:r w:rsidRPr="00797896">
              <w:t>ACT Total</w:t>
            </w:r>
          </w:p>
        </w:tc>
        <w:tc>
          <w:tcPr>
            <w:tcW w:w="709" w:type="dxa"/>
            <w:noWrap/>
          </w:tcPr>
          <w:p w14:paraId="6E079378" w14:textId="77777777" w:rsidR="0015675E" w:rsidRPr="00797896" w:rsidRDefault="0015675E" w:rsidP="0015675E">
            <w:pPr>
              <w:pStyle w:val="Table"/>
              <w:ind w:right="-3"/>
            </w:pPr>
            <w:r w:rsidRPr="00797896">
              <w:t>2</w:t>
            </w:r>
          </w:p>
        </w:tc>
        <w:tc>
          <w:tcPr>
            <w:tcW w:w="608" w:type="dxa"/>
            <w:noWrap/>
          </w:tcPr>
          <w:p w14:paraId="33B1663E" w14:textId="77777777" w:rsidR="0015675E" w:rsidRPr="00797896" w:rsidRDefault="0015675E" w:rsidP="0015675E">
            <w:pPr>
              <w:pStyle w:val="Table"/>
              <w:ind w:right="-3"/>
            </w:pPr>
            <w:r w:rsidRPr="00797896">
              <w:t>4</w:t>
            </w:r>
          </w:p>
        </w:tc>
        <w:tc>
          <w:tcPr>
            <w:tcW w:w="801" w:type="dxa"/>
            <w:noWrap/>
          </w:tcPr>
          <w:p w14:paraId="37AC37E8" w14:textId="77777777" w:rsidR="0015675E" w:rsidRPr="00797896" w:rsidRDefault="0015675E" w:rsidP="0015675E">
            <w:pPr>
              <w:pStyle w:val="Table"/>
              <w:ind w:right="-3"/>
            </w:pPr>
          </w:p>
        </w:tc>
        <w:tc>
          <w:tcPr>
            <w:tcW w:w="800" w:type="dxa"/>
            <w:noWrap/>
          </w:tcPr>
          <w:p w14:paraId="64E9A1E3" w14:textId="77777777" w:rsidR="0015675E" w:rsidRPr="00797896" w:rsidRDefault="0015675E" w:rsidP="0015675E">
            <w:pPr>
              <w:pStyle w:val="Table"/>
              <w:ind w:right="-3"/>
            </w:pPr>
          </w:p>
        </w:tc>
        <w:tc>
          <w:tcPr>
            <w:tcW w:w="801" w:type="dxa"/>
            <w:noWrap/>
          </w:tcPr>
          <w:p w14:paraId="71F45CCD" w14:textId="77777777" w:rsidR="0015675E" w:rsidRPr="00797896" w:rsidRDefault="0015675E" w:rsidP="0015675E">
            <w:pPr>
              <w:pStyle w:val="Table"/>
              <w:ind w:right="-3"/>
            </w:pPr>
            <w:r w:rsidRPr="00797896">
              <w:t>2</w:t>
            </w:r>
          </w:p>
        </w:tc>
        <w:tc>
          <w:tcPr>
            <w:tcW w:w="800" w:type="dxa"/>
            <w:noWrap/>
          </w:tcPr>
          <w:p w14:paraId="46990E6C" w14:textId="77777777" w:rsidR="0015675E" w:rsidRPr="00797896" w:rsidRDefault="0015675E" w:rsidP="0015675E">
            <w:pPr>
              <w:pStyle w:val="Table"/>
              <w:ind w:right="-3"/>
            </w:pPr>
          </w:p>
        </w:tc>
        <w:tc>
          <w:tcPr>
            <w:tcW w:w="801" w:type="dxa"/>
            <w:noWrap/>
          </w:tcPr>
          <w:p w14:paraId="78CB18ED" w14:textId="77777777" w:rsidR="0015675E" w:rsidRPr="00797896" w:rsidRDefault="0015675E" w:rsidP="0015675E">
            <w:pPr>
              <w:pStyle w:val="Table"/>
              <w:ind w:right="-3"/>
            </w:pPr>
            <w:r w:rsidRPr="00797896">
              <w:t>1</w:t>
            </w:r>
          </w:p>
        </w:tc>
        <w:tc>
          <w:tcPr>
            <w:tcW w:w="800" w:type="dxa"/>
            <w:noWrap/>
          </w:tcPr>
          <w:p w14:paraId="2288382E" w14:textId="77777777" w:rsidR="0015675E" w:rsidRPr="00797896" w:rsidRDefault="0015675E" w:rsidP="0015675E">
            <w:pPr>
              <w:pStyle w:val="Table"/>
              <w:ind w:right="-3"/>
            </w:pPr>
            <w:r w:rsidRPr="00797896">
              <w:t>9</w:t>
            </w:r>
          </w:p>
        </w:tc>
        <w:tc>
          <w:tcPr>
            <w:tcW w:w="801" w:type="dxa"/>
            <w:noWrap/>
          </w:tcPr>
          <w:p w14:paraId="5EE00EC1" w14:textId="77777777" w:rsidR="0015675E" w:rsidRPr="00797896" w:rsidRDefault="0015675E" w:rsidP="0015675E">
            <w:pPr>
              <w:pStyle w:val="Table"/>
              <w:ind w:right="-3"/>
            </w:pPr>
            <w:r w:rsidRPr="00797896">
              <w:t>22.2</w:t>
            </w:r>
          </w:p>
        </w:tc>
        <w:tc>
          <w:tcPr>
            <w:tcW w:w="800" w:type="dxa"/>
            <w:noWrap/>
          </w:tcPr>
          <w:p w14:paraId="54A2FE58" w14:textId="77777777" w:rsidR="0015675E" w:rsidRPr="00797896" w:rsidRDefault="0015675E" w:rsidP="0015675E">
            <w:pPr>
              <w:pStyle w:val="Table"/>
              <w:ind w:right="-3"/>
            </w:pPr>
            <w:r w:rsidRPr="00797896">
              <w:t>44.4</w:t>
            </w:r>
          </w:p>
        </w:tc>
        <w:tc>
          <w:tcPr>
            <w:tcW w:w="801" w:type="dxa"/>
            <w:noWrap/>
          </w:tcPr>
          <w:p w14:paraId="0C0455F5" w14:textId="77777777" w:rsidR="0015675E" w:rsidRPr="00797896" w:rsidRDefault="0015675E" w:rsidP="0015675E">
            <w:pPr>
              <w:pStyle w:val="Table"/>
              <w:ind w:right="-3"/>
            </w:pPr>
            <w:r w:rsidRPr="00797896">
              <w:t>0</w:t>
            </w:r>
          </w:p>
        </w:tc>
        <w:tc>
          <w:tcPr>
            <w:tcW w:w="834" w:type="dxa"/>
            <w:noWrap/>
          </w:tcPr>
          <w:p w14:paraId="1D623F45" w14:textId="77777777" w:rsidR="0015675E" w:rsidRPr="00797896" w:rsidRDefault="0015675E" w:rsidP="0015675E">
            <w:pPr>
              <w:pStyle w:val="Table"/>
              <w:ind w:right="-3"/>
            </w:pPr>
            <w:r w:rsidRPr="00797896">
              <w:t>0</w:t>
            </w:r>
          </w:p>
        </w:tc>
        <w:tc>
          <w:tcPr>
            <w:tcW w:w="850" w:type="dxa"/>
            <w:noWrap/>
          </w:tcPr>
          <w:p w14:paraId="5D21F46F" w14:textId="77777777" w:rsidR="0015675E" w:rsidRPr="00797896" w:rsidRDefault="0015675E" w:rsidP="0015675E">
            <w:pPr>
              <w:pStyle w:val="Table"/>
              <w:ind w:right="-3"/>
            </w:pPr>
            <w:r w:rsidRPr="00797896">
              <w:t>66.7</w:t>
            </w:r>
          </w:p>
        </w:tc>
        <w:tc>
          <w:tcPr>
            <w:tcW w:w="717" w:type="dxa"/>
            <w:noWrap/>
          </w:tcPr>
          <w:p w14:paraId="7AAB3344" w14:textId="77777777" w:rsidR="0015675E" w:rsidRPr="00797896" w:rsidRDefault="0015675E" w:rsidP="0015675E">
            <w:pPr>
              <w:pStyle w:val="Table"/>
              <w:ind w:right="-3"/>
            </w:pPr>
            <w:r w:rsidRPr="00797896">
              <w:t>22.2</w:t>
            </w:r>
          </w:p>
        </w:tc>
        <w:tc>
          <w:tcPr>
            <w:tcW w:w="801" w:type="dxa"/>
            <w:noWrap/>
          </w:tcPr>
          <w:p w14:paraId="14DABBF4" w14:textId="77777777" w:rsidR="0015675E" w:rsidRPr="00797896" w:rsidRDefault="0015675E" w:rsidP="0015675E">
            <w:pPr>
              <w:pStyle w:val="Table"/>
              <w:ind w:right="-3"/>
            </w:pPr>
            <w:r w:rsidRPr="00797896">
              <w:t>0</w:t>
            </w:r>
          </w:p>
        </w:tc>
        <w:tc>
          <w:tcPr>
            <w:tcW w:w="800" w:type="dxa"/>
            <w:noWrap/>
          </w:tcPr>
          <w:p w14:paraId="26694A0C" w14:textId="77777777" w:rsidR="0015675E" w:rsidRPr="00797896" w:rsidRDefault="0015675E" w:rsidP="0015675E">
            <w:pPr>
              <w:pStyle w:val="Table"/>
              <w:ind w:right="-3"/>
            </w:pPr>
            <w:r w:rsidRPr="00797896">
              <w:t>11.1</w:t>
            </w:r>
          </w:p>
        </w:tc>
        <w:tc>
          <w:tcPr>
            <w:tcW w:w="801" w:type="dxa"/>
            <w:noWrap/>
          </w:tcPr>
          <w:p w14:paraId="304A6FFF" w14:textId="77777777" w:rsidR="0015675E" w:rsidRPr="00797896" w:rsidRDefault="0015675E" w:rsidP="0015675E">
            <w:pPr>
              <w:pStyle w:val="Table"/>
              <w:ind w:right="-3"/>
            </w:pPr>
            <w:r w:rsidRPr="00797896">
              <w:t>33.3</w:t>
            </w:r>
          </w:p>
        </w:tc>
      </w:tr>
      <w:tr w:rsidR="0015675E" w:rsidRPr="00797896" w14:paraId="3D3EF47C" w14:textId="77777777" w:rsidTr="0038099B">
        <w:trPr>
          <w:trHeight w:val="300"/>
        </w:trPr>
        <w:tc>
          <w:tcPr>
            <w:tcW w:w="1809" w:type="dxa"/>
            <w:noWrap/>
          </w:tcPr>
          <w:p w14:paraId="411C893C" w14:textId="77777777" w:rsidR="0015675E" w:rsidRPr="00797896" w:rsidRDefault="0015675E" w:rsidP="0015675E">
            <w:pPr>
              <w:pStyle w:val="Table"/>
              <w:ind w:right="-3"/>
            </w:pPr>
            <w:r w:rsidRPr="00797896">
              <w:t>NSW Community</w:t>
            </w:r>
          </w:p>
        </w:tc>
        <w:tc>
          <w:tcPr>
            <w:tcW w:w="709" w:type="dxa"/>
            <w:noWrap/>
          </w:tcPr>
          <w:p w14:paraId="7EC98B19" w14:textId="77777777" w:rsidR="0015675E" w:rsidRPr="00797896" w:rsidRDefault="0015675E" w:rsidP="0015675E">
            <w:pPr>
              <w:pStyle w:val="Table"/>
              <w:ind w:right="-3"/>
            </w:pPr>
            <w:r w:rsidRPr="00797896">
              <w:t>9</w:t>
            </w:r>
          </w:p>
        </w:tc>
        <w:tc>
          <w:tcPr>
            <w:tcW w:w="608" w:type="dxa"/>
            <w:noWrap/>
          </w:tcPr>
          <w:p w14:paraId="14EA4927" w14:textId="77777777" w:rsidR="0015675E" w:rsidRPr="00797896" w:rsidRDefault="0015675E" w:rsidP="0015675E">
            <w:pPr>
              <w:pStyle w:val="Table"/>
              <w:ind w:right="-3"/>
            </w:pPr>
            <w:r w:rsidRPr="00797896">
              <w:t>18</w:t>
            </w:r>
          </w:p>
        </w:tc>
        <w:tc>
          <w:tcPr>
            <w:tcW w:w="801" w:type="dxa"/>
            <w:noWrap/>
          </w:tcPr>
          <w:p w14:paraId="7B051570" w14:textId="77777777" w:rsidR="0015675E" w:rsidRPr="00797896" w:rsidRDefault="0015675E" w:rsidP="0015675E">
            <w:pPr>
              <w:pStyle w:val="Table"/>
              <w:ind w:right="-3"/>
            </w:pPr>
            <w:r w:rsidRPr="00797896">
              <w:t>9</w:t>
            </w:r>
          </w:p>
        </w:tc>
        <w:tc>
          <w:tcPr>
            <w:tcW w:w="800" w:type="dxa"/>
            <w:noWrap/>
          </w:tcPr>
          <w:p w14:paraId="0D145357" w14:textId="77777777" w:rsidR="0015675E" w:rsidRPr="00797896" w:rsidRDefault="0015675E" w:rsidP="0015675E">
            <w:pPr>
              <w:pStyle w:val="Table"/>
              <w:ind w:right="-3"/>
            </w:pPr>
            <w:r w:rsidRPr="00797896">
              <w:t>2</w:t>
            </w:r>
          </w:p>
        </w:tc>
        <w:tc>
          <w:tcPr>
            <w:tcW w:w="801" w:type="dxa"/>
            <w:noWrap/>
          </w:tcPr>
          <w:p w14:paraId="5FCDE86D" w14:textId="77777777" w:rsidR="0015675E" w:rsidRPr="00797896" w:rsidRDefault="0015675E" w:rsidP="0015675E">
            <w:pPr>
              <w:pStyle w:val="Table"/>
              <w:ind w:right="-3"/>
            </w:pPr>
            <w:r w:rsidRPr="00797896">
              <w:t>5</w:t>
            </w:r>
          </w:p>
        </w:tc>
        <w:tc>
          <w:tcPr>
            <w:tcW w:w="800" w:type="dxa"/>
            <w:noWrap/>
          </w:tcPr>
          <w:p w14:paraId="795A83CC" w14:textId="77777777" w:rsidR="0015675E" w:rsidRPr="00797896" w:rsidRDefault="0015675E" w:rsidP="0015675E">
            <w:pPr>
              <w:pStyle w:val="Table"/>
              <w:ind w:right="-3"/>
            </w:pPr>
            <w:r w:rsidRPr="00797896">
              <w:t>4</w:t>
            </w:r>
          </w:p>
        </w:tc>
        <w:tc>
          <w:tcPr>
            <w:tcW w:w="801" w:type="dxa"/>
            <w:noWrap/>
          </w:tcPr>
          <w:p w14:paraId="207F2006" w14:textId="77777777" w:rsidR="0015675E" w:rsidRPr="00797896" w:rsidRDefault="0015675E" w:rsidP="0015675E">
            <w:pPr>
              <w:pStyle w:val="Table"/>
              <w:ind w:right="-3"/>
            </w:pPr>
            <w:r w:rsidRPr="00797896">
              <w:t>1</w:t>
            </w:r>
          </w:p>
        </w:tc>
        <w:tc>
          <w:tcPr>
            <w:tcW w:w="800" w:type="dxa"/>
            <w:noWrap/>
          </w:tcPr>
          <w:p w14:paraId="47FC43D8" w14:textId="77777777" w:rsidR="0015675E" w:rsidRPr="00797896" w:rsidRDefault="0015675E" w:rsidP="0015675E">
            <w:pPr>
              <w:pStyle w:val="Table"/>
              <w:ind w:right="-3"/>
            </w:pPr>
            <w:r w:rsidRPr="00797896">
              <w:t>48</w:t>
            </w:r>
          </w:p>
        </w:tc>
        <w:tc>
          <w:tcPr>
            <w:tcW w:w="801" w:type="dxa"/>
            <w:noWrap/>
          </w:tcPr>
          <w:p w14:paraId="33C3A21E" w14:textId="77777777" w:rsidR="0015675E" w:rsidRPr="00797896" w:rsidRDefault="0015675E" w:rsidP="0015675E">
            <w:pPr>
              <w:pStyle w:val="Table"/>
              <w:ind w:right="-3"/>
            </w:pPr>
            <w:r w:rsidRPr="00797896">
              <w:t>18.8</w:t>
            </w:r>
          </w:p>
        </w:tc>
        <w:tc>
          <w:tcPr>
            <w:tcW w:w="800" w:type="dxa"/>
            <w:noWrap/>
          </w:tcPr>
          <w:p w14:paraId="732F1AE8" w14:textId="77777777" w:rsidR="0015675E" w:rsidRPr="00797896" w:rsidRDefault="0015675E" w:rsidP="0015675E">
            <w:pPr>
              <w:pStyle w:val="Table"/>
              <w:ind w:right="-3"/>
            </w:pPr>
            <w:r w:rsidRPr="00797896">
              <w:t>37.5</w:t>
            </w:r>
          </w:p>
        </w:tc>
        <w:tc>
          <w:tcPr>
            <w:tcW w:w="801" w:type="dxa"/>
            <w:noWrap/>
          </w:tcPr>
          <w:p w14:paraId="71283774" w14:textId="77777777" w:rsidR="0015675E" w:rsidRPr="00797896" w:rsidRDefault="0015675E" w:rsidP="0015675E">
            <w:pPr>
              <w:pStyle w:val="Table"/>
              <w:ind w:right="-3"/>
            </w:pPr>
            <w:r w:rsidRPr="00797896">
              <w:t>18.8</w:t>
            </w:r>
          </w:p>
        </w:tc>
        <w:tc>
          <w:tcPr>
            <w:tcW w:w="834" w:type="dxa"/>
            <w:noWrap/>
          </w:tcPr>
          <w:p w14:paraId="2EE4630A" w14:textId="77777777" w:rsidR="0015675E" w:rsidRPr="00797896" w:rsidRDefault="0015675E" w:rsidP="0015675E">
            <w:pPr>
              <w:pStyle w:val="Table"/>
              <w:ind w:right="-3"/>
            </w:pPr>
            <w:r w:rsidRPr="00797896">
              <w:t>4.2</w:t>
            </w:r>
          </w:p>
        </w:tc>
        <w:tc>
          <w:tcPr>
            <w:tcW w:w="850" w:type="dxa"/>
            <w:noWrap/>
          </w:tcPr>
          <w:p w14:paraId="0AB840E4" w14:textId="77777777" w:rsidR="0015675E" w:rsidRPr="00797896" w:rsidRDefault="0015675E" w:rsidP="0015675E">
            <w:pPr>
              <w:pStyle w:val="Table"/>
              <w:ind w:right="-3"/>
            </w:pPr>
            <w:r w:rsidRPr="00797896">
              <w:t>79.2</w:t>
            </w:r>
          </w:p>
        </w:tc>
        <w:tc>
          <w:tcPr>
            <w:tcW w:w="717" w:type="dxa"/>
            <w:noWrap/>
          </w:tcPr>
          <w:p w14:paraId="599E1E87" w14:textId="77777777" w:rsidR="0015675E" w:rsidRPr="00797896" w:rsidRDefault="0015675E" w:rsidP="0015675E">
            <w:pPr>
              <w:pStyle w:val="Table"/>
              <w:ind w:right="-3"/>
            </w:pPr>
            <w:r w:rsidRPr="00797896">
              <w:t>10.4</w:t>
            </w:r>
          </w:p>
        </w:tc>
        <w:tc>
          <w:tcPr>
            <w:tcW w:w="801" w:type="dxa"/>
            <w:noWrap/>
          </w:tcPr>
          <w:p w14:paraId="2206079F" w14:textId="77777777" w:rsidR="0015675E" w:rsidRPr="00797896" w:rsidRDefault="0015675E" w:rsidP="0015675E">
            <w:pPr>
              <w:pStyle w:val="Table"/>
              <w:ind w:right="-3"/>
            </w:pPr>
            <w:r w:rsidRPr="00797896">
              <w:t>8.3</w:t>
            </w:r>
          </w:p>
        </w:tc>
        <w:tc>
          <w:tcPr>
            <w:tcW w:w="800" w:type="dxa"/>
            <w:noWrap/>
          </w:tcPr>
          <w:p w14:paraId="5C5F2BC9" w14:textId="77777777" w:rsidR="0015675E" w:rsidRPr="00797896" w:rsidRDefault="0015675E" w:rsidP="0015675E">
            <w:pPr>
              <w:pStyle w:val="Table"/>
              <w:ind w:right="-3"/>
            </w:pPr>
            <w:r w:rsidRPr="00797896">
              <w:t>2.1</w:t>
            </w:r>
          </w:p>
        </w:tc>
        <w:tc>
          <w:tcPr>
            <w:tcW w:w="801" w:type="dxa"/>
            <w:noWrap/>
          </w:tcPr>
          <w:p w14:paraId="4A1FB3BB" w14:textId="77777777" w:rsidR="0015675E" w:rsidRPr="00797896" w:rsidRDefault="0015675E" w:rsidP="0015675E">
            <w:pPr>
              <w:pStyle w:val="Table"/>
              <w:ind w:right="-3"/>
            </w:pPr>
            <w:r w:rsidRPr="00797896">
              <w:t>20.8</w:t>
            </w:r>
          </w:p>
        </w:tc>
      </w:tr>
      <w:tr w:rsidR="0015675E" w:rsidRPr="00797896" w14:paraId="1FBF1A0C" w14:textId="77777777" w:rsidTr="0038099B">
        <w:trPr>
          <w:trHeight w:val="300"/>
        </w:trPr>
        <w:tc>
          <w:tcPr>
            <w:tcW w:w="1809" w:type="dxa"/>
            <w:noWrap/>
          </w:tcPr>
          <w:p w14:paraId="333613F0" w14:textId="77777777" w:rsidR="0015675E" w:rsidRPr="00797896" w:rsidRDefault="0015675E" w:rsidP="0015675E">
            <w:pPr>
              <w:pStyle w:val="Table"/>
              <w:ind w:right="-3"/>
            </w:pPr>
            <w:r w:rsidRPr="00797896">
              <w:t>NSW Residential</w:t>
            </w:r>
          </w:p>
        </w:tc>
        <w:tc>
          <w:tcPr>
            <w:tcW w:w="709" w:type="dxa"/>
            <w:noWrap/>
          </w:tcPr>
          <w:p w14:paraId="3CA79E54" w14:textId="77777777" w:rsidR="0015675E" w:rsidRPr="00797896" w:rsidRDefault="0015675E" w:rsidP="0015675E">
            <w:pPr>
              <w:pStyle w:val="Table"/>
              <w:ind w:right="-3"/>
            </w:pPr>
            <w:r w:rsidRPr="00797896">
              <w:t>0</w:t>
            </w:r>
          </w:p>
        </w:tc>
        <w:tc>
          <w:tcPr>
            <w:tcW w:w="608" w:type="dxa"/>
            <w:noWrap/>
          </w:tcPr>
          <w:p w14:paraId="0571C294" w14:textId="77777777" w:rsidR="0015675E" w:rsidRPr="00797896" w:rsidRDefault="0015675E" w:rsidP="0015675E">
            <w:pPr>
              <w:pStyle w:val="Table"/>
              <w:ind w:right="-3"/>
            </w:pPr>
            <w:r w:rsidRPr="00797896">
              <w:t>10</w:t>
            </w:r>
          </w:p>
        </w:tc>
        <w:tc>
          <w:tcPr>
            <w:tcW w:w="801" w:type="dxa"/>
            <w:noWrap/>
          </w:tcPr>
          <w:p w14:paraId="784254DF" w14:textId="77777777" w:rsidR="0015675E" w:rsidRPr="00797896" w:rsidRDefault="0015675E" w:rsidP="0015675E">
            <w:pPr>
              <w:pStyle w:val="Table"/>
              <w:ind w:right="-3"/>
            </w:pPr>
            <w:r w:rsidRPr="00797896">
              <w:t>2</w:t>
            </w:r>
          </w:p>
        </w:tc>
        <w:tc>
          <w:tcPr>
            <w:tcW w:w="800" w:type="dxa"/>
            <w:noWrap/>
          </w:tcPr>
          <w:p w14:paraId="23BED631" w14:textId="77777777" w:rsidR="0015675E" w:rsidRPr="00797896" w:rsidRDefault="0015675E" w:rsidP="0015675E">
            <w:pPr>
              <w:pStyle w:val="Table"/>
              <w:ind w:right="-3"/>
            </w:pPr>
            <w:r w:rsidRPr="00797896">
              <w:t>2</w:t>
            </w:r>
          </w:p>
        </w:tc>
        <w:tc>
          <w:tcPr>
            <w:tcW w:w="801" w:type="dxa"/>
            <w:noWrap/>
          </w:tcPr>
          <w:p w14:paraId="6B2BCDEB" w14:textId="77777777" w:rsidR="0015675E" w:rsidRPr="00797896" w:rsidRDefault="0015675E" w:rsidP="0015675E">
            <w:pPr>
              <w:pStyle w:val="Table"/>
              <w:ind w:right="-3"/>
            </w:pPr>
            <w:r w:rsidRPr="00797896">
              <w:t>13</w:t>
            </w:r>
          </w:p>
        </w:tc>
        <w:tc>
          <w:tcPr>
            <w:tcW w:w="800" w:type="dxa"/>
            <w:noWrap/>
          </w:tcPr>
          <w:p w14:paraId="0A87B273" w14:textId="77777777" w:rsidR="0015675E" w:rsidRPr="00797896" w:rsidRDefault="0015675E" w:rsidP="0015675E">
            <w:pPr>
              <w:pStyle w:val="Table"/>
              <w:ind w:right="-3"/>
            </w:pPr>
            <w:r w:rsidRPr="00797896">
              <w:t>7</w:t>
            </w:r>
          </w:p>
        </w:tc>
        <w:tc>
          <w:tcPr>
            <w:tcW w:w="801" w:type="dxa"/>
            <w:noWrap/>
          </w:tcPr>
          <w:p w14:paraId="12D5A5D8" w14:textId="77777777" w:rsidR="0015675E" w:rsidRPr="00797896" w:rsidRDefault="0015675E" w:rsidP="0015675E">
            <w:pPr>
              <w:pStyle w:val="Table"/>
              <w:ind w:right="-3"/>
            </w:pPr>
            <w:r w:rsidRPr="00797896">
              <w:t>2</w:t>
            </w:r>
          </w:p>
        </w:tc>
        <w:tc>
          <w:tcPr>
            <w:tcW w:w="800" w:type="dxa"/>
            <w:noWrap/>
          </w:tcPr>
          <w:p w14:paraId="29480E8F" w14:textId="77777777" w:rsidR="0015675E" w:rsidRPr="00797896" w:rsidRDefault="0015675E" w:rsidP="0015675E">
            <w:pPr>
              <w:pStyle w:val="Table"/>
              <w:ind w:right="-3"/>
            </w:pPr>
            <w:r w:rsidRPr="00797896">
              <w:t>36</w:t>
            </w:r>
          </w:p>
        </w:tc>
        <w:tc>
          <w:tcPr>
            <w:tcW w:w="801" w:type="dxa"/>
            <w:noWrap/>
          </w:tcPr>
          <w:p w14:paraId="4C635B8A" w14:textId="77777777" w:rsidR="0015675E" w:rsidRPr="00797896" w:rsidRDefault="0015675E" w:rsidP="0015675E">
            <w:pPr>
              <w:pStyle w:val="Table"/>
              <w:ind w:right="-3"/>
            </w:pPr>
            <w:r w:rsidRPr="00797896">
              <w:t>0</w:t>
            </w:r>
          </w:p>
        </w:tc>
        <w:tc>
          <w:tcPr>
            <w:tcW w:w="800" w:type="dxa"/>
            <w:noWrap/>
          </w:tcPr>
          <w:p w14:paraId="1ABBA3F0" w14:textId="77777777" w:rsidR="0015675E" w:rsidRPr="00797896" w:rsidRDefault="0015675E" w:rsidP="0015675E">
            <w:pPr>
              <w:pStyle w:val="Table"/>
              <w:ind w:right="-3"/>
            </w:pPr>
            <w:r w:rsidRPr="00797896">
              <w:t>27.8</w:t>
            </w:r>
          </w:p>
        </w:tc>
        <w:tc>
          <w:tcPr>
            <w:tcW w:w="801" w:type="dxa"/>
            <w:noWrap/>
          </w:tcPr>
          <w:p w14:paraId="2B8CE9C2" w14:textId="77777777" w:rsidR="0015675E" w:rsidRPr="00797896" w:rsidRDefault="0015675E" w:rsidP="0015675E">
            <w:pPr>
              <w:pStyle w:val="Table"/>
              <w:ind w:right="-3"/>
            </w:pPr>
            <w:r w:rsidRPr="00797896">
              <w:t>5.6</w:t>
            </w:r>
          </w:p>
        </w:tc>
        <w:tc>
          <w:tcPr>
            <w:tcW w:w="834" w:type="dxa"/>
            <w:noWrap/>
          </w:tcPr>
          <w:p w14:paraId="57F07A76" w14:textId="77777777" w:rsidR="0015675E" w:rsidRPr="00797896" w:rsidRDefault="0015675E" w:rsidP="0015675E">
            <w:pPr>
              <w:pStyle w:val="Table"/>
              <w:ind w:right="-3"/>
            </w:pPr>
            <w:r w:rsidRPr="00797896">
              <w:t>5.6</w:t>
            </w:r>
          </w:p>
        </w:tc>
        <w:tc>
          <w:tcPr>
            <w:tcW w:w="850" w:type="dxa"/>
            <w:noWrap/>
          </w:tcPr>
          <w:p w14:paraId="3F96E98B" w14:textId="77777777" w:rsidR="0015675E" w:rsidRPr="00797896" w:rsidRDefault="0015675E" w:rsidP="0015675E">
            <w:pPr>
              <w:pStyle w:val="Table"/>
              <w:ind w:right="-3"/>
            </w:pPr>
            <w:r w:rsidRPr="00797896">
              <w:t>38.9</w:t>
            </w:r>
          </w:p>
        </w:tc>
        <w:tc>
          <w:tcPr>
            <w:tcW w:w="717" w:type="dxa"/>
            <w:noWrap/>
          </w:tcPr>
          <w:p w14:paraId="1B8A49D2" w14:textId="77777777" w:rsidR="0015675E" w:rsidRPr="00797896" w:rsidRDefault="0015675E" w:rsidP="0015675E">
            <w:pPr>
              <w:pStyle w:val="Table"/>
              <w:ind w:right="-3"/>
            </w:pPr>
            <w:r w:rsidRPr="00797896">
              <w:t>36.1</w:t>
            </w:r>
          </w:p>
        </w:tc>
        <w:tc>
          <w:tcPr>
            <w:tcW w:w="801" w:type="dxa"/>
            <w:noWrap/>
          </w:tcPr>
          <w:p w14:paraId="233ECC57" w14:textId="77777777" w:rsidR="0015675E" w:rsidRPr="00797896" w:rsidRDefault="0015675E" w:rsidP="0015675E">
            <w:pPr>
              <w:pStyle w:val="Table"/>
              <w:ind w:right="-3"/>
            </w:pPr>
            <w:r w:rsidRPr="00797896">
              <w:t>19.4</w:t>
            </w:r>
          </w:p>
        </w:tc>
        <w:tc>
          <w:tcPr>
            <w:tcW w:w="800" w:type="dxa"/>
            <w:noWrap/>
          </w:tcPr>
          <w:p w14:paraId="3B31F149" w14:textId="77777777" w:rsidR="0015675E" w:rsidRPr="00797896" w:rsidRDefault="0015675E" w:rsidP="0015675E">
            <w:pPr>
              <w:pStyle w:val="Table"/>
              <w:ind w:right="-3"/>
            </w:pPr>
            <w:r w:rsidRPr="00797896">
              <w:t>5.6</w:t>
            </w:r>
          </w:p>
        </w:tc>
        <w:tc>
          <w:tcPr>
            <w:tcW w:w="801" w:type="dxa"/>
            <w:noWrap/>
          </w:tcPr>
          <w:p w14:paraId="06024288" w14:textId="77777777" w:rsidR="0015675E" w:rsidRPr="00797896" w:rsidRDefault="0015675E" w:rsidP="0015675E">
            <w:pPr>
              <w:pStyle w:val="Table"/>
              <w:ind w:right="-3"/>
            </w:pPr>
            <w:r w:rsidRPr="00797896">
              <w:t>61.1</w:t>
            </w:r>
          </w:p>
        </w:tc>
      </w:tr>
      <w:tr w:rsidR="0015675E" w:rsidRPr="00797896" w14:paraId="223D36CD" w14:textId="77777777" w:rsidTr="0038099B">
        <w:trPr>
          <w:trHeight w:val="300"/>
        </w:trPr>
        <w:tc>
          <w:tcPr>
            <w:tcW w:w="1809" w:type="dxa"/>
            <w:noWrap/>
          </w:tcPr>
          <w:p w14:paraId="01571282" w14:textId="77777777" w:rsidR="0015675E" w:rsidRPr="00797896" w:rsidRDefault="0015675E" w:rsidP="0015675E">
            <w:pPr>
              <w:pStyle w:val="Table"/>
              <w:ind w:right="-3"/>
            </w:pPr>
            <w:r w:rsidRPr="00797896">
              <w:t>NSW Combination</w:t>
            </w:r>
          </w:p>
        </w:tc>
        <w:tc>
          <w:tcPr>
            <w:tcW w:w="709" w:type="dxa"/>
            <w:noWrap/>
          </w:tcPr>
          <w:p w14:paraId="046DB808" w14:textId="77777777" w:rsidR="0015675E" w:rsidRPr="00797896" w:rsidRDefault="0015675E" w:rsidP="0015675E">
            <w:pPr>
              <w:pStyle w:val="Table"/>
              <w:ind w:right="-3"/>
            </w:pPr>
            <w:r w:rsidRPr="00797896">
              <w:t>1</w:t>
            </w:r>
          </w:p>
        </w:tc>
        <w:tc>
          <w:tcPr>
            <w:tcW w:w="608" w:type="dxa"/>
            <w:noWrap/>
          </w:tcPr>
          <w:p w14:paraId="0039C43B" w14:textId="77777777" w:rsidR="0015675E" w:rsidRPr="00797896" w:rsidRDefault="0015675E" w:rsidP="0015675E">
            <w:pPr>
              <w:pStyle w:val="Table"/>
              <w:ind w:right="-3"/>
            </w:pPr>
            <w:r w:rsidRPr="00797896">
              <w:t>0</w:t>
            </w:r>
          </w:p>
        </w:tc>
        <w:tc>
          <w:tcPr>
            <w:tcW w:w="801" w:type="dxa"/>
            <w:noWrap/>
          </w:tcPr>
          <w:p w14:paraId="4329C8B0" w14:textId="77777777" w:rsidR="0015675E" w:rsidRPr="00797896" w:rsidRDefault="0015675E" w:rsidP="0015675E">
            <w:pPr>
              <w:pStyle w:val="Table"/>
              <w:ind w:right="-3"/>
            </w:pPr>
            <w:r w:rsidRPr="00797896">
              <w:t>0</w:t>
            </w:r>
          </w:p>
        </w:tc>
        <w:tc>
          <w:tcPr>
            <w:tcW w:w="800" w:type="dxa"/>
            <w:noWrap/>
          </w:tcPr>
          <w:p w14:paraId="3504E171" w14:textId="77777777" w:rsidR="0015675E" w:rsidRPr="00797896" w:rsidRDefault="0015675E" w:rsidP="0015675E">
            <w:pPr>
              <w:pStyle w:val="Table"/>
              <w:ind w:right="-3"/>
            </w:pPr>
            <w:r w:rsidRPr="00797896">
              <w:t>0</w:t>
            </w:r>
          </w:p>
        </w:tc>
        <w:tc>
          <w:tcPr>
            <w:tcW w:w="801" w:type="dxa"/>
            <w:noWrap/>
          </w:tcPr>
          <w:p w14:paraId="17497FE6" w14:textId="77777777" w:rsidR="0015675E" w:rsidRPr="00797896" w:rsidRDefault="0015675E" w:rsidP="0015675E">
            <w:pPr>
              <w:pStyle w:val="Table"/>
              <w:ind w:right="-3"/>
            </w:pPr>
            <w:r w:rsidRPr="00797896">
              <w:t>0</w:t>
            </w:r>
          </w:p>
        </w:tc>
        <w:tc>
          <w:tcPr>
            <w:tcW w:w="800" w:type="dxa"/>
            <w:noWrap/>
          </w:tcPr>
          <w:p w14:paraId="79BC57D8" w14:textId="77777777" w:rsidR="0015675E" w:rsidRPr="00797896" w:rsidRDefault="0015675E" w:rsidP="0015675E">
            <w:pPr>
              <w:pStyle w:val="Table"/>
              <w:ind w:right="-3"/>
            </w:pPr>
            <w:r w:rsidRPr="00797896">
              <w:t>0</w:t>
            </w:r>
          </w:p>
        </w:tc>
        <w:tc>
          <w:tcPr>
            <w:tcW w:w="801" w:type="dxa"/>
            <w:noWrap/>
          </w:tcPr>
          <w:p w14:paraId="4982E9A3" w14:textId="77777777" w:rsidR="0015675E" w:rsidRPr="00797896" w:rsidRDefault="0015675E" w:rsidP="0015675E">
            <w:pPr>
              <w:pStyle w:val="Table"/>
              <w:ind w:right="-3"/>
            </w:pPr>
            <w:r w:rsidRPr="00797896">
              <w:t>0</w:t>
            </w:r>
          </w:p>
        </w:tc>
        <w:tc>
          <w:tcPr>
            <w:tcW w:w="800" w:type="dxa"/>
            <w:noWrap/>
          </w:tcPr>
          <w:p w14:paraId="3E49E8E8" w14:textId="77777777" w:rsidR="0015675E" w:rsidRPr="00797896" w:rsidRDefault="0015675E" w:rsidP="0015675E">
            <w:pPr>
              <w:pStyle w:val="Table"/>
              <w:ind w:right="-3"/>
            </w:pPr>
            <w:r w:rsidRPr="00797896">
              <w:t>1</w:t>
            </w:r>
          </w:p>
        </w:tc>
        <w:tc>
          <w:tcPr>
            <w:tcW w:w="801" w:type="dxa"/>
            <w:noWrap/>
          </w:tcPr>
          <w:p w14:paraId="3478EC31" w14:textId="77777777" w:rsidR="0015675E" w:rsidRPr="00797896" w:rsidRDefault="0015675E" w:rsidP="0015675E">
            <w:pPr>
              <w:pStyle w:val="Table"/>
              <w:ind w:right="-3"/>
            </w:pPr>
            <w:r w:rsidRPr="00797896">
              <w:t>100</w:t>
            </w:r>
          </w:p>
        </w:tc>
        <w:tc>
          <w:tcPr>
            <w:tcW w:w="800" w:type="dxa"/>
            <w:noWrap/>
          </w:tcPr>
          <w:p w14:paraId="1E09DA76" w14:textId="77777777" w:rsidR="0015675E" w:rsidRPr="00797896" w:rsidRDefault="0015675E" w:rsidP="0015675E">
            <w:pPr>
              <w:pStyle w:val="Table"/>
              <w:ind w:right="-3"/>
            </w:pPr>
            <w:r w:rsidRPr="00797896">
              <w:t>0</w:t>
            </w:r>
          </w:p>
        </w:tc>
        <w:tc>
          <w:tcPr>
            <w:tcW w:w="801" w:type="dxa"/>
            <w:noWrap/>
          </w:tcPr>
          <w:p w14:paraId="7B0E9F5B" w14:textId="77777777" w:rsidR="0015675E" w:rsidRPr="00797896" w:rsidRDefault="0015675E" w:rsidP="0015675E">
            <w:pPr>
              <w:pStyle w:val="Table"/>
              <w:ind w:right="-3"/>
            </w:pPr>
            <w:r w:rsidRPr="00797896">
              <w:t>0</w:t>
            </w:r>
          </w:p>
        </w:tc>
        <w:tc>
          <w:tcPr>
            <w:tcW w:w="834" w:type="dxa"/>
            <w:noWrap/>
          </w:tcPr>
          <w:p w14:paraId="7B0452A0" w14:textId="77777777" w:rsidR="0015675E" w:rsidRPr="00797896" w:rsidRDefault="0015675E" w:rsidP="0015675E">
            <w:pPr>
              <w:pStyle w:val="Table"/>
              <w:ind w:right="-3"/>
            </w:pPr>
            <w:r w:rsidRPr="00797896">
              <w:t>0</w:t>
            </w:r>
          </w:p>
        </w:tc>
        <w:tc>
          <w:tcPr>
            <w:tcW w:w="850" w:type="dxa"/>
            <w:noWrap/>
          </w:tcPr>
          <w:p w14:paraId="6FE2CBF8" w14:textId="77777777" w:rsidR="0015675E" w:rsidRPr="00797896" w:rsidRDefault="0015675E" w:rsidP="0015675E">
            <w:pPr>
              <w:pStyle w:val="Table"/>
              <w:ind w:right="-3"/>
            </w:pPr>
            <w:r w:rsidRPr="00797896">
              <w:t>100</w:t>
            </w:r>
          </w:p>
        </w:tc>
        <w:tc>
          <w:tcPr>
            <w:tcW w:w="717" w:type="dxa"/>
            <w:noWrap/>
          </w:tcPr>
          <w:p w14:paraId="6AB7CF12" w14:textId="77777777" w:rsidR="0015675E" w:rsidRPr="00797896" w:rsidRDefault="0015675E" w:rsidP="0015675E">
            <w:pPr>
              <w:pStyle w:val="Table"/>
              <w:ind w:right="-3"/>
            </w:pPr>
            <w:r w:rsidRPr="00797896">
              <w:t>0</w:t>
            </w:r>
          </w:p>
        </w:tc>
        <w:tc>
          <w:tcPr>
            <w:tcW w:w="801" w:type="dxa"/>
            <w:noWrap/>
          </w:tcPr>
          <w:p w14:paraId="288FC79F" w14:textId="77777777" w:rsidR="0015675E" w:rsidRPr="00797896" w:rsidRDefault="0015675E" w:rsidP="0015675E">
            <w:pPr>
              <w:pStyle w:val="Table"/>
              <w:ind w:right="-3"/>
            </w:pPr>
            <w:r w:rsidRPr="00797896">
              <w:t>0</w:t>
            </w:r>
          </w:p>
        </w:tc>
        <w:tc>
          <w:tcPr>
            <w:tcW w:w="800" w:type="dxa"/>
            <w:noWrap/>
          </w:tcPr>
          <w:p w14:paraId="2EE9EFB0" w14:textId="77777777" w:rsidR="0015675E" w:rsidRPr="00797896" w:rsidRDefault="0015675E" w:rsidP="0015675E">
            <w:pPr>
              <w:pStyle w:val="Table"/>
              <w:ind w:right="-3"/>
            </w:pPr>
            <w:r w:rsidRPr="00797896">
              <w:t>0</w:t>
            </w:r>
          </w:p>
        </w:tc>
        <w:tc>
          <w:tcPr>
            <w:tcW w:w="801" w:type="dxa"/>
            <w:noWrap/>
          </w:tcPr>
          <w:p w14:paraId="5F9CED01" w14:textId="77777777" w:rsidR="0015675E" w:rsidRPr="00797896" w:rsidRDefault="0015675E" w:rsidP="0015675E">
            <w:pPr>
              <w:pStyle w:val="Table"/>
              <w:ind w:right="-3"/>
            </w:pPr>
            <w:r w:rsidRPr="00797896">
              <w:t>0</w:t>
            </w:r>
          </w:p>
        </w:tc>
      </w:tr>
      <w:tr w:rsidR="0015675E" w:rsidRPr="00797896" w14:paraId="0339EC28" w14:textId="77777777" w:rsidTr="0038099B">
        <w:trPr>
          <w:trHeight w:val="300"/>
        </w:trPr>
        <w:tc>
          <w:tcPr>
            <w:tcW w:w="1809" w:type="dxa"/>
            <w:noWrap/>
          </w:tcPr>
          <w:p w14:paraId="216C1E7B" w14:textId="77777777" w:rsidR="0015675E" w:rsidRPr="00797896" w:rsidRDefault="0015675E" w:rsidP="0015675E">
            <w:pPr>
              <w:pStyle w:val="Table"/>
              <w:ind w:right="-3"/>
            </w:pPr>
            <w:r w:rsidRPr="00797896">
              <w:t>NSW Total</w:t>
            </w:r>
          </w:p>
        </w:tc>
        <w:tc>
          <w:tcPr>
            <w:tcW w:w="709" w:type="dxa"/>
            <w:noWrap/>
          </w:tcPr>
          <w:p w14:paraId="4BDA1D83" w14:textId="77777777" w:rsidR="0015675E" w:rsidRPr="00797896" w:rsidRDefault="0015675E" w:rsidP="0015675E">
            <w:pPr>
              <w:pStyle w:val="Table"/>
              <w:ind w:right="-3"/>
            </w:pPr>
            <w:r w:rsidRPr="00797896">
              <w:t>10</w:t>
            </w:r>
          </w:p>
        </w:tc>
        <w:tc>
          <w:tcPr>
            <w:tcW w:w="608" w:type="dxa"/>
            <w:noWrap/>
          </w:tcPr>
          <w:p w14:paraId="09AB19B6" w14:textId="77777777" w:rsidR="0015675E" w:rsidRPr="00797896" w:rsidRDefault="0015675E" w:rsidP="0015675E">
            <w:pPr>
              <w:pStyle w:val="Table"/>
              <w:ind w:right="-3"/>
            </w:pPr>
            <w:r w:rsidRPr="00797896">
              <w:t>28</w:t>
            </w:r>
          </w:p>
        </w:tc>
        <w:tc>
          <w:tcPr>
            <w:tcW w:w="801" w:type="dxa"/>
            <w:noWrap/>
          </w:tcPr>
          <w:p w14:paraId="04061CE9" w14:textId="77777777" w:rsidR="0015675E" w:rsidRPr="00797896" w:rsidRDefault="0015675E" w:rsidP="0015675E">
            <w:pPr>
              <w:pStyle w:val="Table"/>
              <w:ind w:right="-3"/>
            </w:pPr>
            <w:r w:rsidRPr="00797896">
              <w:t>11</w:t>
            </w:r>
          </w:p>
        </w:tc>
        <w:tc>
          <w:tcPr>
            <w:tcW w:w="800" w:type="dxa"/>
            <w:noWrap/>
          </w:tcPr>
          <w:p w14:paraId="798FB630" w14:textId="77777777" w:rsidR="0015675E" w:rsidRPr="00797896" w:rsidRDefault="0015675E" w:rsidP="0015675E">
            <w:pPr>
              <w:pStyle w:val="Table"/>
              <w:ind w:right="-3"/>
            </w:pPr>
            <w:r w:rsidRPr="00797896">
              <w:t>4</w:t>
            </w:r>
          </w:p>
        </w:tc>
        <w:tc>
          <w:tcPr>
            <w:tcW w:w="801" w:type="dxa"/>
            <w:noWrap/>
          </w:tcPr>
          <w:p w14:paraId="194D3B56" w14:textId="77777777" w:rsidR="0015675E" w:rsidRPr="00797896" w:rsidRDefault="0015675E" w:rsidP="0015675E">
            <w:pPr>
              <w:pStyle w:val="Table"/>
              <w:ind w:right="-3"/>
            </w:pPr>
            <w:r w:rsidRPr="00797896">
              <w:t>18</w:t>
            </w:r>
          </w:p>
        </w:tc>
        <w:tc>
          <w:tcPr>
            <w:tcW w:w="800" w:type="dxa"/>
            <w:noWrap/>
          </w:tcPr>
          <w:p w14:paraId="42EA1B4C" w14:textId="77777777" w:rsidR="0015675E" w:rsidRPr="00797896" w:rsidRDefault="0015675E" w:rsidP="0015675E">
            <w:pPr>
              <w:pStyle w:val="Table"/>
              <w:ind w:right="-3"/>
            </w:pPr>
            <w:r w:rsidRPr="00797896">
              <w:t>11</w:t>
            </w:r>
          </w:p>
        </w:tc>
        <w:tc>
          <w:tcPr>
            <w:tcW w:w="801" w:type="dxa"/>
            <w:noWrap/>
          </w:tcPr>
          <w:p w14:paraId="2A261045" w14:textId="77777777" w:rsidR="0015675E" w:rsidRPr="00797896" w:rsidRDefault="0015675E" w:rsidP="0015675E">
            <w:pPr>
              <w:pStyle w:val="Table"/>
              <w:ind w:right="-3"/>
            </w:pPr>
            <w:r w:rsidRPr="00797896">
              <w:t>3</w:t>
            </w:r>
          </w:p>
        </w:tc>
        <w:tc>
          <w:tcPr>
            <w:tcW w:w="800" w:type="dxa"/>
            <w:noWrap/>
          </w:tcPr>
          <w:p w14:paraId="114B02DB" w14:textId="77777777" w:rsidR="0015675E" w:rsidRPr="00797896" w:rsidRDefault="0015675E" w:rsidP="0015675E">
            <w:pPr>
              <w:pStyle w:val="Table"/>
              <w:ind w:right="-3"/>
            </w:pPr>
            <w:r w:rsidRPr="00797896">
              <w:t>85</w:t>
            </w:r>
          </w:p>
        </w:tc>
        <w:tc>
          <w:tcPr>
            <w:tcW w:w="801" w:type="dxa"/>
            <w:noWrap/>
          </w:tcPr>
          <w:p w14:paraId="05B95298" w14:textId="77777777" w:rsidR="0015675E" w:rsidRPr="00797896" w:rsidRDefault="0015675E" w:rsidP="0015675E">
            <w:pPr>
              <w:pStyle w:val="Table"/>
              <w:ind w:right="-3"/>
            </w:pPr>
            <w:r w:rsidRPr="00797896">
              <w:t>11.8</w:t>
            </w:r>
          </w:p>
        </w:tc>
        <w:tc>
          <w:tcPr>
            <w:tcW w:w="800" w:type="dxa"/>
            <w:noWrap/>
          </w:tcPr>
          <w:p w14:paraId="31A24C30" w14:textId="77777777" w:rsidR="0015675E" w:rsidRPr="00797896" w:rsidRDefault="0015675E" w:rsidP="0015675E">
            <w:pPr>
              <w:pStyle w:val="Table"/>
              <w:ind w:right="-3"/>
            </w:pPr>
            <w:r w:rsidRPr="00797896">
              <w:t>32.9</w:t>
            </w:r>
          </w:p>
        </w:tc>
        <w:tc>
          <w:tcPr>
            <w:tcW w:w="801" w:type="dxa"/>
            <w:noWrap/>
          </w:tcPr>
          <w:p w14:paraId="3A51A567" w14:textId="77777777" w:rsidR="0015675E" w:rsidRPr="00797896" w:rsidRDefault="0015675E" w:rsidP="0015675E">
            <w:pPr>
              <w:pStyle w:val="Table"/>
              <w:ind w:right="-3"/>
            </w:pPr>
            <w:r w:rsidRPr="00797896">
              <w:t>12.9</w:t>
            </w:r>
          </w:p>
        </w:tc>
        <w:tc>
          <w:tcPr>
            <w:tcW w:w="834" w:type="dxa"/>
            <w:noWrap/>
          </w:tcPr>
          <w:p w14:paraId="694343B2" w14:textId="77777777" w:rsidR="0015675E" w:rsidRPr="00797896" w:rsidRDefault="0015675E" w:rsidP="0015675E">
            <w:pPr>
              <w:pStyle w:val="Table"/>
              <w:ind w:right="-3"/>
            </w:pPr>
            <w:r w:rsidRPr="00797896">
              <w:t>4.7</w:t>
            </w:r>
          </w:p>
        </w:tc>
        <w:tc>
          <w:tcPr>
            <w:tcW w:w="850" w:type="dxa"/>
            <w:noWrap/>
          </w:tcPr>
          <w:p w14:paraId="5488F75A" w14:textId="77777777" w:rsidR="0015675E" w:rsidRPr="00797896" w:rsidRDefault="0015675E" w:rsidP="0015675E">
            <w:pPr>
              <w:pStyle w:val="Table"/>
              <w:ind w:right="-3"/>
            </w:pPr>
            <w:r w:rsidRPr="00797896">
              <w:t>62.4</w:t>
            </w:r>
          </w:p>
        </w:tc>
        <w:tc>
          <w:tcPr>
            <w:tcW w:w="717" w:type="dxa"/>
            <w:noWrap/>
          </w:tcPr>
          <w:p w14:paraId="258622EB" w14:textId="77777777" w:rsidR="0015675E" w:rsidRPr="00797896" w:rsidRDefault="0015675E" w:rsidP="0015675E">
            <w:pPr>
              <w:pStyle w:val="Table"/>
              <w:ind w:right="-3"/>
            </w:pPr>
            <w:r w:rsidRPr="00797896">
              <w:t>21.2</w:t>
            </w:r>
          </w:p>
        </w:tc>
        <w:tc>
          <w:tcPr>
            <w:tcW w:w="801" w:type="dxa"/>
            <w:noWrap/>
          </w:tcPr>
          <w:p w14:paraId="25F66871" w14:textId="77777777" w:rsidR="0015675E" w:rsidRPr="00797896" w:rsidRDefault="0015675E" w:rsidP="0015675E">
            <w:pPr>
              <w:pStyle w:val="Table"/>
              <w:ind w:right="-3"/>
            </w:pPr>
            <w:r w:rsidRPr="00797896">
              <w:t>12.9</w:t>
            </w:r>
          </w:p>
        </w:tc>
        <w:tc>
          <w:tcPr>
            <w:tcW w:w="800" w:type="dxa"/>
            <w:noWrap/>
          </w:tcPr>
          <w:p w14:paraId="79116D12" w14:textId="77777777" w:rsidR="0015675E" w:rsidRPr="00797896" w:rsidRDefault="0015675E" w:rsidP="0015675E">
            <w:pPr>
              <w:pStyle w:val="Table"/>
              <w:ind w:right="-3"/>
            </w:pPr>
            <w:r w:rsidRPr="00797896">
              <w:t>3.5</w:t>
            </w:r>
          </w:p>
        </w:tc>
        <w:tc>
          <w:tcPr>
            <w:tcW w:w="801" w:type="dxa"/>
            <w:noWrap/>
          </w:tcPr>
          <w:p w14:paraId="2C924A52" w14:textId="77777777" w:rsidR="0015675E" w:rsidRPr="00797896" w:rsidRDefault="0015675E" w:rsidP="0015675E">
            <w:pPr>
              <w:pStyle w:val="Table"/>
              <w:ind w:right="-3"/>
            </w:pPr>
            <w:r w:rsidRPr="00797896">
              <w:t>37.6</w:t>
            </w:r>
          </w:p>
        </w:tc>
      </w:tr>
      <w:tr w:rsidR="0015675E" w:rsidRPr="00797896" w14:paraId="20EA2ADC" w14:textId="77777777" w:rsidTr="0038099B">
        <w:trPr>
          <w:trHeight w:val="300"/>
        </w:trPr>
        <w:tc>
          <w:tcPr>
            <w:tcW w:w="1809" w:type="dxa"/>
            <w:noWrap/>
          </w:tcPr>
          <w:p w14:paraId="60256F21" w14:textId="77777777" w:rsidR="0015675E" w:rsidRPr="00797896" w:rsidRDefault="0015675E" w:rsidP="0015675E">
            <w:pPr>
              <w:pStyle w:val="Table"/>
              <w:ind w:right="-3"/>
            </w:pPr>
            <w:r w:rsidRPr="00797896">
              <w:t>QLD Community</w:t>
            </w:r>
          </w:p>
        </w:tc>
        <w:tc>
          <w:tcPr>
            <w:tcW w:w="709" w:type="dxa"/>
            <w:noWrap/>
          </w:tcPr>
          <w:p w14:paraId="17253277" w14:textId="77777777" w:rsidR="0015675E" w:rsidRPr="00797896" w:rsidRDefault="0015675E" w:rsidP="0015675E">
            <w:pPr>
              <w:pStyle w:val="Table"/>
              <w:ind w:right="-3"/>
            </w:pPr>
            <w:r w:rsidRPr="00797896">
              <w:t>2</w:t>
            </w:r>
          </w:p>
        </w:tc>
        <w:tc>
          <w:tcPr>
            <w:tcW w:w="608" w:type="dxa"/>
            <w:noWrap/>
          </w:tcPr>
          <w:p w14:paraId="090DB1D0" w14:textId="77777777" w:rsidR="0015675E" w:rsidRPr="00797896" w:rsidRDefault="0015675E" w:rsidP="0015675E">
            <w:pPr>
              <w:pStyle w:val="Table"/>
              <w:ind w:right="-3"/>
            </w:pPr>
            <w:r w:rsidRPr="00797896">
              <w:t>3</w:t>
            </w:r>
          </w:p>
        </w:tc>
        <w:tc>
          <w:tcPr>
            <w:tcW w:w="801" w:type="dxa"/>
            <w:noWrap/>
          </w:tcPr>
          <w:p w14:paraId="6D6B1CFA" w14:textId="77777777" w:rsidR="0015675E" w:rsidRPr="00797896" w:rsidRDefault="0015675E" w:rsidP="0015675E">
            <w:pPr>
              <w:pStyle w:val="Table"/>
              <w:ind w:right="-3"/>
            </w:pPr>
            <w:r w:rsidRPr="00797896">
              <w:t>3</w:t>
            </w:r>
          </w:p>
        </w:tc>
        <w:tc>
          <w:tcPr>
            <w:tcW w:w="800" w:type="dxa"/>
            <w:noWrap/>
          </w:tcPr>
          <w:p w14:paraId="4143874D" w14:textId="77777777" w:rsidR="0015675E" w:rsidRPr="00797896" w:rsidRDefault="0015675E" w:rsidP="0015675E">
            <w:pPr>
              <w:pStyle w:val="Table"/>
              <w:ind w:right="-3"/>
            </w:pPr>
          </w:p>
        </w:tc>
        <w:tc>
          <w:tcPr>
            <w:tcW w:w="801" w:type="dxa"/>
            <w:noWrap/>
          </w:tcPr>
          <w:p w14:paraId="56AA5EC7" w14:textId="77777777" w:rsidR="0015675E" w:rsidRPr="00797896" w:rsidRDefault="0015675E" w:rsidP="0015675E">
            <w:pPr>
              <w:pStyle w:val="Table"/>
              <w:ind w:right="-3"/>
            </w:pPr>
            <w:r w:rsidRPr="00797896">
              <w:t>1</w:t>
            </w:r>
          </w:p>
        </w:tc>
        <w:tc>
          <w:tcPr>
            <w:tcW w:w="800" w:type="dxa"/>
            <w:noWrap/>
          </w:tcPr>
          <w:p w14:paraId="6102CEE9" w14:textId="77777777" w:rsidR="0015675E" w:rsidRPr="00797896" w:rsidRDefault="0015675E" w:rsidP="0015675E">
            <w:pPr>
              <w:pStyle w:val="Table"/>
              <w:ind w:right="-3"/>
            </w:pPr>
            <w:r w:rsidRPr="00797896">
              <w:t>4</w:t>
            </w:r>
          </w:p>
        </w:tc>
        <w:tc>
          <w:tcPr>
            <w:tcW w:w="801" w:type="dxa"/>
            <w:noWrap/>
          </w:tcPr>
          <w:p w14:paraId="43C89996" w14:textId="77777777" w:rsidR="0015675E" w:rsidRPr="00797896" w:rsidRDefault="0015675E" w:rsidP="0015675E">
            <w:pPr>
              <w:pStyle w:val="Table"/>
              <w:ind w:right="-3"/>
            </w:pPr>
          </w:p>
        </w:tc>
        <w:tc>
          <w:tcPr>
            <w:tcW w:w="800" w:type="dxa"/>
            <w:noWrap/>
          </w:tcPr>
          <w:p w14:paraId="01B8DA46" w14:textId="77777777" w:rsidR="0015675E" w:rsidRPr="00797896" w:rsidRDefault="0015675E" w:rsidP="0015675E">
            <w:pPr>
              <w:pStyle w:val="Table"/>
              <w:ind w:right="-3"/>
            </w:pPr>
            <w:r w:rsidRPr="00797896">
              <w:t>13</w:t>
            </w:r>
          </w:p>
        </w:tc>
        <w:tc>
          <w:tcPr>
            <w:tcW w:w="801" w:type="dxa"/>
            <w:noWrap/>
          </w:tcPr>
          <w:p w14:paraId="2B9A6D8C" w14:textId="77777777" w:rsidR="0015675E" w:rsidRPr="00797896" w:rsidRDefault="0015675E" w:rsidP="0015675E">
            <w:pPr>
              <w:pStyle w:val="Table"/>
              <w:ind w:right="-3"/>
            </w:pPr>
            <w:r w:rsidRPr="00797896">
              <w:t>15.4</w:t>
            </w:r>
          </w:p>
        </w:tc>
        <w:tc>
          <w:tcPr>
            <w:tcW w:w="800" w:type="dxa"/>
            <w:noWrap/>
          </w:tcPr>
          <w:p w14:paraId="5E695D97" w14:textId="77777777" w:rsidR="0015675E" w:rsidRPr="00797896" w:rsidRDefault="0015675E" w:rsidP="0015675E">
            <w:pPr>
              <w:pStyle w:val="Table"/>
              <w:ind w:right="-3"/>
            </w:pPr>
            <w:r w:rsidRPr="00797896">
              <w:t>23.1</w:t>
            </w:r>
          </w:p>
        </w:tc>
        <w:tc>
          <w:tcPr>
            <w:tcW w:w="801" w:type="dxa"/>
            <w:noWrap/>
          </w:tcPr>
          <w:p w14:paraId="0B385083" w14:textId="77777777" w:rsidR="0015675E" w:rsidRPr="00797896" w:rsidRDefault="0015675E" w:rsidP="0015675E">
            <w:pPr>
              <w:pStyle w:val="Table"/>
              <w:ind w:right="-3"/>
            </w:pPr>
            <w:r w:rsidRPr="00797896">
              <w:t>23.1</w:t>
            </w:r>
          </w:p>
        </w:tc>
        <w:tc>
          <w:tcPr>
            <w:tcW w:w="834" w:type="dxa"/>
            <w:noWrap/>
          </w:tcPr>
          <w:p w14:paraId="0A755F3A" w14:textId="77777777" w:rsidR="0015675E" w:rsidRPr="00797896" w:rsidRDefault="0015675E" w:rsidP="0015675E">
            <w:pPr>
              <w:pStyle w:val="Table"/>
              <w:ind w:right="-3"/>
            </w:pPr>
            <w:r w:rsidRPr="00797896">
              <w:t>0</w:t>
            </w:r>
          </w:p>
        </w:tc>
        <w:tc>
          <w:tcPr>
            <w:tcW w:w="850" w:type="dxa"/>
            <w:noWrap/>
          </w:tcPr>
          <w:p w14:paraId="53D2D8EF" w14:textId="77777777" w:rsidR="0015675E" w:rsidRPr="00797896" w:rsidRDefault="0015675E" w:rsidP="0015675E">
            <w:pPr>
              <w:pStyle w:val="Table"/>
              <w:ind w:right="-3"/>
            </w:pPr>
            <w:r w:rsidRPr="00797896">
              <w:t>61.5</w:t>
            </w:r>
          </w:p>
        </w:tc>
        <w:tc>
          <w:tcPr>
            <w:tcW w:w="717" w:type="dxa"/>
            <w:noWrap/>
          </w:tcPr>
          <w:p w14:paraId="5AD930C0" w14:textId="77777777" w:rsidR="0015675E" w:rsidRPr="00797896" w:rsidRDefault="0015675E" w:rsidP="0015675E">
            <w:pPr>
              <w:pStyle w:val="Table"/>
              <w:ind w:right="-3"/>
            </w:pPr>
            <w:r w:rsidRPr="00797896">
              <w:t>7.7</w:t>
            </w:r>
          </w:p>
        </w:tc>
        <w:tc>
          <w:tcPr>
            <w:tcW w:w="801" w:type="dxa"/>
            <w:noWrap/>
          </w:tcPr>
          <w:p w14:paraId="59300D1D" w14:textId="77777777" w:rsidR="0015675E" w:rsidRPr="00797896" w:rsidRDefault="0015675E" w:rsidP="0015675E">
            <w:pPr>
              <w:pStyle w:val="Table"/>
              <w:ind w:right="-3"/>
            </w:pPr>
            <w:r w:rsidRPr="00797896">
              <w:t>30.8</w:t>
            </w:r>
          </w:p>
        </w:tc>
        <w:tc>
          <w:tcPr>
            <w:tcW w:w="800" w:type="dxa"/>
            <w:noWrap/>
          </w:tcPr>
          <w:p w14:paraId="237409CC" w14:textId="77777777" w:rsidR="0015675E" w:rsidRPr="00797896" w:rsidRDefault="0015675E" w:rsidP="0015675E">
            <w:pPr>
              <w:pStyle w:val="Table"/>
              <w:ind w:right="-3"/>
            </w:pPr>
            <w:r w:rsidRPr="00797896">
              <w:t>0</w:t>
            </w:r>
          </w:p>
        </w:tc>
        <w:tc>
          <w:tcPr>
            <w:tcW w:w="801" w:type="dxa"/>
            <w:noWrap/>
          </w:tcPr>
          <w:p w14:paraId="35A89F0B" w14:textId="77777777" w:rsidR="0015675E" w:rsidRPr="00797896" w:rsidRDefault="0015675E" w:rsidP="0015675E">
            <w:pPr>
              <w:pStyle w:val="Table"/>
              <w:ind w:right="-3"/>
            </w:pPr>
            <w:r w:rsidRPr="00797896">
              <w:t>38.5</w:t>
            </w:r>
          </w:p>
        </w:tc>
      </w:tr>
      <w:tr w:rsidR="0015675E" w:rsidRPr="00797896" w14:paraId="5DD9C498" w14:textId="77777777" w:rsidTr="0038099B">
        <w:trPr>
          <w:trHeight w:val="300"/>
        </w:trPr>
        <w:tc>
          <w:tcPr>
            <w:tcW w:w="1809" w:type="dxa"/>
            <w:noWrap/>
          </w:tcPr>
          <w:p w14:paraId="527B06CC" w14:textId="77777777" w:rsidR="0015675E" w:rsidRPr="00797896" w:rsidRDefault="0015675E" w:rsidP="0015675E">
            <w:pPr>
              <w:pStyle w:val="Table"/>
              <w:ind w:right="-3"/>
            </w:pPr>
            <w:r w:rsidRPr="00797896">
              <w:t>QLD Total</w:t>
            </w:r>
          </w:p>
        </w:tc>
        <w:tc>
          <w:tcPr>
            <w:tcW w:w="709" w:type="dxa"/>
            <w:noWrap/>
          </w:tcPr>
          <w:p w14:paraId="54C0A7E2" w14:textId="77777777" w:rsidR="0015675E" w:rsidRPr="00797896" w:rsidRDefault="0015675E" w:rsidP="0015675E">
            <w:pPr>
              <w:pStyle w:val="Table"/>
              <w:ind w:right="-3"/>
            </w:pPr>
            <w:r w:rsidRPr="00797896">
              <w:t>2</w:t>
            </w:r>
          </w:p>
        </w:tc>
        <w:tc>
          <w:tcPr>
            <w:tcW w:w="608" w:type="dxa"/>
            <w:noWrap/>
          </w:tcPr>
          <w:p w14:paraId="7DF578E4" w14:textId="77777777" w:rsidR="0015675E" w:rsidRPr="00797896" w:rsidRDefault="0015675E" w:rsidP="0015675E">
            <w:pPr>
              <w:pStyle w:val="Table"/>
              <w:ind w:right="-3"/>
            </w:pPr>
            <w:r w:rsidRPr="00797896">
              <w:t>3</w:t>
            </w:r>
          </w:p>
        </w:tc>
        <w:tc>
          <w:tcPr>
            <w:tcW w:w="801" w:type="dxa"/>
            <w:noWrap/>
          </w:tcPr>
          <w:p w14:paraId="4D2BC354" w14:textId="77777777" w:rsidR="0015675E" w:rsidRPr="00797896" w:rsidRDefault="0015675E" w:rsidP="0015675E">
            <w:pPr>
              <w:pStyle w:val="Table"/>
              <w:ind w:right="-3"/>
            </w:pPr>
            <w:r w:rsidRPr="00797896">
              <w:t>3</w:t>
            </w:r>
          </w:p>
        </w:tc>
        <w:tc>
          <w:tcPr>
            <w:tcW w:w="800" w:type="dxa"/>
            <w:noWrap/>
          </w:tcPr>
          <w:p w14:paraId="22F15B23" w14:textId="77777777" w:rsidR="0015675E" w:rsidRPr="00797896" w:rsidRDefault="0015675E" w:rsidP="0015675E">
            <w:pPr>
              <w:pStyle w:val="Table"/>
              <w:ind w:right="-3"/>
            </w:pPr>
          </w:p>
        </w:tc>
        <w:tc>
          <w:tcPr>
            <w:tcW w:w="801" w:type="dxa"/>
            <w:noWrap/>
          </w:tcPr>
          <w:p w14:paraId="20421D97" w14:textId="77777777" w:rsidR="0015675E" w:rsidRPr="00797896" w:rsidRDefault="0015675E" w:rsidP="0015675E">
            <w:pPr>
              <w:pStyle w:val="Table"/>
              <w:ind w:right="-3"/>
            </w:pPr>
            <w:r w:rsidRPr="00797896">
              <w:t>1</w:t>
            </w:r>
          </w:p>
        </w:tc>
        <w:tc>
          <w:tcPr>
            <w:tcW w:w="800" w:type="dxa"/>
            <w:noWrap/>
          </w:tcPr>
          <w:p w14:paraId="2375F576" w14:textId="77777777" w:rsidR="0015675E" w:rsidRPr="00797896" w:rsidRDefault="0015675E" w:rsidP="0015675E">
            <w:pPr>
              <w:pStyle w:val="Table"/>
              <w:ind w:right="-3"/>
            </w:pPr>
            <w:r w:rsidRPr="00797896">
              <w:t>4</w:t>
            </w:r>
          </w:p>
        </w:tc>
        <w:tc>
          <w:tcPr>
            <w:tcW w:w="801" w:type="dxa"/>
            <w:noWrap/>
          </w:tcPr>
          <w:p w14:paraId="7F566DE7" w14:textId="77777777" w:rsidR="0015675E" w:rsidRPr="00797896" w:rsidRDefault="0015675E" w:rsidP="0015675E">
            <w:pPr>
              <w:pStyle w:val="Table"/>
              <w:ind w:right="-3"/>
            </w:pPr>
          </w:p>
        </w:tc>
        <w:tc>
          <w:tcPr>
            <w:tcW w:w="800" w:type="dxa"/>
            <w:noWrap/>
          </w:tcPr>
          <w:p w14:paraId="31C34668" w14:textId="77777777" w:rsidR="0015675E" w:rsidRPr="00797896" w:rsidRDefault="0015675E" w:rsidP="0015675E">
            <w:pPr>
              <w:pStyle w:val="Table"/>
              <w:ind w:right="-3"/>
            </w:pPr>
            <w:r w:rsidRPr="00797896">
              <w:t>13</w:t>
            </w:r>
          </w:p>
        </w:tc>
        <w:tc>
          <w:tcPr>
            <w:tcW w:w="801" w:type="dxa"/>
            <w:noWrap/>
          </w:tcPr>
          <w:p w14:paraId="2B70D7A1" w14:textId="77777777" w:rsidR="0015675E" w:rsidRPr="00797896" w:rsidRDefault="0015675E" w:rsidP="0015675E">
            <w:pPr>
              <w:pStyle w:val="Table"/>
              <w:ind w:right="-3"/>
            </w:pPr>
            <w:r w:rsidRPr="00797896">
              <w:t>15.4</w:t>
            </w:r>
          </w:p>
        </w:tc>
        <w:tc>
          <w:tcPr>
            <w:tcW w:w="800" w:type="dxa"/>
            <w:noWrap/>
          </w:tcPr>
          <w:p w14:paraId="230CF8C8" w14:textId="77777777" w:rsidR="0015675E" w:rsidRPr="00797896" w:rsidRDefault="0015675E" w:rsidP="0015675E">
            <w:pPr>
              <w:pStyle w:val="Table"/>
              <w:ind w:right="-3"/>
            </w:pPr>
            <w:r w:rsidRPr="00797896">
              <w:t>23.1</w:t>
            </w:r>
          </w:p>
        </w:tc>
        <w:tc>
          <w:tcPr>
            <w:tcW w:w="801" w:type="dxa"/>
            <w:noWrap/>
          </w:tcPr>
          <w:p w14:paraId="43B0DA76" w14:textId="77777777" w:rsidR="0015675E" w:rsidRPr="00797896" w:rsidRDefault="0015675E" w:rsidP="0015675E">
            <w:pPr>
              <w:pStyle w:val="Table"/>
              <w:ind w:right="-3"/>
            </w:pPr>
            <w:r w:rsidRPr="00797896">
              <w:t>23.1</w:t>
            </w:r>
          </w:p>
        </w:tc>
        <w:tc>
          <w:tcPr>
            <w:tcW w:w="834" w:type="dxa"/>
            <w:noWrap/>
          </w:tcPr>
          <w:p w14:paraId="72B9B77B" w14:textId="77777777" w:rsidR="0015675E" w:rsidRPr="00797896" w:rsidRDefault="0015675E" w:rsidP="0015675E">
            <w:pPr>
              <w:pStyle w:val="Table"/>
              <w:ind w:right="-3"/>
            </w:pPr>
            <w:r w:rsidRPr="00797896">
              <w:t>0</w:t>
            </w:r>
          </w:p>
        </w:tc>
        <w:tc>
          <w:tcPr>
            <w:tcW w:w="850" w:type="dxa"/>
            <w:noWrap/>
          </w:tcPr>
          <w:p w14:paraId="59C0E8FC" w14:textId="77777777" w:rsidR="0015675E" w:rsidRPr="00797896" w:rsidRDefault="0015675E" w:rsidP="0015675E">
            <w:pPr>
              <w:pStyle w:val="Table"/>
              <w:ind w:right="-3"/>
            </w:pPr>
            <w:r w:rsidRPr="00797896">
              <w:t>61.5</w:t>
            </w:r>
          </w:p>
        </w:tc>
        <w:tc>
          <w:tcPr>
            <w:tcW w:w="717" w:type="dxa"/>
            <w:noWrap/>
          </w:tcPr>
          <w:p w14:paraId="58B6FCC3" w14:textId="77777777" w:rsidR="0015675E" w:rsidRPr="00797896" w:rsidRDefault="0015675E" w:rsidP="0015675E">
            <w:pPr>
              <w:pStyle w:val="Table"/>
              <w:ind w:right="-3"/>
            </w:pPr>
            <w:r w:rsidRPr="00797896">
              <w:t>7.7</w:t>
            </w:r>
          </w:p>
        </w:tc>
        <w:tc>
          <w:tcPr>
            <w:tcW w:w="801" w:type="dxa"/>
            <w:noWrap/>
          </w:tcPr>
          <w:p w14:paraId="7F0BB049" w14:textId="77777777" w:rsidR="0015675E" w:rsidRPr="00797896" w:rsidRDefault="0015675E" w:rsidP="0015675E">
            <w:pPr>
              <w:pStyle w:val="Table"/>
              <w:ind w:right="-3"/>
            </w:pPr>
            <w:r w:rsidRPr="00797896">
              <w:t>30.8</w:t>
            </w:r>
          </w:p>
        </w:tc>
        <w:tc>
          <w:tcPr>
            <w:tcW w:w="800" w:type="dxa"/>
            <w:noWrap/>
          </w:tcPr>
          <w:p w14:paraId="7E76CC7D" w14:textId="77777777" w:rsidR="0015675E" w:rsidRPr="00797896" w:rsidRDefault="0015675E" w:rsidP="0015675E">
            <w:pPr>
              <w:pStyle w:val="Table"/>
              <w:ind w:right="-3"/>
            </w:pPr>
            <w:r w:rsidRPr="00797896">
              <w:t>0</w:t>
            </w:r>
          </w:p>
        </w:tc>
        <w:tc>
          <w:tcPr>
            <w:tcW w:w="801" w:type="dxa"/>
            <w:noWrap/>
          </w:tcPr>
          <w:p w14:paraId="2E8FCDE0" w14:textId="77777777" w:rsidR="0015675E" w:rsidRPr="00797896" w:rsidRDefault="0015675E" w:rsidP="0015675E">
            <w:pPr>
              <w:pStyle w:val="Table"/>
              <w:ind w:right="-3"/>
            </w:pPr>
            <w:r w:rsidRPr="00797896">
              <w:t>38.5</w:t>
            </w:r>
          </w:p>
        </w:tc>
      </w:tr>
      <w:tr w:rsidR="0015675E" w:rsidRPr="00797896" w14:paraId="21B114C6" w14:textId="77777777" w:rsidTr="0038099B">
        <w:trPr>
          <w:trHeight w:val="300"/>
        </w:trPr>
        <w:tc>
          <w:tcPr>
            <w:tcW w:w="1809" w:type="dxa"/>
            <w:noWrap/>
          </w:tcPr>
          <w:p w14:paraId="0657DA3B" w14:textId="77777777" w:rsidR="0015675E" w:rsidRPr="00797896" w:rsidRDefault="0015675E" w:rsidP="0015675E">
            <w:pPr>
              <w:pStyle w:val="Table"/>
              <w:ind w:right="-3"/>
            </w:pPr>
            <w:r w:rsidRPr="00797896">
              <w:t>SA Community</w:t>
            </w:r>
          </w:p>
        </w:tc>
        <w:tc>
          <w:tcPr>
            <w:tcW w:w="709" w:type="dxa"/>
            <w:noWrap/>
          </w:tcPr>
          <w:p w14:paraId="735BC932" w14:textId="77777777" w:rsidR="0015675E" w:rsidRPr="00797896" w:rsidRDefault="0015675E" w:rsidP="0015675E">
            <w:pPr>
              <w:pStyle w:val="Table"/>
              <w:ind w:right="-3"/>
            </w:pPr>
            <w:r w:rsidRPr="00797896">
              <w:t>1</w:t>
            </w:r>
          </w:p>
        </w:tc>
        <w:tc>
          <w:tcPr>
            <w:tcW w:w="608" w:type="dxa"/>
            <w:noWrap/>
          </w:tcPr>
          <w:p w14:paraId="2342731C" w14:textId="77777777" w:rsidR="0015675E" w:rsidRPr="00797896" w:rsidRDefault="0015675E" w:rsidP="0015675E">
            <w:pPr>
              <w:pStyle w:val="Table"/>
              <w:ind w:right="-3"/>
            </w:pPr>
            <w:r w:rsidRPr="00797896">
              <w:t>2</w:t>
            </w:r>
          </w:p>
        </w:tc>
        <w:tc>
          <w:tcPr>
            <w:tcW w:w="801" w:type="dxa"/>
            <w:noWrap/>
          </w:tcPr>
          <w:p w14:paraId="4746BAE2" w14:textId="77777777" w:rsidR="0015675E" w:rsidRPr="00797896" w:rsidRDefault="0015675E" w:rsidP="0015675E">
            <w:pPr>
              <w:pStyle w:val="Table"/>
              <w:ind w:right="-3"/>
            </w:pPr>
            <w:r w:rsidRPr="00797896">
              <w:t>1</w:t>
            </w:r>
          </w:p>
        </w:tc>
        <w:tc>
          <w:tcPr>
            <w:tcW w:w="800" w:type="dxa"/>
            <w:noWrap/>
          </w:tcPr>
          <w:p w14:paraId="7F7C5567" w14:textId="77777777" w:rsidR="0015675E" w:rsidRPr="00797896" w:rsidRDefault="0015675E" w:rsidP="0015675E">
            <w:pPr>
              <w:pStyle w:val="Table"/>
              <w:ind w:right="-3"/>
            </w:pPr>
            <w:r w:rsidRPr="00797896">
              <w:t>0</w:t>
            </w:r>
          </w:p>
        </w:tc>
        <w:tc>
          <w:tcPr>
            <w:tcW w:w="801" w:type="dxa"/>
            <w:noWrap/>
          </w:tcPr>
          <w:p w14:paraId="5FE5406F" w14:textId="77777777" w:rsidR="0015675E" w:rsidRPr="00797896" w:rsidRDefault="0015675E" w:rsidP="0015675E">
            <w:pPr>
              <w:pStyle w:val="Table"/>
              <w:ind w:right="-3"/>
            </w:pPr>
            <w:r w:rsidRPr="00797896">
              <w:t>2</w:t>
            </w:r>
          </w:p>
        </w:tc>
        <w:tc>
          <w:tcPr>
            <w:tcW w:w="800" w:type="dxa"/>
            <w:noWrap/>
          </w:tcPr>
          <w:p w14:paraId="78E5D171" w14:textId="77777777" w:rsidR="0015675E" w:rsidRPr="00797896" w:rsidRDefault="0015675E" w:rsidP="0015675E">
            <w:pPr>
              <w:pStyle w:val="Table"/>
              <w:ind w:right="-3"/>
            </w:pPr>
            <w:r w:rsidRPr="00797896">
              <w:t>1</w:t>
            </w:r>
          </w:p>
        </w:tc>
        <w:tc>
          <w:tcPr>
            <w:tcW w:w="801" w:type="dxa"/>
            <w:noWrap/>
          </w:tcPr>
          <w:p w14:paraId="23A0C434" w14:textId="77777777" w:rsidR="0015675E" w:rsidRPr="00797896" w:rsidRDefault="0015675E" w:rsidP="0015675E">
            <w:pPr>
              <w:pStyle w:val="Table"/>
              <w:ind w:right="-3"/>
            </w:pPr>
            <w:r w:rsidRPr="00797896">
              <w:t>0</w:t>
            </w:r>
          </w:p>
        </w:tc>
        <w:tc>
          <w:tcPr>
            <w:tcW w:w="800" w:type="dxa"/>
            <w:noWrap/>
          </w:tcPr>
          <w:p w14:paraId="6993C4CC" w14:textId="77777777" w:rsidR="0015675E" w:rsidRPr="00797896" w:rsidRDefault="0015675E" w:rsidP="0015675E">
            <w:pPr>
              <w:pStyle w:val="Table"/>
              <w:ind w:right="-3"/>
            </w:pPr>
            <w:r w:rsidRPr="00797896">
              <w:t>7</w:t>
            </w:r>
          </w:p>
        </w:tc>
        <w:tc>
          <w:tcPr>
            <w:tcW w:w="801" w:type="dxa"/>
            <w:noWrap/>
          </w:tcPr>
          <w:p w14:paraId="64F1B201" w14:textId="77777777" w:rsidR="0015675E" w:rsidRPr="00797896" w:rsidRDefault="0015675E" w:rsidP="0015675E">
            <w:pPr>
              <w:pStyle w:val="Table"/>
              <w:ind w:right="-3"/>
            </w:pPr>
            <w:r w:rsidRPr="00797896">
              <w:t>14.3</w:t>
            </w:r>
          </w:p>
        </w:tc>
        <w:tc>
          <w:tcPr>
            <w:tcW w:w="800" w:type="dxa"/>
            <w:noWrap/>
          </w:tcPr>
          <w:p w14:paraId="2746BFC9" w14:textId="77777777" w:rsidR="0015675E" w:rsidRPr="00797896" w:rsidRDefault="0015675E" w:rsidP="0015675E">
            <w:pPr>
              <w:pStyle w:val="Table"/>
              <w:ind w:right="-3"/>
            </w:pPr>
            <w:r w:rsidRPr="00797896">
              <w:t>28.6</w:t>
            </w:r>
          </w:p>
        </w:tc>
        <w:tc>
          <w:tcPr>
            <w:tcW w:w="801" w:type="dxa"/>
            <w:noWrap/>
          </w:tcPr>
          <w:p w14:paraId="60383951" w14:textId="77777777" w:rsidR="0015675E" w:rsidRPr="00797896" w:rsidRDefault="0015675E" w:rsidP="0015675E">
            <w:pPr>
              <w:pStyle w:val="Table"/>
              <w:ind w:right="-3"/>
            </w:pPr>
            <w:r w:rsidRPr="00797896">
              <w:t>14.3</w:t>
            </w:r>
          </w:p>
        </w:tc>
        <w:tc>
          <w:tcPr>
            <w:tcW w:w="834" w:type="dxa"/>
            <w:noWrap/>
          </w:tcPr>
          <w:p w14:paraId="67FBB436" w14:textId="77777777" w:rsidR="0015675E" w:rsidRPr="00797896" w:rsidRDefault="0015675E" w:rsidP="0015675E">
            <w:pPr>
              <w:pStyle w:val="Table"/>
              <w:ind w:right="-3"/>
            </w:pPr>
            <w:r w:rsidRPr="00797896">
              <w:t>0</w:t>
            </w:r>
          </w:p>
        </w:tc>
        <w:tc>
          <w:tcPr>
            <w:tcW w:w="850" w:type="dxa"/>
            <w:noWrap/>
          </w:tcPr>
          <w:p w14:paraId="3E3D6903" w14:textId="77777777" w:rsidR="0015675E" w:rsidRPr="00797896" w:rsidRDefault="0015675E" w:rsidP="0015675E">
            <w:pPr>
              <w:pStyle w:val="Table"/>
              <w:ind w:right="-3"/>
            </w:pPr>
            <w:r w:rsidRPr="00797896">
              <w:t>57.1</w:t>
            </w:r>
          </w:p>
        </w:tc>
        <w:tc>
          <w:tcPr>
            <w:tcW w:w="717" w:type="dxa"/>
            <w:noWrap/>
          </w:tcPr>
          <w:p w14:paraId="54F2796C" w14:textId="77777777" w:rsidR="0015675E" w:rsidRPr="00797896" w:rsidRDefault="0015675E" w:rsidP="0015675E">
            <w:pPr>
              <w:pStyle w:val="Table"/>
              <w:ind w:right="-3"/>
            </w:pPr>
            <w:r w:rsidRPr="00797896">
              <w:t>28.6</w:t>
            </w:r>
          </w:p>
        </w:tc>
        <w:tc>
          <w:tcPr>
            <w:tcW w:w="801" w:type="dxa"/>
            <w:noWrap/>
          </w:tcPr>
          <w:p w14:paraId="7528FC33" w14:textId="77777777" w:rsidR="0015675E" w:rsidRPr="00797896" w:rsidRDefault="0015675E" w:rsidP="0015675E">
            <w:pPr>
              <w:pStyle w:val="Table"/>
              <w:ind w:right="-3"/>
            </w:pPr>
            <w:r w:rsidRPr="00797896">
              <w:t>14.3</w:t>
            </w:r>
          </w:p>
        </w:tc>
        <w:tc>
          <w:tcPr>
            <w:tcW w:w="800" w:type="dxa"/>
            <w:noWrap/>
          </w:tcPr>
          <w:p w14:paraId="406013CF" w14:textId="77777777" w:rsidR="0015675E" w:rsidRPr="00797896" w:rsidRDefault="0015675E" w:rsidP="0015675E">
            <w:pPr>
              <w:pStyle w:val="Table"/>
              <w:ind w:right="-3"/>
            </w:pPr>
            <w:r w:rsidRPr="00797896">
              <w:t>0</w:t>
            </w:r>
          </w:p>
        </w:tc>
        <w:tc>
          <w:tcPr>
            <w:tcW w:w="801" w:type="dxa"/>
            <w:noWrap/>
          </w:tcPr>
          <w:p w14:paraId="40E4B99A" w14:textId="77777777" w:rsidR="0015675E" w:rsidRPr="00797896" w:rsidRDefault="0015675E" w:rsidP="0015675E">
            <w:pPr>
              <w:pStyle w:val="Table"/>
              <w:ind w:right="-3"/>
            </w:pPr>
            <w:r w:rsidRPr="00797896">
              <w:t>42.9</w:t>
            </w:r>
          </w:p>
        </w:tc>
      </w:tr>
      <w:tr w:rsidR="0015675E" w:rsidRPr="00797896" w14:paraId="079CA89B" w14:textId="77777777" w:rsidTr="0038099B">
        <w:trPr>
          <w:trHeight w:val="300"/>
        </w:trPr>
        <w:tc>
          <w:tcPr>
            <w:tcW w:w="1809" w:type="dxa"/>
            <w:noWrap/>
          </w:tcPr>
          <w:p w14:paraId="2176C2E1" w14:textId="77777777" w:rsidR="0015675E" w:rsidRPr="00797896" w:rsidRDefault="0015675E" w:rsidP="0015675E">
            <w:pPr>
              <w:pStyle w:val="Table"/>
              <w:ind w:right="-3"/>
            </w:pPr>
            <w:r w:rsidRPr="00797896">
              <w:t>SA Residential</w:t>
            </w:r>
          </w:p>
        </w:tc>
        <w:tc>
          <w:tcPr>
            <w:tcW w:w="709" w:type="dxa"/>
            <w:noWrap/>
          </w:tcPr>
          <w:p w14:paraId="641EE822" w14:textId="77777777" w:rsidR="0015675E" w:rsidRPr="00797896" w:rsidRDefault="0015675E" w:rsidP="0015675E">
            <w:pPr>
              <w:pStyle w:val="Table"/>
              <w:ind w:right="-3"/>
            </w:pPr>
            <w:r w:rsidRPr="00797896">
              <w:t>19</w:t>
            </w:r>
          </w:p>
        </w:tc>
        <w:tc>
          <w:tcPr>
            <w:tcW w:w="608" w:type="dxa"/>
            <w:noWrap/>
          </w:tcPr>
          <w:p w14:paraId="10BC5B9D" w14:textId="77777777" w:rsidR="0015675E" w:rsidRPr="00797896" w:rsidRDefault="0015675E" w:rsidP="0015675E">
            <w:pPr>
              <w:pStyle w:val="Table"/>
              <w:ind w:right="-3"/>
            </w:pPr>
            <w:r w:rsidRPr="00797896">
              <w:t>16</w:t>
            </w:r>
          </w:p>
        </w:tc>
        <w:tc>
          <w:tcPr>
            <w:tcW w:w="801" w:type="dxa"/>
            <w:noWrap/>
          </w:tcPr>
          <w:p w14:paraId="251341CC" w14:textId="77777777" w:rsidR="0015675E" w:rsidRPr="00797896" w:rsidRDefault="0015675E" w:rsidP="0015675E">
            <w:pPr>
              <w:pStyle w:val="Table"/>
              <w:ind w:right="-3"/>
            </w:pPr>
            <w:r w:rsidRPr="00797896">
              <w:t>9</w:t>
            </w:r>
          </w:p>
        </w:tc>
        <w:tc>
          <w:tcPr>
            <w:tcW w:w="800" w:type="dxa"/>
            <w:noWrap/>
          </w:tcPr>
          <w:p w14:paraId="6ECFE594" w14:textId="77777777" w:rsidR="0015675E" w:rsidRPr="00797896" w:rsidRDefault="0015675E" w:rsidP="0015675E">
            <w:pPr>
              <w:pStyle w:val="Table"/>
              <w:ind w:right="-3"/>
            </w:pPr>
            <w:r w:rsidRPr="00797896">
              <w:t>6</w:t>
            </w:r>
          </w:p>
        </w:tc>
        <w:tc>
          <w:tcPr>
            <w:tcW w:w="801" w:type="dxa"/>
            <w:noWrap/>
          </w:tcPr>
          <w:p w14:paraId="38A760FE" w14:textId="77777777" w:rsidR="0015675E" w:rsidRPr="00797896" w:rsidRDefault="0015675E" w:rsidP="0015675E">
            <w:pPr>
              <w:pStyle w:val="Table"/>
              <w:ind w:right="-3"/>
            </w:pPr>
            <w:r w:rsidRPr="00797896">
              <w:t>12</w:t>
            </w:r>
          </w:p>
        </w:tc>
        <w:tc>
          <w:tcPr>
            <w:tcW w:w="800" w:type="dxa"/>
            <w:noWrap/>
          </w:tcPr>
          <w:p w14:paraId="0840BE47" w14:textId="77777777" w:rsidR="0015675E" w:rsidRPr="00797896" w:rsidRDefault="0015675E" w:rsidP="0015675E">
            <w:pPr>
              <w:pStyle w:val="Table"/>
              <w:ind w:right="-3"/>
            </w:pPr>
            <w:r w:rsidRPr="00797896">
              <w:t>2</w:t>
            </w:r>
          </w:p>
        </w:tc>
        <w:tc>
          <w:tcPr>
            <w:tcW w:w="801" w:type="dxa"/>
            <w:noWrap/>
          </w:tcPr>
          <w:p w14:paraId="36D060A4" w14:textId="77777777" w:rsidR="0015675E" w:rsidRPr="00797896" w:rsidRDefault="0015675E" w:rsidP="0015675E">
            <w:pPr>
              <w:pStyle w:val="Table"/>
              <w:ind w:right="-3"/>
            </w:pPr>
            <w:r w:rsidRPr="00797896">
              <w:t>1</w:t>
            </w:r>
          </w:p>
        </w:tc>
        <w:tc>
          <w:tcPr>
            <w:tcW w:w="800" w:type="dxa"/>
            <w:noWrap/>
          </w:tcPr>
          <w:p w14:paraId="73184BEA" w14:textId="77777777" w:rsidR="0015675E" w:rsidRPr="00797896" w:rsidRDefault="0015675E" w:rsidP="0015675E">
            <w:pPr>
              <w:pStyle w:val="Table"/>
              <w:ind w:right="-3"/>
            </w:pPr>
            <w:r w:rsidRPr="00797896">
              <w:t>65</w:t>
            </w:r>
          </w:p>
        </w:tc>
        <w:tc>
          <w:tcPr>
            <w:tcW w:w="801" w:type="dxa"/>
            <w:noWrap/>
          </w:tcPr>
          <w:p w14:paraId="06255622" w14:textId="77777777" w:rsidR="0015675E" w:rsidRPr="00797896" w:rsidRDefault="0015675E" w:rsidP="0015675E">
            <w:pPr>
              <w:pStyle w:val="Table"/>
              <w:ind w:right="-3"/>
            </w:pPr>
            <w:r w:rsidRPr="00797896">
              <w:t>29.2</w:t>
            </w:r>
          </w:p>
        </w:tc>
        <w:tc>
          <w:tcPr>
            <w:tcW w:w="800" w:type="dxa"/>
            <w:noWrap/>
          </w:tcPr>
          <w:p w14:paraId="61660F12" w14:textId="77777777" w:rsidR="0015675E" w:rsidRPr="00797896" w:rsidRDefault="0015675E" w:rsidP="0015675E">
            <w:pPr>
              <w:pStyle w:val="Table"/>
              <w:ind w:right="-3"/>
            </w:pPr>
            <w:r w:rsidRPr="00797896">
              <w:t>24.6</w:t>
            </w:r>
          </w:p>
        </w:tc>
        <w:tc>
          <w:tcPr>
            <w:tcW w:w="801" w:type="dxa"/>
            <w:noWrap/>
          </w:tcPr>
          <w:p w14:paraId="235D12A3" w14:textId="77777777" w:rsidR="0015675E" w:rsidRPr="00797896" w:rsidRDefault="0015675E" w:rsidP="0015675E">
            <w:pPr>
              <w:pStyle w:val="Table"/>
              <w:ind w:right="-3"/>
            </w:pPr>
            <w:r w:rsidRPr="00797896">
              <w:t>13.8</w:t>
            </w:r>
          </w:p>
        </w:tc>
        <w:tc>
          <w:tcPr>
            <w:tcW w:w="834" w:type="dxa"/>
            <w:noWrap/>
          </w:tcPr>
          <w:p w14:paraId="44A0BCAC" w14:textId="77777777" w:rsidR="0015675E" w:rsidRPr="00797896" w:rsidRDefault="0015675E" w:rsidP="0015675E">
            <w:pPr>
              <w:pStyle w:val="Table"/>
              <w:ind w:right="-3"/>
            </w:pPr>
            <w:r w:rsidRPr="00797896">
              <w:t>9.2</w:t>
            </w:r>
          </w:p>
        </w:tc>
        <w:tc>
          <w:tcPr>
            <w:tcW w:w="850" w:type="dxa"/>
            <w:noWrap/>
          </w:tcPr>
          <w:p w14:paraId="6572FAEF" w14:textId="77777777" w:rsidR="0015675E" w:rsidRPr="00797896" w:rsidRDefault="0015675E" w:rsidP="0015675E">
            <w:pPr>
              <w:pStyle w:val="Table"/>
              <w:ind w:right="-3"/>
            </w:pPr>
            <w:r w:rsidRPr="00797896">
              <w:t>76.9</w:t>
            </w:r>
          </w:p>
        </w:tc>
        <w:tc>
          <w:tcPr>
            <w:tcW w:w="717" w:type="dxa"/>
            <w:noWrap/>
          </w:tcPr>
          <w:p w14:paraId="0711849C" w14:textId="77777777" w:rsidR="0015675E" w:rsidRPr="00797896" w:rsidRDefault="0015675E" w:rsidP="0015675E">
            <w:pPr>
              <w:pStyle w:val="Table"/>
              <w:ind w:right="-3"/>
            </w:pPr>
            <w:r w:rsidRPr="00797896">
              <w:t>18.5</w:t>
            </w:r>
          </w:p>
        </w:tc>
        <w:tc>
          <w:tcPr>
            <w:tcW w:w="801" w:type="dxa"/>
            <w:noWrap/>
          </w:tcPr>
          <w:p w14:paraId="461909B9" w14:textId="77777777" w:rsidR="0015675E" w:rsidRPr="00797896" w:rsidRDefault="0015675E" w:rsidP="0015675E">
            <w:pPr>
              <w:pStyle w:val="Table"/>
              <w:ind w:right="-3"/>
            </w:pPr>
            <w:r w:rsidRPr="00797896">
              <w:t>3.1</w:t>
            </w:r>
          </w:p>
        </w:tc>
        <w:tc>
          <w:tcPr>
            <w:tcW w:w="800" w:type="dxa"/>
            <w:noWrap/>
          </w:tcPr>
          <w:p w14:paraId="4996C8C3" w14:textId="77777777" w:rsidR="0015675E" w:rsidRPr="00797896" w:rsidRDefault="0015675E" w:rsidP="0015675E">
            <w:pPr>
              <w:pStyle w:val="Table"/>
              <w:ind w:right="-3"/>
            </w:pPr>
            <w:r w:rsidRPr="00797896">
              <w:t>1.5</w:t>
            </w:r>
          </w:p>
        </w:tc>
        <w:tc>
          <w:tcPr>
            <w:tcW w:w="801" w:type="dxa"/>
            <w:noWrap/>
          </w:tcPr>
          <w:p w14:paraId="38A0B06A" w14:textId="77777777" w:rsidR="0015675E" w:rsidRPr="00797896" w:rsidRDefault="0015675E" w:rsidP="0015675E">
            <w:pPr>
              <w:pStyle w:val="Table"/>
              <w:ind w:right="-3"/>
            </w:pPr>
            <w:r w:rsidRPr="00797896">
              <w:t>23.1</w:t>
            </w:r>
          </w:p>
        </w:tc>
      </w:tr>
      <w:tr w:rsidR="0015675E" w:rsidRPr="00797896" w14:paraId="2A036B2D" w14:textId="77777777" w:rsidTr="0038099B">
        <w:trPr>
          <w:trHeight w:val="300"/>
        </w:trPr>
        <w:tc>
          <w:tcPr>
            <w:tcW w:w="1809" w:type="dxa"/>
            <w:noWrap/>
          </w:tcPr>
          <w:p w14:paraId="1FFCEA79" w14:textId="77777777" w:rsidR="0015675E" w:rsidRPr="00797896" w:rsidRDefault="0015675E" w:rsidP="0015675E">
            <w:pPr>
              <w:pStyle w:val="Table"/>
              <w:ind w:right="-3"/>
            </w:pPr>
            <w:r w:rsidRPr="00797896">
              <w:t>SA Combination</w:t>
            </w:r>
          </w:p>
        </w:tc>
        <w:tc>
          <w:tcPr>
            <w:tcW w:w="709" w:type="dxa"/>
            <w:noWrap/>
          </w:tcPr>
          <w:p w14:paraId="44BBE538" w14:textId="77777777" w:rsidR="0015675E" w:rsidRPr="00797896" w:rsidRDefault="0015675E" w:rsidP="0015675E">
            <w:pPr>
              <w:pStyle w:val="Table"/>
              <w:ind w:right="-3"/>
            </w:pPr>
            <w:r w:rsidRPr="00797896">
              <w:t>1</w:t>
            </w:r>
          </w:p>
        </w:tc>
        <w:tc>
          <w:tcPr>
            <w:tcW w:w="608" w:type="dxa"/>
            <w:noWrap/>
          </w:tcPr>
          <w:p w14:paraId="77557732" w14:textId="77777777" w:rsidR="0015675E" w:rsidRPr="00797896" w:rsidRDefault="0015675E" w:rsidP="0015675E">
            <w:pPr>
              <w:pStyle w:val="Table"/>
              <w:ind w:right="-3"/>
            </w:pPr>
            <w:r w:rsidRPr="00797896">
              <w:t>1</w:t>
            </w:r>
          </w:p>
        </w:tc>
        <w:tc>
          <w:tcPr>
            <w:tcW w:w="801" w:type="dxa"/>
            <w:noWrap/>
          </w:tcPr>
          <w:p w14:paraId="24CAC1E9" w14:textId="77777777" w:rsidR="0015675E" w:rsidRPr="00797896" w:rsidRDefault="0015675E" w:rsidP="0015675E">
            <w:pPr>
              <w:pStyle w:val="Table"/>
              <w:ind w:right="-3"/>
            </w:pPr>
            <w:r w:rsidRPr="00797896">
              <w:t>0</w:t>
            </w:r>
          </w:p>
        </w:tc>
        <w:tc>
          <w:tcPr>
            <w:tcW w:w="800" w:type="dxa"/>
            <w:noWrap/>
          </w:tcPr>
          <w:p w14:paraId="117DCE28" w14:textId="77777777" w:rsidR="0015675E" w:rsidRPr="00797896" w:rsidRDefault="0015675E" w:rsidP="0015675E">
            <w:pPr>
              <w:pStyle w:val="Table"/>
              <w:ind w:right="-3"/>
            </w:pPr>
            <w:r w:rsidRPr="00797896">
              <w:t>0</w:t>
            </w:r>
          </w:p>
        </w:tc>
        <w:tc>
          <w:tcPr>
            <w:tcW w:w="801" w:type="dxa"/>
            <w:noWrap/>
          </w:tcPr>
          <w:p w14:paraId="225A8516" w14:textId="77777777" w:rsidR="0015675E" w:rsidRPr="00797896" w:rsidRDefault="0015675E" w:rsidP="0015675E">
            <w:pPr>
              <w:pStyle w:val="Table"/>
              <w:ind w:right="-3"/>
            </w:pPr>
            <w:r w:rsidRPr="00797896">
              <w:t>1</w:t>
            </w:r>
          </w:p>
        </w:tc>
        <w:tc>
          <w:tcPr>
            <w:tcW w:w="800" w:type="dxa"/>
            <w:noWrap/>
          </w:tcPr>
          <w:p w14:paraId="05B06B72" w14:textId="77777777" w:rsidR="0015675E" w:rsidRPr="00797896" w:rsidRDefault="0015675E" w:rsidP="0015675E">
            <w:pPr>
              <w:pStyle w:val="Table"/>
              <w:ind w:right="-3"/>
            </w:pPr>
            <w:r w:rsidRPr="00797896">
              <w:t>0</w:t>
            </w:r>
          </w:p>
        </w:tc>
        <w:tc>
          <w:tcPr>
            <w:tcW w:w="801" w:type="dxa"/>
            <w:noWrap/>
          </w:tcPr>
          <w:p w14:paraId="5C16AEB5" w14:textId="77777777" w:rsidR="0015675E" w:rsidRPr="00797896" w:rsidRDefault="0015675E" w:rsidP="0015675E">
            <w:pPr>
              <w:pStyle w:val="Table"/>
              <w:ind w:right="-3"/>
            </w:pPr>
            <w:r w:rsidRPr="00797896">
              <w:t>1</w:t>
            </w:r>
          </w:p>
        </w:tc>
        <w:tc>
          <w:tcPr>
            <w:tcW w:w="800" w:type="dxa"/>
            <w:noWrap/>
          </w:tcPr>
          <w:p w14:paraId="6D393BBB" w14:textId="77777777" w:rsidR="0015675E" w:rsidRPr="00797896" w:rsidRDefault="0015675E" w:rsidP="0015675E">
            <w:pPr>
              <w:pStyle w:val="Table"/>
              <w:ind w:right="-3"/>
            </w:pPr>
            <w:r w:rsidRPr="00797896">
              <w:t>4</w:t>
            </w:r>
          </w:p>
        </w:tc>
        <w:tc>
          <w:tcPr>
            <w:tcW w:w="801" w:type="dxa"/>
            <w:noWrap/>
          </w:tcPr>
          <w:p w14:paraId="47B556F1" w14:textId="77777777" w:rsidR="0015675E" w:rsidRPr="00797896" w:rsidRDefault="0015675E" w:rsidP="0015675E">
            <w:pPr>
              <w:pStyle w:val="Table"/>
              <w:ind w:right="-3"/>
            </w:pPr>
            <w:r w:rsidRPr="00797896">
              <w:t>25</w:t>
            </w:r>
          </w:p>
        </w:tc>
        <w:tc>
          <w:tcPr>
            <w:tcW w:w="800" w:type="dxa"/>
            <w:noWrap/>
          </w:tcPr>
          <w:p w14:paraId="12D52582" w14:textId="77777777" w:rsidR="0015675E" w:rsidRPr="00797896" w:rsidRDefault="0015675E" w:rsidP="0015675E">
            <w:pPr>
              <w:pStyle w:val="Table"/>
              <w:ind w:right="-3"/>
            </w:pPr>
            <w:r w:rsidRPr="00797896">
              <w:t>25</w:t>
            </w:r>
          </w:p>
        </w:tc>
        <w:tc>
          <w:tcPr>
            <w:tcW w:w="801" w:type="dxa"/>
            <w:noWrap/>
          </w:tcPr>
          <w:p w14:paraId="160CAA6C" w14:textId="77777777" w:rsidR="0015675E" w:rsidRPr="00797896" w:rsidRDefault="0015675E" w:rsidP="0015675E">
            <w:pPr>
              <w:pStyle w:val="Table"/>
              <w:ind w:right="-3"/>
            </w:pPr>
            <w:r w:rsidRPr="00797896">
              <w:t>0</w:t>
            </w:r>
          </w:p>
        </w:tc>
        <w:tc>
          <w:tcPr>
            <w:tcW w:w="834" w:type="dxa"/>
            <w:noWrap/>
          </w:tcPr>
          <w:p w14:paraId="7EF29B91" w14:textId="77777777" w:rsidR="0015675E" w:rsidRPr="00797896" w:rsidRDefault="0015675E" w:rsidP="0015675E">
            <w:pPr>
              <w:pStyle w:val="Table"/>
              <w:ind w:right="-3"/>
            </w:pPr>
            <w:r w:rsidRPr="00797896">
              <w:t>0</w:t>
            </w:r>
          </w:p>
        </w:tc>
        <w:tc>
          <w:tcPr>
            <w:tcW w:w="850" w:type="dxa"/>
            <w:noWrap/>
          </w:tcPr>
          <w:p w14:paraId="3C46FB91" w14:textId="77777777" w:rsidR="0015675E" w:rsidRPr="00797896" w:rsidRDefault="0015675E" w:rsidP="0015675E">
            <w:pPr>
              <w:pStyle w:val="Table"/>
              <w:ind w:right="-3"/>
            </w:pPr>
            <w:r w:rsidRPr="00797896">
              <w:t>50</w:t>
            </w:r>
          </w:p>
        </w:tc>
        <w:tc>
          <w:tcPr>
            <w:tcW w:w="717" w:type="dxa"/>
            <w:noWrap/>
          </w:tcPr>
          <w:p w14:paraId="0A2DC71D" w14:textId="77777777" w:rsidR="0015675E" w:rsidRPr="00797896" w:rsidRDefault="0015675E" w:rsidP="0015675E">
            <w:pPr>
              <w:pStyle w:val="Table"/>
              <w:ind w:right="-3"/>
            </w:pPr>
            <w:r w:rsidRPr="00797896">
              <w:t>25</w:t>
            </w:r>
          </w:p>
        </w:tc>
        <w:tc>
          <w:tcPr>
            <w:tcW w:w="801" w:type="dxa"/>
            <w:noWrap/>
          </w:tcPr>
          <w:p w14:paraId="193C6A6C" w14:textId="77777777" w:rsidR="0015675E" w:rsidRPr="00797896" w:rsidRDefault="0015675E" w:rsidP="0015675E">
            <w:pPr>
              <w:pStyle w:val="Table"/>
              <w:ind w:right="-3"/>
            </w:pPr>
            <w:r w:rsidRPr="00797896">
              <w:t>0</w:t>
            </w:r>
          </w:p>
        </w:tc>
        <w:tc>
          <w:tcPr>
            <w:tcW w:w="800" w:type="dxa"/>
            <w:noWrap/>
          </w:tcPr>
          <w:p w14:paraId="3DCB5E44" w14:textId="77777777" w:rsidR="0015675E" w:rsidRPr="00797896" w:rsidRDefault="0015675E" w:rsidP="0015675E">
            <w:pPr>
              <w:pStyle w:val="Table"/>
              <w:ind w:right="-3"/>
            </w:pPr>
            <w:r w:rsidRPr="00797896">
              <w:t>25</w:t>
            </w:r>
          </w:p>
        </w:tc>
        <w:tc>
          <w:tcPr>
            <w:tcW w:w="801" w:type="dxa"/>
            <w:noWrap/>
          </w:tcPr>
          <w:p w14:paraId="3DEC36E9" w14:textId="77777777" w:rsidR="0015675E" w:rsidRPr="00797896" w:rsidRDefault="0015675E" w:rsidP="0015675E">
            <w:pPr>
              <w:pStyle w:val="Table"/>
              <w:ind w:right="-3"/>
            </w:pPr>
            <w:r w:rsidRPr="00797896">
              <w:t>50</w:t>
            </w:r>
          </w:p>
        </w:tc>
      </w:tr>
      <w:tr w:rsidR="0015675E" w:rsidRPr="00797896" w14:paraId="6DD1CA8A" w14:textId="77777777" w:rsidTr="0038099B">
        <w:trPr>
          <w:trHeight w:val="300"/>
        </w:trPr>
        <w:tc>
          <w:tcPr>
            <w:tcW w:w="1809" w:type="dxa"/>
            <w:noWrap/>
          </w:tcPr>
          <w:p w14:paraId="603371B7" w14:textId="77777777" w:rsidR="0015675E" w:rsidRPr="00797896" w:rsidRDefault="0015675E" w:rsidP="0015675E">
            <w:pPr>
              <w:pStyle w:val="Table"/>
              <w:ind w:right="-3"/>
            </w:pPr>
            <w:r w:rsidRPr="00797896">
              <w:t>SA Total</w:t>
            </w:r>
          </w:p>
        </w:tc>
        <w:tc>
          <w:tcPr>
            <w:tcW w:w="709" w:type="dxa"/>
            <w:noWrap/>
          </w:tcPr>
          <w:p w14:paraId="309E678D" w14:textId="77777777" w:rsidR="0015675E" w:rsidRPr="00797896" w:rsidRDefault="0015675E" w:rsidP="0015675E">
            <w:pPr>
              <w:pStyle w:val="Table"/>
              <w:ind w:right="-3"/>
            </w:pPr>
            <w:r w:rsidRPr="00797896">
              <w:t>21</w:t>
            </w:r>
          </w:p>
        </w:tc>
        <w:tc>
          <w:tcPr>
            <w:tcW w:w="608" w:type="dxa"/>
            <w:noWrap/>
          </w:tcPr>
          <w:p w14:paraId="47F75F8B" w14:textId="77777777" w:rsidR="0015675E" w:rsidRPr="00797896" w:rsidRDefault="0015675E" w:rsidP="0015675E">
            <w:pPr>
              <w:pStyle w:val="Table"/>
              <w:ind w:right="-3"/>
            </w:pPr>
            <w:r w:rsidRPr="00797896">
              <w:t>19</w:t>
            </w:r>
          </w:p>
        </w:tc>
        <w:tc>
          <w:tcPr>
            <w:tcW w:w="801" w:type="dxa"/>
            <w:noWrap/>
          </w:tcPr>
          <w:p w14:paraId="781930BC" w14:textId="77777777" w:rsidR="0015675E" w:rsidRPr="00797896" w:rsidRDefault="0015675E" w:rsidP="0015675E">
            <w:pPr>
              <w:pStyle w:val="Table"/>
              <w:ind w:right="-3"/>
            </w:pPr>
            <w:r w:rsidRPr="00797896">
              <w:t>10</w:t>
            </w:r>
          </w:p>
        </w:tc>
        <w:tc>
          <w:tcPr>
            <w:tcW w:w="800" w:type="dxa"/>
            <w:noWrap/>
          </w:tcPr>
          <w:p w14:paraId="796F82F2" w14:textId="77777777" w:rsidR="0015675E" w:rsidRPr="00797896" w:rsidRDefault="0015675E" w:rsidP="0015675E">
            <w:pPr>
              <w:pStyle w:val="Table"/>
              <w:ind w:right="-3"/>
            </w:pPr>
            <w:r w:rsidRPr="00797896">
              <w:t>6</w:t>
            </w:r>
          </w:p>
        </w:tc>
        <w:tc>
          <w:tcPr>
            <w:tcW w:w="801" w:type="dxa"/>
            <w:noWrap/>
          </w:tcPr>
          <w:p w14:paraId="45FF7846" w14:textId="77777777" w:rsidR="0015675E" w:rsidRPr="00797896" w:rsidRDefault="0015675E" w:rsidP="0015675E">
            <w:pPr>
              <w:pStyle w:val="Table"/>
              <w:ind w:right="-3"/>
            </w:pPr>
            <w:r w:rsidRPr="00797896">
              <w:t>15</w:t>
            </w:r>
          </w:p>
        </w:tc>
        <w:tc>
          <w:tcPr>
            <w:tcW w:w="800" w:type="dxa"/>
            <w:noWrap/>
          </w:tcPr>
          <w:p w14:paraId="74B5E0BB" w14:textId="77777777" w:rsidR="0015675E" w:rsidRPr="00797896" w:rsidRDefault="0015675E" w:rsidP="0015675E">
            <w:pPr>
              <w:pStyle w:val="Table"/>
              <w:ind w:right="-3"/>
            </w:pPr>
            <w:r w:rsidRPr="00797896">
              <w:t>3</w:t>
            </w:r>
          </w:p>
        </w:tc>
        <w:tc>
          <w:tcPr>
            <w:tcW w:w="801" w:type="dxa"/>
            <w:noWrap/>
          </w:tcPr>
          <w:p w14:paraId="007B54D5" w14:textId="77777777" w:rsidR="0015675E" w:rsidRPr="00797896" w:rsidRDefault="0015675E" w:rsidP="0015675E">
            <w:pPr>
              <w:pStyle w:val="Table"/>
              <w:ind w:right="-3"/>
            </w:pPr>
            <w:r w:rsidRPr="00797896">
              <w:t>2</w:t>
            </w:r>
          </w:p>
        </w:tc>
        <w:tc>
          <w:tcPr>
            <w:tcW w:w="800" w:type="dxa"/>
            <w:noWrap/>
          </w:tcPr>
          <w:p w14:paraId="16721C44" w14:textId="77777777" w:rsidR="0015675E" w:rsidRPr="00797896" w:rsidRDefault="0015675E" w:rsidP="0015675E">
            <w:pPr>
              <w:pStyle w:val="Table"/>
              <w:ind w:right="-3"/>
            </w:pPr>
            <w:r w:rsidRPr="00797896">
              <w:t>76</w:t>
            </w:r>
          </w:p>
        </w:tc>
        <w:tc>
          <w:tcPr>
            <w:tcW w:w="801" w:type="dxa"/>
            <w:noWrap/>
          </w:tcPr>
          <w:p w14:paraId="32B3089D" w14:textId="77777777" w:rsidR="0015675E" w:rsidRPr="00797896" w:rsidRDefault="0015675E" w:rsidP="0015675E">
            <w:pPr>
              <w:pStyle w:val="Table"/>
              <w:ind w:right="-3"/>
            </w:pPr>
            <w:r w:rsidRPr="00797896">
              <w:t>27.6</w:t>
            </w:r>
          </w:p>
        </w:tc>
        <w:tc>
          <w:tcPr>
            <w:tcW w:w="800" w:type="dxa"/>
            <w:noWrap/>
          </w:tcPr>
          <w:p w14:paraId="195E3EF3" w14:textId="77777777" w:rsidR="0015675E" w:rsidRPr="00797896" w:rsidRDefault="0015675E" w:rsidP="0015675E">
            <w:pPr>
              <w:pStyle w:val="Table"/>
              <w:ind w:right="-3"/>
            </w:pPr>
            <w:r w:rsidRPr="00797896">
              <w:t>25</w:t>
            </w:r>
          </w:p>
        </w:tc>
        <w:tc>
          <w:tcPr>
            <w:tcW w:w="801" w:type="dxa"/>
            <w:noWrap/>
          </w:tcPr>
          <w:p w14:paraId="4FA1AC2F" w14:textId="77777777" w:rsidR="0015675E" w:rsidRPr="00797896" w:rsidRDefault="0015675E" w:rsidP="0015675E">
            <w:pPr>
              <w:pStyle w:val="Table"/>
              <w:ind w:right="-3"/>
            </w:pPr>
            <w:r w:rsidRPr="00797896">
              <w:t>13.2</w:t>
            </w:r>
          </w:p>
        </w:tc>
        <w:tc>
          <w:tcPr>
            <w:tcW w:w="834" w:type="dxa"/>
            <w:noWrap/>
          </w:tcPr>
          <w:p w14:paraId="0857563D" w14:textId="77777777" w:rsidR="0015675E" w:rsidRPr="00797896" w:rsidRDefault="0015675E" w:rsidP="0015675E">
            <w:pPr>
              <w:pStyle w:val="Table"/>
              <w:ind w:right="-3"/>
            </w:pPr>
            <w:r w:rsidRPr="00797896">
              <w:t>7.9</w:t>
            </w:r>
          </w:p>
        </w:tc>
        <w:tc>
          <w:tcPr>
            <w:tcW w:w="850" w:type="dxa"/>
            <w:noWrap/>
          </w:tcPr>
          <w:p w14:paraId="19942526" w14:textId="77777777" w:rsidR="0015675E" w:rsidRPr="00797896" w:rsidRDefault="0015675E" w:rsidP="0015675E">
            <w:pPr>
              <w:pStyle w:val="Table"/>
              <w:ind w:right="-3"/>
            </w:pPr>
            <w:r w:rsidRPr="00797896">
              <w:t>73.7</w:t>
            </w:r>
          </w:p>
        </w:tc>
        <w:tc>
          <w:tcPr>
            <w:tcW w:w="717" w:type="dxa"/>
            <w:noWrap/>
          </w:tcPr>
          <w:p w14:paraId="6361E51D" w14:textId="77777777" w:rsidR="0015675E" w:rsidRPr="00797896" w:rsidRDefault="0015675E" w:rsidP="0015675E">
            <w:pPr>
              <w:pStyle w:val="Table"/>
              <w:ind w:right="-3"/>
            </w:pPr>
            <w:r w:rsidRPr="00797896">
              <w:t>19.7</w:t>
            </w:r>
          </w:p>
        </w:tc>
        <w:tc>
          <w:tcPr>
            <w:tcW w:w="801" w:type="dxa"/>
            <w:noWrap/>
          </w:tcPr>
          <w:p w14:paraId="3D9F8039" w14:textId="77777777" w:rsidR="0015675E" w:rsidRPr="00797896" w:rsidRDefault="0015675E" w:rsidP="0015675E">
            <w:pPr>
              <w:pStyle w:val="Table"/>
              <w:ind w:right="-3"/>
            </w:pPr>
            <w:r w:rsidRPr="00797896">
              <w:t>3.9</w:t>
            </w:r>
          </w:p>
        </w:tc>
        <w:tc>
          <w:tcPr>
            <w:tcW w:w="800" w:type="dxa"/>
            <w:noWrap/>
          </w:tcPr>
          <w:p w14:paraId="2B06D9C2" w14:textId="77777777" w:rsidR="0015675E" w:rsidRPr="00797896" w:rsidRDefault="0015675E" w:rsidP="0015675E">
            <w:pPr>
              <w:pStyle w:val="Table"/>
              <w:ind w:right="-3"/>
            </w:pPr>
            <w:r w:rsidRPr="00797896">
              <w:t>2.6</w:t>
            </w:r>
          </w:p>
        </w:tc>
        <w:tc>
          <w:tcPr>
            <w:tcW w:w="801" w:type="dxa"/>
            <w:noWrap/>
          </w:tcPr>
          <w:p w14:paraId="40DCB328" w14:textId="77777777" w:rsidR="0015675E" w:rsidRPr="00797896" w:rsidRDefault="0015675E" w:rsidP="0015675E">
            <w:pPr>
              <w:pStyle w:val="Table"/>
              <w:ind w:right="-3"/>
            </w:pPr>
            <w:r w:rsidRPr="00797896">
              <w:t>26.3</w:t>
            </w:r>
          </w:p>
        </w:tc>
      </w:tr>
      <w:tr w:rsidR="0015675E" w:rsidRPr="00797896" w14:paraId="3A722211" w14:textId="77777777" w:rsidTr="0038099B">
        <w:trPr>
          <w:trHeight w:val="300"/>
        </w:trPr>
        <w:tc>
          <w:tcPr>
            <w:tcW w:w="1809" w:type="dxa"/>
            <w:noWrap/>
          </w:tcPr>
          <w:p w14:paraId="2453F523" w14:textId="77777777" w:rsidR="0015675E" w:rsidRPr="00797896" w:rsidRDefault="0015675E" w:rsidP="0015675E">
            <w:pPr>
              <w:pStyle w:val="Table"/>
              <w:ind w:right="-3"/>
            </w:pPr>
            <w:r w:rsidRPr="00797896">
              <w:t>TAS Community</w:t>
            </w:r>
          </w:p>
        </w:tc>
        <w:tc>
          <w:tcPr>
            <w:tcW w:w="709" w:type="dxa"/>
            <w:noWrap/>
          </w:tcPr>
          <w:p w14:paraId="43F013DC" w14:textId="77777777" w:rsidR="0015675E" w:rsidRPr="00797896" w:rsidRDefault="0015675E" w:rsidP="0015675E">
            <w:pPr>
              <w:pStyle w:val="Table"/>
              <w:ind w:right="-3"/>
            </w:pPr>
            <w:r w:rsidRPr="00797896">
              <w:t>1</w:t>
            </w:r>
          </w:p>
        </w:tc>
        <w:tc>
          <w:tcPr>
            <w:tcW w:w="608" w:type="dxa"/>
            <w:noWrap/>
          </w:tcPr>
          <w:p w14:paraId="6C36B816" w14:textId="77777777" w:rsidR="0015675E" w:rsidRPr="00797896" w:rsidRDefault="0015675E" w:rsidP="0015675E">
            <w:pPr>
              <w:pStyle w:val="Table"/>
              <w:ind w:right="-3"/>
            </w:pPr>
            <w:r w:rsidRPr="00797896">
              <w:t>0</w:t>
            </w:r>
          </w:p>
        </w:tc>
        <w:tc>
          <w:tcPr>
            <w:tcW w:w="801" w:type="dxa"/>
            <w:noWrap/>
          </w:tcPr>
          <w:p w14:paraId="0A4103AE" w14:textId="77777777" w:rsidR="0015675E" w:rsidRPr="00797896" w:rsidRDefault="0015675E" w:rsidP="0015675E">
            <w:pPr>
              <w:pStyle w:val="Table"/>
              <w:ind w:right="-3"/>
            </w:pPr>
            <w:r w:rsidRPr="00797896">
              <w:t>0</w:t>
            </w:r>
          </w:p>
        </w:tc>
        <w:tc>
          <w:tcPr>
            <w:tcW w:w="800" w:type="dxa"/>
            <w:noWrap/>
          </w:tcPr>
          <w:p w14:paraId="7B36DC09" w14:textId="77777777" w:rsidR="0015675E" w:rsidRPr="00797896" w:rsidRDefault="0015675E" w:rsidP="0015675E">
            <w:pPr>
              <w:pStyle w:val="Table"/>
              <w:ind w:right="-3"/>
            </w:pPr>
          </w:p>
        </w:tc>
        <w:tc>
          <w:tcPr>
            <w:tcW w:w="801" w:type="dxa"/>
            <w:noWrap/>
          </w:tcPr>
          <w:p w14:paraId="02A43D75" w14:textId="77777777" w:rsidR="0015675E" w:rsidRPr="00797896" w:rsidRDefault="0015675E" w:rsidP="0015675E">
            <w:pPr>
              <w:pStyle w:val="Table"/>
              <w:ind w:right="-3"/>
            </w:pPr>
          </w:p>
        </w:tc>
        <w:tc>
          <w:tcPr>
            <w:tcW w:w="800" w:type="dxa"/>
            <w:noWrap/>
          </w:tcPr>
          <w:p w14:paraId="71D67277" w14:textId="77777777" w:rsidR="0015675E" w:rsidRPr="00797896" w:rsidRDefault="0015675E" w:rsidP="0015675E">
            <w:pPr>
              <w:pStyle w:val="Table"/>
              <w:ind w:right="-3"/>
            </w:pPr>
            <w:r w:rsidRPr="00797896">
              <w:t>2</w:t>
            </w:r>
          </w:p>
        </w:tc>
        <w:tc>
          <w:tcPr>
            <w:tcW w:w="801" w:type="dxa"/>
            <w:noWrap/>
          </w:tcPr>
          <w:p w14:paraId="4AF22B94" w14:textId="77777777" w:rsidR="0015675E" w:rsidRPr="00797896" w:rsidRDefault="0015675E" w:rsidP="0015675E">
            <w:pPr>
              <w:pStyle w:val="Table"/>
              <w:ind w:right="-3"/>
            </w:pPr>
            <w:r w:rsidRPr="00797896">
              <w:t>0</w:t>
            </w:r>
          </w:p>
        </w:tc>
        <w:tc>
          <w:tcPr>
            <w:tcW w:w="800" w:type="dxa"/>
            <w:noWrap/>
          </w:tcPr>
          <w:p w14:paraId="477EB032" w14:textId="77777777" w:rsidR="0015675E" w:rsidRPr="00797896" w:rsidRDefault="0015675E" w:rsidP="0015675E">
            <w:pPr>
              <w:pStyle w:val="Table"/>
              <w:ind w:right="-3"/>
            </w:pPr>
            <w:r w:rsidRPr="00797896">
              <w:t>3</w:t>
            </w:r>
          </w:p>
        </w:tc>
        <w:tc>
          <w:tcPr>
            <w:tcW w:w="801" w:type="dxa"/>
            <w:noWrap/>
          </w:tcPr>
          <w:p w14:paraId="623A496D" w14:textId="77777777" w:rsidR="0015675E" w:rsidRPr="00797896" w:rsidRDefault="0015675E" w:rsidP="0015675E">
            <w:pPr>
              <w:pStyle w:val="Table"/>
              <w:ind w:right="-3"/>
            </w:pPr>
            <w:r w:rsidRPr="00797896">
              <w:t>33.3</w:t>
            </w:r>
          </w:p>
        </w:tc>
        <w:tc>
          <w:tcPr>
            <w:tcW w:w="800" w:type="dxa"/>
            <w:noWrap/>
          </w:tcPr>
          <w:p w14:paraId="711FBD93" w14:textId="77777777" w:rsidR="0015675E" w:rsidRPr="00797896" w:rsidRDefault="0015675E" w:rsidP="0015675E">
            <w:pPr>
              <w:pStyle w:val="Table"/>
              <w:ind w:right="-3"/>
            </w:pPr>
            <w:r w:rsidRPr="00797896">
              <w:t>0</w:t>
            </w:r>
          </w:p>
        </w:tc>
        <w:tc>
          <w:tcPr>
            <w:tcW w:w="801" w:type="dxa"/>
            <w:noWrap/>
          </w:tcPr>
          <w:p w14:paraId="69B8AE94" w14:textId="77777777" w:rsidR="0015675E" w:rsidRPr="00797896" w:rsidRDefault="0015675E" w:rsidP="0015675E">
            <w:pPr>
              <w:pStyle w:val="Table"/>
              <w:ind w:right="-3"/>
            </w:pPr>
            <w:r w:rsidRPr="00797896">
              <w:t>0</w:t>
            </w:r>
          </w:p>
        </w:tc>
        <w:tc>
          <w:tcPr>
            <w:tcW w:w="834" w:type="dxa"/>
            <w:noWrap/>
          </w:tcPr>
          <w:p w14:paraId="6D0E5F78" w14:textId="77777777" w:rsidR="0015675E" w:rsidRPr="00797896" w:rsidRDefault="0015675E" w:rsidP="0015675E">
            <w:pPr>
              <w:pStyle w:val="Table"/>
              <w:ind w:right="-3"/>
            </w:pPr>
            <w:r w:rsidRPr="00797896">
              <w:t>0</w:t>
            </w:r>
          </w:p>
        </w:tc>
        <w:tc>
          <w:tcPr>
            <w:tcW w:w="850" w:type="dxa"/>
            <w:noWrap/>
          </w:tcPr>
          <w:p w14:paraId="5B717A86" w14:textId="77777777" w:rsidR="0015675E" w:rsidRPr="00797896" w:rsidRDefault="0015675E" w:rsidP="0015675E">
            <w:pPr>
              <w:pStyle w:val="Table"/>
              <w:ind w:right="-3"/>
            </w:pPr>
            <w:r w:rsidRPr="00797896">
              <w:t>33.3</w:t>
            </w:r>
          </w:p>
        </w:tc>
        <w:tc>
          <w:tcPr>
            <w:tcW w:w="717" w:type="dxa"/>
            <w:noWrap/>
          </w:tcPr>
          <w:p w14:paraId="2B765128" w14:textId="77777777" w:rsidR="0015675E" w:rsidRPr="00797896" w:rsidRDefault="0015675E" w:rsidP="0015675E">
            <w:pPr>
              <w:pStyle w:val="Table"/>
              <w:ind w:right="-3"/>
            </w:pPr>
            <w:r w:rsidRPr="00797896">
              <w:t>0</w:t>
            </w:r>
          </w:p>
        </w:tc>
        <w:tc>
          <w:tcPr>
            <w:tcW w:w="801" w:type="dxa"/>
            <w:noWrap/>
          </w:tcPr>
          <w:p w14:paraId="75142346" w14:textId="77777777" w:rsidR="0015675E" w:rsidRPr="00797896" w:rsidRDefault="0015675E" w:rsidP="0015675E">
            <w:pPr>
              <w:pStyle w:val="Table"/>
              <w:ind w:right="-3"/>
            </w:pPr>
            <w:r w:rsidRPr="00797896">
              <w:t>66.7</w:t>
            </w:r>
          </w:p>
        </w:tc>
        <w:tc>
          <w:tcPr>
            <w:tcW w:w="800" w:type="dxa"/>
            <w:noWrap/>
          </w:tcPr>
          <w:p w14:paraId="209A3A07" w14:textId="77777777" w:rsidR="0015675E" w:rsidRPr="00797896" w:rsidRDefault="0015675E" w:rsidP="0015675E">
            <w:pPr>
              <w:pStyle w:val="Table"/>
              <w:ind w:right="-3"/>
            </w:pPr>
            <w:r w:rsidRPr="00797896">
              <w:t>0</w:t>
            </w:r>
          </w:p>
        </w:tc>
        <w:tc>
          <w:tcPr>
            <w:tcW w:w="801" w:type="dxa"/>
            <w:noWrap/>
          </w:tcPr>
          <w:p w14:paraId="57B0F349" w14:textId="77777777" w:rsidR="0015675E" w:rsidRPr="00797896" w:rsidRDefault="0015675E" w:rsidP="0015675E">
            <w:pPr>
              <w:pStyle w:val="Table"/>
              <w:ind w:right="-3"/>
            </w:pPr>
            <w:r w:rsidRPr="00797896">
              <w:t>66.7</w:t>
            </w:r>
          </w:p>
        </w:tc>
      </w:tr>
      <w:tr w:rsidR="0015675E" w:rsidRPr="00797896" w14:paraId="46A82353" w14:textId="77777777" w:rsidTr="0038099B">
        <w:trPr>
          <w:trHeight w:val="300"/>
        </w:trPr>
        <w:tc>
          <w:tcPr>
            <w:tcW w:w="1809" w:type="dxa"/>
            <w:noWrap/>
          </w:tcPr>
          <w:p w14:paraId="4791CB41" w14:textId="77777777" w:rsidR="0015675E" w:rsidRPr="00797896" w:rsidRDefault="0015675E" w:rsidP="0015675E">
            <w:pPr>
              <w:pStyle w:val="Table"/>
              <w:ind w:right="-3"/>
            </w:pPr>
            <w:r w:rsidRPr="00797896">
              <w:lastRenderedPageBreak/>
              <w:t>TAS Residential</w:t>
            </w:r>
          </w:p>
        </w:tc>
        <w:tc>
          <w:tcPr>
            <w:tcW w:w="709" w:type="dxa"/>
            <w:noWrap/>
          </w:tcPr>
          <w:p w14:paraId="3F2F57BA" w14:textId="77777777" w:rsidR="0015675E" w:rsidRPr="00797896" w:rsidRDefault="0015675E" w:rsidP="0015675E">
            <w:pPr>
              <w:pStyle w:val="Table"/>
              <w:ind w:right="-3"/>
            </w:pPr>
            <w:r w:rsidRPr="00797896">
              <w:t>1</w:t>
            </w:r>
          </w:p>
        </w:tc>
        <w:tc>
          <w:tcPr>
            <w:tcW w:w="608" w:type="dxa"/>
            <w:noWrap/>
          </w:tcPr>
          <w:p w14:paraId="16454F9E" w14:textId="77777777" w:rsidR="0015675E" w:rsidRPr="00797896" w:rsidRDefault="0015675E" w:rsidP="0015675E">
            <w:pPr>
              <w:pStyle w:val="Table"/>
              <w:ind w:right="-3"/>
            </w:pPr>
            <w:r w:rsidRPr="00797896">
              <w:t>7</w:t>
            </w:r>
          </w:p>
        </w:tc>
        <w:tc>
          <w:tcPr>
            <w:tcW w:w="801" w:type="dxa"/>
            <w:noWrap/>
          </w:tcPr>
          <w:p w14:paraId="7C0C1A17" w14:textId="77777777" w:rsidR="0015675E" w:rsidRPr="00797896" w:rsidRDefault="0015675E" w:rsidP="0015675E">
            <w:pPr>
              <w:pStyle w:val="Table"/>
              <w:ind w:right="-3"/>
            </w:pPr>
            <w:r w:rsidRPr="00797896">
              <w:t>2</w:t>
            </w:r>
          </w:p>
        </w:tc>
        <w:tc>
          <w:tcPr>
            <w:tcW w:w="800" w:type="dxa"/>
            <w:noWrap/>
          </w:tcPr>
          <w:p w14:paraId="7751DF4F" w14:textId="77777777" w:rsidR="0015675E" w:rsidRPr="00797896" w:rsidRDefault="0015675E" w:rsidP="0015675E">
            <w:pPr>
              <w:pStyle w:val="Table"/>
              <w:ind w:right="-3"/>
            </w:pPr>
          </w:p>
        </w:tc>
        <w:tc>
          <w:tcPr>
            <w:tcW w:w="801" w:type="dxa"/>
            <w:noWrap/>
          </w:tcPr>
          <w:p w14:paraId="1AF0DCC0" w14:textId="77777777" w:rsidR="0015675E" w:rsidRPr="00797896" w:rsidRDefault="0015675E" w:rsidP="0015675E">
            <w:pPr>
              <w:pStyle w:val="Table"/>
              <w:ind w:right="-3"/>
            </w:pPr>
          </w:p>
        </w:tc>
        <w:tc>
          <w:tcPr>
            <w:tcW w:w="800" w:type="dxa"/>
            <w:noWrap/>
          </w:tcPr>
          <w:p w14:paraId="25517FC1" w14:textId="77777777" w:rsidR="0015675E" w:rsidRPr="00797896" w:rsidRDefault="0015675E" w:rsidP="0015675E">
            <w:pPr>
              <w:pStyle w:val="Table"/>
              <w:ind w:right="-3"/>
            </w:pPr>
            <w:r w:rsidRPr="00797896">
              <w:t>0</w:t>
            </w:r>
          </w:p>
        </w:tc>
        <w:tc>
          <w:tcPr>
            <w:tcW w:w="801" w:type="dxa"/>
            <w:noWrap/>
          </w:tcPr>
          <w:p w14:paraId="429EC5F6" w14:textId="77777777" w:rsidR="0015675E" w:rsidRPr="00797896" w:rsidRDefault="0015675E" w:rsidP="0015675E">
            <w:pPr>
              <w:pStyle w:val="Table"/>
              <w:ind w:right="-3"/>
            </w:pPr>
            <w:r w:rsidRPr="00797896">
              <w:t>1</w:t>
            </w:r>
          </w:p>
        </w:tc>
        <w:tc>
          <w:tcPr>
            <w:tcW w:w="800" w:type="dxa"/>
            <w:noWrap/>
          </w:tcPr>
          <w:p w14:paraId="601D46B5" w14:textId="77777777" w:rsidR="0015675E" w:rsidRPr="00797896" w:rsidRDefault="0015675E" w:rsidP="0015675E">
            <w:pPr>
              <w:pStyle w:val="Table"/>
              <w:ind w:right="-3"/>
            </w:pPr>
            <w:r w:rsidRPr="00797896">
              <w:t>11</w:t>
            </w:r>
          </w:p>
        </w:tc>
        <w:tc>
          <w:tcPr>
            <w:tcW w:w="801" w:type="dxa"/>
            <w:noWrap/>
          </w:tcPr>
          <w:p w14:paraId="5E2E6D83" w14:textId="77777777" w:rsidR="0015675E" w:rsidRPr="00797896" w:rsidRDefault="0015675E" w:rsidP="0015675E">
            <w:pPr>
              <w:pStyle w:val="Table"/>
              <w:ind w:right="-3"/>
            </w:pPr>
            <w:r w:rsidRPr="00797896">
              <w:t>9.1</w:t>
            </w:r>
          </w:p>
        </w:tc>
        <w:tc>
          <w:tcPr>
            <w:tcW w:w="800" w:type="dxa"/>
            <w:noWrap/>
          </w:tcPr>
          <w:p w14:paraId="362C19AD" w14:textId="77777777" w:rsidR="0015675E" w:rsidRPr="00797896" w:rsidRDefault="0015675E" w:rsidP="0015675E">
            <w:pPr>
              <w:pStyle w:val="Table"/>
              <w:ind w:right="-3"/>
            </w:pPr>
            <w:r w:rsidRPr="00797896">
              <w:t>63.6</w:t>
            </w:r>
          </w:p>
        </w:tc>
        <w:tc>
          <w:tcPr>
            <w:tcW w:w="801" w:type="dxa"/>
            <w:noWrap/>
          </w:tcPr>
          <w:p w14:paraId="54E1C894" w14:textId="77777777" w:rsidR="0015675E" w:rsidRPr="00797896" w:rsidRDefault="0015675E" w:rsidP="0015675E">
            <w:pPr>
              <w:pStyle w:val="Table"/>
              <w:ind w:right="-3"/>
            </w:pPr>
            <w:r w:rsidRPr="00797896">
              <w:t>18.2</w:t>
            </w:r>
          </w:p>
        </w:tc>
        <w:tc>
          <w:tcPr>
            <w:tcW w:w="834" w:type="dxa"/>
            <w:noWrap/>
          </w:tcPr>
          <w:p w14:paraId="74D8C196" w14:textId="77777777" w:rsidR="0015675E" w:rsidRPr="00797896" w:rsidRDefault="0015675E" w:rsidP="0015675E">
            <w:pPr>
              <w:pStyle w:val="Table"/>
              <w:ind w:right="-3"/>
            </w:pPr>
            <w:r w:rsidRPr="00797896">
              <w:t>0</w:t>
            </w:r>
          </w:p>
        </w:tc>
        <w:tc>
          <w:tcPr>
            <w:tcW w:w="850" w:type="dxa"/>
            <w:noWrap/>
          </w:tcPr>
          <w:p w14:paraId="3A877FF1" w14:textId="77777777" w:rsidR="0015675E" w:rsidRPr="00797896" w:rsidRDefault="0015675E" w:rsidP="0015675E">
            <w:pPr>
              <w:pStyle w:val="Table"/>
              <w:ind w:right="-3"/>
            </w:pPr>
            <w:r w:rsidRPr="00797896">
              <w:t>90.9</w:t>
            </w:r>
          </w:p>
        </w:tc>
        <w:tc>
          <w:tcPr>
            <w:tcW w:w="717" w:type="dxa"/>
            <w:noWrap/>
          </w:tcPr>
          <w:p w14:paraId="7B442254" w14:textId="77777777" w:rsidR="0015675E" w:rsidRPr="00797896" w:rsidRDefault="0015675E" w:rsidP="0015675E">
            <w:pPr>
              <w:pStyle w:val="Table"/>
              <w:ind w:right="-3"/>
            </w:pPr>
            <w:r w:rsidRPr="00797896">
              <w:t>0</w:t>
            </w:r>
          </w:p>
        </w:tc>
        <w:tc>
          <w:tcPr>
            <w:tcW w:w="801" w:type="dxa"/>
            <w:noWrap/>
          </w:tcPr>
          <w:p w14:paraId="7FE5F24A" w14:textId="77777777" w:rsidR="0015675E" w:rsidRPr="00797896" w:rsidRDefault="0015675E" w:rsidP="0015675E">
            <w:pPr>
              <w:pStyle w:val="Table"/>
              <w:ind w:right="-3"/>
            </w:pPr>
            <w:r w:rsidRPr="00797896">
              <w:t>0</w:t>
            </w:r>
          </w:p>
        </w:tc>
        <w:tc>
          <w:tcPr>
            <w:tcW w:w="800" w:type="dxa"/>
            <w:noWrap/>
          </w:tcPr>
          <w:p w14:paraId="338CF1CD" w14:textId="77777777" w:rsidR="0015675E" w:rsidRPr="00797896" w:rsidRDefault="0015675E" w:rsidP="0015675E">
            <w:pPr>
              <w:pStyle w:val="Table"/>
              <w:ind w:right="-3"/>
            </w:pPr>
            <w:r w:rsidRPr="00797896">
              <w:t>9.1</w:t>
            </w:r>
          </w:p>
        </w:tc>
        <w:tc>
          <w:tcPr>
            <w:tcW w:w="801" w:type="dxa"/>
            <w:noWrap/>
          </w:tcPr>
          <w:p w14:paraId="4125151F" w14:textId="77777777" w:rsidR="0015675E" w:rsidRPr="00797896" w:rsidRDefault="0015675E" w:rsidP="0015675E">
            <w:pPr>
              <w:pStyle w:val="Table"/>
              <w:ind w:right="-3"/>
            </w:pPr>
            <w:r w:rsidRPr="00797896">
              <w:t>9.1</w:t>
            </w:r>
          </w:p>
        </w:tc>
      </w:tr>
      <w:tr w:rsidR="0015675E" w:rsidRPr="00797896" w14:paraId="3011ABB1" w14:textId="77777777" w:rsidTr="0038099B">
        <w:trPr>
          <w:trHeight w:val="300"/>
        </w:trPr>
        <w:tc>
          <w:tcPr>
            <w:tcW w:w="1809" w:type="dxa"/>
            <w:noWrap/>
          </w:tcPr>
          <w:p w14:paraId="3B5FF18F" w14:textId="77777777" w:rsidR="0015675E" w:rsidRPr="00797896" w:rsidRDefault="0015675E" w:rsidP="0015675E">
            <w:pPr>
              <w:pStyle w:val="Table"/>
              <w:ind w:right="-3"/>
            </w:pPr>
            <w:r w:rsidRPr="00797896">
              <w:t>TAS Combination</w:t>
            </w:r>
          </w:p>
        </w:tc>
        <w:tc>
          <w:tcPr>
            <w:tcW w:w="709" w:type="dxa"/>
            <w:noWrap/>
          </w:tcPr>
          <w:p w14:paraId="6AC2BC96" w14:textId="77777777" w:rsidR="0015675E" w:rsidRPr="00797896" w:rsidRDefault="0015675E" w:rsidP="0015675E">
            <w:pPr>
              <w:pStyle w:val="Table"/>
              <w:ind w:right="-3"/>
            </w:pPr>
            <w:r w:rsidRPr="00797896">
              <w:t>0</w:t>
            </w:r>
          </w:p>
        </w:tc>
        <w:tc>
          <w:tcPr>
            <w:tcW w:w="608" w:type="dxa"/>
            <w:noWrap/>
          </w:tcPr>
          <w:p w14:paraId="4BC9A4D4" w14:textId="77777777" w:rsidR="0015675E" w:rsidRPr="00797896" w:rsidRDefault="0015675E" w:rsidP="0015675E">
            <w:pPr>
              <w:pStyle w:val="Table"/>
              <w:ind w:right="-3"/>
            </w:pPr>
            <w:r w:rsidRPr="00797896">
              <w:t>1</w:t>
            </w:r>
          </w:p>
        </w:tc>
        <w:tc>
          <w:tcPr>
            <w:tcW w:w="801" w:type="dxa"/>
            <w:noWrap/>
          </w:tcPr>
          <w:p w14:paraId="11C526CB" w14:textId="77777777" w:rsidR="0015675E" w:rsidRPr="00797896" w:rsidRDefault="0015675E" w:rsidP="0015675E">
            <w:pPr>
              <w:pStyle w:val="Table"/>
              <w:ind w:right="-3"/>
            </w:pPr>
            <w:r w:rsidRPr="00797896">
              <w:t>0</w:t>
            </w:r>
          </w:p>
        </w:tc>
        <w:tc>
          <w:tcPr>
            <w:tcW w:w="800" w:type="dxa"/>
            <w:noWrap/>
          </w:tcPr>
          <w:p w14:paraId="536E020D" w14:textId="77777777" w:rsidR="0015675E" w:rsidRPr="00797896" w:rsidRDefault="0015675E" w:rsidP="0015675E">
            <w:pPr>
              <w:pStyle w:val="Table"/>
              <w:ind w:right="-3"/>
            </w:pPr>
          </w:p>
        </w:tc>
        <w:tc>
          <w:tcPr>
            <w:tcW w:w="801" w:type="dxa"/>
            <w:noWrap/>
          </w:tcPr>
          <w:p w14:paraId="3E51916D" w14:textId="77777777" w:rsidR="0015675E" w:rsidRPr="00797896" w:rsidRDefault="0015675E" w:rsidP="0015675E">
            <w:pPr>
              <w:pStyle w:val="Table"/>
              <w:ind w:right="-3"/>
            </w:pPr>
          </w:p>
        </w:tc>
        <w:tc>
          <w:tcPr>
            <w:tcW w:w="800" w:type="dxa"/>
            <w:noWrap/>
          </w:tcPr>
          <w:p w14:paraId="5A44E13B" w14:textId="77777777" w:rsidR="0015675E" w:rsidRPr="00797896" w:rsidRDefault="0015675E" w:rsidP="0015675E">
            <w:pPr>
              <w:pStyle w:val="Table"/>
              <w:ind w:right="-3"/>
            </w:pPr>
            <w:r w:rsidRPr="00797896">
              <w:t>0</w:t>
            </w:r>
          </w:p>
        </w:tc>
        <w:tc>
          <w:tcPr>
            <w:tcW w:w="801" w:type="dxa"/>
            <w:noWrap/>
          </w:tcPr>
          <w:p w14:paraId="1F817E16" w14:textId="77777777" w:rsidR="0015675E" w:rsidRPr="00797896" w:rsidRDefault="0015675E" w:rsidP="0015675E">
            <w:pPr>
              <w:pStyle w:val="Table"/>
              <w:ind w:right="-3"/>
            </w:pPr>
            <w:r w:rsidRPr="00797896">
              <w:t>0</w:t>
            </w:r>
          </w:p>
        </w:tc>
        <w:tc>
          <w:tcPr>
            <w:tcW w:w="800" w:type="dxa"/>
            <w:noWrap/>
          </w:tcPr>
          <w:p w14:paraId="45CEC9D0" w14:textId="77777777" w:rsidR="0015675E" w:rsidRPr="00797896" w:rsidRDefault="0015675E" w:rsidP="0015675E">
            <w:pPr>
              <w:pStyle w:val="Table"/>
              <w:ind w:right="-3"/>
            </w:pPr>
            <w:r w:rsidRPr="00797896">
              <w:t>1</w:t>
            </w:r>
          </w:p>
        </w:tc>
        <w:tc>
          <w:tcPr>
            <w:tcW w:w="801" w:type="dxa"/>
            <w:noWrap/>
          </w:tcPr>
          <w:p w14:paraId="292116C4" w14:textId="77777777" w:rsidR="0015675E" w:rsidRPr="00797896" w:rsidRDefault="0015675E" w:rsidP="0015675E">
            <w:pPr>
              <w:pStyle w:val="Table"/>
              <w:ind w:right="-3"/>
            </w:pPr>
            <w:r w:rsidRPr="00797896">
              <w:t>0</w:t>
            </w:r>
          </w:p>
        </w:tc>
        <w:tc>
          <w:tcPr>
            <w:tcW w:w="800" w:type="dxa"/>
            <w:noWrap/>
          </w:tcPr>
          <w:p w14:paraId="75732DC0" w14:textId="77777777" w:rsidR="0015675E" w:rsidRPr="00797896" w:rsidRDefault="0015675E" w:rsidP="0015675E">
            <w:pPr>
              <w:pStyle w:val="Table"/>
              <w:ind w:right="-3"/>
            </w:pPr>
            <w:r w:rsidRPr="00797896">
              <w:t>100</w:t>
            </w:r>
          </w:p>
        </w:tc>
        <w:tc>
          <w:tcPr>
            <w:tcW w:w="801" w:type="dxa"/>
            <w:noWrap/>
          </w:tcPr>
          <w:p w14:paraId="5EAF02B4" w14:textId="77777777" w:rsidR="0015675E" w:rsidRPr="00797896" w:rsidRDefault="0015675E" w:rsidP="0015675E">
            <w:pPr>
              <w:pStyle w:val="Table"/>
              <w:ind w:right="-3"/>
            </w:pPr>
            <w:r w:rsidRPr="00797896">
              <w:t>0</w:t>
            </w:r>
          </w:p>
        </w:tc>
        <w:tc>
          <w:tcPr>
            <w:tcW w:w="834" w:type="dxa"/>
            <w:noWrap/>
          </w:tcPr>
          <w:p w14:paraId="7B079911" w14:textId="77777777" w:rsidR="0015675E" w:rsidRPr="00797896" w:rsidRDefault="0015675E" w:rsidP="0015675E">
            <w:pPr>
              <w:pStyle w:val="Table"/>
              <w:ind w:right="-3"/>
            </w:pPr>
            <w:r w:rsidRPr="00797896">
              <w:t>0</w:t>
            </w:r>
          </w:p>
        </w:tc>
        <w:tc>
          <w:tcPr>
            <w:tcW w:w="850" w:type="dxa"/>
            <w:noWrap/>
          </w:tcPr>
          <w:p w14:paraId="6D880DAB" w14:textId="77777777" w:rsidR="0015675E" w:rsidRPr="00797896" w:rsidRDefault="0015675E" w:rsidP="0015675E">
            <w:pPr>
              <w:pStyle w:val="Table"/>
              <w:ind w:right="-3"/>
            </w:pPr>
            <w:r w:rsidRPr="00797896">
              <w:t>100</w:t>
            </w:r>
          </w:p>
        </w:tc>
        <w:tc>
          <w:tcPr>
            <w:tcW w:w="717" w:type="dxa"/>
            <w:noWrap/>
          </w:tcPr>
          <w:p w14:paraId="178159ED" w14:textId="77777777" w:rsidR="0015675E" w:rsidRPr="00797896" w:rsidRDefault="0015675E" w:rsidP="0015675E">
            <w:pPr>
              <w:pStyle w:val="Table"/>
              <w:ind w:right="-3"/>
            </w:pPr>
            <w:r w:rsidRPr="00797896">
              <w:t>0</w:t>
            </w:r>
          </w:p>
        </w:tc>
        <w:tc>
          <w:tcPr>
            <w:tcW w:w="801" w:type="dxa"/>
            <w:noWrap/>
          </w:tcPr>
          <w:p w14:paraId="586395DD" w14:textId="77777777" w:rsidR="0015675E" w:rsidRPr="00797896" w:rsidRDefault="0015675E" w:rsidP="0015675E">
            <w:pPr>
              <w:pStyle w:val="Table"/>
              <w:ind w:right="-3"/>
            </w:pPr>
            <w:r w:rsidRPr="00797896">
              <w:t>0</w:t>
            </w:r>
          </w:p>
        </w:tc>
        <w:tc>
          <w:tcPr>
            <w:tcW w:w="800" w:type="dxa"/>
            <w:noWrap/>
          </w:tcPr>
          <w:p w14:paraId="7F792509" w14:textId="77777777" w:rsidR="0015675E" w:rsidRPr="00797896" w:rsidRDefault="0015675E" w:rsidP="0015675E">
            <w:pPr>
              <w:pStyle w:val="Table"/>
              <w:ind w:right="-3"/>
            </w:pPr>
            <w:r w:rsidRPr="00797896">
              <w:t>0</w:t>
            </w:r>
          </w:p>
        </w:tc>
        <w:tc>
          <w:tcPr>
            <w:tcW w:w="801" w:type="dxa"/>
            <w:noWrap/>
          </w:tcPr>
          <w:p w14:paraId="658EBDBB" w14:textId="77777777" w:rsidR="0015675E" w:rsidRPr="00797896" w:rsidRDefault="0015675E" w:rsidP="0015675E">
            <w:pPr>
              <w:pStyle w:val="Table"/>
              <w:ind w:right="-3"/>
            </w:pPr>
            <w:r w:rsidRPr="00797896">
              <w:t>0</w:t>
            </w:r>
          </w:p>
        </w:tc>
      </w:tr>
      <w:tr w:rsidR="0015675E" w:rsidRPr="00797896" w14:paraId="25CA71F3" w14:textId="77777777" w:rsidTr="0038099B">
        <w:trPr>
          <w:trHeight w:val="300"/>
        </w:trPr>
        <w:tc>
          <w:tcPr>
            <w:tcW w:w="1809" w:type="dxa"/>
            <w:noWrap/>
          </w:tcPr>
          <w:p w14:paraId="30F46956" w14:textId="77777777" w:rsidR="0015675E" w:rsidRPr="00797896" w:rsidRDefault="0015675E" w:rsidP="0015675E">
            <w:pPr>
              <w:pStyle w:val="Table"/>
              <w:ind w:right="-3"/>
            </w:pPr>
            <w:r w:rsidRPr="00797896">
              <w:t>TAS Total</w:t>
            </w:r>
          </w:p>
        </w:tc>
        <w:tc>
          <w:tcPr>
            <w:tcW w:w="709" w:type="dxa"/>
            <w:noWrap/>
          </w:tcPr>
          <w:p w14:paraId="2B79DF63" w14:textId="77777777" w:rsidR="0015675E" w:rsidRPr="00797896" w:rsidRDefault="0015675E" w:rsidP="0015675E">
            <w:pPr>
              <w:pStyle w:val="Table"/>
              <w:ind w:right="-3"/>
            </w:pPr>
            <w:r w:rsidRPr="00797896">
              <w:t>2</w:t>
            </w:r>
          </w:p>
        </w:tc>
        <w:tc>
          <w:tcPr>
            <w:tcW w:w="608" w:type="dxa"/>
            <w:noWrap/>
          </w:tcPr>
          <w:p w14:paraId="7D7B95F4" w14:textId="77777777" w:rsidR="0015675E" w:rsidRPr="00797896" w:rsidRDefault="0015675E" w:rsidP="0015675E">
            <w:pPr>
              <w:pStyle w:val="Table"/>
              <w:ind w:right="-3"/>
            </w:pPr>
            <w:r w:rsidRPr="00797896">
              <w:t>8</w:t>
            </w:r>
          </w:p>
        </w:tc>
        <w:tc>
          <w:tcPr>
            <w:tcW w:w="801" w:type="dxa"/>
            <w:noWrap/>
          </w:tcPr>
          <w:p w14:paraId="0934AC4D" w14:textId="77777777" w:rsidR="0015675E" w:rsidRPr="00797896" w:rsidRDefault="0015675E" w:rsidP="0015675E">
            <w:pPr>
              <w:pStyle w:val="Table"/>
              <w:ind w:right="-3"/>
            </w:pPr>
            <w:r w:rsidRPr="00797896">
              <w:t>2</w:t>
            </w:r>
          </w:p>
        </w:tc>
        <w:tc>
          <w:tcPr>
            <w:tcW w:w="800" w:type="dxa"/>
            <w:noWrap/>
          </w:tcPr>
          <w:p w14:paraId="44C2C6C9" w14:textId="77777777" w:rsidR="0015675E" w:rsidRPr="00797896" w:rsidRDefault="0015675E" w:rsidP="0015675E">
            <w:pPr>
              <w:pStyle w:val="Table"/>
              <w:ind w:right="-3"/>
            </w:pPr>
          </w:p>
        </w:tc>
        <w:tc>
          <w:tcPr>
            <w:tcW w:w="801" w:type="dxa"/>
            <w:noWrap/>
          </w:tcPr>
          <w:p w14:paraId="7F50EB6D" w14:textId="77777777" w:rsidR="0015675E" w:rsidRPr="00797896" w:rsidRDefault="0015675E" w:rsidP="0015675E">
            <w:pPr>
              <w:pStyle w:val="Table"/>
              <w:ind w:right="-3"/>
            </w:pPr>
          </w:p>
        </w:tc>
        <w:tc>
          <w:tcPr>
            <w:tcW w:w="800" w:type="dxa"/>
            <w:noWrap/>
          </w:tcPr>
          <w:p w14:paraId="5E64AFB4" w14:textId="77777777" w:rsidR="0015675E" w:rsidRPr="00797896" w:rsidRDefault="0015675E" w:rsidP="0015675E">
            <w:pPr>
              <w:pStyle w:val="Table"/>
              <w:ind w:right="-3"/>
            </w:pPr>
            <w:r w:rsidRPr="00797896">
              <w:t>2</w:t>
            </w:r>
          </w:p>
        </w:tc>
        <w:tc>
          <w:tcPr>
            <w:tcW w:w="801" w:type="dxa"/>
            <w:noWrap/>
          </w:tcPr>
          <w:p w14:paraId="57B57703" w14:textId="77777777" w:rsidR="0015675E" w:rsidRPr="00797896" w:rsidRDefault="0015675E" w:rsidP="0015675E">
            <w:pPr>
              <w:pStyle w:val="Table"/>
              <w:ind w:right="-3"/>
            </w:pPr>
            <w:r w:rsidRPr="00797896">
              <w:t>1</w:t>
            </w:r>
          </w:p>
        </w:tc>
        <w:tc>
          <w:tcPr>
            <w:tcW w:w="800" w:type="dxa"/>
            <w:noWrap/>
          </w:tcPr>
          <w:p w14:paraId="67A39A22" w14:textId="77777777" w:rsidR="0015675E" w:rsidRPr="00797896" w:rsidRDefault="0015675E" w:rsidP="0015675E">
            <w:pPr>
              <w:pStyle w:val="Table"/>
              <w:ind w:right="-3"/>
            </w:pPr>
            <w:r w:rsidRPr="00797896">
              <w:t>15</w:t>
            </w:r>
          </w:p>
        </w:tc>
        <w:tc>
          <w:tcPr>
            <w:tcW w:w="801" w:type="dxa"/>
            <w:noWrap/>
          </w:tcPr>
          <w:p w14:paraId="0A5D07B6" w14:textId="77777777" w:rsidR="0015675E" w:rsidRPr="00797896" w:rsidRDefault="0015675E" w:rsidP="0015675E">
            <w:pPr>
              <w:pStyle w:val="Table"/>
              <w:ind w:right="-3"/>
            </w:pPr>
            <w:r w:rsidRPr="00797896">
              <w:t>13.3</w:t>
            </w:r>
          </w:p>
        </w:tc>
        <w:tc>
          <w:tcPr>
            <w:tcW w:w="800" w:type="dxa"/>
            <w:noWrap/>
          </w:tcPr>
          <w:p w14:paraId="2DFD802C" w14:textId="77777777" w:rsidR="0015675E" w:rsidRPr="00797896" w:rsidRDefault="0015675E" w:rsidP="0015675E">
            <w:pPr>
              <w:pStyle w:val="Table"/>
              <w:ind w:right="-3"/>
            </w:pPr>
            <w:r w:rsidRPr="00797896">
              <w:t>53.3</w:t>
            </w:r>
          </w:p>
        </w:tc>
        <w:tc>
          <w:tcPr>
            <w:tcW w:w="801" w:type="dxa"/>
            <w:noWrap/>
          </w:tcPr>
          <w:p w14:paraId="712AF485" w14:textId="77777777" w:rsidR="0015675E" w:rsidRPr="00797896" w:rsidRDefault="0015675E" w:rsidP="0015675E">
            <w:pPr>
              <w:pStyle w:val="Table"/>
              <w:ind w:right="-3"/>
            </w:pPr>
            <w:r w:rsidRPr="00797896">
              <w:t>13.3</w:t>
            </w:r>
          </w:p>
        </w:tc>
        <w:tc>
          <w:tcPr>
            <w:tcW w:w="834" w:type="dxa"/>
            <w:noWrap/>
          </w:tcPr>
          <w:p w14:paraId="17F378AC" w14:textId="77777777" w:rsidR="0015675E" w:rsidRPr="00797896" w:rsidRDefault="0015675E" w:rsidP="0015675E">
            <w:pPr>
              <w:pStyle w:val="Table"/>
              <w:ind w:right="-3"/>
            </w:pPr>
            <w:r w:rsidRPr="00797896">
              <w:t>0</w:t>
            </w:r>
          </w:p>
        </w:tc>
        <w:tc>
          <w:tcPr>
            <w:tcW w:w="850" w:type="dxa"/>
            <w:noWrap/>
          </w:tcPr>
          <w:p w14:paraId="7269169A" w14:textId="77777777" w:rsidR="0015675E" w:rsidRPr="00797896" w:rsidRDefault="0015675E" w:rsidP="0015675E">
            <w:pPr>
              <w:pStyle w:val="Table"/>
              <w:ind w:right="-3"/>
            </w:pPr>
            <w:r w:rsidRPr="00797896">
              <w:t>80</w:t>
            </w:r>
          </w:p>
        </w:tc>
        <w:tc>
          <w:tcPr>
            <w:tcW w:w="717" w:type="dxa"/>
            <w:noWrap/>
          </w:tcPr>
          <w:p w14:paraId="44951405" w14:textId="77777777" w:rsidR="0015675E" w:rsidRPr="00797896" w:rsidRDefault="0015675E" w:rsidP="0015675E">
            <w:pPr>
              <w:pStyle w:val="Table"/>
              <w:ind w:right="-3"/>
            </w:pPr>
            <w:r w:rsidRPr="00797896">
              <w:t>0</w:t>
            </w:r>
          </w:p>
        </w:tc>
        <w:tc>
          <w:tcPr>
            <w:tcW w:w="801" w:type="dxa"/>
            <w:noWrap/>
          </w:tcPr>
          <w:p w14:paraId="262DEA3F" w14:textId="77777777" w:rsidR="0015675E" w:rsidRPr="00797896" w:rsidRDefault="0015675E" w:rsidP="0015675E">
            <w:pPr>
              <w:pStyle w:val="Table"/>
              <w:ind w:right="-3"/>
            </w:pPr>
            <w:r w:rsidRPr="00797896">
              <w:t>13.3</w:t>
            </w:r>
          </w:p>
        </w:tc>
        <w:tc>
          <w:tcPr>
            <w:tcW w:w="800" w:type="dxa"/>
            <w:noWrap/>
          </w:tcPr>
          <w:p w14:paraId="4A8031FA" w14:textId="77777777" w:rsidR="0015675E" w:rsidRPr="00797896" w:rsidRDefault="0015675E" w:rsidP="0015675E">
            <w:pPr>
              <w:pStyle w:val="Table"/>
              <w:ind w:right="-3"/>
            </w:pPr>
            <w:r w:rsidRPr="00797896">
              <w:t>6.7</w:t>
            </w:r>
          </w:p>
        </w:tc>
        <w:tc>
          <w:tcPr>
            <w:tcW w:w="801" w:type="dxa"/>
            <w:noWrap/>
          </w:tcPr>
          <w:p w14:paraId="330A1B6A" w14:textId="77777777" w:rsidR="0015675E" w:rsidRPr="00797896" w:rsidRDefault="0015675E" w:rsidP="0015675E">
            <w:pPr>
              <w:pStyle w:val="Table"/>
              <w:ind w:right="-3"/>
            </w:pPr>
            <w:r w:rsidRPr="00797896">
              <w:t>20</w:t>
            </w:r>
          </w:p>
        </w:tc>
      </w:tr>
      <w:tr w:rsidR="0015675E" w:rsidRPr="00797896" w14:paraId="470330F8" w14:textId="77777777" w:rsidTr="0038099B">
        <w:trPr>
          <w:trHeight w:val="300"/>
        </w:trPr>
        <w:tc>
          <w:tcPr>
            <w:tcW w:w="1809" w:type="dxa"/>
            <w:noWrap/>
          </w:tcPr>
          <w:p w14:paraId="628232D8" w14:textId="77777777" w:rsidR="0015675E" w:rsidRPr="00797896" w:rsidRDefault="0015675E" w:rsidP="0015675E">
            <w:pPr>
              <w:pStyle w:val="Table"/>
              <w:ind w:right="-3"/>
            </w:pPr>
            <w:r w:rsidRPr="00797896">
              <w:t>VIC Community</w:t>
            </w:r>
          </w:p>
        </w:tc>
        <w:tc>
          <w:tcPr>
            <w:tcW w:w="709" w:type="dxa"/>
            <w:noWrap/>
          </w:tcPr>
          <w:p w14:paraId="37E571D2" w14:textId="77777777" w:rsidR="0015675E" w:rsidRPr="00797896" w:rsidRDefault="0015675E" w:rsidP="0015675E">
            <w:pPr>
              <w:pStyle w:val="Table"/>
              <w:ind w:right="-3"/>
            </w:pPr>
            <w:r w:rsidRPr="00797896">
              <w:t>4</w:t>
            </w:r>
          </w:p>
        </w:tc>
        <w:tc>
          <w:tcPr>
            <w:tcW w:w="608" w:type="dxa"/>
            <w:noWrap/>
          </w:tcPr>
          <w:p w14:paraId="784C4799" w14:textId="77777777" w:rsidR="0015675E" w:rsidRPr="00797896" w:rsidRDefault="0015675E" w:rsidP="0015675E">
            <w:pPr>
              <w:pStyle w:val="Table"/>
              <w:ind w:right="-3"/>
            </w:pPr>
            <w:r w:rsidRPr="00797896">
              <w:t>4</w:t>
            </w:r>
          </w:p>
        </w:tc>
        <w:tc>
          <w:tcPr>
            <w:tcW w:w="801" w:type="dxa"/>
            <w:noWrap/>
          </w:tcPr>
          <w:p w14:paraId="2163AF45" w14:textId="77777777" w:rsidR="0015675E" w:rsidRPr="00797896" w:rsidRDefault="0015675E" w:rsidP="0015675E">
            <w:pPr>
              <w:pStyle w:val="Table"/>
              <w:ind w:right="-3"/>
            </w:pPr>
            <w:r w:rsidRPr="00797896">
              <w:t>2</w:t>
            </w:r>
          </w:p>
        </w:tc>
        <w:tc>
          <w:tcPr>
            <w:tcW w:w="800" w:type="dxa"/>
            <w:noWrap/>
          </w:tcPr>
          <w:p w14:paraId="0847B91F" w14:textId="77777777" w:rsidR="0015675E" w:rsidRPr="00797896" w:rsidRDefault="0015675E" w:rsidP="0015675E">
            <w:pPr>
              <w:pStyle w:val="Table"/>
              <w:ind w:right="-3"/>
            </w:pPr>
            <w:r w:rsidRPr="00797896">
              <w:t>0</w:t>
            </w:r>
          </w:p>
        </w:tc>
        <w:tc>
          <w:tcPr>
            <w:tcW w:w="801" w:type="dxa"/>
            <w:noWrap/>
          </w:tcPr>
          <w:p w14:paraId="42957F94" w14:textId="77777777" w:rsidR="0015675E" w:rsidRPr="00797896" w:rsidRDefault="0015675E" w:rsidP="0015675E">
            <w:pPr>
              <w:pStyle w:val="Table"/>
              <w:ind w:right="-3"/>
            </w:pPr>
            <w:r w:rsidRPr="00797896">
              <w:t>4</w:t>
            </w:r>
          </w:p>
        </w:tc>
        <w:tc>
          <w:tcPr>
            <w:tcW w:w="800" w:type="dxa"/>
            <w:noWrap/>
          </w:tcPr>
          <w:p w14:paraId="7C4C15C5" w14:textId="77777777" w:rsidR="0015675E" w:rsidRPr="00797896" w:rsidRDefault="0015675E" w:rsidP="0015675E">
            <w:pPr>
              <w:pStyle w:val="Table"/>
              <w:ind w:right="-3"/>
            </w:pPr>
            <w:r w:rsidRPr="00797896">
              <w:t>0</w:t>
            </w:r>
          </w:p>
        </w:tc>
        <w:tc>
          <w:tcPr>
            <w:tcW w:w="801" w:type="dxa"/>
            <w:noWrap/>
          </w:tcPr>
          <w:p w14:paraId="0DEC31F0" w14:textId="77777777" w:rsidR="0015675E" w:rsidRPr="00797896" w:rsidRDefault="0015675E" w:rsidP="0015675E">
            <w:pPr>
              <w:pStyle w:val="Table"/>
              <w:ind w:right="-3"/>
            </w:pPr>
            <w:r w:rsidRPr="00797896">
              <w:t>0</w:t>
            </w:r>
          </w:p>
        </w:tc>
        <w:tc>
          <w:tcPr>
            <w:tcW w:w="800" w:type="dxa"/>
            <w:noWrap/>
          </w:tcPr>
          <w:p w14:paraId="394471F8" w14:textId="77777777" w:rsidR="0015675E" w:rsidRPr="00797896" w:rsidRDefault="0015675E" w:rsidP="0015675E">
            <w:pPr>
              <w:pStyle w:val="Table"/>
              <w:ind w:right="-3"/>
            </w:pPr>
            <w:r w:rsidRPr="00797896">
              <w:t>14</w:t>
            </w:r>
          </w:p>
        </w:tc>
        <w:tc>
          <w:tcPr>
            <w:tcW w:w="801" w:type="dxa"/>
            <w:noWrap/>
          </w:tcPr>
          <w:p w14:paraId="11D51043" w14:textId="77777777" w:rsidR="0015675E" w:rsidRPr="00797896" w:rsidRDefault="0015675E" w:rsidP="0015675E">
            <w:pPr>
              <w:pStyle w:val="Table"/>
              <w:ind w:right="-3"/>
            </w:pPr>
            <w:r w:rsidRPr="00797896">
              <w:t>28.6</w:t>
            </w:r>
          </w:p>
        </w:tc>
        <w:tc>
          <w:tcPr>
            <w:tcW w:w="800" w:type="dxa"/>
            <w:noWrap/>
          </w:tcPr>
          <w:p w14:paraId="35DD93A9" w14:textId="77777777" w:rsidR="0015675E" w:rsidRPr="00797896" w:rsidRDefault="0015675E" w:rsidP="0015675E">
            <w:pPr>
              <w:pStyle w:val="Table"/>
              <w:ind w:right="-3"/>
            </w:pPr>
            <w:r w:rsidRPr="00797896">
              <w:t>28.6</w:t>
            </w:r>
          </w:p>
        </w:tc>
        <w:tc>
          <w:tcPr>
            <w:tcW w:w="801" w:type="dxa"/>
            <w:noWrap/>
          </w:tcPr>
          <w:p w14:paraId="10769283" w14:textId="77777777" w:rsidR="0015675E" w:rsidRPr="00797896" w:rsidRDefault="0015675E" w:rsidP="0015675E">
            <w:pPr>
              <w:pStyle w:val="Table"/>
              <w:ind w:right="-3"/>
            </w:pPr>
            <w:r w:rsidRPr="00797896">
              <w:t>14.3</w:t>
            </w:r>
          </w:p>
        </w:tc>
        <w:tc>
          <w:tcPr>
            <w:tcW w:w="834" w:type="dxa"/>
            <w:noWrap/>
          </w:tcPr>
          <w:p w14:paraId="2FDF7672" w14:textId="77777777" w:rsidR="0015675E" w:rsidRPr="00797896" w:rsidRDefault="0015675E" w:rsidP="0015675E">
            <w:pPr>
              <w:pStyle w:val="Table"/>
              <w:ind w:right="-3"/>
            </w:pPr>
            <w:r w:rsidRPr="00797896">
              <w:t>0</w:t>
            </w:r>
          </w:p>
        </w:tc>
        <w:tc>
          <w:tcPr>
            <w:tcW w:w="850" w:type="dxa"/>
            <w:noWrap/>
          </w:tcPr>
          <w:p w14:paraId="2ACFB880" w14:textId="77777777" w:rsidR="0015675E" w:rsidRPr="00797896" w:rsidRDefault="0015675E" w:rsidP="0015675E">
            <w:pPr>
              <w:pStyle w:val="Table"/>
              <w:ind w:right="-3"/>
            </w:pPr>
            <w:r w:rsidRPr="00797896">
              <w:t>71.4</w:t>
            </w:r>
          </w:p>
        </w:tc>
        <w:tc>
          <w:tcPr>
            <w:tcW w:w="717" w:type="dxa"/>
            <w:noWrap/>
          </w:tcPr>
          <w:p w14:paraId="7DE5CC1B" w14:textId="77777777" w:rsidR="0015675E" w:rsidRPr="00797896" w:rsidRDefault="0015675E" w:rsidP="0015675E">
            <w:pPr>
              <w:pStyle w:val="Table"/>
              <w:ind w:right="-3"/>
            </w:pPr>
            <w:r w:rsidRPr="00797896">
              <w:t>28.6</w:t>
            </w:r>
          </w:p>
        </w:tc>
        <w:tc>
          <w:tcPr>
            <w:tcW w:w="801" w:type="dxa"/>
            <w:noWrap/>
          </w:tcPr>
          <w:p w14:paraId="73D41E31" w14:textId="77777777" w:rsidR="0015675E" w:rsidRPr="00797896" w:rsidRDefault="0015675E" w:rsidP="0015675E">
            <w:pPr>
              <w:pStyle w:val="Table"/>
              <w:ind w:right="-3"/>
            </w:pPr>
            <w:r w:rsidRPr="00797896">
              <w:t>0</w:t>
            </w:r>
          </w:p>
        </w:tc>
        <w:tc>
          <w:tcPr>
            <w:tcW w:w="800" w:type="dxa"/>
            <w:noWrap/>
          </w:tcPr>
          <w:p w14:paraId="2B973DB4" w14:textId="77777777" w:rsidR="0015675E" w:rsidRPr="00797896" w:rsidRDefault="0015675E" w:rsidP="0015675E">
            <w:pPr>
              <w:pStyle w:val="Table"/>
              <w:ind w:right="-3"/>
            </w:pPr>
            <w:r w:rsidRPr="00797896">
              <w:t>0</w:t>
            </w:r>
          </w:p>
        </w:tc>
        <w:tc>
          <w:tcPr>
            <w:tcW w:w="801" w:type="dxa"/>
            <w:noWrap/>
          </w:tcPr>
          <w:p w14:paraId="6426FEA0" w14:textId="77777777" w:rsidR="0015675E" w:rsidRPr="00797896" w:rsidRDefault="0015675E" w:rsidP="0015675E">
            <w:pPr>
              <w:pStyle w:val="Table"/>
              <w:ind w:right="-3"/>
            </w:pPr>
            <w:r w:rsidRPr="00797896">
              <w:t>28.6</w:t>
            </w:r>
          </w:p>
        </w:tc>
      </w:tr>
      <w:tr w:rsidR="0015675E" w:rsidRPr="00797896" w14:paraId="0D184D74" w14:textId="77777777" w:rsidTr="0038099B">
        <w:trPr>
          <w:trHeight w:val="300"/>
        </w:trPr>
        <w:tc>
          <w:tcPr>
            <w:tcW w:w="1809" w:type="dxa"/>
            <w:noWrap/>
          </w:tcPr>
          <w:p w14:paraId="607A62B3" w14:textId="77777777" w:rsidR="0015675E" w:rsidRPr="00797896" w:rsidRDefault="0015675E" w:rsidP="0015675E">
            <w:pPr>
              <w:pStyle w:val="Table"/>
              <w:ind w:right="-3"/>
            </w:pPr>
            <w:r w:rsidRPr="00797896">
              <w:t>VIC Residential</w:t>
            </w:r>
          </w:p>
        </w:tc>
        <w:tc>
          <w:tcPr>
            <w:tcW w:w="709" w:type="dxa"/>
            <w:noWrap/>
          </w:tcPr>
          <w:p w14:paraId="5229473D" w14:textId="77777777" w:rsidR="0015675E" w:rsidRPr="00797896" w:rsidRDefault="0015675E" w:rsidP="0015675E">
            <w:pPr>
              <w:pStyle w:val="Table"/>
              <w:ind w:right="-3"/>
            </w:pPr>
            <w:r w:rsidRPr="00797896">
              <w:t>164</w:t>
            </w:r>
          </w:p>
        </w:tc>
        <w:tc>
          <w:tcPr>
            <w:tcW w:w="608" w:type="dxa"/>
            <w:noWrap/>
          </w:tcPr>
          <w:p w14:paraId="149EE3AD" w14:textId="77777777" w:rsidR="0015675E" w:rsidRPr="00797896" w:rsidRDefault="0015675E" w:rsidP="0015675E">
            <w:pPr>
              <w:pStyle w:val="Table"/>
              <w:ind w:right="-3"/>
            </w:pPr>
            <w:r w:rsidRPr="00797896">
              <w:t>139</w:t>
            </w:r>
          </w:p>
        </w:tc>
        <w:tc>
          <w:tcPr>
            <w:tcW w:w="801" w:type="dxa"/>
            <w:noWrap/>
          </w:tcPr>
          <w:p w14:paraId="2E9128A2" w14:textId="77777777" w:rsidR="0015675E" w:rsidRPr="00797896" w:rsidRDefault="0015675E" w:rsidP="0015675E">
            <w:pPr>
              <w:pStyle w:val="Table"/>
              <w:ind w:right="-3"/>
            </w:pPr>
            <w:r w:rsidRPr="00797896">
              <w:t>54</w:t>
            </w:r>
          </w:p>
        </w:tc>
        <w:tc>
          <w:tcPr>
            <w:tcW w:w="800" w:type="dxa"/>
            <w:noWrap/>
          </w:tcPr>
          <w:p w14:paraId="11D09EF4" w14:textId="77777777" w:rsidR="0015675E" w:rsidRPr="00797896" w:rsidRDefault="0015675E" w:rsidP="0015675E">
            <w:pPr>
              <w:pStyle w:val="Table"/>
              <w:ind w:right="-3"/>
            </w:pPr>
            <w:r w:rsidRPr="00797896">
              <w:t>10</w:t>
            </w:r>
          </w:p>
        </w:tc>
        <w:tc>
          <w:tcPr>
            <w:tcW w:w="801" w:type="dxa"/>
            <w:noWrap/>
          </w:tcPr>
          <w:p w14:paraId="0B6EB0CA" w14:textId="77777777" w:rsidR="0015675E" w:rsidRPr="00797896" w:rsidRDefault="0015675E" w:rsidP="0015675E">
            <w:pPr>
              <w:pStyle w:val="Table"/>
              <w:ind w:right="-3"/>
            </w:pPr>
            <w:r w:rsidRPr="00797896">
              <w:t>45</w:t>
            </w:r>
          </w:p>
        </w:tc>
        <w:tc>
          <w:tcPr>
            <w:tcW w:w="800" w:type="dxa"/>
            <w:noWrap/>
          </w:tcPr>
          <w:p w14:paraId="3080E710" w14:textId="77777777" w:rsidR="0015675E" w:rsidRPr="00797896" w:rsidRDefault="0015675E" w:rsidP="0015675E">
            <w:pPr>
              <w:pStyle w:val="Table"/>
              <w:ind w:right="-3"/>
            </w:pPr>
            <w:r w:rsidRPr="00797896">
              <w:t>21</w:t>
            </w:r>
          </w:p>
        </w:tc>
        <w:tc>
          <w:tcPr>
            <w:tcW w:w="801" w:type="dxa"/>
            <w:noWrap/>
          </w:tcPr>
          <w:p w14:paraId="5C2D14B2" w14:textId="77777777" w:rsidR="0015675E" w:rsidRPr="00797896" w:rsidRDefault="0015675E" w:rsidP="0015675E">
            <w:pPr>
              <w:pStyle w:val="Table"/>
              <w:ind w:right="-3"/>
            </w:pPr>
            <w:r w:rsidRPr="00797896">
              <w:t>17</w:t>
            </w:r>
          </w:p>
        </w:tc>
        <w:tc>
          <w:tcPr>
            <w:tcW w:w="800" w:type="dxa"/>
            <w:noWrap/>
          </w:tcPr>
          <w:p w14:paraId="487FE03B" w14:textId="77777777" w:rsidR="0015675E" w:rsidRPr="00797896" w:rsidRDefault="0015675E" w:rsidP="0015675E">
            <w:pPr>
              <w:pStyle w:val="Table"/>
              <w:ind w:right="-3"/>
            </w:pPr>
            <w:r w:rsidRPr="00797896">
              <w:t>450</w:t>
            </w:r>
          </w:p>
        </w:tc>
        <w:tc>
          <w:tcPr>
            <w:tcW w:w="801" w:type="dxa"/>
            <w:noWrap/>
          </w:tcPr>
          <w:p w14:paraId="6CCA2307" w14:textId="77777777" w:rsidR="0015675E" w:rsidRPr="00797896" w:rsidRDefault="0015675E" w:rsidP="0015675E">
            <w:pPr>
              <w:pStyle w:val="Table"/>
              <w:ind w:right="-3"/>
            </w:pPr>
            <w:r w:rsidRPr="00797896">
              <w:t>36.4</w:t>
            </w:r>
          </w:p>
        </w:tc>
        <w:tc>
          <w:tcPr>
            <w:tcW w:w="800" w:type="dxa"/>
            <w:noWrap/>
          </w:tcPr>
          <w:p w14:paraId="21AEBD74" w14:textId="77777777" w:rsidR="0015675E" w:rsidRPr="00797896" w:rsidRDefault="0015675E" w:rsidP="0015675E">
            <w:pPr>
              <w:pStyle w:val="Table"/>
              <w:ind w:right="-3"/>
            </w:pPr>
            <w:r w:rsidRPr="00797896">
              <w:t>30.9</w:t>
            </w:r>
          </w:p>
        </w:tc>
        <w:tc>
          <w:tcPr>
            <w:tcW w:w="801" w:type="dxa"/>
            <w:noWrap/>
          </w:tcPr>
          <w:p w14:paraId="47A6D2FF" w14:textId="77777777" w:rsidR="0015675E" w:rsidRPr="00797896" w:rsidRDefault="0015675E" w:rsidP="0015675E">
            <w:pPr>
              <w:pStyle w:val="Table"/>
              <w:ind w:right="-3"/>
            </w:pPr>
            <w:r w:rsidRPr="00797896">
              <w:t>12</w:t>
            </w:r>
          </w:p>
        </w:tc>
        <w:tc>
          <w:tcPr>
            <w:tcW w:w="834" w:type="dxa"/>
            <w:noWrap/>
          </w:tcPr>
          <w:p w14:paraId="65F961E4" w14:textId="77777777" w:rsidR="0015675E" w:rsidRPr="00797896" w:rsidRDefault="0015675E" w:rsidP="0015675E">
            <w:pPr>
              <w:pStyle w:val="Table"/>
              <w:ind w:right="-3"/>
            </w:pPr>
            <w:r w:rsidRPr="00797896">
              <w:t>2.2</w:t>
            </w:r>
          </w:p>
        </w:tc>
        <w:tc>
          <w:tcPr>
            <w:tcW w:w="850" w:type="dxa"/>
            <w:noWrap/>
          </w:tcPr>
          <w:p w14:paraId="2B2D5F31" w14:textId="77777777" w:rsidR="0015675E" w:rsidRPr="00797896" w:rsidRDefault="0015675E" w:rsidP="0015675E">
            <w:pPr>
              <w:pStyle w:val="Table"/>
              <w:ind w:right="-3"/>
            </w:pPr>
            <w:r w:rsidRPr="00797896">
              <w:t>81.6</w:t>
            </w:r>
          </w:p>
        </w:tc>
        <w:tc>
          <w:tcPr>
            <w:tcW w:w="717" w:type="dxa"/>
            <w:noWrap/>
          </w:tcPr>
          <w:p w14:paraId="06A99BD8" w14:textId="77777777" w:rsidR="0015675E" w:rsidRPr="00797896" w:rsidRDefault="0015675E" w:rsidP="0015675E">
            <w:pPr>
              <w:pStyle w:val="Table"/>
              <w:ind w:right="-3"/>
            </w:pPr>
            <w:r w:rsidRPr="00797896">
              <w:t>10</w:t>
            </w:r>
          </w:p>
        </w:tc>
        <w:tc>
          <w:tcPr>
            <w:tcW w:w="801" w:type="dxa"/>
            <w:noWrap/>
          </w:tcPr>
          <w:p w14:paraId="33CC540F" w14:textId="77777777" w:rsidR="0015675E" w:rsidRPr="00797896" w:rsidRDefault="0015675E" w:rsidP="0015675E">
            <w:pPr>
              <w:pStyle w:val="Table"/>
              <w:ind w:right="-3"/>
            </w:pPr>
            <w:r w:rsidRPr="00797896">
              <w:t>4.7</w:t>
            </w:r>
          </w:p>
        </w:tc>
        <w:tc>
          <w:tcPr>
            <w:tcW w:w="800" w:type="dxa"/>
            <w:noWrap/>
          </w:tcPr>
          <w:p w14:paraId="40C18BD5" w14:textId="77777777" w:rsidR="0015675E" w:rsidRPr="00797896" w:rsidRDefault="0015675E" w:rsidP="0015675E">
            <w:pPr>
              <w:pStyle w:val="Table"/>
              <w:ind w:right="-3"/>
            </w:pPr>
            <w:r w:rsidRPr="00797896">
              <w:t>3.8</w:t>
            </w:r>
          </w:p>
        </w:tc>
        <w:tc>
          <w:tcPr>
            <w:tcW w:w="801" w:type="dxa"/>
            <w:noWrap/>
          </w:tcPr>
          <w:p w14:paraId="5C1E2FB0" w14:textId="77777777" w:rsidR="0015675E" w:rsidRPr="00797896" w:rsidRDefault="0015675E" w:rsidP="0015675E">
            <w:pPr>
              <w:pStyle w:val="Table"/>
              <w:ind w:right="-3"/>
            </w:pPr>
            <w:r w:rsidRPr="00797896">
              <w:t>18.4</w:t>
            </w:r>
          </w:p>
        </w:tc>
      </w:tr>
      <w:tr w:rsidR="0015675E" w:rsidRPr="00797896" w14:paraId="4155E728" w14:textId="77777777" w:rsidTr="0038099B">
        <w:trPr>
          <w:trHeight w:val="300"/>
        </w:trPr>
        <w:tc>
          <w:tcPr>
            <w:tcW w:w="1809" w:type="dxa"/>
            <w:noWrap/>
          </w:tcPr>
          <w:p w14:paraId="78601ECC" w14:textId="77777777" w:rsidR="0015675E" w:rsidRPr="00797896" w:rsidRDefault="0015675E" w:rsidP="0015675E">
            <w:pPr>
              <w:pStyle w:val="Table"/>
              <w:ind w:right="-3"/>
            </w:pPr>
            <w:r w:rsidRPr="00797896">
              <w:t>VIC Combination</w:t>
            </w:r>
          </w:p>
        </w:tc>
        <w:tc>
          <w:tcPr>
            <w:tcW w:w="709" w:type="dxa"/>
            <w:noWrap/>
          </w:tcPr>
          <w:p w14:paraId="1A8A7923" w14:textId="77777777" w:rsidR="0015675E" w:rsidRPr="00797896" w:rsidRDefault="0015675E" w:rsidP="0015675E">
            <w:pPr>
              <w:pStyle w:val="Table"/>
              <w:ind w:right="-3"/>
            </w:pPr>
            <w:r w:rsidRPr="00797896">
              <w:t>10</w:t>
            </w:r>
          </w:p>
        </w:tc>
        <w:tc>
          <w:tcPr>
            <w:tcW w:w="608" w:type="dxa"/>
            <w:noWrap/>
          </w:tcPr>
          <w:p w14:paraId="4D560550" w14:textId="77777777" w:rsidR="0015675E" w:rsidRPr="00797896" w:rsidRDefault="0015675E" w:rsidP="0015675E">
            <w:pPr>
              <w:pStyle w:val="Table"/>
              <w:ind w:right="-3"/>
            </w:pPr>
            <w:r w:rsidRPr="00797896">
              <w:t>11</w:t>
            </w:r>
          </w:p>
        </w:tc>
        <w:tc>
          <w:tcPr>
            <w:tcW w:w="801" w:type="dxa"/>
            <w:noWrap/>
          </w:tcPr>
          <w:p w14:paraId="7816A07B" w14:textId="77777777" w:rsidR="0015675E" w:rsidRPr="00797896" w:rsidRDefault="0015675E" w:rsidP="0015675E">
            <w:pPr>
              <w:pStyle w:val="Table"/>
              <w:ind w:right="-3"/>
            </w:pPr>
            <w:r w:rsidRPr="00797896">
              <w:t>1</w:t>
            </w:r>
          </w:p>
        </w:tc>
        <w:tc>
          <w:tcPr>
            <w:tcW w:w="800" w:type="dxa"/>
            <w:noWrap/>
          </w:tcPr>
          <w:p w14:paraId="17178765" w14:textId="77777777" w:rsidR="0015675E" w:rsidRPr="00797896" w:rsidRDefault="0015675E" w:rsidP="0015675E">
            <w:pPr>
              <w:pStyle w:val="Table"/>
              <w:ind w:right="-3"/>
            </w:pPr>
            <w:r w:rsidRPr="00797896">
              <w:t>1</w:t>
            </w:r>
          </w:p>
        </w:tc>
        <w:tc>
          <w:tcPr>
            <w:tcW w:w="801" w:type="dxa"/>
            <w:noWrap/>
          </w:tcPr>
          <w:p w14:paraId="7CB1F924" w14:textId="77777777" w:rsidR="0015675E" w:rsidRPr="00797896" w:rsidRDefault="0015675E" w:rsidP="0015675E">
            <w:pPr>
              <w:pStyle w:val="Table"/>
              <w:ind w:right="-3"/>
            </w:pPr>
            <w:r w:rsidRPr="00797896">
              <w:t>4</w:t>
            </w:r>
          </w:p>
        </w:tc>
        <w:tc>
          <w:tcPr>
            <w:tcW w:w="800" w:type="dxa"/>
            <w:noWrap/>
          </w:tcPr>
          <w:p w14:paraId="52AFD6E8" w14:textId="77777777" w:rsidR="0015675E" w:rsidRPr="00797896" w:rsidRDefault="0015675E" w:rsidP="0015675E">
            <w:pPr>
              <w:pStyle w:val="Table"/>
              <w:ind w:right="-3"/>
            </w:pPr>
            <w:r w:rsidRPr="00797896">
              <w:t>2</w:t>
            </w:r>
          </w:p>
        </w:tc>
        <w:tc>
          <w:tcPr>
            <w:tcW w:w="801" w:type="dxa"/>
            <w:noWrap/>
          </w:tcPr>
          <w:p w14:paraId="3ED473A6" w14:textId="77777777" w:rsidR="0015675E" w:rsidRPr="00797896" w:rsidRDefault="0015675E" w:rsidP="0015675E">
            <w:pPr>
              <w:pStyle w:val="Table"/>
              <w:ind w:right="-3"/>
            </w:pPr>
            <w:r w:rsidRPr="00797896">
              <w:t>1</w:t>
            </w:r>
          </w:p>
        </w:tc>
        <w:tc>
          <w:tcPr>
            <w:tcW w:w="800" w:type="dxa"/>
            <w:noWrap/>
          </w:tcPr>
          <w:p w14:paraId="77657A52" w14:textId="77777777" w:rsidR="0015675E" w:rsidRPr="00797896" w:rsidRDefault="0015675E" w:rsidP="0015675E">
            <w:pPr>
              <w:pStyle w:val="Table"/>
              <w:ind w:right="-3"/>
            </w:pPr>
            <w:r w:rsidRPr="00797896">
              <w:t>30</w:t>
            </w:r>
          </w:p>
        </w:tc>
        <w:tc>
          <w:tcPr>
            <w:tcW w:w="801" w:type="dxa"/>
            <w:noWrap/>
          </w:tcPr>
          <w:p w14:paraId="0B12A5E3" w14:textId="77777777" w:rsidR="0015675E" w:rsidRPr="00797896" w:rsidRDefault="0015675E" w:rsidP="0015675E">
            <w:pPr>
              <w:pStyle w:val="Table"/>
              <w:ind w:right="-3"/>
            </w:pPr>
            <w:r w:rsidRPr="00797896">
              <w:t>33.3</w:t>
            </w:r>
          </w:p>
        </w:tc>
        <w:tc>
          <w:tcPr>
            <w:tcW w:w="800" w:type="dxa"/>
            <w:noWrap/>
          </w:tcPr>
          <w:p w14:paraId="65729FF2" w14:textId="77777777" w:rsidR="0015675E" w:rsidRPr="00797896" w:rsidRDefault="0015675E" w:rsidP="0015675E">
            <w:pPr>
              <w:pStyle w:val="Table"/>
              <w:ind w:right="-3"/>
            </w:pPr>
            <w:r w:rsidRPr="00797896">
              <w:t>36.7</w:t>
            </w:r>
          </w:p>
        </w:tc>
        <w:tc>
          <w:tcPr>
            <w:tcW w:w="801" w:type="dxa"/>
            <w:noWrap/>
          </w:tcPr>
          <w:p w14:paraId="796F06BD" w14:textId="77777777" w:rsidR="0015675E" w:rsidRPr="00797896" w:rsidRDefault="0015675E" w:rsidP="0015675E">
            <w:pPr>
              <w:pStyle w:val="Table"/>
              <w:ind w:right="-3"/>
            </w:pPr>
            <w:r w:rsidRPr="00797896">
              <w:t>3.3</w:t>
            </w:r>
          </w:p>
        </w:tc>
        <w:tc>
          <w:tcPr>
            <w:tcW w:w="834" w:type="dxa"/>
            <w:noWrap/>
          </w:tcPr>
          <w:p w14:paraId="33627C38" w14:textId="77777777" w:rsidR="0015675E" w:rsidRPr="00797896" w:rsidRDefault="0015675E" w:rsidP="0015675E">
            <w:pPr>
              <w:pStyle w:val="Table"/>
              <w:ind w:right="-3"/>
            </w:pPr>
            <w:r w:rsidRPr="00797896">
              <w:t>3.3</w:t>
            </w:r>
          </w:p>
        </w:tc>
        <w:tc>
          <w:tcPr>
            <w:tcW w:w="850" w:type="dxa"/>
            <w:noWrap/>
          </w:tcPr>
          <w:p w14:paraId="6444380C" w14:textId="77777777" w:rsidR="0015675E" w:rsidRPr="00797896" w:rsidRDefault="0015675E" w:rsidP="0015675E">
            <w:pPr>
              <w:pStyle w:val="Table"/>
              <w:ind w:right="-3"/>
            </w:pPr>
            <w:r w:rsidRPr="00797896">
              <w:t>76.7</w:t>
            </w:r>
          </w:p>
        </w:tc>
        <w:tc>
          <w:tcPr>
            <w:tcW w:w="717" w:type="dxa"/>
            <w:noWrap/>
          </w:tcPr>
          <w:p w14:paraId="28271E0B" w14:textId="77777777" w:rsidR="0015675E" w:rsidRPr="00797896" w:rsidRDefault="0015675E" w:rsidP="0015675E">
            <w:pPr>
              <w:pStyle w:val="Table"/>
              <w:ind w:right="-3"/>
            </w:pPr>
            <w:r w:rsidRPr="00797896">
              <w:t>13.3</w:t>
            </w:r>
          </w:p>
        </w:tc>
        <w:tc>
          <w:tcPr>
            <w:tcW w:w="801" w:type="dxa"/>
            <w:noWrap/>
          </w:tcPr>
          <w:p w14:paraId="7FB8653B" w14:textId="77777777" w:rsidR="0015675E" w:rsidRPr="00797896" w:rsidRDefault="0015675E" w:rsidP="0015675E">
            <w:pPr>
              <w:pStyle w:val="Table"/>
              <w:ind w:right="-3"/>
            </w:pPr>
            <w:r w:rsidRPr="00797896">
              <w:t>6.7</w:t>
            </w:r>
          </w:p>
        </w:tc>
        <w:tc>
          <w:tcPr>
            <w:tcW w:w="800" w:type="dxa"/>
            <w:noWrap/>
          </w:tcPr>
          <w:p w14:paraId="60109572" w14:textId="77777777" w:rsidR="0015675E" w:rsidRPr="00797896" w:rsidRDefault="0015675E" w:rsidP="0015675E">
            <w:pPr>
              <w:pStyle w:val="Table"/>
              <w:ind w:right="-3"/>
            </w:pPr>
            <w:r w:rsidRPr="00797896">
              <w:t>3.3</w:t>
            </w:r>
          </w:p>
        </w:tc>
        <w:tc>
          <w:tcPr>
            <w:tcW w:w="801" w:type="dxa"/>
            <w:noWrap/>
          </w:tcPr>
          <w:p w14:paraId="774230C5" w14:textId="77777777" w:rsidR="0015675E" w:rsidRPr="00797896" w:rsidRDefault="0015675E" w:rsidP="0015675E">
            <w:pPr>
              <w:pStyle w:val="Table"/>
              <w:ind w:right="-3"/>
            </w:pPr>
            <w:r w:rsidRPr="00797896">
              <w:t>23.3</w:t>
            </w:r>
          </w:p>
        </w:tc>
      </w:tr>
      <w:tr w:rsidR="0015675E" w:rsidRPr="00797896" w14:paraId="752D87BF" w14:textId="77777777" w:rsidTr="0038099B">
        <w:trPr>
          <w:trHeight w:val="300"/>
        </w:trPr>
        <w:tc>
          <w:tcPr>
            <w:tcW w:w="1809" w:type="dxa"/>
            <w:noWrap/>
          </w:tcPr>
          <w:p w14:paraId="1791D176" w14:textId="77777777" w:rsidR="0015675E" w:rsidRPr="00797896" w:rsidRDefault="0015675E" w:rsidP="0015675E">
            <w:pPr>
              <w:pStyle w:val="Table"/>
              <w:ind w:right="-3"/>
            </w:pPr>
            <w:r w:rsidRPr="00797896">
              <w:t>VIC Total</w:t>
            </w:r>
          </w:p>
        </w:tc>
        <w:tc>
          <w:tcPr>
            <w:tcW w:w="709" w:type="dxa"/>
            <w:noWrap/>
          </w:tcPr>
          <w:p w14:paraId="501D4CDF" w14:textId="77777777" w:rsidR="0015675E" w:rsidRPr="00797896" w:rsidRDefault="0015675E" w:rsidP="0015675E">
            <w:pPr>
              <w:pStyle w:val="Table"/>
              <w:ind w:right="-3"/>
            </w:pPr>
            <w:r w:rsidRPr="00797896">
              <w:t>178</w:t>
            </w:r>
          </w:p>
        </w:tc>
        <w:tc>
          <w:tcPr>
            <w:tcW w:w="608" w:type="dxa"/>
            <w:noWrap/>
          </w:tcPr>
          <w:p w14:paraId="0F1AD8E9" w14:textId="77777777" w:rsidR="0015675E" w:rsidRPr="00797896" w:rsidRDefault="0015675E" w:rsidP="0015675E">
            <w:pPr>
              <w:pStyle w:val="Table"/>
              <w:ind w:right="-3"/>
            </w:pPr>
            <w:r w:rsidRPr="00797896">
              <w:t>154</w:t>
            </w:r>
          </w:p>
        </w:tc>
        <w:tc>
          <w:tcPr>
            <w:tcW w:w="801" w:type="dxa"/>
            <w:noWrap/>
          </w:tcPr>
          <w:p w14:paraId="14002A94" w14:textId="77777777" w:rsidR="0015675E" w:rsidRPr="00797896" w:rsidRDefault="0015675E" w:rsidP="0015675E">
            <w:pPr>
              <w:pStyle w:val="Table"/>
              <w:ind w:right="-3"/>
            </w:pPr>
            <w:r w:rsidRPr="00797896">
              <w:t>57</w:t>
            </w:r>
          </w:p>
        </w:tc>
        <w:tc>
          <w:tcPr>
            <w:tcW w:w="800" w:type="dxa"/>
            <w:noWrap/>
          </w:tcPr>
          <w:p w14:paraId="656E31A0" w14:textId="77777777" w:rsidR="0015675E" w:rsidRPr="00797896" w:rsidRDefault="0015675E" w:rsidP="0015675E">
            <w:pPr>
              <w:pStyle w:val="Table"/>
              <w:ind w:right="-3"/>
            </w:pPr>
            <w:r w:rsidRPr="00797896">
              <w:t>11</w:t>
            </w:r>
          </w:p>
        </w:tc>
        <w:tc>
          <w:tcPr>
            <w:tcW w:w="801" w:type="dxa"/>
            <w:noWrap/>
          </w:tcPr>
          <w:p w14:paraId="4F72BA5D" w14:textId="77777777" w:rsidR="0015675E" w:rsidRPr="00797896" w:rsidRDefault="0015675E" w:rsidP="0015675E">
            <w:pPr>
              <w:pStyle w:val="Table"/>
              <w:ind w:right="-3"/>
            </w:pPr>
            <w:r w:rsidRPr="00797896">
              <w:t>53</w:t>
            </w:r>
          </w:p>
        </w:tc>
        <w:tc>
          <w:tcPr>
            <w:tcW w:w="800" w:type="dxa"/>
            <w:noWrap/>
          </w:tcPr>
          <w:p w14:paraId="7F64698F" w14:textId="77777777" w:rsidR="0015675E" w:rsidRPr="00797896" w:rsidRDefault="0015675E" w:rsidP="0015675E">
            <w:pPr>
              <w:pStyle w:val="Table"/>
              <w:ind w:right="-3"/>
            </w:pPr>
            <w:r w:rsidRPr="00797896">
              <w:t>23</w:t>
            </w:r>
          </w:p>
        </w:tc>
        <w:tc>
          <w:tcPr>
            <w:tcW w:w="801" w:type="dxa"/>
            <w:noWrap/>
          </w:tcPr>
          <w:p w14:paraId="4A3282BE" w14:textId="77777777" w:rsidR="0015675E" w:rsidRPr="00797896" w:rsidRDefault="0015675E" w:rsidP="0015675E">
            <w:pPr>
              <w:pStyle w:val="Table"/>
              <w:ind w:right="-3"/>
            </w:pPr>
            <w:r w:rsidRPr="00797896">
              <w:t>18</w:t>
            </w:r>
          </w:p>
        </w:tc>
        <w:tc>
          <w:tcPr>
            <w:tcW w:w="800" w:type="dxa"/>
            <w:noWrap/>
          </w:tcPr>
          <w:p w14:paraId="0ECE8D2A" w14:textId="77777777" w:rsidR="0015675E" w:rsidRPr="00797896" w:rsidRDefault="0015675E" w:rsidP="0015675E">
            <w:pPr>
              <w:pStyle w:val="Table"/>
              <w:ind w:right="-3"/>
            </w:pPr>
            <w:r w:rsidRPr="00797896">
              <w:t>494</w:t>
            </w:r>
          </w:p>
        </w:tc>
        <w:tc>
          <w:tcPr>
            <w:tcW w:w="801" w:type="dxa"/>
            <w:noWrap/>
          </w:tcPr>
          <w:p w14:paraId="250A4B71" w14:textId="77777777" w:rsidR="0015675E" w:rsidRPr="00797896" w:rsidRDefault="0015675E" w:rsidP="0015675E">
            <w:pPr>
              <w:pStyle w:val="Table"/>
              <w:ind w:right="-3"/>
            </w:pPr>
            <w:r w:rsidRPr="00797896">
              <w:t>36</w:t>
            </w:r>
          </w:p>
        </w:tc>
        <w:tc>
          <w:tcPr>
            <w:tcW w:w="800" w:type="dxa"/>
            <w:noWrap/>
          </w:tcPr>
          <w:p w14:paraId="16FCF6F5" w14:textId="77777777" w:rsidR="0015675E" w:rsidRPr="00797896" w:rsidRDefault="0015675E" w:rsidP="0015675E">
            <w:pPr>
              <w:pStyle w:val="Table"/>
              <w:ind w:right="-3"/>
            </w:pPr>
            <w:r w:rsidRPr="00797896">
              <w:t>31.2</w:t>
            </w:r>
          </w:p>
        </w:tc>
        <w:tc>
          <w:tcPr>
            <w:tcW w:w="801" w:type="dxa"/>
            <w:noWrap/>
          </w:tcPr>
          <w:p w14:paraId="019AE4BB" w14:textId="77777777" w:rsidR="0015675E" w:rsidRPr="00797896" w:rsidRDefault="0015675E" w:rsidP="0015675E">
            <w:pPr>
              <w:pStyle w:val="Table"/>
              <w:ind w:right="-3"/>
            </w:pPr>
            <w:r w:rsidRPr="00797896">
              <w:t>11.5</w:t>
            </w:r>
          </w:p>
        </w:tc>
        <w:tc>
          <w:tcPr>
            <w:tcW w:w="834" w:type="dxa"/>
            <w:noWrap/>
          </w:tcPr>
          <w:p w14:paraId="2E45979A" w14:textId="77777777" w:rsidR="0015675E" w:rsidRPr="00797896" w:rsidRDefault="0015675E" w:rsidP="0015675E">
            <w:pPr>
              <w:pStyle w:val="Table"/>
              <w:ind w:right="-3"/>
            </w:pPr>
            <w:r w:rsidRPr="00797896">
              <w:t>2.2</w:t>
            </w:r>
          </w:p>
        </w:tc>
        <w:tc>
          <w:tcPr>
            <w:tcW w:w="850" w:type="dxa"/>
            <w:noWrap/>
          </w:tcPr>
          <w:p w14:paraId="3ED5B53B" w14:textId="77777777" w:rsidR="0015675E" w:rsidRPr="00797896" w:rsidRDefault="0015675E" w:rsidP="0015675E">
            <w:pPr>
              <w:pStyle w:val="Table"/>
              <w:ind w:right="-3"/>
            </w:pPr>
            <w:r w:rsidRPr="00797896">
              <w:t>81</w:t>
            </w:r>
          </w:p>
        </w:tc>
        <w:tc>
          <w:tcPr>
            <w:tcW w:w="717" w:type="dxa"/>
            <w:noWrap/>
          </w:tcPr>
          <w:p w14:paraId="279665F3" w14:textId="77777777" w:rsidR="0015675E" w:rsidRPr="00797896" w:rsidRDefault="0015675E" w:rsidP="0015675E">
            <w:pPr>
              <w:pStyle w:val="Table"/>
              <w:ind w:right="-3"/>
            </w:pPr>
            <w:r w:rsidRPr="00797896">
              <w:t>10.7</w:t>
            </w:r>
          </w:p>
        </w:tc>
        <w:tc>
          <w:tcPr>
            <w:tcW w:w="801" w:type="dxa"/>
            <w:noWrap/>
          </w:tcPr>
          <w:p w14:paraId="4FD1DE6A" w14:textId="77777777" w:rsidR="0015675E" w:rsidRPr="00797896" w:rsidRDefault="0015675E" w:rsidP="0015675E">
            <w:pPr>
              <w:pStyle w:val="Table"/>
              <w:ind w:right="-3"/>
            </w:pPr>
            <w:r w:rsidRPr="00797896">
              <w:t>4.7</w:t>
            </w:r>
          </w:p>
        </w:tc>
        <w:tc>
          <w:tcPr>
            <w:tcW w:w="800" w:type="dxa"/>
            <w:noWrap/>
          </w:tcPr>
          <w:p w14:paraId="414E58C2" w14:textId="77777777" w:rsidR="0015675E" w:rsidRPr="00797896" w:rsidRDefault="0015675E" w:rsidP="0015675E">
            <w:pPr>
              <w:pStyle w:val="Table"/>
              <w:ind w:right="-3"/>
            </w:pPr>
            <w:r w:rsidRPr="00797896">
              <w:t>3.6</w:t>
            </w:r>
          </w:p>
        </w:tc>
        <w:tc>
          <w:tcPr>
            <w:tcW w:w="801" w:type="dxa"/>
            <w:noWrap/>
          </w:tcPr>
          <w:p w14:paraId="75AFD28E" w14:textId="77777777" w:rsidR="0015675E" w:rsidRPr="00797896" w:rsidRDefault="0015675E" w:rsidP="0015675E">
            <w:pPr>
              <w:pStyle w:val="Table"/>
              <w:ind w:right="-3"/>
            </w:pPr>
            <w:r w:rsidRPr="00797896">
              <w:t>19</w:t>
            </w:r>
          </w:p>
        </w:tc>
      </w:tr>
      <w:tr w:rsidR="0015675E" w:rsidRPr="00797896" w14:paraId="37B40431" w14:textId="77777777" w:rsidTr="0038099B">
        <w:trPr>
          <w:trHeight w:val="300"/>
        </w:trPr>
        <w:tc>
          <w:tcPr>
            <w:tcW w:w="1809" w:type="dxa"/>
            <w:noWrap/>
          </w:tcPr>
          <w:p w14:paraId="6EBD9575" w14:textId="77777777" w:rsidR="0015675E" w:rsidRPr="00797896" w:rsidRDefault="0015675E" w:rsidP="0015675E">
            <w:pPr>
              <w:pStyle w:val="Table"/>
              <w:ind w:right="-3"/>
            </w:pPr>
            <w:r w:rsidRPr="00797896">
              <w:t>WA Community</w:t>
            </w:r>
          </w:p>
        </w:tc>
        <w:tc>
          <w:tcPr>
            <w:tcW w:w="709" w:type="dxa"/>
            <w:noWrap/>
          </w:tcPr>
          <w:p w14:paraId="7A1B9912" w14:textId="77777777" w:rsidR="0015675E" w:rsidRPr="00797896" w:rsidRDefault="0015675E" w:rsidP="0015675E">
            <w:pPr>
              <w:pStyle w:val="Table"/>
              <w:ind w:right="-3"/>
            </w:pPr>
            <w:r w:rsidRPr="00797896">
              <w:t>0</w:t>
            </w:r>
          </w:p>
        </w:tc>
        <w:tc>
          <w:tcPr>
            <w:tcW w:w="608" w:type="dxa"/>
            <w:noWrap/>
          </w:tcPr>
          <w:p w14:paraId="0FCC3337" w14:textId="77777777" w:rsidR="0015675E" w:rsidRPr="00797896" w:rsidRDefault="0015675E" w:rsidP="0015675E">
            <w:pPr>
              <w:pStyle w:val="Table"/>
              <w:ind w:right="-3"/>
            </w:pPr>
            <w:r w:rsidRPr="00797896">
              <w:t>0</w:t>
            </w:r>
          </w:p>
        </w:tc>
        <w:tc>
          <w:tcPr>
            <w:tcW w:w="801" w:type="dxa"/>
            <w:noWrap/>
          </w:tcPr>
          <w:p w14:paraId="27D57935" w14:textId="77777777" w:rsidR="0015675E" w:rsidRPr="00797896" w:rsidRDefault="0015675E" w:rsidP="0015675E">
            <w:pPr>
              <w:pStyle w:val="Table"/>
              <w:ind w:right="-3"/>
            </w:pPr>
            <w:r w:rsidRPr="00797896">
              <w:t>0</w:t>
            </w:r>
          </w:p>
        </w:tc>
        <w:tc>
          <w:tcPr>
            <w:tcW w:w="800" w:type="dxa"/>
            <w:noWrap/>
          </w:tcPr>
          <w:p w14:paraId="4397B0E2" w14:textId="77777777" w:rsidR="0015675E" w:rsidRPr="00797896" w:rsidRDefault="0015675E" w:rsidP="0015675E">
            <w:pPr>
              <w:pStyle w:val="Table"/>
              <w:ind w:right="-3"/>
            </w:pPr>
          </w:p>
        </w:tc>
        <w:tc>
          <w:tcPr>
            <w:tcW w:w="801" w:type="dxa"/>
            <w:noWrap/>
          </w:tcPr>
          <w:p w14:paraId="2D69A4A5" w14:textId="77777777" w:rsidR="0015675E" w:rsidRPr="00797896" w:rsidRDefault="0015675E" w:rsidP="0015675E">
            <w:pPr>
              <w:pStyle w:val="Table"/>
              <w:ind w:right="-3"/>
            </w:pPr>
            <w:r w:rsidRPr="00797896">
              <w:t>1</w:t>
            </w:r>
          </w:p>
        </w:tc>
        <w:tc>
          <w:tcPr>
            <w:tcW w:w="800" w:type="dxa"/>
            <w:noWrap/>
          </w:tcPr>
          <w:p w14:paraId="48DE1FEA" w14:textId="77777777" w:rsidR="0015675E" w:rsidRPr="00797896" w:rsidRDefault="0015675E" w:rsidP="0015675E">
            <w:pPr>
              <w:pStyle w:val="Table"/>
              <w:ind w:right="-3"/>
            </w:pPr>
            <w:r w:rsidRPr="00797896">
              <w:t>0</w:t>
            </w:r>
          </w:p>
        </w:tc>
        <w:tc>
          <w:tcPr>
            <w:tcW w:w="801" w:type="dxa"/>
            <w:noWrap/>
          </w:tcPr>
          <w:p w14:paraId="0C7B22E9" w14:textId="77777777" w:rsidR="0015675E" w:rsidRPr="00797896" w:rsidRDefault="0015675E" w:rsidP="0015675E">
            <w:pPr>
              <w:pStyle w:val="Table"/>
              <w:ind w:right="-3"/>
            </w:pPr>
            <w:r w:rsidRPr="00797896">
              <w:t>0</w:t>
            </w:r>
          </w:p>
        </w:tc>
        <w:tc>
          <w:tcPr>
            <w:tcW w:w="800" w:type="dxa"/>
            <w:noWrap/>
          </w:tcPr>
          <w:p w14:paraId="6AF70262" w14:textId="77777777" w:rsidR="0015675E" w:rsidRPr="00797896" w:rsidRDefault="0015675E" w:rsidP="0015675E">
            <w:pPr>
              <w:pStyle w:val="Table"/>
              <w:ind w:right="-3"/>
            </w:pPr>
            <w:r w:rsidRPr="00797896">
              <w:t>1</w:t>
            </w:r>
          </w:p>
        </w:tc>
        <w:tc>
          <w:tcPr>
            <w:tcW w:w="801" w:type="dxa"/>
            <w:noWrap/>
          </w:tcPr>
          <w:p w14:paraId="21235D38" w14:textId="77777777" w:rsidR="0015675E" w:rsidRPr="00797896" w:rsidRDefault="0015675E" w:rsidP="0015675E">
            <w:pPr>
              <w:pStyle w:val="Table"/>
              <w:ind w:right="-3"/>
            </w:pPr>
            <w:r w:rsidRPr="00797896">
              <w:t>0</w:t>
            </w:r>
          </w:p>
        </w:tc>
        <w:tc>
          <w:tcPr>
            <w:tcW w:w="800" w:type="dxa"/>
            <w:noWrap/>
          </w:tcPr>
          <w:p w14:paraId="64BBEB4F" w14:textId="77777777" w:rsidR="0015675E" w:rsidRPr="00797896" w:rsidRDefault="0015675E" w:rsidP="0015675E">
            <w:pPr>
              <w:pStyle w:val="Table"/>
              <w:ind w:right="-3"/>
            </w:pPr>
            <w:r w:rsidRPr="00797896">
              <w:t>0</w:t>
            </w:r>
          </w:p>
        </w:tc>
        <w:tc>
          <w:tcPr>
            <w:tcW w:w="801" w:type="dxa"/>
            <w:noWrap/>
          </w:tcPr>
          <w:p w14:paraId="183F17DC" w14:textId="77777777" w:rsidR="0015675E" w:rsidRPr="00797896" w:rsidRDefault="0015675E" w:rsidP="0015675E">
            <w:pPr>
              <w:pStyle w:val="Table"/>
              <w:ind w:right="-3"/>
            </w:pPr>
            <w:r w:rsidRPr="00797896">
              <w:t>0</w:t>
            </w:r>
          </w:p>
        </w:tc>
        <w:tc>
          <w:tcPr>
            <w:tcW w:w="834" w:type="dxa"/>
            <w:noWrap/>
          </w:tcPr>
          <w:p w14:paraId="47830473" w14:textId="77777777" w:rsidR="0015675E" w:rsidRPr="00797896" w:rsidRDefault="0015675E" w:rsidP="0015675E">
            <w:pPr>
              <w:pStyle w:val="Table"/>
              <w:ind w:right="-3"/>
            </w:pPr>
            <w:r w:rsidRPr="00797896">
              <w:t>0</w:t>
            </w:r>
          </w:p>
        </w:tc>
        <w:tc>
          <w:tcPr>
            <w:tcW w:w="850" w:type="dxa"/>
            <w:noWrap/>
          </w:tcPr>
          <w:p w14:paraId="084E8C18" w14:textId="77777777" w:rsidR="0015675E" w:rsidRPr="00797896" w:rsidRDefault="0015675E" w:rsidP="0015675E">
            <w:pPr>
              <w:pStyle w:val="Table"/>
              <w:ind w:right="-3"/>
            </w:pPr>
            <w:r w:rsidRPr="00797896">
              <w:t>0</w:t>
            </w:r>
          </w:p>
        </w:tc>
        <w:tc>
          <w:tcPr>
            <w:tcW w:w="717" w:type="dxa"/>
            <w:noWrap/>
          </w:tcPr>
          <w:p w14:paraId="48611FCD" w14:textId="77777777" w:rsidR="0015675E" w:rsidRPr="00797896" w:rsidRDefault="0015675E" w:rsidP="0015675E">
            <w:pPr>
              <w:pStyle w:val="Table"/>
              <w:ind w:right="-3"/>
            </w:pPr>
            <w:r w:rsidRPr="00797896">
              <w:t>100</w:t>
            </w:r>
          </w:p>
        </w:tc>
        <w:tc>
          <w:tcPr>
            <w:tcW w:w="801" w:type="dxa"/>
            <w:noWrap/>
          </w:tcPr>
          <w:p w14:paraId="510DE652" w14:textId="77777777" w:rsidR="0015675E" w:rsidRPr="00797896" w:rsidRDefault="0015675E" w:rsidP="0015675E">
            <w:pPr>
              <w:pStyle w:val="Table"/>
              <w:ind w:right="-3"/>
            </w:pPr>
            <w:r w:rsidRPr="00797896">
              <w:t>0</w:t>
            </w:r>
          </w:p>
        </w:tc>
        <w:tc>
          <w:tcPr>
            <w:tcW w:w="800" w:type="dxa"/>
            <w:noWrap/>
          </w:tcPr>
          <w:p w14:paraId="1D49B261" w14:textId="77777777" w:rsidR="0015675E" w:rsidRPr="00797896" w:rsidRDefault="0015675E" w:rsidP="0015675E">
            <w:pPr>
              <w:pStyle w:val="Table"/>
              <w:ind w:right="-3"/>
            </w:pPr>
            <w:r w:rsidRPr="00797896">
              <w:t>0</w:t>
            </w:r>
          </w:p>
        </w:tc>
        <w:tc>
          <w:tcPr>
            <w:tcW w:w="801" w:type="dxa"/>
            <w:noWrap/>
          </w:tcPr>
          <w:p w14:paraId="2F4CFDDE" w14:textId="77777777" w:rsidR="0015675E" w:rsidRPr="00797896" w:rsidRDefault="0015675E" w:rsidP="0015675E">
            <w:pPr>
              <w:pStyle w:val="Table"/>
              <w:ind w:right="-3"/>
            </w:pPr>
            <w:r w:rsidRPr="00797896">
              <w:t>100</w:t>
            </w:r>
          </w:p>
        </w:tc>
      </w:tr>
      <w:tr w:rsidR="0015675E" w:rsidRPr="00797896" w14:paraId="6C7F94A0" w14:textId="77777777" w:rsidTr="0038099B">
        <w:trPr>
          <w:trHeight w:val="300"/>
        </w:trPr>
        <w:tc>
          <w:tcPr>
            <w:tcW w:w="1809" w:type="dxa"/>
            <w:noWrap/>
          </w:tcPr>
          <w:p w14:paraId="10119DC7" w14:textId="77777777" w:rsidR="0015675E" w:rsidRPr="00797896" w:rsidRDefault="0015675E" w:rsidP="0015675E">
            <w:pPr>
              <w:pStyle w:val="Table"/>
              <w:ind w:right="-3"/>
            </w:pPr>
            <w:r w:rsidRPr="00797896">
              <w:t>WA Residential</w:t>
            </w:r>
          </w:p>
        </w:tc>
        <w:tc>
          <w:tcPr>
            <w:tcW w:w="709" w:type="dxa"/>
            <w:noWrap/>
          </w:tcPr>
          <w:p w14:paraId="0EDE83D5" w14:textId="77777777" w:rsidR="0015675E" w:rsidRPr="00797896" w:rsidRDefault="0015675E" w:rsidP="0015675E">
            <w:pPr>
              <w:pStyle w:val="Table"/>
              <w:ind w:right="-3"/>
            </w:pPr>
            <w:r w:rsidRPr="00797896">
              <w:t>10</w:t>
            </w:r>
          </w:p>
        </w:tc>
        <w:tc>
          <w:tcPr>
            <w:tcW w:w="608" w:type="dxa"/>
            <w:noWrap/>
          </w:tcPr>
          <w:p w14:paraId="09744020" w14:textId="77777777" w:rsidR="0015675E" w:rsidRPr="00797896" w:rsidRDefault="0015675E" w:rsidP="0015675E">
            <w:pPr>
              <w:pStyle w:val="Table"/>
              <w:ind w:right="-3"/>
            </w:pPr>
            <w:r w:rsidRPr="00797896">
              <w:t>5</w:t>
            </w:r>
          </w:p>
        </w:tc>
        <w:tc>
          <w:tcPr>
            <w:tcW w:w="801" w:type="dxa"/>
            <w:noWrap/>
          </w:tcPr>
          <w:p w14:paraId="4BCCB283" w14:textId="77777777" w:rsidR="0015675E" w:rsidRPr="00797896" w:rsidRDefault="0015675E" w:rsidP="0015675E">
            <w:pPr>
              <w:pStyle w:val="Table"/>
              <w:ind w:right="-3"/>
            </w:pPr>
            <w:r w:rsidRPr="00797896">
              <w:t>5</w:t>
            </w:r>
          </w:p>
        </w:tc>
        <w:tc>
          <w:tcPr>
            <w:tcW w:w="800" w:type="dxa"/>
            <w:noWrap/>
          </w:tcPr>
          <w:p w14:paraId="06E92FD9" w14:textId="77777777" w:rsidR="0015675E" w:rsidRPr="00797896" w:rsidRDefault="0015675E" w:rsidP="0015675E">
            <w:pPr>
              <w:pStyle w:val="Table"/>
              <w:ind w:right="-3"/>
            </w:pPr>
          </w:p>
        </w:tc>
        <w:tc>
          <w:tcPr>
            <w:tcW w:w="801" w:type="dxa"/>
            <w:noWrap/>
          </w:tcPr>
          <w:p w14:paraId="3ADD4CA8" w14:textId="77777777" w:rsidR="0015675E" w:rsidRPr="00797896" w:rsidRDefault="0015675E" w:rsidP="0015675E">
            <w:pPr>
              <w:pStyle w:val="Table"/>
              <w:ind w:right="-3"/>
            </w:pPr>
            <w:r w:rsidRPr="00797896">
              <w:t>3</w:t>
            </w:r>
          </w:p>
        </w:tc>
        <w:tc>
          <w:tcPr>
            <w:tcW w:w="800" w:type="dxa"/>
            <w:noWrap/>
          </w:tcPr>
          <w:p w14:paraId="56D2A50B" w14:textId="77777777" w:rsidR="0015675E" w:rsidRPr="00797896" w:rsidRDefault="0015675E" w:rsidP="0015675E">
            <w:pPr>
              <w:pStyle w:val="Table"/>
              <w:ind w:right="-3"/>
            </w:pPr>
            <w:r w:rsidRPr="00797896">
              <w:t>3</w:t>
            </w:r>
          </w:p>
        </w:tc>
        <w:tc>
          <w:tcPr>
            <w:tcW w:w="801" w:type="dxa"/>
            <w:noWrap/>
          </w:tcPr>
          <w:p w14:paraId="6A1272EE" w14:textId="77777777" w:rsidR="0015675E" w:rsidRPr="00797896" w:rsidRDefault="0015675E" w:rsidP="0015675E">
            <w:pPr>
              <w:pStyle w:val="Table"/>
              <w:ind w:right="-3"/>
            </w:pPr>
            <w:r w:rsidRPr="00797896">
              <w:t>0</w:t>
            </w:r>
          </w:p>
        </w:tc>
        <w:tc>
          <w:tcPr>
            <w:tcW w:w="800" w:type="dxa"/>
            <w:noWrap/>
          </w:tcPr>
          <w:p w14:paraId="60D00FCB" w14:textId="77777777" w:rsidR="0015675E" w:rsidRPr="00797896" w:rsidRDefault="0015675E" w:rsidP="0015675E">
            <w:pPr>
              <w:pStyle w:val="Table"/>
              <w:ind w:right="-3"/>
            </w:pPr>
            <w:r w:rsidRPr="00797896">
              <w:t>26</w:t>
            </w:r>
          </w:p>
        </w:tc>
        <w:tc>
          <w:tcPr>
            <w:tcW w:w="801" w:type="dxa"/>
            <w:noWrap/>
          </w:tcPr>
          <w:p w14:paraId="28FAB7D6" w14:textId="77777777" w:rsidR="0015675E" w:rsidRPr="00797896" w:rsidRDefault="0015675E" w:rsidP="0015675E">
            <w:pPr>
              <w:pStyle w:val="Table"/>
              <w:ind w:right="-3"/>
            </w:pPr>
            <w:r w:rsidRPr="00797896">
              <w:t>38.5</w:t>
            </w:r>
          </w:p>
        </w:tc>
        <w:tc>
          <w:tcPr>
            <w:tcW w:w="800" w:type="dxa"/>
            <w:noWrap/>
          </w:tcPr>
          <w:p w14:paraId="356B6575" w14:textId="77777777" w:rsidR="0015675E" w:rsidRPr="00797896" w:rsidRDefault="0015675E" w:rsidP="0015675E">
            <w:pPr>
              <w:pStyle w:val="Table"/>
              <w:ind w:right="-3"/>
            </w:pPr>
            <w:r w:rsidRPr="00797896">
              <w:t>19.2</w:t>
            </w:r>
          </w:p>
        </w:tc>
        <w:tc>
          <w:tcPr>
            <w:tcW w:w="801" w:type="dxa"/>
            <w:noWrap/>
          </w:tcPr>
          <w:p w14:paraId="742015BD" w14:textId="77777777" w:rsidR="0015675E" w:rsidRPr="00797896" w:rsidRDefault="0015675E" w:rsidP="0015675E">
            <w:pPr>
              <w:pStyle w:val="Table"/>
              <w:ind w:right="-3"/>
            </w:pPr>
            <w:r w:rsidRPr="00797896">
              <w:t>19.2</w:t>
            </w:r>
          </w:p>
        </w:tc>
        <w:tc>
          <w:tcPr>
            <w:tcW w:w="834" w:type="dxa"/>
            <w:noWrap/>
          </w:tcPr>
          <w:p w14:paraId="0DEEE481" w14:textId="77777777" w:rsidR="0015675E" w:rsidRPr="00797896" w:rsidRDefault="0015675E" w:rsidP="0015675E">
            <w:pPr>
              <w:pStyle w:val="Table"/>
              <w:ind w:right="-3"/>
            </w:pPr>
            <w:r w:rsidRPr="00797896">
              <w:t>0</w:t>
            </w:r>
          </w:p>
        </w:tc>
        <w:tc>
          <w:tcPr>
            <w:tcW w:w="850" w:type="dxa"/>
            <w:noWrap/>
          </w:tcPr>
          <w:p w14:paraId="20C0F179" w14:textId="77777777" w:rsidR="0015675E" w:rsidRPr="00797896" w:rsidRDefault="0015675E" w:rsidP="0015675E">
            <w:pPr>
              <w:pStyle w:val="Table"/>
              <w:ind w:right="-3"/>
            </w:pPr>
            <w:r w:rsidRPr="00797896">
              <w:t>76.9</w:t>
            </w:r>
          </w:p>
        </w:tc>
        <w:tc>
          <w:tcPr>
            <w:tcW w:w="717" w:type="dxa"/>
            <w:noWrap/>
          </w:tcPr>
          <w:p w14:paraId="24FC62CF" w14:textId="77777777" w:rsidR="0015675E" w:rsidRPr="00797896" w:rsidRDefault="0015675E" w:rsidP="0015675E">
            <w:pPr>
              <w:pStyle w:val="Table"/>
              <w:ind w:right="-3"/>
            </w:pPr>
            <w:r w:rsidRPr="00797896">
              <w:t>11.5</w:t>
            </w:r>
          </w:p>
        </w:tc>
        <w:tc>
          <w:tcPr>
            <w:tcW w:w="801" w:type="dxa"/>
            <w:noWrap/>
          </w:tcPr>
          <w:p w14:paraId="01676D5B" w14:textId="77777777" w:rsidR="0015675E" w:rsidRPr="00797896" w:rsidRDefault="0015675E" w:rsidP="0015675E">
            <w:pPr>
              <w:pStyle w:val="Table"/>
              <w:ind w:right="-3"/>
            </w:pPr>
            <w:r w:rsidRPr="00797896">
              <w:t>11.5</w:t>
            </w:r>
          </w:p>
        </w:tc>
        <w:tc>
          <w:tcPr>
            <w:tcW w:w="800" w:type="dxa"/>
            <w:noWrap/>
          </w:tcPr>
          <w:p w14:paraId="77DADA7A" w14:textId="77777777" w:rsidR="0015675E" w:rsidRPr="00797896" w:rsidRDefault="0015675E" w:rsidP="0015675E">
            <w:pPr>
              <w:pStyle w:val="Table"/>
              <w:ind w:right="-3"/>
            </w:pPr>
            <w:r w:rsidRPr="00797896">
              <w:t>0</w:t>
            </w:r>
          </w:p>
        </w:tc>
        <w:tc>
          <w:tcPr>
            <w:tcW w:w="801" w:type="dxa"/>
            <w:noWrap/>
          </w:tcPr>
          <w:p w14:paraId="21FC70C9" w14:textId="77777777" w:rsidR="0015675E" w:rsidRPr="00797896" w:rsidRDefault="0015675E" w:rsidP="0015675E">
            <w:pPr>
              <w:pStyle w:val="Table"/>
              <w:ind w:right="-3"/>
            </w:pPr>
            <w:r w:rsidRPr="00797896">
              <w:t>23.1</w:t>
            </w:r>
          </w:p>
        </w:tc>
      </w:tr>
      <w:tr w:rsidR="0015675E" w:rsidRPr="00797896" w14:paraId="20C2E142" w14:textId="77777777" w:rsidTr="0038099B">
        <w:trPr>
          <w:trHeight w:val="300"/>
        </w:trPr>
        <w:tc>
          <w:tcPr>
            <w:tcW w:w="1809" w:type="dxa"/>
            <w:noWrap/>
          </w:tcPr>
          <w:p w14:paraId="7575B482" w14:textId="77777777" w:rsidR="0015675E" w:rsidRPr="00797896" w:rsidRDefault="0015675E" w:rsidP="0015675E">
            <w:pPr>
              <w:pStyle w:val="Table"/>
              <w:ind w:right="-3"/>
            </w:pPr>
            <w:r w:rsidRPr="00797896">
              <w:t>WA Combination</w:t>
            </w:r>
          </w:p>
        </w:tc>
        <w:tc>
          <w:tcPr>
            <w:tcW w:w="709" w:type="dxa"/>
            <w:noWrap/>
          </w:tcPr>
          <w:p w14:paraId="3F9ADF21" w14:textId="77777777" w:rsidR="0015675E" w:rsidRPr="00797896" w:rsidRDefault="0015675E" w:rsidP="0015675E">
            <w:pPr>
              <w:pStyle w:val="Table"/>
              <w:ind w:right="-3"/>
            </w:pPr>
            <w:r w:rsidRPr="00797896">
              <w:t>0</w:t>
            </w:r>
          </w:p>
        </w:tc>
        <w:tc>
          <w:tcPr>
            <w:tcW w:w="608" w:type="dxa"/>
            <w:noWrap/>
          </w:tcPr>
          <w:p w14:paraId="336ED13A" w14:textId="77777777" w:rsidR="0015675E" w:rsidRPr="00797896" w:rsidRDefault="0015675E" w:rsidP="0015675E">
            <w:pPr>
              <w:pStyle w:val="Table"/>
              <w:ind w:right="-3"/>
            </w:pPr>
            <w:r w:rsidRPr="00797896">
              <w:t>0</w:t>
            </w:r>
          </w:p>
        </w:tc>
        <w:tc>
          <w:tcPr>
            <w:tcW w:w="801" w:type="dxa"/>
            <w:noWrap/>
          </w:tcPr>
          <w:p w14:paraId="3D5D688D" w14:textId="77777777" w:rsidR="0015675E" w:rsidRPr="00797896" w:rsidRDefault="0015675E" w:rsidP="0015675E">
            <w:pPr>
              <w:pStyle w:val="Table"/>
              <w:ind w:right="-3"/>
            </w:pPr>
            <w:r w:rsidRPr="00797896">
              <w:t>0</w:t>
            </w:r>
          </w:p>
        </w:tc>
        <w:tc>
          <w:tcPr>
            <w:tcW w:w="800" w:type="dxa"/>
            <w:noWrap/>
          </w:tcPr>
          <w:p w14:paraId="4380B1D4" w14:textId="77777777" w:rsidR="0015675E" w:rsidRPr="00797896" w:rsidRDefault="0015675E" w:rsidP="0015675E">
            <w:pPr>
              <w:pStyle w:val="Table"/>
              <w:ind w:right="-3"/>
            </w:pPr>
          </w:p>
        </w:tc>
        <w:tc>
          <w:tcPr>
            <w:tcW w:w="801" w:type="dxa"/>
            <w:noWrap/>
          </w:tcPr>
          <w:p w14:paraId="3B32EC3B" w14:textId="77777777" w:rsidR="0015675E" w:rsidRPr="00797896" w:rsidRDefault="0015675E" w:rsidP="0015675E">
            <w:pPr>
              <w:pStyle w:val="Table"/>
              <w:ind w:right="-3"/>
            </w:pPr>
            <w:r w:rsidRPr="00797896">
              <w:t>1</w:t>
            </w:r>
          </w:p>
        </w:tc>
        <w:tc>
          <w:tcPr>
            <w:tcW w:w="800" w:type="dxa"/>
            <w:noWrap/>
          </w:tcPr>
          <w:p w14:paraId="2B9D6196" w14:textId="77777777" w:rsidR="0015675E" w:rsidRPr="00797896" w:rsidRDefault="0015675E" w:rsidP="0015675E">
            <w:pPr>
              <w:pStyle w:val="Table"/>
              <w:ind w:right="-3"/>
            </w:pPr>
            <w:r w:rsidRPr="00797896">
              <w:t>2</w:t>
            </w:r>
          </w:p>
        </w:tc>
        <w:tc>
          <w:tcPr>
            <w:tcW w:w="801" w:type="dxa"/>
            <w:noWrap/>
          </w:tcPr>
          <w:p w14:paraId="4FB57C47" w14:textId="77777777" w:rsidR="0015675E" w:rsidRPr="00797896" w:rsidRDefault="0015675E" w:rsidP="0015675E">
            <w:pPr>
              <w:pStyle w:val="Table"/>
              <w:ind w:right="-3"/>
            </w:pPr>
            <w:r w:rsidRPr="00797896">
              <w:t>1</w:t>
            </w:r>
          </w:p>
        </w:tc>
        <w:tc>
          <w:tcPr>
            <w:tcW w:w="800" w:type="dxa"/>
            <w:noWrap/>
          </w:tcPr>
          <w:p w14:paraId="006D7FE5" w14:textId="77777777" w:rsidR="0015675E" w:rsidRPr="00797896" w:rsidRDefault="0015675E" w:rsidP="0015675E">
            <w:pPr>
              <w:pStyle w:val="Table"/>
              <w:ind w:right="-3"/>
            </w:pPr>
            <w:r w:rsidRPr="00797896">
              <w:t>4</w:t>
            </w:r>
          </w:p>
        </w:tc>
        <w:tc>
          <w:tcPr>
            <w:tcW w:w="801" w:type="dxa"/>
            <w:noWrap/>
          </w:tcPr>
          <w:p w14:paraId="03D02E57" w14:textId="77777777" w:rsidR="0015675E" w:rsidRPr="00797896" w:rsidRDefault="0015675E" w:rsidP="0015675E">
            <w:pPr>
              <w:pStyle w:val="Table"/>
              <w:ind w:right="-3"/>
            </w:pPr>
            <w:r w:rsidRPr="00797896">
              <w:t>0</w:t>
            </w:r>
          </w:p>
        </w:tc>
        <w:tc>
          <w:tcPr>
            <w:tcW w:w="800" w:type="dxa"/>
            <w:noWrap/>
          </w:tcPr>
          <w:p w14:paraId="648E7148" w14:textId="77777777" w:rsidR="0015675E" w:rsidRPr="00797896" w:rsidRDefault="0015675E" w:rsidP="0015675E">
            <w:pPr>
              <w:pStyle w:val="Table"/>
              <w:ind w:right="-3"/>
            </w:pPr>
            <w:r w:rsidRPr="00797896">
              <w:t>0</w:t>
            </w:r>
          </w:p>
        </w:tc>
        <w:tc>
          <w:tcPr>
            <w:tcW w:w="801" w:type="dxa"/>
            <w:noWrap/>
          </w:tcPr>
          <w:p w14:paraId="479CCCE8" w14:textId="77777777" w:rsidR="0015675E" w:rsidRPr="00797896" w:rsidRDefault="0015675E" w:rsidP="0015675E">
            <w:pPr>
              <w:pStyle w:val="Table"/>
              <w:ind w:right="-3"/>
            </w:pPr>
            <w:r w:rsidRPr="00797896">
              <w:t>0</w:t>
            </w:r>
          </w:p>
        </w:tc>
        <w:tc>
          <w:tcPr>
            <w:tcW w:w="834" w:type="dxa"/>
            <w:noWrap/>
          </w:tcPr>
          <w:p w14:paraId="656DB82C" w14:textId="77777777" w:rsidR="0015675E" w:rsidRPr="00797896" w:rsidRDefault="0015675E" w:rsidP="0015675E">
            <w:pPr>
              <w:pStyle w:val="Table"/>
              <w:ind w:right="-3"/>
            </w:pPr>
            <w:r w:rsidRPr="00797896">
              <w:t>0</w:t>
            </w:r>
          </w:p>
        </w:tc>
        <w:tc>
          <w:tcPr>
            <w:tcW w:w="850" w:type="dxa"/>
            <w:noWrap/>
          </w:tcPr>
          <w:p w14:paraId="3D3F4C4C" w14:textId="77777777" w:rsidR="0015675E" w:rsidRPr="00797896" w:rsidRDefault="0015675E" w:rsidP="0015675E">
            <w:pPr>
              <w:pStyle w:val="Table"/>
              <w:ind w:right="-3"/>
            </w:pPr>
            <w:r w:rsidRPr="00797896">
              <w:t>0</w:t>
            </w:r>
          </w:p>
        </w:tc>
        <w:tc>
          <w:tcPr>
            <w:tcW w:w="717" w:type="dxa"/>
            <w:noWrap/>
          </w:tcPr>
          <w:p w14:paraId="405ED10F" w14:textId="77777777" w:rsidR="0015675E" w:rsidRPr="00797896" w:rsidRDefault="0015675E" w:rsidP="0015675E">
            <w:pPr>
              <w:pStyle w:val="Table"/>
              <w:ind w:right="-3"/>
            </w:pPr>
            <w:r w:rsidRPr="00797896">
              <w:t>25</w:t>
            </w:r>
          </w:p>
        </w:tc>
        <w:tc>
          <w:tcPr>
            <w:tcW w:w="801" w:type="dxa"/>
            <w:noWrap/>
          </w:tcPr>
          <w:p w14:paraId="1086F0F0" w14:textId="77777777" w:rsidR="0015675E" w:rsidRPr="00797896" w:rsidRDefault="0015675E" w:rsidP="0015675E">
            <w:pPr>
              <w:pStyle w:val="Table"/>
              <w:ind w:right="-3"/>
            </w:pPr>
            <w:r w:rsidRPr="00797896">
              <w:t>50</w:t>
            </w:r>
          </w:p>
        </w:tc>
        <w:tc>
          <w:tcPr>
            <w:tcW w:w="800" w:type="dxa"/>
            <w:noWrap/>
          </w:tcPr>
          <w:p w14:paraId="23D5DB6A" w14:textId="77777777" w:rsidR="0015675E" w:rsidRPr="00797896" w:rsidRDefault="0015675E" w:rsidP="0015675E">
            <w:pPr>
              <w:pStyle w:val="Table"/>
              <w:ind w:right="-3"/>
            </w:pPr>
            <w:r w:rsidRPr="00797896">
              <w:t>25</w:t>
            </w:r>
          </w:p>
        </w:tc>
        <w:tc>
          <w:tcPr>
            <w:tcW w:w="801" w:type="dxa"/>
            <w:noWrap/>
          </w:tcPr>
          <w:p w14:paraId="5E4F3C23" w14:textId="77777777" w:rsidR="0015675E" w:rsidRPr="00797896" w:rsidRDefault="0015675E" w:rsidP="0015675E">
            <w:pPr>
              <w:pStyle w:val="Table"/>
              <w:ind w:right="-3"/>
            </w:pPr>
            <w:r w:rsidRPr="00797896">
              <w:t>100</w:t>
            </w:r>
          </w:p>
        </w:tc>
      </w:tr>
      <w:tr w:rsidR="0015675E" w:rsidRPr="00797896" w14:paraId="1F6816C0" w14:textId="77777777" w:rsidTr="0038099B">
        <w:trPr>
          <w:trHeight w:val="300"/>
        </w:trPr>
        <w:tc>
          <w:tcPr>
            <w:tcW w:w="1809" w:type="dxa"/>
            <w:noWrap/>
          </w:tcPr>
          <w:p w14:paraId="6F4872F2" w14:textId="77777777" w:rsidR="0015675E" w:rsidRPr="00797896" w:rsidRDefault="0015675E" w:rsidP="0015675E">
            <w:pPr>
              <w:pStyle w:val="Table"/>
              <w:ind w:right="-3"/>
            </w:pPr>
            <w:r w:rsidRPr="00797896">
              <w:t>WA Total</w:t>
            </w:r>
          </w:p>
        </w:tc>
        <w:tc>
          <w:tcPr>
            <w:tcW w:w="709" w:type="dxa"/>
            <w:noWrap/>
          </w:tcPr>
          <w:p w14:paraId="496EA32D" w14:textId="77777777" w:rsidR="0015675E" w:rsidRPr="00797896" w:rsidRDefault="0015675E" w:rsidP="0015675E">
            <w:pPr>
              <w:pStyle w:val="Table"/>
              <w:ind w:right="-3"/>
            </w:pPr>
            <w:r w:rsidRPr="00797896">
              <w:t>10</w:t>
            </w:r>
          </w:p>
        </w:tc>
        <w:tc>
          <w:tcPr>
            <w:tcW w:w="608" w:type="dxa"/>
            <w:noWrap/>
          </w:tcPr>
          <w:p w14:paraId="3476D987" w14:textId="77777777" w:rsidR="0015675E" w:rsidRPr="00797896" w:rsidRDefault="0015675E" w:rsidP="0015675E">
            <w:pPr>
              <w:pStyle w:val="Table"/>
              <w:ind w:right="-3"/>
            </w:pPr>
            <w:r w:rsidRPr="00797896">
              <w:t>5</w:t>
            </w:r>
          </w:p>
        </w:tc>
        <w:tc>
          <w:tcPr>
            <w:tcW w:w="801" w:type="dxa"/>
            <w:noWrap/>
          </w:tcPr>
          <w:p w14:paraId="4E83E443" w14:textId="77777777" w:rsidR="0015675E" w:rsidRPr="00797896" w:rsidRDefault="0015675E" w:rsidP="0015675E">
            <w:pPr>
              <w:pStyle w:val="Table"/>
              <w:ind w:right="-3"/>
            </w:pPr>
            <w:r w:rsidRPr="00797896">
              <w:t>5</w:t>
            </w:r>
          </w:p>
        </w:tc>
        <w:tc>
          <w:tcPr>
            <w:tcW w:w="800" w:type="dxa"/>
            <w:noWrap/>
          </w:tcPr>
          <w:p w14:paraId="34D8BE79" w14:textId="77777777" w:rsidR="0015675E" w:rsidRPr="00797896" w:rsidRDefault="0015675E" w:rsidP="0015675E">
            <w:pPr>
              <w:pStyle w:val="Table"/>
              <w:ind w:right="-3"/>
            </w:pPr>
          </w:p>
        </w:tc>
        <w:tc>
          <w:tcPr>
            <w:tcW w:w="801" w:type="dxa"/>
            <w:noWrap/>
          </w:tcPr>
          <w:p w14:paraId="7A100384" w14:textId="77777777" w:rsidR="0015675E" w:rsidRPr="00797896" w:rsidRDefault="0015675E" w:rsidP="0015675E">
            <w:pPr>
              <w:pStyle w:val="Table"/>
              <w:ind w:right="-3"/>
            </w:pPr>
            <w:r w:rsidRPr="00797896">
              <w:t>5</w:t>
            </w:r>
          </w:p>
        </w:tc>
        <w:tc>
          <w:tcPr>
            <w:tcW w:w="800" w:type="dxa"/>
            <w:noWrap/>
          </w:tcPr>
          <w:p w14:paraId="5363DDCE" w14:textId="77777777" w:rsidR="0015675E" w:rsidRPr="00797896" w:rsidRDefault="0015675E" w:rsidP="0015675E">
            <w:pPr>
              <w:pStyle w:val="Table"/>
              <w:ind w:right="-3"/>
            </w:pPr>
            <w:r w:rsidRPr="00797896">
              <w:t>5</w:t>
            </w:r>
          </w:p>
        </w:tc>
        <w:tc>
          <w:tcPr>
            <w:tcW w:w="801" w:type="dxa"/>
            <w:noWrap/>
          </w:tcPr>
          <w:p w14:paraId="3941159B" w14:textId="77777777" w:rsidR="0015675E" w:rsidRPr="00797896" w:rsidRDefault="0015675E" w:rsidP="0015675E">
            <w:pPr>
              <w:pStyle w:val="Table"/>
              <w:ind w:right="-3"/>
            </w:pPr>
            <w:r w:rsidRPr="00797896">
              <w:t>1</w:t>
            </w:r>
          </w:p>
        </w:tc>
        <w:tc>
          <w:tcPr>
            <w:tcW w:w="800" w:type="dxa"/>
            <w:noWrap/>
          </w:tcPr>
          <w:p w14:paraId="10E6B91F" w14:textId="77777777" w:rsidR="0015675E" w:rsidRPr="00797896" w:rsidRDefault="0015675E" w:rsidP="0015675E">
            <w:pPr>
              <w:pStyle w:val="Table"/>
              <w:ind w:right="-3"/>
            </w:pPr>
            <w:r w:rsidRPr="00797896">
              <w:t>31</w:t>
            </w:r>
          </w:p>
        </w:tc>
        <w:tc>
          <w:tcPr>
            <w:tcW w:w="801" w:type="dxa"/>
            <w:noWrap/>
          </w:tcPr>
          <w:p w14:paraId="7E589D9E" w14:textId="77777777" w:rsidR="0015675E" w:rsidRPr="00797896" w:rsidRDefault="0015675E" w:rsidP="0015675E">
            <w:pPr>
              <w:pStyle w:val="Table"/>
              <w:ind w:right="-3"/>
            </w:pPr>
            <w:r w:rsidRPr="00797896">
              <w:t>32.3</w:t>
            </w:r>
          </w:p>
        </w:tc>
        <w:tc>
          <w:tcPr>
            <w:tcW w:w="800" w:type="dxa"/>
            <w:noWrap/>
          </w:tcPr>
          <w:p w14:paraId="28A3C1EB" w14:textId="77777777" w:rsidR="0015675E" w:rsidRPr="00797896" w:rsidRDefault="0015675E" w:rsidP="0015675E">
            <w:pPr>
              <w:pStyle w:val="Table"/>
              <w:ind w:right="-3"/>
            </w:pPr>
            <w:r w:rsidRPr="00797896">
              <w:t>16.1</w:t>
            </w:r>
          </w:p>
        </w:tc>
        <w:tc>
          <w:tcPr>
            <w:tcW w:w="801" w:type="dxa"/>
            <w:noWrap/>
          </w:tcPr>
          <w:p w14:paraId="2D531017" w14:textId="77777777" w:rsidR="0015675E" w:rsidRPr="00797896" w:rsidRDefault="0015675E" w:rsidP="0015675E">
            <w:pPr>
              <w:pStyle w:val="Table"/>
              <w:ind w:right="-3"/>
            </w:pPr>
            <w:r w:rsidRPr="00797896">
              <w:t>16.1</w:t>
            </w:r>
          </w:p>
        </w:tc>
        <w:tc>
          <w:tcPr>
            <w:tcW w:w="834" w:type="dxa"/>
            <w:noWrap/>
          </w:tcPr>
          <w:p w14:paraId="669D1347" w14:textId="77777777" w:rsidR="0015675E" w:rsidRPr="00797896" w:rsidRDefault="0015675E" w:rsidP="0015675E">
            <w:pPr>
              <w:pStyle w:val="Table"/>
              <w:ind w:right="-3"/>
            </w:pPr>
            <w:r w:rsidRPr="00797896">
              <w:t>0</w:t>
            </w:r>
          </w:p>
        </w:tc>
        <w:tc>
          <w:tcPr>
            <w:tcW w:w="850" w:type="dxa"/>
            <w:noWrap/>
          </w:tcPr>
          <w:p w14:paraId="32F96B3A" w14:textId="77777777" w:rsidR="0015675E" w:rsidRPr="00797896" w:rsidRDefault="0015675E" w:rsidP="0015675E">
            <w:pPr>
              <w:pStyle w:val="Table"/>
              <w:ind w:right="-3"/>
            </w:pPr>
            <w:r w:rsidRPr="00797896">
              <w:t>64.5</w:t>
            </w:r>
          </w:p>
        </w:tc>
        <w:tc>
          <w:tcPr>
            <w:tcW w:w="717" w:type="dxa"/>
            <w:noWrap/>
          </w:tcPr>
          <w:p w14:paraId="25936125" w14:textId="77777777" w:rsidR="0015675E" w:rsidRPr="00797896" w:rsidRDefault="0015675E" w:rsidP="0015675E">
            <w:pPr>
              <w:pStyle w:val="Table"/>
              <w:ind w:right="-3"/>
            </w:pPr>
            <w:r w:rsidRPr="00797896">
              <w:t>16.1</w:t>
            </w:r>
          </w:p>
        </w:tc>
        <w:tc>
          <w:tcPr>
            <w:tcW w:w="801" w:type="dxa"/>
            <w:noWrap/>
          </w:tcPr>
          <w:p w14:paraId="22029073" w14:textId="77777777" w:rsidR="0015675E" w:rsidRPr="00797896" w:rsidRDefault="0015675E" w:rsidP="0015675E">
            <w:pPr>
              <w:pStyle w:val="Table"/>
              <w:ind w:right="-3"/>
            </w:pPr>
            <w:r w:rsidRPr="00797896">
              <w:t>16.1</w:t>
            </w:r>
          </w:p>
        </w:tc>
        <w:tc>
          <w:tcPr>
            <w:tcW w:w="800" w:type="dxa"/>
            <w:noWrap/>
          </w:tcPr>
          <w:p w14:paraId="576C549B" w14:textId="77777777" w:rsidR="0015675E" w:rsidRPr="00797896" w:rsidRDefault="0015675E" w:rsidP="0015675E">
            <w:pPr>
              <w:pStyle w:val="Table"/>
              <w:ind w:right="-3"/>
            </w:pPr>
            <w:r w:rsidRPr="00797896">
              <w:t>3.2</w:t>
            </w:r>
          </w:p>
        </w:tc>
        <w:tc>
          <w:tcPr>
            <w:tcW w:w="801" w:type="dxa"/>
            <w:noWrap/>
          </w:tcPr>
          <w:p w14:paraId="71F6AD6D" w14:textId="77777777" w:rsidR="0015675E" w:rsidRPr="00797896" w:rsidRDefault="0015675E" w:rsidP="0015675E">
            <w:pPr>
              <w:pStyle w:val="Table"/>
              <w:ind w:right="-3"/>
            </w:pPr>
            <w:r w:rsidRPr="00797896">
              <w:t>35.5</w:t>
            </w:r>
          </w:p>
        </w:tc>
      </w:tr>
      <w:tr w:rsidR="0015675E" w:rsidRPr="00797896" w14:paraId="53700BC5" w14:textId="77777777" w:rsidTr="0038099B">
        <w:trPr>
          <w:trHeight w:val="300"/>
        </w:trPr>
        <w:tc>
          <w:tcPr>
            <w:tcW w:w="1809" w:type="dxa"/>
            <w:noWrap/>
          </w:tcPr>
          <w:p w14:paraId="773D89A8" w14:textId="77777777" w:rsidR="0015675E" w:rsidRPr="00797896" w:rsidRDefault="0015675E" w:rsidP="0015675E">
            <w:pPr>
              <w:pStyle w:val="Table"/>
              <w:ind w:right="-3"/>
            </w:pPr>
            <w:r w:rsidRPr="00797896">
              <w:t>Overall Community</w:t>
            </w:r>
          </w:p>
        </w:tc>
        <w:tc>
          <w:tcPr>
            <w:tcW w:w="709" w:type="dxa"/>
            <w:noWrap/>
          </w:tcPr>
          <w:p w14:paraId="0ED6DDEE" w14:textId="77777777" w:rsidR="0015675E" w:rsidRPr="00797896" w:rsidRDefault="0015675E" w:rsidP="0015675E">
            <w:pPr>
              <w:pStyle w:val="Table"/>
              <w:ind w:right="-3"/>
            </w:pPr>
            <w:r w:rsidRPr="00797896">
              <w:t>17</w:t>
            </w:r>
          </w:p>
        </w:tc>
        <w:tc>
          <w:tcPr>
            <w:tcW w:w="608" w:type="dxa"/>
            <w:noWrap/>
          </w:tcPr>
          <w:p w14:paraId="640CBC84" w14:textId="77777777" w:rsidR="0015675E" w:rsidRPr="00797896" w:rsidRDefault="0015675E" w:rsidP="0015675E">
            <w:pPr>
              <w:pStyle w:val="Table"/>
              <w:ind w:right="-3"/>
            </w:pPr>
            <w:r w:rsidRPr="00797896">
              <w:t>27</w:t>
            </w:r>
          </w:p>
        </w:tc>
        <w:tc>
          <w:tcPr>
            <w:tcW w:w="801" w:type="dxa"/>
            <w:noWrap/>
          </w:tcPr>
          <w:p w14:paraId="57A8F19D" w14:textId="77777777" w:rsidR="0015675E" w:rsidRPr="00797896" w:rsidRDefault="0015675E" w:rsidP="0015675E">
            <w:pPr>
              <w:pStyle w:val="Table"/>
              <w:ind w:right="-3"/>
            </w:pPr>
            <w:r w:rsidRPr="00797896">
              <w:t>15</w:t>
            </w:r>
          </w:p>
        </w:tc>
        <w:tc>
          <w:tcPr>
            <w:tcW w:w="800" w:type="dxa"/>
            <w:noWrap/>
          </w:tcPr>
          <w:p w14:paraId="0749EFD3" w14:textId="77777777" w:rsidR="0015675E" w:rsidRPr="00797896" w:rsidRDefault="0015675E" w:rsidP="0015675E">
            <w:pPr>
              <w:pStyle w:val="Table"/>
              <w:ind w:right="-3"/>
            </w:pPr>
            <w:r w:rsidRPr="00797896">
              <w:t>2</w:t>
            </w:r>
          </w:p>
        </w:tc>
        <w:tc>
          <w:tcPr>
            <w:tcW w:w="801" w:type="dxa"/>
            <w:noWrap/>
          </w:tcPr>
          <w:p w14:paraId="3A8238AF" w14:textId="77777777" w:rsidR="0015675E" w:rsidRPr="00797896" w:rsidRDefault="0015675E" w:rsidP="0015675E">
            <w:pPr>
              <w:pStyle w:val="Table"/>
              <w:ind w:right="-3"/>
            </w:pPr>
            <w:r w:rsidRPr="00797896">
              <w:t>14</w:t>
            </w:r>
          </w:p>
        </w:tc>
        <w:tc>
          <w:tcPr>
            <w:tcW w:w="800" w:type="dxa"/>
            <w:noWrap/>
          </w:tcPr>
          <w:p w14:paraId="30C572E8" w14:textId="77777777" w:rsidR="0015675E" w:rsidRPr="00797896" w:rsidRDefault="0015675E" w:rsidP="0015675E">
            <w:pPr>
              <w:pStyle w:val="Table"/>
              <w:ind w:right="-3"/>
            </w:pPr>
            <w:r w:rsidRPr="00797896">
              <w:t>11</w:t>
            </w:r>
          </w:p>
        </w:tc>
        <w:tc>
          <w:tcPr>
            <w:tcW w:w="801" w:type="dxa"/>
            <w:noWrap/>
          </w:tcPr>
          <w:p w14:paraId="21D60640" w14:textId="77777777" w:rsidR="0015675E" w:rsidRPr="00797896" w:rsidRDefault="0015675E" w:rsidP="0015675E">
            <w:pPr>
              <w:pStyle w:val="Table"/>
              <w:ind w:right="-3"/>
            </w:pPr>
            <w:r w:rsidRPr="00797896">
              <w:t>1</w:t>
            </w:r>
          </w:p>
        </w:tc>
        <w:tc>
          <w:tcPr>
            <w:tcW w:w="800" w:type="dxa"/>
            <w:noWrap/>
          </w:tcPr>
          <w:p w14:paraId="2ABA822B" w14:textId="77777777" w:rsidR="0015675E" w:rsidRPr="00797896" w:rsidRDefault="0015675E" w:rsidP="0015675E">
            <w:pPr>
              <w:pStyle w:val="Table"/>
              <w:ind w:right="-3"/>
            </w:pPr>
            <w:r w:rsidRPr="00797896">
              <w:t>87</w:t>
            </w:r>
          </w:p>
        </w:tc>
        <w:tc>
          <w:tcPr>
            <w:tcW w:w="801" w:type="dxa"/>
            <w:noWrap/>
          </w:tcPr>
          <w:p w14:paraId="502078F2" w14:textId="77777777" w:rsidR="0015675E" w:rsidRPr="00797896" w:rsidRDefault="0015675E" w:rsidP="0015675E">
            <w:pPr>
              <w:pStyle w:val="Table"/>
              <w:ind w:right="-3"/>
            </w:pPr>
            <w:r w:rsidRPr="00797896">
              <w:t>19.5</w:t>
            </w:r>
          </w:p>
        </w:tc>
        <w:tc>
          <w:tcPr>
            <w:tcW w:w="800" w:type="dxa"/>
            <w:noWrap/>
          </w:tcPr>
          <w:p w14:paraId="08CCC724" w14:textId="77777777" w:rsidR="0015675E" w:rsidRPr="00797896" w:rsidRDefault="0015675E" w:rsidP="0015675E">
            <w:pPr>
              <w:pStyle w:val="Table"/>
              <w:ind w:right="-3"/>
            </w:pPr>
            <w:r w:rsidRPr="00797896">
              <w:t>31</w:t>
            </w:r>
          </w:p>
        </w:tc>
        <w:tc>
          <w:tcPr>
            <w:tcW w:w="801" w:type="dxa"/>
            <w:noWrap/>
          </w:tcPr>
          <w:p w14:paraId="330060C8" w14:textId="77777777" w:rsidR="0015675E" w:rsidRPr="00797896" w:rsidRDefault="0015675E" w:rsidP="0015675E">
            <w:pPr>
              <w:pStyle w:val="Table"/>
              <w:ind w:right="-3"/>
            </w:pPr>
            <w:r w:rsidRPr="00797896">
              <w:t>17.2</w:t>
            </w:r>
          </w:p>
        </w:tc>
        <w:tc>
          <w:tcPr>
            <w:tcW w:w="834" w:type="dxa"/>
            <w:noWrap/>
          </w:tcPr>
          <w:p w14:paraId="308DB50B" w14:textId="77777777" w:rsidR="0015675E" w:rsidRPr="00797896" w:rsidRDefault="0015675E" w:rsidP="0015675E">
            <w:pPr>
              <w:pStyle w:val="Table"/>
              <w:ind w:right="-3"/>
            </w:pPr>
            <w:r w:rsidRPr="00797896">
              <w:t>2.3</w:t>
            </w:r>
          </w:p>
        </w:tc>
        <w:tc>
          <w:tcPr>
            <w:tcW w:w="850" w:type="dxa"/>
            <w:noWrap/>
          </w:tcPr>
          <w:p w14:paraId="47673F69" w14:textId="77777777" w:rsidR="0015675E" w:rsidRPr="00797896" w:rsidRDefault="0015675E" w:rsidP="0015675E">
            <w:pPr>
              <w:pStyle w:val="Table"/>
              <w:ind w:right="-3"/>
            </w:pPr>
            <w:r w:rsidRPr="00797896">
              <w:t>70.1</w:t>
            </w:r>
          </w:p>
        </w:tc>
        <w:tc>
          <w:tcPr>
            <w:tcW w:w="717" w:type="dxa"/>
            <w:noWrap/>
          </w:tcPr>
          <w:p w14:paraId="5EF885DF" w14:textId="77777777" w:rsidR="0015675E" w:rsidRPr="00797896" w:rsidRDefault="0015675E" w:rsidP="0015675E">
            <w:pPr>
              <w:pStyle w:val="Table"/>
              <w:ind w:right="-3"/>
            </w:pPr>
            <w:r w:rsidRPr="00797896">
              <w:t>16.1</w:t>
            </w:r>
          </w:p>
        </w:tc>
        <w:tc>
          <w:tcPr>
            <w:tcW w:w="801" w:type="dxa"/>
            <w:noWrap/>
          </w:tcPr>
          <w:p w14:paraId="7F3496F9" w14:textId="77777777" w:rsidR="0015675E" w:rsidRPr="00797896" w:rsidRDefault="0015675E" w:rsidP="0015675E">
            <w:pPr>
              <w:pStyle w:val="Table"/>
              <w:ind w:right="-3"/>
            </w:pPr>
            <w:r w:rsidRPr="00797896">
              <w:t>12.6</w:t>
            </w:r>
          </w:p>
        </w:tc>
        <w:tc>
          <w:tcPr>
            <w:tcW w:w="800" w:type="dxa"/>
            <w:noWrap/>
          </w:tcPr>
          <w:p w14:paraId="1F90BBEE" w14:textId="77777777" w:rsidR="0015675E" w:rsidRPr="00797896" w:rsidRDefault="0015675E" w:rsidP="0015675E">
            <w:pPr>
              <w:pStyle w:val="Table"/>
              <w:ind w:right="-3"/>
            </w:pPr>
            <w:r w:rsidRPr="00797896">
              <w:t>1.1</w:t>
            </w:r>
          </w:p>
        </w:tc>
        <w:tc>
          <w:tcPr>
            <w:tcW w:w="801" w:type="dxa"/>
            <w:noWrap/>
          </w:tcPr>
          <w:p w14:paraId="0E865B7A" w14:textId="77777777" w:rsidR="0015675E" w:rsidRPr="00797896" w:rsidRDefault="0015675E" w:rsidP="0015675E">
            <w:pPr>
              <w:pStyle w:val="Table"/>
              <w:ind w:right="-3"/>
            </w:pPr>
            <w:r w:rsidRPr="00797896">
              <w:t>29.9</w:t>
            </w:r>
          </w:p>
        </w:tc>
      </w:tr>
      <w:tr w:rsidR="0015675E" w:rsidRPr="00797896" w14:paraId="61E59419" w14:textId="77777777" w:rsidTr="0038099B">
        <w:trPr>
          <w:trHeight w:val="300"/>
        </w:trPr>
        <w:tc>
          <w:tcPr>
            <w:tcW w:w="1809" w:type="dxa"/>
            <w:noWrap/>
          </w:tcPr>
          <w:p w14:paraId="0C80641A" w14:textId="77777777" w:rsidR="0015675E" w:rsidRPr="00797896" w:rsidRDefault="0015675E" w:rsidP="0015675E">
            <w:pPr>
              <w:pStyle w:val="Table"/>
              <w:ind w:right="-3"/>
            </w:pPr>
            <w:r w:rsidRPr="00797896">
              <w:t>Overall Residential</w:t>
            </w:r>
          </w:p>
        </w:tc>
        <w:tc>
          <w:tcPr>
            <w:tcW w:w="709" w:type="dxa"/>
            <w:noWrap/>
          </w:tcPr>
          <w:p w14:paraId="348D03A0" w14:textId="77777777" w:rsidR="0015675E" w:rsidRPr="00797896" w:rsidRDefault="0015675E" w:rsidP="0015675E">
            <w:pPr>
              <w:pStyle w:val="Table"/>
              <w:ind w:right="-3"/>
            </w:pPr>
            <w:r w:rsidRPr="00797896">
              <w:t>196</w:t>
            </w:r>
          </w:p>
        </w:tc>
        <w:tc>
          <w:tcPr>
            <w:tcW w:w="608" w:type="dxa"/>
            <w:noWrap/>
          </w:tcPr>
          <w:p w14:paraId="20D0E439" w14:textId="77777777" w:rsidR="0015675E" w:rsidRPr="00797896" w:rsidRDefault="0015675E" w:rsidP="0015675E">
            <w:pPr>
              <w:pStyle w:val="Table"/>
              <w:ind w:right="-3"/>
            </w:pPr>
            <w:r w:rsidRPr="00797896">
              <w:t>181</w:t>
            </w:r>
          </w:p>
        </w:tc>
        <w:tc>
          <w:tcPr>
            <w:tcW w:w="801" w:type="dxa"/>
            <w:noWrap/>
          </w:tcPr>
          <w:p w14:paraId="08D0230C" w14:textId="77777777" w:rsidR="0015675E" w:rsidRPr="00797896" w:rsidRDefault="0015675E" w:rsidP="0015675E">
            <w:pPr>
              <w:pStyle w:val="Table"/>
              <w:ind w:right="-3"/>
            </w:pPr>
            <w:r w:rsidRPr="00797896">
              <w:t>72</w:t>
            </w:r>
          </w:p>
        </w:tc>
        <w:tc>
          <w:tcPr>
            <w:tcW w:w="800" w:type="dxa"/>
            <w:noWrap/>
          </w:tcPr>
          <w:p w14:paraId="33DD29A6" w14:textId="77777777" w:rsidR="0015675E" w:rsidRPr="00797896" w:rsidRDefault="0015675E" w:rsidP="0015675E">
            <w:pPr>
              <w:pStyle w:val="Table"/>
              <w:ind w:right="-3"/>
            </w:pPr>
            <w:r w:rsidRPr="00797896">
              <w:t>18</w:t>
            </w:r>
          </w:p>
        </w:tc>
        <w:tc>
          <w:tcPr>
            <w:tcW w:w="801" w:type="dxa"/>
            <w:noWrap/>
          </w:tcPr>
          <w:p w14:paraId="4693982D" w14:textId="77777777" w:rsidR="0015675E" w:rsidRPr="00797896" w:rsidRDefault="0015675E" w:rsidP="0015675E">
            <w:pPr>
              <w:pStyle w:val="Table"/>
              <w:ind w:right="-3"/>
            </w:pPr>
            <w:r w:rsidRPr="00797896">
              <w:t>73</w:t>
            </w:r>
          </w:p>
        </w:tc>
        <w:tc>
          <w:tcPr>
            <w:tcW w:w="800" w:type="dxa"/>
            <w:noWrap/>
          </w:tcPr>
          <w:p w14:paraId="2741CC24" w14:textId="77777777" w:rsidR="0015675E" w:rsidRPr="00797896" w:rsidRDefault="0015675E" w:rsidP="0015675E">
            <w:pPr>
              <w:pStyle w:val="Table"/>
              <w:ind w:right="-3"/>
            </w:pPr>
            <w:r w:rsidRPr="00797896">
              <w:t>33</w:t>
            </w:r>
          </w:p>
        </w:tc>
        <w:tc>
          <w:tcPr>
            <w:tcW w:w="801" w:type="dxa"/>
            <w:noWrap/>
          </w:tcPr>
          <w:p w14:paraId="22415A18" w14:textId="77777777" w:rsidR="0015675E" w:rsidRPr="00797896" w:rsidRDefault="0015675E" w:rsidP="0015675E">
            <w:pPr>
              <w:pStyle w:val="Table"/>
              <w:ind w:right="-3"/>
            </w:pPr>
            <w:r w:rsidRPr="00797896">
              <w:t>22</w:t>
            </w:r>
          </w:p>
        </w:tc>
        <w:tc>
          <w:tcPr>
            <w:tcW w:w="800" w:type="dxa"/>
            <w:noWrap/>
          </w:tcPr>
          <w:p w14:paraId="402A1C77" w14:textId="77777777" w:rsidR="0015675E" w:rsidRPr="00797896" w:rsidRDefault="0015675E" w:rsidP="0015675E">
            <w:pPr>
              <w:pStyle w:val="Table"/>
              <w:ind w:right="-3"/>
            </w:pPr>
            <w:r w:rsidRPr="00797896">
              <w:t>595</w:t>
            </w:r>
          </w:p>
        </w:tc>
        <w:tc>
          <w:tcPr>
            <w:tcW w:w="801" w:type="dxa"/>
            <w:noWrap/>
          </w:tcPr>
          <w:p w14:paraId="2A92E197" w14:textId="77777777" w:rsidR="0015675E" w:rsidRPr="00797896" w:rsidRDefault="0015675E" w:rsidP="0015675E">
            <w:pPr>
              <w:pStyle w:val="Table"/>
              <w:ind w:right="-3"/>
            </w:pPr>
            <w:r w:rsidRPr="00797896">
              <w:t>32.9</w:t>
            </w:r>
          </w:p>
        </w:tc>
        <w:tc>
          <w:tcPr>
            <w:tcW w:w="800" w:type="dxa"/>
            <w:noWrap/>
          </w:tcPr>
          <w:p w14:paraId="5FE527F5" w14:textId="77777777" w:rsidR="0015675E" w:rsidRPr="00797896" w:rsidRDefault="0015675E" w:rsidP="0015675E">
            <w:pPr>
              <w:pStyle w:val="Table"/>
              <w:ind w:right="-3"/>
            </w:pPr>
            <w:r w:rsidRPr="00797896">
              <w:t>30.4</w:t>
            </w:r>
          </w:p>
        </w:tc>
        <w:tc>
          <w:tcPr>
            <w:tcW w:w="801" w:type="dxa"/>
            <w:noWrap/>
          </w:tcPr>
          <w:p w14:paraId="753AD47E" w14:textId="77777777" w:rsidR="0015675E" w:rsidRPr="00797896" w:rsidRDefault="0015675E" w:rsidP="0015675E">
            <w:pPr>
              <w:pStyle w:val="Table"/>
              <w:ind w:right="-3"/>
            </w:pPr>
            <w:r w:rsidRPr="00797896">
              <w:t>12.1</w:t>
            </w:r>
          </w:p>
        </w:tc>
        <w:tc>
          <w:tcPr>
            <w:tcW w:w="834" w:type="dxa"/>
            <w:noWrap/>
          </w:tcPr>
          <w:p w14:paraId="6CF6D497" w14:textId="77777777" w:rsidR="0015675E" w:rsidRPr="00797896" w:rsidRDefault="0015675E" w:rsidP="0015675E">
            <w:pPr>
              <w:pStyle w:val="Table"/>
              <w:ind w:right="-3"/>
            </w:pPr>
            <w:r w:rsidRPr="00797896">
              <w:t>3</w:t>
            </w:r>
          </w:p>
        </w:tc>
        <w:tc>
          <w:tcPr>
            <w:tcW w:w="850" w:type="dxa"/>
            <w:noWrap/>
          </w:tcPr>
          <w:p w14:paraId="54469792" w14:textId="77777777" w:rsidR="0015675E" w:rsidRPr="00797896" w:rsidRDefault="0015675E" w:rsidP="0015675E">
            <w:pPr>
              <w:pStyle w:val="Table"/>
              <w:ind w:right="-3"/>
            </w:pPr>
            <w:r w:rsidRPr="00797896">
              <w:t>78.5</w:t>
            </w:r>
          </w:p>
        </w:tc>
        <w:tc>
          <w:tcPr>
            <w:tcW w:w="717" w:type="dxa"/>
            <w:noWrap/>
          </w:tcPr>
          <w:p w14:paraId="3331997A" w14:textId="77777777" w:rsidR="0015675E" w:rsidRPr="00797896" w:rsidRDefault="0015675E" w:rsidP="0015675E">
            <w:pPr>
              <w:pStyle w:val="Table"/>
              <w:ind w:right="-3"/>
            </w:pPr>
            <w:r w:rsidRPr="00797896">
              <w:t>12.3</w:t>
            </w:r>
          </w:p>
        </w:tc>
        <w:tc>
          <w:tcPr>
            <w:tcW w:w="801" w:type="dxa"/>
            <w:noWrap/>
          </w:tcPr>
          <w:p w14:paraId="10D9A435" w14:textId="77777777" w:rsidR="0015675E" w:rsidRPr="00797896" w:rsidRDefault="0015675E" w:rsidP="0015675E">
            <w:pPr>
              <w:pStyle w:val="Table"/>
              <w:ind w:right="-3"/>
            </w:pPr>
            <w:r w:rsidRPr="00797896">
              <w:t>5.5</w:t>
            </w:r>
          </w:p>
        </w:tc>
        <w:tc>
          <w:tcPr>
            <w:tcW w:w="800" w:type="dxa"/>
            <w:noWrap/>
          </w:tcPr>
          <w:p w14:paraId="087D324A" w14:textId="77777777" w:rsidR="0015675E" w:rsidRPr="00797896" w:rsidRDefault="0015675E" w:rsidP="0015675E">
            <w:pPr>
              <w:pStyle w:val="Table"/>
              <w:ind w:right="-3"/>
            </w:pPr>
            <w:r w:rsidRPr="00797896">
              <w:t>3.7</w:t>
            </w:r>
          </w:p>
        </w:tc>
        <w:tc>
          <w:tcPr>
            <w:tcW w:w="801" w:type="dxa"/>
            <w:noWrap/>
          </w:tcPr>
          <w:p w14:paraId="45FEFABA" w14:textId="77777777" w:rsidR="0015675E" w:rsidRPr="00797896" w:rsidRDefault="0015675E" w:rsidP="0015675E">
            <w:pPr>
              <w:pStyle w:val="Table"/>
              <w:ind w:right="-3"/>
            </w:pPr>
            <w:r w:rsidRPr="00797896">
              <w:t>21.5</w:t>
            </w:r>
          </w:p>
        </w:tc>
      </w:tr>
      <w:tr w:rsidR="0015675E" w:rsidRPr="00797896" w14:paraId="1B52EAD4" w14:textId="77777777" w:rsidTr="0038099B">
        <w:trPr>
          <w:trHeight w:val="300"/>
        </w:trPr>
        <w:tc>
          <w:tcPr>
            <w:tcW w:w="1809" w:type="dxa"/>
            <w:noWrap/>
          </w:tcPr>
          <w:p w14:paraId="3F6F7DD1" w14:textId="77777777" w:rsidR="0015675E" w:rsidRPr="00797896" w:rsidRDefault="0015675E" w:rsidP="0015675E">
            <w:pPr>
              <w:pStyle w:val="Table"/>
              <w:ind w:right="-3"/>
            </w:pPr>
            <w:r w:rsidRPr="00797896">
              <w:t>Overall Combination</w:t>
            </w:r>
          </w:p>
        </w:tc>
        <w:tc>
          <w:tcPr>
            <w:tcW w:w="709" w:type="dxa"/>
            <w:noWrap/>
          </w:tcPr>
          <w:p w14:paraId="333A82A2" w14:textId="77777777" w:rsidR="0015675E" w:rsidRPr="00797896" w:rsidRDefault="0015675E" w:rsidP="0015675E">
            <w:pPr>
              <w:pStyle w:val="Table"/>
              <w:ind w:right="-3"/>
            </w:pPr>
            <w:r w:rsidRPr="00797896">
              <w:t>12</w:t>
            </w:r>
          </w:p>
        </w:tc>
        <w:tc>
          <w:tcPr>
            <w:tcW w:w="608" w:type="dxa"/>
            <w:noWrap/>
          </w:tcPr>
          <w:p w14:paraId="66B2542B" w14:textId="77777777" w:rsidR="0015675E" w:rsidRPr="00797896" w:rsidRDefault="0015675E" w:rsidP="0015675E">
            <w:pPr>
              <w:pStyle w:val="Table"/>
              <w:ind w:right="-3"/>
            </w:pPr>
            <w:r w:rsidRPr="00797896">
              <w:t>13</w:t>
            </w:r>
          </w:p>
        </w:tc>
        <w:tc>
          <w:tcPr>
            <w:tcW w:w="801" w:type="dxa"/>
            <w:noWrap/>
          </w:tcPr>
          <w:p w14:paraId="6253F539" w14:textId="77777777" w:rsidR="0015675E" w:rsidRPr="00797896" w:rsidRDefault="0015675E" w:rsidP="0015675E">
            <w:pPr>
              <w:pStyle w:val="Table"/>
              <w:ind w:right="-3"/>
            </w:pPr>
            <w:r w:rsidRPr="00797896">
              <w:t>1</w:t>
            </w:r>
          </w:p>
        </w:tc>
        <w:tc>
          <w:tcPr>
            <w:tcW w:w="800" w:type="dxa"/>
            <w:noWrap/>
          </w:tcPr>
          <w:p w14:paraId="49F3725C" w14:textId="77777777" w:rsidR="0015675E" w:rsidRPr="00797896" w:rsidRDefault="0015675E" w:rsidP="0015675E">
            <w:pPr>
              <w:pStyle w:val="Table"/>
              <w:ind w:right="-3"/>
            </w:pPr>
            <w:r w:rsidRPr="00797896">
              <w:t>1</w:t>
            </w:r>
          </w:p>
        </w:tc>
        <w:tc>
          <w:tcPr>
            <w:tcW w:w="801" w:type="dxa"/>
            <w:noWrap/>
          </w:tcPr>
          <w:p w14:paraId="1B77076B" w14:textId="77777777" w:rsidR="0015675E" w:rsidRPr="00797896" w:rsidRDefault="0015675E" w:rsidP="0015675E">
            <w:pPr>
              <w:pStyle w:val="Table"/>
              <w:ind w:right="-3"/>
            </w:pPr>
            <w:r w:rsidRPr="00797896">
              <w:t>7</w:t>
            </w:r>
          </w:p>
        </w:tc>
        <w:tc>
          <w:tcPr>
            <w:tcW w:w="800" w:type="dxa"/>
            <w:noWrap/>
          </w:tcPr>
          <w:p w14:paraId="40645F19" w14:textId="77777777" w:rsidR="0015675E" w:rsidRPr="00797896" w:rsidRDefault="0015675E" w:rsidP="0015675E">
            <w:pPr>
              <w:pStyle w:val="Table"/>
              <w:ind w:right="-3"/>
            </w:pPr>
            <w:r w:rsidRPr="00797896">
              <w:t>4</w:t>
            </w:r>
          </w:p>
        </w:tc>
        <w:tc>
          <w:tcPr>
            <w:tcW w:w="801" w:type="dxa"/>
            <w:noWrap/>
          </w:tcPr>
          <w:p w14:paraId="65A12A01" w14:textId="77777777" w:rsidR="0015675E" w:rsidRPr="00797896" w:rsidRDefault="0015675E" w:rsidP="0015675E">
            <w:pPr>
              <w:pStyle w:val="Table"/>
              <w:ind w:right="-3"/>
            </w:pPr>
            <w:r w:rsidRPr="00797896">
              <w:t>3</w:t>
            </w:r>
          </w:p>
        </w:tc>
        <w:tc>
          <w:tcPr>
            <w:tcW w:w="800" w:type="dxa"/>
            <w:noWrap/>
          </w:tcPr>
          <w:p w14:paraId="72D56617" w14:textId="77777777" w:rsidR="0015675E" w:rsidRPr="00797896" w:rsidRDefault="0015675E" w:rsidP="0015675E">
            <w:pPr>
              <w:pStyle w:val="Table"/>
              <w:ind w:right="-3"/>
            </w:pPr>
            <w:r w:rsidRPr="00797896">
              <w:t>41</w:t>
            </w:r>
          </w:p>
        </w:tc>
        <w:tc>
          <w:tcPr>
            <w:tcW w:w="801" w:type="dxa"/>
            <w:noWrap/>
          </w:tcPr>
          <w:p w14:paraId="7FBA789D" w14:textId="77777777" w:rsidR="0015675E" w:rsidRPr="00797896" w:rsidRDefault="0015675E" w:rsidP="0015675E">
            <w:pPr>
              <w:pStyle w:val="Table"/>
              <w:ind w:right="-3"/>
            </w:pPr>
            <w:r w:rsidRPr="00797896">
              <w:t>29.3</w:t>
            </w:r>
          </w:p>
        </w:tc>
        <w:tc>
          <w:tcPr>
            <w:tcW w:w="800" w:type="dxa"/>
            <w:noWrap/>
          </w:tcPr>
          <w:p w14:paraId="2FB20D68" w14:textId="77777777" w:rsidR="0015675E" w:rsidRPr="00797896" w:rsidRDefault="0015675E" w:rsidP="0015675E">
            <w:pPr>
              <w:pStyle w:val="Table"/>
              <w:ind w:right="-3"/>
            </w:pPr>
            <w:r w:rsidRPr="00797896">
              <w:t>31.7</w:t>
            </w:r>
          </w:p>
        </w:tc>
        <w:tc>
          <w:tcPr>
            <w:tcW w:w="801" w:type="dxa"/>
            <w:noWrap/>
          </w:tcPr>
          <w:p w14:paraId="5CB917AF" w14:textId="77777777" w:rsidR="0015675E" w:rsidRPr="00797896" w:rsidRDefault="0015675E" w:rsidP="0015675E">
            <w:pPr>
              <w:pStyle w:val="Table"/>
              <w:ind w:right="-3"/>
            </w:pPr>
            <w:r w:rsidRPr="00797896">
              <w:t>2.4</w:t>
            </w:r>
          </w:p>
        </w:tc>
        <w:tc>
          <w:tcPr>
            <w:tcW w:w="834" w:type="dxa"/>
            <w:noWrap/>
          </w:tcPr>
          <w:p w14:paraId="43CE8AA9" w14:textId="77777777" w:rsidR="0015675E" w:rsidRPr="00797896" w:rsidRDefault="0015675E" w:rsidP="0015675E">
            <w:pPr>
              <w:pStyle w:val="Table"/>
              <w:ind w:right="-3"/>
            </w:pPr>
            <w:r w:rsidRPr="00797896">
              <w:t>2.4</w:t>
            </w:r>
          </w:p>
        </w:tc>
        <w:tc>
          <w:tcPr>
            <w:tcW w:w="850" w:type="dxa"/>
            <w:noWrap/>
          </w:tcPr>
          <w:p w14:paraId="65AA596C" w14:textId="77777777" w:rsidR="0015675E" w:rsidRPr="00797896" w:rsidRDefault="0015675E" w:rsidP="0015675E">
            <w:pPr>
              <w:pStyle w:val="Table"/>
              <w:ind w:right="-3"/>
            </w:pPr>
            <w:r w:rsidRPr="00797896">
              <w:t>65.9</w:t>
            </w:r>
          </w:p>
        </w:tc>
        <w:tc>
          <w:tcPr>
            <w:tcW w:w="717" w:type="dxa"/>
            <w:noWrap/>
          </w:tcPr>
          <w:p w14:paraId="533570E1" w14:textId="77777777" w:rsidR="0015675E" w:rsidRPr="00797896" w:rsidRDefault="0015675E" w:rsidP="0015675E">
            <w:pPr>
              <w:pStyle w:val="Table"/>
              <w:ind w:right="-3"/>
            </w:pPr>
            <w:r w:rsidRPr="00797896">
              <w:t>17.1</w:t>
            </w:r>
          </w:p>
        </w:tc>
        <w:tc>
          <w:tcPr>
            <w:tcW w:w="801" w:type="dxa"/>
            <w:noWrap/>
          </w:tcPr>
          <w:p w14:paraId="4438501D" w14:textId="77777777" w:rsidR="0015675E" w:rsidRPr="00797896" w:rsidRDefault="0015675E" w:rsidP="0015675E">
            <w:pPr>
              <w:pStyle w:val="Table"/>
              <w:ind w:right="-3"/>
            </w:pPr>
            <w:r w:rsidRPr="00797896">
              <w:t>9.8</w:t>
            </w:r>
          </w:p>
        </w:tc>
        <w:tc>
          <w:tcPr>
            <w:tcW w:w="800" w:type="dxa"/>
            <w:noWrap/>
          </w:tcPr>
          <w:p w14:paraId="3F664359" w14:textId="77777777" w:rsidR="0015675E" w:rsidRPr="00797896" w:rsidRDefault="0015675E" w:rsidP="0015675E">
            <w:pPr>
              <w:pStyle w:val="Table"/>
              <w:ind w:right="-3"/>
            </w:pPr>
            <w:r w:rsidRPr="00797896">
              <w:t>7.3</w:t>
            </w:r>
          </w:p>
        </w:tc>
        <w:tc>
          <w:tcPr>
            <w:tcW w:w="801" w:type="dxa"/>
            <w:noWrap/>
          </w:tcPr>
          <w:p w14:paraId="51328CDD" w14:textId="77777777" w:rsidR="0015675E" w:rsidRPr="00797896" w:rsidRDefault="0015675E" w:rsidP="0015675E">
            <w:pPr>
              <w:pStyle w:val="Table"/>
              <w:ind w:right="-3"/>
            </w:pPr>
            <w:r w:rsidRPr="00797896">
              <w:t>34.1</w:t>
            </w:r>
          </w:p>
        </w:tc>
      </w:tr>
      <w:tr w:rsidR="0015675E" w:rsidRPr="00797896" w14:paraId="602E40D8" w14:textId="77777777" w:rsidTr="0038099B">
        <w:trPr>
          <w:trHeight w:val="300"/>
        </w:trPr>
        <w:tc>
          <w:tcPr>
            <w:tcW w:w="1809" w:type="dxa"/>
            <w:noWrap/>
          </w:tcPr>
          <w:p w14:paraId="57079A1C" w14:textId="77777777" w:rsidR="0015675E" w:rsidRPr="00797896" w:rsidRDefault="0015675E" w:rsidP="0015675E">
            <w:pPr>
              <w:pStyle w:val="Table"/>
              <w:ind w:right="-3"/>
            </w:pPr>
            <w:r w:rsidRPr="00797896">
              <w:t>Overall Total</w:t>
            </w:r>
          </w:p>
        </w:tc>
        <w:tc>
          <w:tcPr>
            <w:tcW w:w="709" w:type="dxa"/>
            <w:noWrap/>
          </w:tcPr>
          <w:p w14:paraId="59B00EDE" w14:textId="77777777" w:rsidR="0015675E" w:rsidRPr="00797896" w:rsidRDefault="0015675E" w:rsidP="0015675E">
            <w:pPr>
              <w:pStyle w:val="Table"/>
              <w:ind w:right="-3"/>
            </w:pPr>
            <w:r w:rsidRPr="00797896">
              <w:t>225</w:t>
            </w:r>
          </w:p>
        </w:tc>
        <w:tc>
          <w:tcPr>
            <w:tcW w:w="608" w:type="dxa"/>
            <w:noWrap/>
          </w:tcPr>
          <w:p w14:paraId="52374DAA" w14:textId="77777777" w:rsidR="0015675E" w:rsidRPr="00797896" w:rsidRDefault="0015675E" w:rsidP="0015675E">
            <w:pPr>
              <w:pStyle w:val="Table"/>
              <w:ind w:right="-3"/>
            </w:pPr>
            <w:r w:rsidRPr="00797896">
              <w:t>221</w:t>
            </w:r>
          </w:p>
        </w:tc>
        <w:tc>
          <w:tcPr>
            <w:tcW w:w="801" w:type="dxa"/>
            <w:noWrap/>
          </w:tcPr>
          <w:p w14:paraId="2EAB45A1" w14:textId="77777777" w:rsidR="0015675E" w:rsidRPr="00797896" w:rsidRDefault="0015675E" w:rsidP="0015675E">
            <w:pPr>
              <w:pStyle w:val="Table"/>
              <w:ind w:right="-3"/>
            </w:pPr>
            <w:r w:rsidRPr="00797896">
              <w:t>88</w:t>
            </w:r>
          </w:p>
        </w:tc>
        <w:tc>
          <w:tcPr>
            <w:tcW w:w="800" w:type="dxa"/>
            <w:noWrap/>
          </w:tcPr>
          <w:p w14:paraId="7B9B0747" w14:textId="77777777" w:rsidR="0015675E" w:rsidRPr="00797896" w:rsidRDefault="0015675E" w:rsidP="0015675E">
            <w:pPr>
              <w:pStyle w:val="Table"/>
              <w:ind w:right="-3"/>
            </w:pPr>
            <w:r w:rsidRPr="00797896">
              <w:t>21</w:t>
            </w:r>
          </w:p>
        </w:tc>
        <w:tc>
          <w:tcPr>
            <w:tcW w:w="801" w:type="dxa"/>
            <w:noWrap/>
          </w:tcPr>
          <w:p w14:paraId="05732E2D" w14:textId="77777777" w:rsidR="0015675E" w:rsidRPr="00797896" w:rsidRDefault="0015675E" w:rsidP="0015675E">
            <w:pPr>
              <w:pStyle w:val="Table"/>
              <w:ind w:right="-3"/>
            </w:pPr>
            <w:r w:rsidRPr="00797896">
              <w:t>94</w:t>
            </w:r>
          </w:p>
        </w:tc>
        <w:tc>
          <w:tcPr>
            <w:tcW w:w="800" w:type="dxa"/>
            <w:noWrap/>
          </w:tcPr>
          <w:p w14:paraId="2EBF1FBC" w14:textId="77777777" w:rsidR="0015675E" w:rsidRPr="00797896" w:rsidRDefault="0015675E" w:rsidP="0015675E">
            <w:pPr>
              <w:pStyle w:val="Table"/>
              <w:ind w:right="-3"/>
            </w:pPr>
            <w:r w:rsidRPr="00797896">
              <w:t>48</w:t>
            </w:r>
          </w:p>
        </w:tc>
        <w:tc>
          <w:tcPr>
            <w:tcW w:w="801" w:type="dxa"/>
            <w:noWrap/>
          </w:tcPr>
          <w:p w14:paraId="7531294A" w14:textId="77777777" w:rsidR="0015675E" w:rsidRPr="00797896" w:rsidRDefault="0015675E" w:rsidP="0015675E">
            <w:pPr>
              <w:pStyle w:val="Table"/>
              <w:ind w:right="-3"/>
            </w:pPr>
            <w:r w:rsidRPr="00797896">
              <w:t>26</w:t>
            </w:r>
          </w:p>
        </w:tc>
        <w:tc>
          <w:tcPr>
            <w:tcW w:w="800" w:type="dxa"/>
            <w:noWrap/>
          </w:tcPr>
          <w:p w14:paraId="7A09EC59" w14:textId="77777777" w:rsidR="0015675E" w:rsidRPr="00797896" w:rsidRDefault="0015675E" w:rsidP="0015675E">
            <w:pPr>
              <w:pStyle w:val="Table"/>
              <w:ind w:right="-3"/>
            </w:pPr>
            <w:r w:rsidRPr="00797896">
              <w:t>723</w:t>
            </w:r>
          </w:p>
        </w:tc>
        <w:tc>
          <w:tcPr>
            <w:tcW w:w="801" w:type="dxa"/>
            <w:noWrap/>
          </w:tcPr>
          <w:p w14:paraId="69BD04E5" w14:textId="77777777" w:rsidR="0015675E" w:rsidRPr="00797896" w:rsidRDefault="0015675E" w:rsidP="0015675E">
            <w:pPr>
              <w:pStyle w:val="Table"/>
              <w:ind w:right="-3"/>
            </w:pPr>
            <w:r w:rsidRPr="00797896">
              <w:t>31.1</w:t>
            </w:r>
          </w:p>
        </w:tc>
        <w:tc>
          <w:tcPr>
            <w:tcW w:w="800" w:type="dxa"/>
            <w:noWrap/>
          </w:tcPr>
          <w:p w14:paraId="1371BB0F" w14:textId="77777777" w:rsidR="0015675E" w:rsidRPr="00797896" w:rsidRDefault="0015675E" w:rsidP="0015675E">
            <w:pPr>
              <w:pStyle w:val="Table"/>
              <w:ind w:right="-3"/>
            </w:pPr>
            <w:r w:rsidRPr="00797896">
              <w:t>30.6</w:t>
            </w:r>
          </w:p>
        </w:tc>
        <w:tc>
          <w:tcPr>
            <w:tcW w:w="801" w:type="dxa"/>
            <w:noWrap/>
          </w:tcPr>
          <w:p w14:paraId="0D21D737" w14:textId="77777777" w:rsidR="0015675E" w:rsidRPr="00797896" w:rsidRDefault="0015675E" w:rsidP="0015675E">
            <w:pPr>
              <w:pStyle w:val="Table"/>
              <w:ind w:right="-3"/>
            </w:pPr>
            <w:r w:rsidRPr="00797896">
              <w:t>12.2</w:t>
            </w:r>
          </w:p>
        </w:tc>
        <w:tc>
          <w:tcPr>
            <w:tcW w:w="834" w:type="dxa"/>
            <w:noWrap/>
          </w:tcPr>
          <w:p w14:paraId="664A0543" w14:textId="77777777" w:rsidR="0015675E" w:rsidRPr="00797896" w:rsidRDefault="0015675E" w:rsidP="0015675E">
            <w:pPr>
              <w:pStyle w:val="Table"/>
              <w:ind w:right="-3"/>
            </w:pPr>
            <w:r w:rsidRPr="00797896">
              <w:t>2.9</w:t>
            </w:r>
          </w:p>
        </w:tc>
        <w:tc>
          <w:tcPr>
            <w:tcW w:w="850" w:type="dxa"/>
            <w:noWrap/>
          </w:tcPr>
          <w:p w14:paraId="40B8C297" w14:textId="77777777" w:rsidR="0015675E" w:rsidRPr="00797896" w:rsidRDefault="0015675E" w:rsidP="0015675E">
            <w:pPr>
              <w:pStyle w:val="Table"/>
              <w:ind w:right="-3"/>
            </w:pPr>
            <w:r w:rsidRPr="00797896">
              <w:t>76.8</w:t>
            </w:r>
          </w:p>
        </w:tc>
        <w:tc>
          <w:tcPr>
            <w:tcW w:w="717" w:type="dxa"/>
            <w:noWrap/>
          </w:tcPr>
          <w:p w14:paraId="0B0E003D" w14:textId="77777777" w:rsidR="0015675E" w:rsidRPr="00797896" w:rsidRDefault="0015675E" w:rsidP="0015675E">
            <w:pPr>
              <w:pStyle w:val="Table"/>
              <w:ind w:right="-3"/>
            </w:pPr>
            <w:r w:rsidRPr="00797896">
              <w:t>13</w:t>
            </w:r>
          </w:p>
        </w:tc>
        <w:tc>
          <w:tcPr>
            <w:tcW w:w="801" w:type="dxa"/>
            <w:noWrap/>
          </w:tcPr>
          <w:p w14:paraId="332BCE6C" w14:textId="77777777" w:rsidR="0015675E" w:rsidRPr="00797896" w:rsidRDefault="0015675E" w:rsidP="0015675E">
            <w:pPr>
              <w:pStyle w:val="Table"/>
              <w:ind w:right="-3"/>
            </w:pPr>
            <w:r w:rsidRPr="00797896">
              <w:t>6.6</w:t>
            </w:r>
          </w:p>
        </w:tc>
        <w:tc>
          <w:tcPr>
            <w:tcW w:w="800" w:type="dxa"/>
            <w:noWrap/>
          </w:tcPr>
          <w:p w14:paraId="329AC9CB" w14:textId="77777777" w:rsidR="0015675E" w:rsidRPr="00797896" w:rsidRDefault="0015675E" w:rsidP="0015675E">
            <w:pPr>
              <w:pStyle w:val="Table"/>
              <w:ind w:right="-3"/>
            </w:pPr>
            <w:r w:rsidRPr="00797896">
              <w:t>3.6</w:t>
            </w:r>
          </w:p>
        </w:tc>
        <w:tc>
          <w:tcPr>
            <w:tcW w:w="801" w:type="dxa"/>
            <w:noWrap/>
          </w:tcPr>
          <w:p w14:paraId="773C524D" w14:textId="77777777" w:rsidR="0015675E" w:rsidRPr="00797896" w:rsidRDefault="0015675E" w:rsidP="0015675E">
            <w:pPr>
              <w:pStyle w:val="Table"/>
              <w:ind w:right="-3"/>
            </w:pPr>
            <w:r w:rsidRPr="00797896">
              <w:t>23.2</w:t>
            </w:r>
          </w:p>
        </w:tc>
      </w:tr>
    </w:tbl>
    <w:p w14:paraId="66C3F8DA" w14:textId="77777777" w:rsidR="005D7ABA" w:rsidRDefault="0038099B" w:rsidP="0038099B">
      <w:pPr>
        <w:pStyle w:val="Note"/>
        <w:ind w:right="-3"/>
      </w:pPr>
      <w:r w:rsidRPr="00533847">
        <w:t>1: Entered High Level Care; 2: Entered Low Level Care</w:t>
      </w:r>
    </w:p>
    <w:p w14:paraId="17EE05E1" w14:textId="0E40CB4D" w:rsidR="0015675E" w:rsidRDefault="0015675E" w:rsidP="00CA0D72">
      <w:pPr>
        <w:ind w:right="-3"/>
      </w:pPr>
    </w:p>
    <w:p w14:paraId="6E40EDDB" w14:textId="77777777" w:rsidR="0015675E" w:rsidRDefault="0015675E" w:rsidP="00CA0D72">
      <w:pPr>
        <w:ind w:right="-3"/>
        <w:sectPr w:rsidR="0015675E" w:rsidSect="0015675E">
          <w:pgSz w:w="17340" w:h="11904" w:orient="landscape"/>
          <w:pgMar w:top="1276" w:right="1134" w:bottom="1272" w:left="1134" w:header="720" w:footer="720" w:gutter="0"/>
          <w:cols w:space="720"/>
          <w:noEndnote/>
          <w:docGrid w:linePitch="326"/>
        </w:sectPr>
      </w:pPr>
    </w:p>
    <w:p w14:paraId="22AFCF6B" w14:textId="77777777" w:rsidR="005D7ABA" w:rsidRDefault="00533847" w:rsidP="00CA0D72">
      <w:pPr>
        <w:ind w:right="-3"/>
      </w:pPr>
      <w:r w:rsidRPr="00533847">
        <w:lastRenderedPageBreak/>
        <w:t>As demonstrated in the Models of Transition Care Report (National Evaluation of the Transition Care Program 2007a), 22% of the TC recipients overall were discharged to low level or high level care.  The discharge to residential aged care was highest in Victoria (49%), with South Australia (22%) and Western Australia (27%) also having relatively high discharge to residential aged care, in keeping with the proportion of places that operated only in a residential setting in these states.  The TCP administrative data also demonstrated that overall 16% of the TC recipients were discharged to the community with no support, while 19% were discharged with HACC services, 9% with CACP services, and 1% with an Extended Aged Care at Home (EACH) package.</w:t>
      </w:r>
    </w:p>
    <w:p w14:paraId="329F4BE0" w14:textId="77777777" w:rsidR="005D7ABA" w:rsidRDefault="00533847" w:rsidP="00CA0D72">
      <w:pPr>
        <w:ind w:right="-3"/>
      </w:pPr>
      <w:r w:rsidRPr="00533847">
        <w:t>The telephone interview component of the National Evaluation (National Evaluation of the Transition Care Program 2007b) showed that 47% of the interviewed sample accessed community services prior to receiving TC. Of those who were living in the community at the time of the follow-up interview, 55% were accessing community services at follow-up.  Assistance with meals and personal care were the most commonly accessed community services.  Recipients also had great difficulty in distinguishing the source of the services they received, and mixtures of providers such as local councils, HACC services, and services accessed through Department of Veteran's Affairs were all reported.</w:t>
      </w:r>
    </w:p>
    <w:p w14:paraId="29EF1810" w14:textId="77777777" w:rsidR="005D7ABA" w:rsidRDefault="00533847" w:rsidP="00CA0D72">
      <w:pPr>
        <w:pStyle w:val="Heading2"/>
        <w:ind w:right="-3"/>
      </w:pPr>
      <w:bookmarkStart w:id="83" w:name="_Toc402348929"/>
      <w:r w:rsidRPr="00533847">
        <w:t>5.5. Impact on Aged Care Assessment Processes</w:t>
      </w:r>
      <w:bookmarkEnd w:id="83"/>
    </w:p>
    <w:p w14:paraId="0BDD7A75" w14:textId="77777777" w:rsidR="005D7ABA" w:rsidRDefault="00533847" w:rsidP="00CA0D72">
      <w:pPr>
        <w:ind w:right="-3"/>
      </w:pPr>
      <w:r w:rsidRPr="00533847">
        <w:t>As noted in the Models of Transition Care Report (National Evaluation of the Transition Care Program 2007a), there were 6,716 persons admitted to TC in the 2006/07 year.  The location of the ACAT assessment was classified as 'Acute care setting' in 63% of assessments, 'Other hospital inpatient setting' for 30% of assessments, 'Residential aged care service' for 0.7% of assessments, 'Other location' for 6% of assessments or 'Unknown' for 0.7% of assessments.  Thus while the TCP guidelines stipulate that people assessed for TC must have the assessment in a hospital or other acute care setting, assessments are occurring outside of this environment.</w:t>
      </w:r>
    </w:p>
    <w:p w14:paraId="4B4E4EB6" w14:textId="77777777" w:rsidR="005D7ABA" w:rsidRDefault="00533847" w:rsidP="00CA0D72">
      <w:pPr>
        <w:ind w:right="-3"/>
      </w:pPr>
      <w:r w:rsidRPr="00533847">
        <w:t>Based on the data linkage component of the evaluation, the median length of time to enter TC following ACAT approval was 4 days (IQR 1-8 days), as shown in Table 5.9.  NSW and the ACT appeared to have the fastest entry to TC, while recipients of TC in SA and WA faced the longest wait from approval to entry to TC.  This may be partly explained by the occupancy rates at a jurisdictional level.  As shown in Figure 5.4, the occupancy over the 2006/07 year varied considerably between jurisdictions, and ranged from minima of 46% in Queensland and 51% in Tasmania to a high of 84% in South Australia.  However, the ACT and New South Wales had fairly high occupancy rates, at 75% and 71% respectively.  Thus the length of time to enter TC following ACAT approval was affected by other factors aside from o</w:t>
      </w:r>
      <w:r w:rsidR="006F0F97">
        <w:t>ccupancy rates in TC services.</w:t>
      </w:r>
    </w:p>
    <w:p w14:paraId="0E864C83" w14:textId="4AAF8A02" w:rsidR="00533847" w:rsidRDefault="00533847" w:rsidP="0038099B">
      <w:pPr>
        <w:pStyle w:val="Heading3"/>
      </w:pPr>
      <w:bookmarkStart w:id="84" w:name="_Toc402348930"/>
      <w:r w:rsidRPr="006F0F97">
        <w:t>Table 5.9: Days from Aged Care Assessment Team approval to hospital separatio</w:t>
      </w:r>
      <w:r w:rsidR="00C2421C">
        <w:t>n and Transition Care admission</w:t>
      </w:r>
      <w:bookmarkEnd w:id="84"/>
    </w:p>
    <w:p w14:paraId="6B5BB851" w14:textId="38BAED78" w:rsidR="00C2421C" w:rsidRPr="00C2421C" w:rsidRDefault="00C2421C" w:rsidP="00C2421C">
      <w:r>
        <w:t>Days from ACAT Approval to:</w:t>
      </w:r>
    </w:p>
    <w:tbl>
      <w:tblPr>
        <w:tblStyle w:val="TableGrid"/>
        <w:tblW w:w="9322" w:type="dxa"/>
        <w:tblLayout w:type="fixed"/>
        <w:tblLook w:val="0000" w:firstRow="0" w:lastRow="0" w:firstColumn="0" w:lastColumn="0" w:noHBand="0" w:noVBand="0"/>
        <w:tblDescription w:val="Table 5.9: Days from Aged Care Assessment Team approval to hospital separation and Transition Care admission"/>
      </w:tblPr>
      <w:tblGrid>
        <w:gridCol w:w="2376"/>
        <w:gridCol w:w="1352"/>
        <w:gridCol w:w="1865"/>
        <w:gridCol w:w="1864"/>
        <w:gridCol w:w="1865"/>
      </w:tblGrid>
      <w:tr w:rsidR="00C2421C" w:rsidRPr="0045283F" w14:paraId="3F44EB53" w14:textId="77777777" w:rsidTr="00C2421C">
        <w:trPr>
          <w:trHeight w:val="315"/>
          <w:tblHeader/>
        </w:trPr>
        <w:tc>
          <w:tcPr>
            <w:tcW w:w="2376" w:type="dxa"/>
            <w:noWrap/>
          </w:tcPr>
          <w:p w14:paraId="289CF686" w14:textId="4D980BA3" w:rsidR="00C2421C" w:rsidRPr="00C2421C" w:rsidRDefault="00C2421C" w:rsidP="00CA0D72">
            <w:pPr>
              <w:pStyle w:val="Table"/>
              <w:ind w:right="-3"/>
              <w:rPr>
                <w:b/>
              </w:rPr>
            </w:pPr>
            <w:r w:rsidRPr="00C2421C">
              <w:rPr>
                <w:b/>
              </w:rPr>
              <w:t>State / Territory</w:t>
            </w:r>
          </w:p>
        </w:tc>
        <w:tc>
          <w:tcPr>
            <w:tcW w:w="1352" w:type="dxa"/>
            <w:noWrap/>
          </w:tcPr>
          <w:p w14:paraId="28AA2FE6" w14:textId="63DAD625" w:rsidR="00C2421C" w:rsidRPr="00C2421C" w:rsidRDefault="00C2421C" w:rsidP="00CA0D72">
            <w:pPr>
              <w:pStyle w:val="Table"/>
              <w:ind w:right="-3"/>
              <w:rPr>
                <w:b/>
                <w:bCs/>
              </w:rPr>
            </w:pPr>
            <w:r w:rsidRPr="00C2421C">
              <w:rPr>
                <w:b/>
                <w:bCs/>
              </w:rPr>
              <w:t>Hospital Separation - median</w:t>
            </w:r>
          </w:p>
        </w:tc>
        <w:tc>
          <w:tcPr>
            <w:tcW w:w="1865" w:type="dxa"/>
            <w:noWrap/>
          </w:tcPr>
          <w:p w14:paraId="23FC4D65" w14:textId="2BDD9CB6" w:rsidR="00C2421C" w:rsidRPr="00C2421C" w:rsidRDefault="00C2421C" w:rsidP="00CA0D72">
            <w:pPr>
              <w:pStyle w:val="Table"/>
              <w:ind w:right="-3"/>
              <w:rPr>
                <w:b/>
                <w:bCs/>
              </w:rPr>
            </w:pPr>
            <w:r w:rsidRPr="00C2421C">
              <w:rPr>
                <w:b/>
                <w:bCs/>
              </w:rPr>
              <w:t>Hospital Separation - IQR</w:t>
            </w:r>
          </w:p>
        </w:tc>
        <w:tc>
          <w:tcPr>
            <w:tcW w:w="1864" w:type="dxa"/>
            <w:noWrap/>
          </w:tcPr>
          <w:p w14:paraId="2131D012" w14:textId="3D9E39B4" w:rsidR="00C2421C" w:rsidRPr="00C2421C" w:rsidRDefault="00C2421C" w:rsidP="00CA0D72">
            <w:pPr>
              <w:pStyle w:val="Table"/>
              <w:ind w:right="-3"/>
              <w:rPr>
                <w:b/>
                <w:bCs/>
              </w:rPr>
            </w:pPr>
            <w:r w:rsidRPr="00C2421C">
              <w:rPr>
                <w:b/>
                <w:bCs/>
              </w:rPr>
              <w:t>Transition Care Admission: median</w:t>
            </w:r>
          </w:p>
        </w:tc>
        <w:tc>
          <w:tcPr>
            <w:tcW w:w="1865" w:type="dxa"/>
            <w:noWrap/>
          </w:tcPr>
          <w:p w14:paraId="0F07F4BF" w14:textId="465A6048" w:rsidR="00C2421C" w:rsidRPr="00C2421C" w:rsidRDefault="00C2421C" w:rsidP="00CA0D72">
            <w:pPr>
              <w:pStyle w:val="Table"/>
              <w:ind w:right="-3"/>
              <w:rPr>
                <w:b/>
                <w:bCs/>
              </w:rPr>
            </w:pPr>
            <w:r w:rsidRPr="00C2421C">
              <w:rPr>
                <w:b/>
                <w:bCs/>
              </w:rPr>
              <w:t>Transition Care Admission: IQR</w:t>
            </w:r>
          </w:p>
        </w:tc>
      </w:tr>
      <w:tr w:rsidR="00C2421C" w:rsidRPr="0045283F" w14:paraId="7ED89A73" w14:textId="77777777" w:rsidTr="00C2421C">
        <w:trPr>
          <w:trHeight w:val="315"/>
        </w:trPr>
        <w:tc>
          <w:tcPr>
            <w:tcW w:w="2376" w:type="dxa"/>
            <w:noWrap/>
          </w:tcPr>
          <w:p w14:paraId="16C2D63C" w14:textId="20AF353A" w:rsidR="00C2421C" w:rsidRPr="0045283F" w:rsidRDefault="00C2421C" w:rsidP="00CA0D72">
            <w:pPr>
              <w:pStyle w:val="Table"/>
              <w:ind w:right="-3"/>
            </w:pPr>
            <w:r>
              <w:t>ACT Community</w:t>
            </w:r>
          </w:p>
        </w:tc>
        <w:tc>
          <w:tcPr>
            <w:tcW w:w="1352" w:type="dxa"/>
            <w:noWrap/>
          </w:tcPr>
          <w:p w14:paraId="4BA176B1" w14:textId="77777777" w:rsidR="00C2421C" w:rsidRPr="0045283F" w:rsidRDefault="00C2421C" w:rsidP="00CA0D72">
            <w:pPr>
              <w:pStyle w:val="Table"/>
              <w:ind w:right="-3"/>
            </w:pPr>
            <w:r>
              <w:t>1</w:t>
            </w:r>
          </w:p>
        </w:tc>
        <w:tc>
          <w:tcPr>
            <w:tcW w:w="1865" w:type="dxa"/>
            <w:noWrap/>
          </w:tcPr>
          <w:p w14:paraId="0C53354D" w14:textId="77777777" w:rsidR="00C2421C" w:rsidRPr="0045283F" w:rsidRDefault="00C2421C" w:rsidP="00CA0D72">
            <w:pPr>
              <w:pStyle w:val="Table"/>
              <w:ind w:right="-3"/>
            </w:pPr>
            <w:r>
              <w:t>(0 – 6.0)</w:t>
            </w:r>
          </w:p>
        </w:tc>
        <w:tc>
          <w:tcPr>
            <w:tcW w:w="1864" w:type="dxa"/>
            <w:noWrap/>
          </w:tcPr>
          <w:p w14:paraId="6F308C02" w14:textId="77777777" w:rsidR="00C2421C" w:rsidRPr="0045283F" w:rsidRDefault="00C2421C" w:rsidP="00CA0D72">
            <w:pPr>
              <w:pStyle w:val="Table"/>
              <w:ind w:right="-3"/>
            </w:pPr>
            <w:r>
              <w:t>3.5</w:t>
            </w:r>
          </w:p>
        </w:tc>
        <w:tc>
          <w:tcPr>
            <w:tcW w:w="1865" w:type="dxa"/>
            <w:noWrap/>
          </w:tcPr>
          <w:p w14:paraId="34781C0B" w14:textId="77777777" w:rsidR="00C2421C" w:rsidRPr="0045283F" w:rsidRDefault="00C2421C" w:rsidP="00CA0D72">
            <w:pPr>
              <w:pStyle w:val="Table"/>
              <w:ind w:right="-3"/>
            </w:pPr>
            <w:r>
              <w:t>(2.0 – 9.0)</w:t>
            </w:r>
          </w:p>
        </w:tc>
      </w:tr>
      <w:tr w:rsidR="00C2421C" w:rsidRPr="0045283F" w14:paraId="498899E0" w14:textId="77777777" w:rsidTr="00C2421C">
        <w:trPr>
          <w:trHeight w:val="315"/>
        </w:trPr>
        <w:tc>
          <w:tcPr>
            <w:tcW w:w="2376" w:type="dxa"/>
            <w:noWrap/>
          </w:tcPr>
          <w:p w14:paraId="57AA7F43" w14:textId="2FB56369" w:rsidR="00C2421C" w:rsidRPr="0045283F" w:rsidRDefault="00C2421C" w:rsidP="00CA0D72">
            <w:pPr>
              <w:pStyle w:val="Table"/>
              <w:ind w:right="-3"/>
            </w:pPr>
            <w:r>
              <w:t>ACT Residential</w:t>
            </w:r>
          </w:p>
        </w:tc>
        <w:tc>
          <w:tcPr>
            <w:tcW w:w="1352" w:type="dxa"/>
            <w:noWrap/>
          </w:tcPr>
          <w:p w14:paraId="42E117BD" w14:textId="77777777" w:rsidR="00C2421C" w:rsidRPr="0045283F" w:rsidRDefault="00C2421C" w:rsidP="00CA0D72">
            <w:pPr>
              <w:pStyle w:val="Table"/>
              <w:ind w:right="-3"/>
            </w:pPr>
            <w:r>
              <w:t>1</w:t>
            </w:r>
          </w:p>
        </w:tc>
        <w:tc>
          <w:tcPr>
            <w:tcW w:w="1865" w:type="dxa"/>
            <w:noWrap/>
          </w:tcPr>
          <w:p w14:paraId="505884CD" w14:textId="77777777" w:rsidR="00C2421C" w:rsidRPr="0045283F" w:rsidRDefault="00C2421C" w:rsidP="00CA0D72">
            <w:pPr>
              <w:pStyle w:val="Table"/>
              <w:ind w:right="-3"/>
            </w:pPr>
            <w:r>
              <w:t>(0 – 5.0)</w:t>
            </w:r>
          </w:p>
        </w:tc>
        <w:tc>
          <w:tcPr>
            <w:tcW w:w="1864" w:type="dxa"/>
            <w:noWrap/>
          </w:tcPr>
          <w:p w14:paraId="6EEB8FD3" w14:textId="77777777" w:rsidR="00C2421C" w:rsidRPr="0045283F" w:rsidRDefault="00C2421C" w:rsidP="00CA0D72">
            <w:pPr>
              <w:pStyle w:val="Table"/>
              <w:ind w:right="-3"/>
            </w:pPr>
            <w:r>
              <w:t>2</w:t>
            </w:r>
          </w:p>
        </w:tc>
        <w:tc>
          <w:tcPr>
            <w:tcW w:w="1865" w:type="dxa"/>
            <w:noWrap/>
          </w:tcPr>
          <w:p w14:paraId="5DF98C4F" w14:textId="77777777" w:rsidR="00C2421C" w:rsidRPr="0045283F" w:rsidRDefault="00C2421C" w:rsidP="00CA0D72">
            <w:pPr>
              <w:pStyle w:val="Table"/>
              <w:ind w:right="-3"/>
            </w:pPr>
            <w:r>
              <w:t>(1.0 – 5.0)</w:t>
            </w:r>
          </w:p>
        </w:tc>
      </w:tr>
      <w:tr w:rsidR="00C2421C" w:rsidRPr="0045283F" w14:paraId="1568870B" w14:textId="77777777" w:rsidTr="00C2421C">
        <w:trPr>
          <w:trHeight w:val="315"/>
        </w:trPr>
        <w:tc>
          <w:tcPr>
            <w:tcW w:w="2376" w:type="dxa"/>
            <w:noWrap/>
          </w:tcPr>
          <w:p w14:paraId="1BB867C4" w14:textId="6B1E204B" w:rsidR="00C2421C" w:rsidRPr="0045283F" w:rsidRDefault="00C2421C" w:rsidP="00CA0D72">
            <w:pPr>
              <w:pStyle w:val="Table"/>
              <w:ind w:right="-3"/>
            </w:pPr>
            <w:r>
              <w:t>ACT Combination</w:t>
            </w:r>
          </w:p>
        </w:tc>
        <w:tc>
          <w:tcPr>
            <w:tcW w:w="1352" w:type="dxa"/>
            <w:noWrap/>
          </w:tcPr>
          <w:p w14:paraId="0C718E64" w14:textId="77777777" w:rsidR="00C2421C" w:rsidRPr="0045283F" w:rsidRDefault="00C2421C" w:rsidP="00CA0D72">
            <w:pPr>
              <w:pStyle w:val="Table"/>
              <w:ind w:right="-3"/>
            </w:pPr>
            <w:r>
              <w:t>3</w:t>
            </w:r>
          </w:p>
        </w:tc>
        <w:tc>
          <w:tcPr>
            <w:tcW w:w="1865" w:type="dxa"/>
            <w:noWrap/>
          </w:tcPr>
          <w:p w14:paraId="7B70510A" w14:textId="77777777" w:rsidR="00C2421C" w:rsidRPr="0045283F" w:rsidRDefault="00C2421C" w:rsidP="00CA0D72">
            <w:pPr>
              <w:pStyle w:val="Table"/>
              <w:ind w:right="-3"/>
            </w:pPr>
            <w:r>
              <w:t>(1.0 – 8.0)</w:t>
            </w:r>
          </w:p>
        </w:tc>
        <w:tc>
          <w:tcPr>
            <w:tcW w:w="1864" w:type="dxa"/>
            <w:noWrap/>
          </w:tcPr>
          <w:p w14:paraId="1EE1EE1C" w14:textId="77777777" w:rsidR="00C2421C" w:rsidRPr="0045283F" w:rsidRDefault="00C2421C" w:rsidP="00CA0D72">
            <w:pPr>
              <w:pStyle w:val="Table"/>
              <w:ind w:right="-3"/>
            </w:pPr>
            <w:r>
              <w:t>3.5</w:t>
            </w:r>
          </w:p>
        </w:tc>
        <w:tc>
          <w:tcPr>
            <w:tcW w:w="1865" w:type="dxa"/>
            <w:noWrap/>
          </w:tcPr>
          <w:p w14:paraId="5C787D37" w14:textId="77777777" w:rsidR="00C2421C" w:rsidRPr="0045283F" w:rsidRDefault="00C2421C" w:rsidP="00CA0D72">
            <w:pPr>
              <w:pStyle w:val="Table"/>
              <w:ind w:right="-3"/>
            </w:pPr>
            <w:r>
              <w:t>(2.0 – 9.5)</w:t>
            </w:r>
          </w:p>
        </w:tc>
      </w:tr>
      <w:tr w:rsidR="00C2421C" w:rsidRPr="0045283F" w14:paraId="3C5B7D1F" w14:textId="77777777" w:rsidTr="00C2421C">
        <w:trPr>
          <w:trHeight w:val="315"/>
        </w:trPr>
        <w:tc>
          <w:tcPr>
            <w:tcW w:w="2376" w:type="dxa"/>
            <w:noWrap/>
          </w:tcPr>
          <w:p w14:paraId="437F10AF" w14:textId="5748B21E" w:rsidR="00C2421C" w:rsidRPr="0045283F" w:rsidRDefault="00C2421C" w:rsidP="00CA0D72">
            <w:pPr>
              <w:pStyle w:val="Table"/>
              <w:ind w:right="-3"/>
            </w:pPr>
            <w:r>
              <w:t>NSW Community</w:t>
            </w:r>
          </w:p>
        </w:tc>
        <w:tc>
          <w:tcPr>
            <w:tcW w:w="1352" w:type="dxa"/>
            <w:noWrap/>
          </w:tcPr>
          <w:p w14:paraId="7CAFD087" w14:textId="77777777" w:rsidR="00C2421C" w:rsidRPr="0045283F" w:rsidRDefault="00C2421C" w:rsidP="00CA0D72">
            <w:pPr>
              <w:pStyle w:val="Table"/>
              <w:ind w:right="-3"/>
            </w:pPr>
            <w:r>
              <w:t>2.5</w:t>
            </w:r>
          </w:p>
        </w:tc>
        <w:tc>
          <w:tcPr>
            <w:tcW w:w="1865" w:type="dxa"/>
            <w:noWrap/>
          </w:tcPr>
          <w:p w14:paraId="7FDFCBC4" w14:textId="77777777" w:rsidR="00C2421C" w:rsidRPr="0045283F" w:rsidRDefault="00C2421C" w:rsidP="00CA0D72">
            <w:pPr>
              <w:pStyle w:val="Table"/>
              <w:ind w:right="-3"/>
            </w:pPr>
            <w:r>
              <w:t>(1.0 – 5.0)</w:t>
            </w:r>
          </w:p>
        </w:tc>
        <w:tc>
          <w:tcPr>
            <w:tcW w:w="1864" w:type="dxa"/>
            <w:noWrap/>
          </w:tcPr>
          <w:p w14:paraId="479920A7" w14:textId="77777777" w:rsidR="00C2421C" w:rsidRPr="0045283F" w:rsidRDefault="00C2421C" w:rsidP="00CA0D72">
            <w:pPr>
              <w:pStyle w:val="Table"/>
              <w:ind w:right="-3"/>
            </w:pPr>
            <w:r>
              <w:t>3</w:t>
            </w:r>
          </w:p>
        </w:tc>
        <w:tc>
          <w:tcPr>
            <w:tcW w:w="1865" w:type="dxa"/>
            <w:noWrap/>
          </w:tcPr>
          <w:p w14:paraId="588689A6" w14:textId="77777777" w:rsidR="00C2421C" w:rsidRPr="0045283F" w:rsidRDefault="00C2421C" w:rsidP="00CA0D72">
            <w:pPr>
              <w:pStyle w:val="Table"/>
              <w:ind w:right="-3"/>
            </w:pPr>
            <w:r>
              <w:t>(1.0 – 7.0)</w:t>
            </w:r>
          </w:p>
        </w:tc>
      </w:tr>
      <w:tr w:rsidR="00C2421C" w:rsidRPr="0045283F" w14:paraId="1E89A964" w14:textId="77777777" w:rsidTr="00C2421C">
        <w:trPr>
          <w:trHeight w:val="315"/>
        </w:trPr>
        <w:tc>
          <w:tcPr>
            <w:tcW w:w="2376" w:type="dxa"/>
            <w:noWrap/>
          </w:tcPr>
          <w:p w14:paraId="3AB786E1" w14:textId="06CFC9A5" w:rsidR="00C2421C" w:rsidRPr="0045283F" w:rsidRDefault="00C2421C" w:rsidP="00CA0D72">
            <w:pPr>
              <w:pStyle w:val="Table"/>
              <w:ind w:right="-3"/>
            </w:pPr>
            <w:r>
              <w:t>NSW Residential</w:t>
            </w:r>
          </w:p>
        </w:tc>
        <w:tc>
          <w:tcPr>
            <w:tcW w:w="1352" w:type="dxa"/>
            <w:noWrap/>
          </w:tcPr>
          <w:p w14:paraId="2DBE29D9" w14:textId="77777777" w:rsidR="00C2421C" w:rsidRPr="0045283F" w:rsidRDefault="00C2421C" w:rsidP="00CA0D72">
            <w:pPr>
              <w:pStyle w:val="Table"/>
              <w:ind w:right="-3"/>
            </w:pPr>
            <w:r>
              <w:t>1</w:t>
            </w:r>
          </w:p>
        </w:tc>
        <w:tc>
          <w:tcPr>
            <w:tcW w:w="1865" w:type="dxa"/>
            <w:noWrap/>
          </w:tcPr>
          <w:p w14:paraId="735847F0" w14:textId="77777777" w:rsidR="00C2421C" w:rsidRPr="0045283F" w:rsidRDefault="00C2421C" w:rsidP="00CA0D72">
            <w:pPr>
              <w:pStyle w:val="Table"/>
              <w:ind w:right="-3"/>
            </w:pPr>
            <w:r>
              <w:t>(0 – 2.0)</w:t>
            </w:r>
          </w:p>
        </w:tc>
        <w:tc>
          <w:tcPr>
            <w:tcW w:w="1864" w:type="dxa"/>
            <w:noWrap/>
          </w:tcPr>
          <w:p w14:paraId="1CCCC7CA" w14:textId="77777777" w:rsidR="00C2421C" w:rsidRPr="0045283F" w:rsidRDefault="00C2421C" w:rsidP="00CA0D72">
            <w:pPr>
              <w:pStyle w:val="Table"/>
              <w:ind w:right="-3"/>
            </w:pPr>
            <w:r>
              <w:t>1</w:t>
            </w:r>
          </w:p>
        </w:tc>
        <w:tc>
          <w:tcPr>
            <w:tcW w:w="1865" w:type="dxa"/>
            <w:noWrap/>
          </w:tcPr>
          <w:p w14:paraId="77193EC3" w14:textId="77777777" w:rsidR="00C2421C" w:rsidRPr="0045283F" w:rsidRDefault="00C2421C" w:rsidP="00CA0D72">
            <w:pPr>
              <w:pStyle w:val="Table"/>
              <w:ind w:right="-3"/>
            </w:pPr>
            <w:r>
              <w:t>(0 – 3.0)</w:t>
            </w:r>
          </w:p>
        </w:tc>
      </w:tr>
      <w:tr w:rsidR="00C2421C" w:rsidRPr="0045283F" w14:paraId="6901E766" w14:textId="77777777" w:rsidTr="00C2421C">
        <w:trPr>
          <w:trHeight w:val="315"/>
        </w:trPr>
        <w:tc>
          <w:tcPr>
            <w:tcW w:w="2376" w:type="dxa"/>
            <w:noWrap/>
          </w:tcPr>
          <w:p w14:paraId="44BE211C" w14:textId="3C4811BC" w:rsidR="00C2421C" w:rsidRPr="0045283F" w:rsidRDefault="00C2421C" w:rsidP="00CA0D72">
            <w:pPr>
              <w:pStyle w:val="Table"/>
              <w:ind w:right="-3"/>
            </w:pPr>
            <w:r>
              <w:t>NSW Combination</w:t>
            </w:r>
          </w:p>
        </w:tc>
        <w:tc>
          <w:tcPr>
            <w:tcW w:w="1352" w:type="dxa"/>
            <w:noWrap/>
          </w:tcPr>
          <w:p w14:paraId="4D090437" w14:textId="77777777" w:rsidR="00C2421C" w:rsidRPr="0045283F" w:rsidRDefault="00C2421C" w:rsidP="00CA0D72">
            <w:pPr>
              <w:pStyle w:val="Table"/>
              <w:ind w:right="-3"/>
            </w:pPr>
            <w:r>
              <w:t>0.5</w:t>
            </w:r>
          </w:p>
        </w:tc>
        <w:tc>
          <w:tcPr>
            <w:tcW w:w="1865" w:type="dxa"/>
            <w:noWrap/>
          </w:tcPr>
          <w:p w14:paraId="6DF39209" w14:textId="77777777" w:rsidR="00C2421C" w:rsidRPr="0045283F" w:rsidRDefault="00C2421C" w:rsidP="00CA0D72">
            <w:pPr>
              <w:pStyle w:val="Table"/>
              <w:ind w:right="-3"/>
            </w:pPr>
            <w:r>
              <w:t>(0 – 3.5)</w:t>
            </w:r>
          </w:p>
        </w:tc>
        <w:tc>
          <w:tcPr>
            <w:tcW w:w="1864" w:type="dxa"/>
            <w:noWrap/>
          </w:tcPr>
          <w:p w14:paraId="34365E3A" w14:textId="77777777" w:rsidR="00C2421C" w:rsidRPr="0045283F" w:rsidRDefault="00C2421C" w:rsidP="00CA0D72">
            <w:pPr>
              <w:pStyle w:val="Table"/>
              <w:ind w:right="-3"/>
            </w:pPr>
            <w:r>
              <w:t>2</w:t>
            </w:r>
          </w:p>
        </w:tc>
        <w:tc>
          <w:tcPr>
            <w:tcW w:w="1865" w:type="dxa"/>
            <w:noWrap/>
          </w:tcPr>
          <w:p w14:paraId="24C9B3C2" w14:textId="77777777" w:rsidR="00C2421C" w:rsidRPr="0045283F" w:rsidRDefault="00C2421C" w:rsidP="00CA0D72">
            <w:pPr>
              <w:pStyle w:val="Table"/>
              <w:ind w:right="-3"/>
            </w:pPr>
            <w:r>
              <w:t>(1.0 – 4.0)</w:t>
            </w:r>
          </w:p>
        </w:tc>
      </w:tr>
      <w:tr w:rsidR="00C2421C" w:rsidRPr="0045283F" w14:paraId="13F2BB48" w14:textId="77777777" w:rsidTr="00C2421C">
        <w:trPr>
          <w:trHeight w:val="315"/>
        </w:trPr>
        <w:tc>
          <w:tcPr>
            <w:tcW w:w="2376" w:type="dxa"/>
            <w:noWrap/>
          </w:tcPr>
          <w:p w14:paraId="59B29FDB" w14:textId="16F2CD9C" w:rsidR="00C2421C" w:rsidRPr="0045283F" w:rsidRDefault="00C2421C" w:rsidP="00CA0D72">
            <w:pPr>
              <w:pStyle w:val="Table"/>
              <w:ind w:right="-3"/>
            </w:pPr>
            <w:r>
              <w:t>NT Residential</w:t>
            </w:r>
          </w:p>
        </w:tc>
        <w:tc>
          <w:tcPr>
            <w:tcW w:w="1352" w:type="dxa"/>
            <w:noWrap/>
          </w:tcPr>
          <w:p w14:paraId="34AB73F1" w14:textId="77777777" w:rsidR="00C2421C" w:rsidRPr="0045283F" w:rsidRDefault="00C2421C" w:rsidP="00CA0D72">
            <w:pPr>
              <w:pStyle w:val="Table"/>
              <w:ind w:right="-3"/>
            </w:pPr>
            <w:r>
              <w:t>2</w:t>
            </w:r>
          </w:p>
        </w:tc>
        <w:tc>
          <w:tcPr>
            <w:tcW w:w="1865" w:type="dxa"/>
            <w:noWrap/>
          </w:tcPr>
          <w:p w14:paraId="308BC728" w14:textId="77777777" w:rsidR="00C2421C" w:rsidRPr="0045283F" w:rsidRDefault="00C2421C" w:rsidP="00CA0D72">
            <w:pPr>
              <w:pStyle w:val="Table"/>
              <w:ind w:right="-3"/>
            </w:pPr>
            <w:r>
              <w:t>(1.5 – 3.5)</w:t>
            </w:r>
          </w:p>
        </w:tc>
        <w:tc>
          <w:tcPr>
            <w:tcW w:w="1864" w:type="dxa"/>
            <w:noWrap/>
          </w:tcPr>
          <w:p w14:paraId="7D6424DE" w14:textId="77777777" w:rsidR="00C2421C" w:rsidRPr="0045283F" w:rsidRDefault="00C2421C" w:rsidP="00CA0D72">
            <w:pPr>
              <w:pStyle w:val="Table"/>
              <w:ind w:right="-3"/>
            </w:pPr>
            <w:r>
              <w:t>-</w:t>
            </w:r>
          </w:p>
        </w:tc>
        <w:tc>
          <w:tcPr>
            <w:tcW w:w="1865" w:type="dxa"/>
            <w:noWrap/>
          </w:tcPr>
          <w:p w14:paraId="05E7429A" w14:textId="77777777" w:rsidR="00C2421C" w:rsidRPr="0045283F" w:rsidRDefault="00C2421C" w:rsidP="00CA0D72">
            <w:pPr>
              <w:pStyle w:val="Table"/>
              <w:ind w:right="-3"/>
            </w:pPr>
            <w:r>
              <w:t>-</w:t>
            </w:r>
          </w:p>
        </w:tc>
      </w:tr>
      <w:tr w:rsidR="00C2421C" w:rsidRPr="0045283F" w14:paraId="5D84FB92" w14:textId="77777777" w:rsidTr="00C2421C">
        <w:trPr>
          <w:trHeight w:val="315"/>
        </w:trPr>
        <w:tc>
          <w:tcPr>
            <w:tcW w:w="2376" w:type="dxa"/>
            <w:noWrap/>
          </w:tcPr>
          <w:p w14:paraId="51413BA3" w14:textId="54A6426E" w:rsidR="00C2421C" w:rsidRPr="0045283F" w:rsidRDefault="00C2421C" w:rsidP="00CA0D72">
            <w:pPr>
              <w:pStyle w:val="Table"/>
              <w:ind w:right="-3"/>
            </w:pPr>
            <w:r>
              <w:lastRenderedPageBreak/>
              <w:t>QLD Community</w:t>
            </w:r>
          </w:p>
        </w:tc>
        <w:tc>
          <w:tcPr>
            <w:tcW w:w="1352" w:type="dxa"/>
            <w:noWrap/>
          </w:tcPr>
          <w:p w14:paraId="4E99B215" w14:textId="77777777" w:rsidR="00C2421C" w:rsidRPr="0045283F" w:rsidRDefault="00C2421C" w:rsidP="00CA0D72">
            <w:pPr>
              <w:pStyle w:val="Table"/>
              <w:ind w:right="-3"/>
            </w:pPr>
            <w:r>
              <w:t>3.5</w:t>
            </w:r>
          </w:p>
        </w:tc>
        <w:tc>
          <w:tcPr>
            <w:tcW w:w="1865" w:type="dxa"/>
            <w:noWrap/>
          </w:tcPr>
          <w:p w14:paraId="7951AF9C" w14:textId="77777777" w:rsidR="00C2421C" w:rsidRPr="0045283F" w:rsidRDefault="00C2421C" w:rsidP="00CA0D72">
            <w:pPr>
              <w:pStyle w:val="Table"/>
              <w:ind w:right="-3"/>
            </w:pPr>
            <w:r>
              <w:t>(1.5 – 6.0)</w:t>
            </w:r>
          </w:p>
        </w:tc>
        <w:tc>
          <w:tcPr>
            <w:tcW w:w="1864" w:type="dxa"/>
            <w:noWrap/>
          </w:tcPr>
          <w:p w14:paraId="4DCAE7A9" w14:textId="77777777" w:rsidR="00C2421C" w:rsidRPr="0045283F" w:rsidRDefault="00C2421C" w:rsidP="00CA0D72">
            <w:pPr>
              <w:pStyle w:val="Table"/>
              <w:ind w:right="-3"/>
            </w:pPr>
            <w:r>
              <w:t>4.5</w:t>
            </w:r>
          </w:p>
        </w:tc>
        <w:tc>
          <w:tcPr>
            <w:tcW w:w="1865" w:type="dxa"/>
            <w:noWrap/>
          </w:tcPr>
          <w:p w14:paraId="7C261F20" w14:textId="77777777" w:rsidR="00C2421C" w:rsidRPr="0045283F" w:rsidRDefault="00C2421C" w:rsidP="00CA0D72">
            <w:pPr>
              <w:pStyle w:val="Table"/>
              <w:ind w:right="-3"/>
            </w:pPr>
            <w:r>
              <w:t>(2.0 – 7.0)</w:t>
            </w:r>
          </w:p>
        </w:tc>
      </w:tr>
      <w:tr w:rsidR="00C2421C" w:rsidRPr="0045283F" w14:paraId="0A46D187" w14:textId="77777777" w:rsidTr="00C2421C">
        <w:trPr>
          <w:trHeight w:val="315"/>
        </w:trPr>
        <w:tc>
          <w:tcPr>
            <w:tcW w:w="2376" w:type="dxa"/>
            <w:noWrap/>
          </w:tcPr>
          <w:p w14:paraId="7EBB676C" w14:textId="6E26BB86" w:rsidR="00C2421C" w:rsidRPr="0045283F" w:rsidRDefault="00C2421C" w:rsidP="00CA0D72">
            <w:pPr>
              <w:pStyle w:val="Table"/>
              <w:ind w:right="-3"/>
            </w:pPr>
            <w:r>
              <w:t>SA Community</w:t>
            </w:r>
          </w:p>
        </w:tc>
        <w:tc>
          <w:tcPr>
            <w:tcW w:w="1352" w:type="dxa"/>
            <w:noWrap/>
          </w:tcPr>
          <w:p w14:paraId="767BA1A0" w14:textId="77777777" w:rsidR="00C2421C" w:rsidRPr="0045283F" w:rsidRDefault="00C2421C" w:rsidP="00CA0D72">
            <w:pPr>
              <w:pStyle w:val="Table"/>
              <w:ind w:right="-3"/>
            </w:pPr>
            <w:r>
              <w:t>7</w:t>
            </w:r>
          </w:p>
        </w:tc>
        <w:tc>
          <w:tcPr>
            <w:tcW w:w="1865" w:type="dxa"/>
            <w:noWrap/>
          </w:tcPr>
          <w:p w14:paraId="7FF48004" w14:textId="77777777" w:rsidR="00C2421C" w:rsidRPr="0045283F" w:rsidRDefault="00C2421C" w:rsidP="00CA0D72">
            <w:pPr>
              <w:pStyle w:val="Table"/>
              <w:ind w:right="-3"/>
            </w:pPr>
            <w:r>
              <w:t>(5.0 – 10.0)</w:t>
            </w:r>
          </w:p>
        </w:tc>
        <w:tc>
          <w:tcPr>
            <w:tcW w:w="1864" w:type="dxa"/>
            <w:noWrap/>
          </w:tcPr>
          <w:p w14:paraId="61E01442" w14:textId="77777777" w:rsidR="00C2421C" w:rsidRPr="0045283F" w:rsidRDefault="00C2421C" w:rsidP="00CA0D72">
            <w:pPr>
              <w:pStyle w:val="Table"/>
              <w:ind w:right="-3"/>
            </w:pPr>
            <w:r>
              <w:t>7</w:t>
            </w:r>
          </w:p>
        </w:tc>
        <w:tc>
          <w:tcPr>
            <w:tcW w:w="1865" w:type="dxa"/>
            <w:noWrap/>
          </w:tcPr>
          <w:p w14:paraId="6C761D16" w14:textId="77777777" w:rsidR="00C2421C" w:rsidRPr="0045283F" w:rsidRDefault="00C2421C" w:rsidP="00CA0D72">
            <w:pPr>
              <w:pStyle w:val="Table"/>
              <w:ind w:right="-3"/>
            </w:pPr>
            <w:r>
              <w:t>(5.0 – 12.0)</w:t>
            </w:r>
          </w:p>
        </w:tc>
      </w:tr>
      <w:tr w:rsidR="00C2421C" w:rsidRPr="0045283F" w14:paraId="4A89FF46" w14:textId="77777777" w:rsidTr="00C2421C">
        <w:trPr>
          <w:trHeight w:val="315"/>
        </w:trPr>
        <w:tc>
          <w:tcPr>
            <w:tcW w:w="2376" w:type="dxa"/>
            <w:noWrap/>
          </w:tcPr>
          <w:p w14:paraId="21AB967E" w14:textId="764CE1BF" w:rsidR="00C2421C" w:rsidRPr="0045283F" w:rsidRDefault="00C2421C" w:rsidP="00CA0D72">
            <w:pPr>
              <w:pStyle w:val="Table"/>
              <w:ind w:right="-3"/>
            </w:pPr>
            <w:r>
              <w:t>SA Residential</w:t>
            </w:r>
          </w:p>
        </w:tc>
        <w:tc>
          <w:tcPr>
            <w:tcW w:w="1352" w:type="dxa"/>
            <w:noWrap/>
          </w:tcPr>
          <w:p w14:paraId="4EB91BA4" w14:textId="77777777" w:rsidR="00C2421C" w:rsidRPr="0045283F" w:rsidRDefault="00C2421C" w:rsidP="00CA0D72">
            <w:pPr>
              <w:pStyle w:val="Table"/>
              <w:ind w:right="-3"/>
            </w:pPr>
            <w:r>
              <w:t>7</w:t>
            </w:r>
          </w:p>
        </w:tc>
        <w:tc>
          <w:tcPr>
            <w:tcW w:w="1865" w:type="dxa"/>
            <w:noWrap/>
          </w:tcPr>
          <w:p w14:paraId="2E664170" w14:textId="77777777" w:rsidR="00C2421C" w:rsidRPr="0045283F" w:rsidRDefault="00C2421C" w:rsidP="00CA0D72">
            <w:pPr>
              <w:pStyle w:val="Table"/>
              <w:ind w:right="-3"/>
            </w:pPr>
            <w:r>
              <w:t>(3.0 – 11.0)</w:t>
            </w:r>
          </w:p>
        </w:tc>
        <w:tc>
          <w:tcPr>
            <w:tcW w:w="1864" w:type="dxa"/>
            <w:noWrap/>
          </w:tcPr>
          <w:p w14:paraId="23E93DE1" w14:textId="77777777" w:rsidR="00C2421C" w:rsidRPr="0045283F" w:rsidRDefault="00C2421C" w:rsidP="00CA0D72">
            <w:pPr>
              <w:pStyle w:val="Table"/>
              <w:ind w:right="-3"/>
            </w:pPr>
            <w:r>
              <w:t>7</w:t>
            </w:r>
          </w:p>
        </w:tc>
        <w:tc>
          <w:tcPr>
            <w:tcW w:w="1865" w:type="dxa"/>
            <w:noWrap/>
          </w:tcPr>
          <w:p w14:paraId="45F7B28F" w14:textId="77777777" w:rsidR="00C2421C" w:rsidRPr="0045283F" w:rsidRDefault="00C2421C" w:rsidP="00CA0D72">
            <w:pPr>
              <w:pStyle w:val="Table"/>
              <w:ind w:right="-3"/>
            </w:pPr>
            <w:r>
              <w:t>(4.0 – 12.0)</w:t>
            </w:r>
          </w:p>
        </w:tc>
      </w:tr>
      <w:tr w:rsidR="00C2421C" w:rsidRPr="0045283F" w14:paraId="0EE3EF23" w14:textId="77777777" w:rsidTr="00C2421C">
        <w:trPr>
          <w:trHeight w:val="315"/>
        </w:trPr>
        <w:tc>
          <w:tcPr>
            <w:tcW w:w="2376" w:type="dxa"/>
            <w:noWrap/>
          </w:tcPr>
          <w:p w14:paraId="14DDFACC" w14:textId="278A1EBB" w:rsidR="00C2421C" w:rsidRPr="0045283F" w:rsidRDefault="00C2421C" w:rsidP="00CA0D72">
            <w:pPr>
              <w:pStyle w:val="Table"/>
              <w:ind w:right="-3"/>
            </w:pPr>
            <w:r>
              <w:t>SA Combination</w:t>
            </w:r>
          </w:p>
        </w:tc>
        <w:tc>
          <w:tcPr>
            <w:tcW w:w="1352" w:type="dxa"/>
            <w:noWrap/>
          </w:tcPr>
          <w:p w14:paraId="22EB290C" w14:textId="77777777" w:rsidR="00C2421C" w:rsidRPr="0045283F" w:rsidRDefault="00C2421C" w:rsidP="00CA0D72">
            <w:pPr>
              <w:pStyle w:val="Table"/>
              <w:ind w:right="-3"/>
            </w:pPr>
            <w:r>
              <w:t>5</w:t>
            </w:r>
          </w:p>
        </w:tc>
        <w:tc>
          <w:tcPr>
            <w:tcW w:w="1865" w:type="dxa"/>
            <w:noWrap/>
          </w:tcPr>
          <w:p w14:paraId="32926908" w14:textId="77777777" w:rsidR="00C2421C" w:rsidRPr="0045283F" w:rsidRDefault="00C2421C" w:rsidP="00CA0D72">
            <w:pPr>
              <w:pStyle w:val="Table"/>
              <w:ind w:right="-3"/>
            </w:pPr>
            <w:r>
              <w:t>(2.0 – 8.0)</w:t>
            </w:r>
          </w:p>
        </w:tc>
        <w:tc>
          <w:tcPr>
            <w:tcW w:w="1864" w:type="dxa"/>
            <w:noWrap/>
          </w:tcPr>
          <w:p w14:paraId="35D4302C" w14:textId="77777777" w:rsidR="00C2421C" w:rsidRPr="0045283F" w:rsidRDefault="00C2421C" w:rsidP="00CA0D72">
            <w:pPr>
              <w:pStyle w:val="Table"/>
              <w:ind w:right="-3"/>
            </w:pPr>
            <w:r>
              <w:t>5</w:t>
            </w:r>
          </w:p>
        </w:tc>
        <w:tc>
          <w:tcPr>
            <w:tcW w:w="1865" w:type="dxa"/>
            <w:noWrap/>
          </w:tcPr>
          <w:p w14:paraId="2848E0C7" w14:textId="77777777" w:rsidR="00C2421C" w:rsidRPr="0045283F" w:rsidRDefault="00C2421C" w:rsidP="00CA0D72">
            <w:pPr>
              <w:pStyle w:val="Table"/>
              <w:ind w:right="-3"/>
            </w:pPr>
            <w:r>
              <w:t>(2.0 – 9.0)</w:t>
            </w:r>
          </w:p>
        </w:tc>
      </w:tr>
      <w:tr w:rsidR="00C2421C" w:rsidRPr="0045283F" w14:paraId="7CB140F3" w14:textId="77777777" w:rsidTr="00C2421C">
        <w:trPr>
          <w:trHeight w:val="315"/>
        </w:trPr>
        <w:tc>
          <w:tcPr>
            <w:tcW w:w="2376" w:type="dxa"/>
            <w:noWrap/>
          </w:tcPr>
          <w:p w14:paraId="66C319E1" w14:textId="64E0CD5F" w:rsidR="00C2421C" w:rsidRPr="0045283F" w:rsidRDefault="00C2421C" w:rsidP="00CA0D72">
            <w:pPr>
              <w:pStyle w:val="Table"/>
              <w:ind w:right="-3"/>
            </w:pPr>
            <w:r>
              <w:t>TAS Community</w:t>
            </w:r>
          </w:p>
        </w:tc>
        <w:tc>
          <w:tcPr>
            <w:tcW w:w="1352" w:type="dxa"/>
            <w:noWrap/>
          </w:tcPr>
          <w:p w14:paraId="65C4C9CB" w14:textId="77777777" w:rsidR="00C2421C" w:rsidRPr="0045283F" w:rsidRDefault="00C2421C" w:rsidP="00CA0D72">
            <w:pPr>
              <w:pStyle w:val="Table"/>
              <w:ind w:right="-3"/>
            </w:pPr>
            <w:r>
              <w:t>5</w:t>
            </w:r>
          </w:p>
        </w:tc>
        <w:tc>
          <w:tcPr>
            <w:tcW w:w="1865" w:type="dxa"/>
            <w:noWrap/>
          </w:tcPr>
          <w:p w14:paraId="497E50A7" w14:textId="77777777" w:rsidR="00C2421C" w:rsidRPr="0045283F" w:rsidRDefault="00C2421C" w:rsidP="00CA0D72">
            <w:pPr>
              <w:pStyle w:val="Table"/>
              <w:ind w:right="-3"/>
            </w:pPr>
            <w:r>
              <w:t>(3.0 – 6.0)</w:t>
            </w:r>
          </w:p>
        </w:tc>
        <w:tc>
          <w:tcPr>
            <w:tcW w:w="1864" w:type="dxa"/>
            <w:noWrap/>
          </w:tcPr>
          <w:p w14:paraId="0DE903B1" w14:textId="77777777" w:rsidR="00C2421C" w:rsidRPr="0045283F" w:rsidRDefault="00C2421C" w:rsidP="00CA0D72">
            <w:pPr>
              <w:pStyle w:val="Table"/>
              <w:ind w:right="-3"/>
            </w:pPr>
            <w:r>
              <w:t>6</w:t>
            </w:r>
          </w:p>
        </w:tc>
        <w:tc>
          <w:tcPr>
            <w:tcW w:w="1865" w:type="dxa"/>
            <w:noWrap/>
          </w:tcPr>
          <w:p w14:paraId="3F3F5BCB" w14:textId="77777777" w:rsidR="00C2421C" w:rsidRPr="0045283F" w:rsidRDefault="00C2421C" w:rsidP="00CA0D72">
            <w:pPr>
              <w:pStyle w:val="Table"/>
              <w:ind w:right="-3"/>
            </w:pPr>
            <w:r>
              <w:t>(4.0 – 8.0)</w:t>
            </w:r>
          </w:p>
        </w:tc>
      </w:tr>
      <w:tr w:rsidR="00C2421C" w:rsidRPr="0045283F" w14:paraId="4C8B6DDC" w14:textId="77777777" w:rsidTr="00C2421C">
        <w:trPr>
          <w:trHeight w:val="315"/>
        </w:trPr>
        <w:tc>
          <w:tcPr>
            <w:tcW w:w="2376" w:type="dxa"/>
            <w:noWrap/>
          </w:tcPr>
          <w:p w14:paraId="565C554B" w14:textId="18B8D9BD" w:rsidR="00C2421C" w:rsidRPr="0045283F" w:rsidRDefault="00C2421C" w:rsidP="00CA0D72">
            <w:pPr>
              <w:pStyle w:val="Table"/>
              <w:ind w:right="-3"/>
            </w:pPr>
            <w:r>
              <w:t>TAS Residential</w:t>
            </w:r>
          </w:p>
        </w:tc>
        <w:tc>
          <w:tcPr>
            <w:tcW w:w="1352" w:type="dxa"/>
            <w:noWrap/>
          </w:tcPr>
          <w:p w14:paraId="2F40FD68" w14:textId="77777777" w:rsidR="00C2421C" w:rsidRPr="0045283F" w:rsidRDefault="00C2421C" w:rsidP="00CA0D72">
            <w:pPr>
              <w:pStyle w:val="Table"/>
              <w:ind w:right="-3"/>
            </w:pPr>
            <w:r>
              <w:t>1</w:t>
            </w:r>
          </w:p>
        </w:tc>
        <w:tc>
          <w:tcPr>
            <w:tcW w:w="1865" w:type="dxa"/>
            <w:noWrap/>
          </w:tcPr>
          <w:p w14:paraId="6B464C7B" w14:textId="77777777" w:rsidR="00C2421C" w:rsidRPr="0045283F" w:rsidRDefault="00C2421C" w:rsidP="00CA0D72">
            <w:pPr>
              <w:pStyle w:val="Table"/>
              <w:ind w:right="-3"/>
            </w:pPr>
            <w:r>
              <w:t>(0.5 – 3.0)</w:t>
            </w:r>
          </w:p>
        </w:tc>
        <w:tc>
          <w:tcPr>
            <w:tcW w:w="1864" w:type="dxa"/>
            <w:noWrap/>
          </w:tcPr>
          <w:p w14:paraId="02F0F263" w14:textId="77777777" w:rsidR="00C2421C" w:rsidRPr="0045283F" w:rsidRDefault="00C2421C" w:rsidP="00CA0D72">
            <w:pPr>
              <w:pStyle w:val="Table"/>
              <w:ind w:right="-3"/>
            </w:pPr>
            <w:r>
              <w:t>1</w:t>
            </w:r>
          </w:p>
        </w:tc>
        <w:tc>
          <w:tcPr>
            <w:tcW w:w="1865" w:type="dxa"/>
            <w:noWrap/>
          </w:tcPr>
          <w:p w14:paraId="708F826C" w14:textId="77777777" w:rsidR="00C2421C" w:rsidRPr="0045283F" w:rsidRDefault="00C2421C" w:rsidP="00CA0D72">
            <w:pPr>
              <w:pStyle w:val="Table"/>
              <w:ind w:right="-3"/>
            </w:pPr>
            <w:r>
              <w:t>(1.0 – 3.0)</w:t>
            </w:r>
          </w:p>
        </w:tc>
      </w:tr>
      <w:tr w:rsidR="00C2421C" w:rsidRPr="0045283F" w14:paraId="3A53ED52" w14:textId="77777777" w:rsidTr="00C2421C">
        <w:trPr>
          <w:trHeight w:val="315"/>
        </w:trPr>
        <w:tc>
          <w:tcPr>
            <w:tcW w:w="2376" w:type="dxa"/>
            <w:noWrap/>
          </w:tcPr>
          <w:p w14:paraId="245C05CA" w14:textId="5BF1D452" w:rsidR="00C2421C" w:rsidRPr="0045283F" w:rsidRDefault="00C2421C" w:rsidP="00CA0D72">
            <w:pPr>
              <w:pStyle w:val="Table"/>
              <w:ind w:right="-3"/>
            </w:pPr>
            <w:r>
              <w:t>TAS Combination</w:t>
            </w:r>
          </w:p>
        </w:tc>
        <w:tc>
          <w:tcPr>
            <w:tcW w:w="1352" w:type="dxa"/>
            <w:noWrap/>
          </w:tcPr>
          <w:p w14:paraId="7956D94A" w14:textId="77777777" w:rsidR="00C2421C" w:rsidRPr="0045283F" w:rsidRDefault="00C2421C" w:rsidP="00CA0D72">
            <w:pPr>
              <w:pStyle w:val="Table"/>
              <w:ind w:right="-3"/>
            </w:pPr>
            <w:r>
              <w:t>2</w:t>
            </w:r>
          </w:p>
        </w:tc>
        <w:tc>
          <w:tcPr>
            <w:tcW w:w="1865" w:type="dxa"/>
            <w:noWrap/>
          </w:tcPr>
          <w:p w14:paraId="13DAF3F5" w14:textId="77777777" w:rsidR="00C2421C" w:rsidRPr="0045283F" w:rsidRDefault="00C2421C" w:rsidP="00CA0D72">
            <w:pPr>
              <w:pStyle w:val="Table"/>
              <w:ind w:right="-3"/>
            </w:pPr>
            <w:r>
              <w:t>(1.0 – 3.0)</w:t>
            </w:r>
          </w:p>
        </w:tc>
        <w:tc>
          <w:tcPr>
            <w:tcW w:w="1864" w:type="dxa"/>
            <w:noWrap/>
          </w:tcPr>
          <w:p w14:paraId="51CDAC16" w14:textId="77777777" w:rsidR="00C2421C" w:rsidRPr="0045283F" w:rsidRDefault="00C2421C" w:rsidP="00CA0D72">
            <w:pPr>
              <w:pStyle w:val="Table"/>
              <w:ind w:right="-3"/>
            </w:pPr>
            <w:r>
              <w:t>1.5</w:t>
            </w:r>
          </w:p>
        </w:tc>
        <w:tc>
          <w:tcPr>
            <w:tcW w:w="1865" w:type="dxa"/>
            <w:noWrap/>
          </w:tcPr>
          <w:p w14:paraId="5A4F96AA" w14:textId="77777777" w:rsidR="00C2421C" w:rsidRPr="0045283F" w:rsidRDefault="00C2421C" w:rsidP="00CA0D72">
            <w:pPr>
              <w:pStyle w:val="Table"/>
              <w:ind w:right="-3"/>
            </w:pPr>
            <w:r>
              <w:t>(0 – 2.0)</w:t>
            </w:r>
          </w:p>
        </w:tc>
      </w:tr>
      <w:tr w:rsidR="00C2421C" w:rsidRPr="0045283F" w14:paraId="4AA68381" w14:textId="77777777" w:rsidTr="00C2421C">
        <w:trPr>
          <w:trHeight w:val="315"/>
        </w:trPr>
        <w:tc>
          <w:tcPr>
            <w:tcW w:w="2376" w:type="dxa"/>
            <w:noWrap/>
          </w:tcPr>
          <w:p w14:paraId="434E1E8C" w14:textId="36049041" w:rsidR="00C2421C" w:rsidRPr="0045283F" w:rsidRDefault="00C2421C" w:rsidP="00CA0D72">
            <w:pPr>
              <w:pStyle w:val="Table"/>
              <w:ind w:right="-3"/>
            </w:pPr>
            <w:r>
              <w:t>VIC Community</w:t>
            </w:r>
          </w:p>
        </w:tc>
        <w:tc>
          <w:tcPr>
            <w:tcW w:w="1352" w:type="dxa"/>
            <w:noWrap/>
          </w:tcPr>
          <w:p w14:paraId="26F6C69D" w14:textId="77777777" w:rsidR="00C2421C" w:rsidRPr="0045283F" w:rsidRDefault="00C2421C" w:rsidP="00CA0D72">
            <w:pPr>
              <w:pStyle w:val="Table"/>
              <w:ind w:right="-3"/>
            </w:pPr>
            <w:r>
              <w:t>4</w:t>
            </w:r>
          </w:p>
        </w:tc>
        <w:tc>
          <w:tcPr>
            <w:tcW w:w="1865" w:type="dxa"/>
            <w:noWrap/>
          </w:tcPr>
          <w:p w14:paraId="642E4222" w14:textId="77777777" w:rsidR="00C2421C" w:rsidRPr="0045283F" w:rsidRDefault="00C2421C" w:rsidP="00CA0D72">
            <w:pPr>
              <w:pStyle w:val="Table"/>
              <w:ind w:right="-3"/>
            </w:pPr>
            <w:r>
              <w:t>(1.0 – 7.0)</w:t>
            </w:r>
          </w:p>
        </w:tc>
        <w:tc>
          <w:tcPr>
            <w:tcW w:w="1864" w:type="dxa"/>
            <w:noWrap/>
          </w:tcPr>
          <w:p w14:paraId="5DAC0F08" w14:textId="77777777" w:rsidR="00C2421C" w:rsidRPr="0045283F" w:rsidRDefault="00C2421C" w:rsidP="00CA0D72">
            <w:pPr>
              <w:pStyle w:val="Table"/>
              <w:ind w:right="-3"/>
            </w:pPr>
            <w:r>
              <w:t>4</w:t>
            </w:r>
          </w:p>
        </w:tc>
        <w:tc>
          <w:tcPr>
            <w:tcW w:w="1865" w:type="dxa"/>
            <w:noWrap/>
          </w:tcPr>
          <w:p w14:paraId="2CC98956" w14:textId="77777777" w:rsidR="00C2421C" w:rsidRPr="0045283F" w:rsidRDefault="00C2421C" w:rsidP="00CA0D72">
            <w:pPr>
              <w:pStyle w:val="Table"/>
              <w:ind w:right="-3"/>
            </w:pPr>
            <w:r>
              <w:t>(1.0 – 10.0)</w:t>
            </w:r>
          </w:p>
        </w:tc>
      </w:tr>
      <w:tr w:rsidR="00C2421C" w:rsidRPr="0045283F" w14:paraId="556729AB" w14:textId="77777777" w:rsidTr="00C2421C">
        <w:trPr>
          <w:trHeight w:val="315"/>
        </w:trPr>
        <w:tc>
          <w:tcPr>
            <w:tcW w:w="2376" w:type="dxa"/>
            <w:noWrap/>
          </w:tcPr>
          <w:p w14:paraId="067F0C4A" w14:textId="016EE3AD" w:rsidR="00C2421C" w:rsidRPr="0045283F" w:rsidRDefault="00C2421C" w:rsidP="00CA0D72">
            <w:pPr>
              <w:pStyle w:val="Table"/>
              <w:ind w:right="-3"/>
            </w:pPr>
            <w:r>
              <w:t>VIC Residential</w:t>
            </w:r>
          </w:p>
        </w:tc>
        <w:tc>
          <w:tcPr>
            <w:tcW w:w="1352" w:type="dxa"/>
            <w:noWrap/>
          </w:tcPr>
          <w:p w14:paraId="530721DD" w14:textId="77777777" w:rsidR="00C2421C" w:rsidRPr="0045283F" w:rsidRDefault="00C2421C" w:rsidP="00CA0D72">
            <w:pPr>
              <w:pStyle w:val="Table"/>
              <w:ind w:right="-3"/>
            </w:pPr>
            <w:r>
              <w:t>4</w:t>
            </w:r>
          </w:p>
        </w:tc>
        <w:tc>
          <w:tcPr>
            <w:tcW w:w="1865" w:type="dxa"/>
            <w:noWrap/>
          </w:tcPr>
          <w:p w14:paraId="53AAF0DA" w14:textId="77777777" w:rsidR="00C2421C" w:rsidRPr="0045283F" w:rsidRDefault="00C2421C" w:rsidP="00CA0D72">
            <w:pPr>
              <w:pStyle w:val="Table"/>
              <w:ind w:right="-3"/>
            </w:pPr>
            <w:r>
              <w:t>(1.0 – 8.0)</w:t>
            </w:r>
          </w:p>
        </w:tc>
        <w:tc>
          <w:tcPr>
            <w:tcW w:w="1864" w:type="dxa"/>
            <w:noWrap/>
          </w:tcPr>
          <w:p w14:paraId="5FE6C5AB" w14:textId="77777777" w:rsidR="00C2421C" w:rsidRPr="0045283F" w:rsidRDefault="00C2421C" w:rsidP="00CA0D72">
            <w:pPr>
              <w:pStyle w:val="Table"/>
              <w:ind w:right="-3"/>
            </w:pPr>
            <w:r>
              <w:t>4</w:t>
            </w:r>
          </w:p>
        </w:tc>
        <w:tc>
          <w:tcPr>
            <w:tcW w:w="1865" w:type="dxa"/>
            <w:noWrap/>
          </w:tcPr>
          <w:p w14:paraId="333A0F3B" w14:textId="77777777" w:rsidR="00C2421C" w:rsidRPr="0045283F" w:rsidRDefault="00C2421C" w:rsidP="00CA0D72">
            <w:pPr>
              <w:pStyle w:val="Table"/>
              <w:ind w:right="-3"/>
            </w:pPr>
            <w:r>
              <w:t>(1.0 – 8.0)</w:t>
            </w:r>
          </w:p>
        </w:tc>
      </w:tr>
      <w:tr w:rsidR="00C2421C" w:rsidRPr="0045283F" w14:paraId="2EED8B2F" w14:textId="77777777" w:rsidTr="00C2421C">
        <w:trPr>
          <w:trHeight w:val="315"/>
        </w:trPr>
        <w:tc>
          <w:tcPr>
            <w:tcW w:w="2376" w:type="dxa"/>
            <w:noWrap/>
          </w:tcPr>
          <w:p w14:paraId="7B9F7DF6" w14:textId="0C411715" w:rsidR="00C2421C" w:rsidRPr="0045283F" w:rsidRDefault="00C2421C" w:rsidP="00CA0D72">
            <w:pPr>
              <w:pStyle w:val="Table"/>
              <w:ind w:right="-3"/>
            </w:pPr>
            <w:r>
              <w:t>VIC Combination</w:t>
            </w:r>
          </w:p>
        </w:tc>
        <w:tc>
          <w:tcPr>
            <w:tcW w:w="1352" w:type="dxa"/>
            <w:noWrap/>
          </w:tcPr>
          <w:p w14:paraId="30B02FA5" w14:textId="77777777" w:rsidR="00C2421C" w:rsidRPr="0045283F" w:rsidRDefault="00C2421C" w:rsidP="00CA0D72">
            <w:pPr>
              <w:pStyle w:val="Table"/>
              <w:ind w:right="-3"/>
            </w:pPr>
            <w:r>
              <w:t>3</w:t>
            </w:r>
          </w:p>
        </w:tc>
        <w:tc>
          <w:tcPr>
            <w:tcW w:w="1865" w:type="dxa"/>
            <w:noWrap/>
          </w:tcPr>
          <w:p w14:paraId="7220885B" w14:textId="77777777" w:rsidR="00C2421C" w:rsidRPr="0045283F" w:rsidRDefault="00C2421C" w:rsidP="00CA0D72">
            <w:pPr>
              <w:pStyle w:val="Table"/>
              <w:ind w:right="-3"/>
            </w:pPr>
            <w:r>
              <w:t>(1.0 – 7.0)</w:t>
            </w:r>
          </w:p>
        </w:tc>
        <w:tc>
          <w:tcPr>
            <w:tcW w:w="1864" w:type="dxa"/>
            <w:noWrap/>
          </w:tcPr>
          <w:p w14:paraId="651C0CD5" w14:textId="77777777" w:rsidR="00C2421C" w:rsidRPr="0045283F" w:rsidRDefault="00C2421C" w:rsidP="00CA0D72">
            <w:pPr>
              <w:pStyle w:val="Table"/>
              <w:ind w:right="-3"/>
            </w:pPr>
            <w:r>
              <w:t>4</w:t>
            </w:r>
          </w:p>
        </w:tc>
        <w:tc>
          <w:tcPr>
            <w:tcW w:w="1865" w:type="dxa"/>
            <w:noWrap/>
          </w:tcPr>
          <w:p w14:paraId="0025384D" w14:textId="77777777" w:rsidR="00C2421C" w:rsidRPr="0045283F" w:rsidRDefault="00C2421C" w:rsidP="00CA0D72">
            <w:pPr>
              <w:pStyle w:val="Table"/>
              <w:ind w:right="-3"/>
            </w:pPr>
            <w:r>
              <w:t>(1.0 – 9.0)</w:t>
            </w:r>
          </w:p>
        </w:tc>
      </w:tr>
      <w:tr w:rsidR="00C2421C" w:rsidRPr="0045283F" w14:paraId="4A5A9069" w14:textId="77777777" w:rsidTr="00C2421C">
        <w:trPr>
          <w:trHeight w:val="315"/>
        </w:trPr>
        <w:tc>
          <w:tcPr>
            <w:tcW w:w="2376" w:type="dxa"/>
            <w:noWrap/>
          </w:tcPr>
          <w:p w14:paraId="51D32E88" w14:textId="65B5F9E5" w:rsidR="00C2421C" w:rsidRPr="0045283F" w:rsidRDefault="00C2421C" w:rsidP="00CA0D72">
            <w:pPr>
              <w:pStyle w:val="Table"/>
              <w:ind w:right="-3"/>
            </w:pPr>
            <w:r>
              <w:t>WA Community</w:t>
            </w:r>
          </w:p>
        </w:tc>
        <w:tc>
          <w:tcPr>
            <w:tcW w:w="1352" w:type="dxa"/>
            <w:noWrap/>
          </w:tcPr>
          <w:p w14:paraId="2DACFA3D" w14:textId="77777777" w:rsidR="00C2421C" w:rsidRPr="0045283F" w:rsidRDefault="00C2421C" w:rsidP="00CA0D72">
            <w:pPr>
              <w:pStyle w:val="Table"/>
              <w:ind w:right="-3"/>
            </w:pPr>
            <w:r>
              <w:t>6</w:t>
            </w:r>
          </w:p>
        </w:tc>
        <w:tc>
          <w:tcPr>
            <w:tcW w:w="1865" w:type="dxa"/>
            <w:noWrap/>
          </w:tcPr>
          <w:p w14:paraId="6008C00A" w14:textId="77777777" w:rsidR="00C2421C" w:rsidRPr="0045283F" w:rsidRDefault="00C2421C" w:rsidP="00CA0D72">
            <w:pPr>
              <w:pStyle w:val="Table"/>
              <w:ind w:right="-3"/>
            </w:pPr>
            <w:r>
              <w:t>(4.0 – 13.0)</w:t>
            </w:r>
          </w:p>
        </w:tc>
        <w:tc>
          <w:tcPr>
            <w:tcW w:w="1864" w:type="dxa"/>
            <w:noWrap/>
          </w:tcPr>
          <w:p w14:paraId="4ABC1D38" w14:textId="77777777" w:rsidR="00C2421C" w:rsidRPr="0045283F" w:rsidRDefault="00C2421C" w:rsidP="00CA0D72">
            <w:pPr>
              <w:pStyle w:val="Table"/>
              <w:ind w:right="-3"/>
            </w:pPr>
            <w:r>
              <w:t>6</w:t>
            </w:r>
          </w:p>
        </w:tc>
        <w:tc>
          <w:tcPr>
            <w:tcW w:w="1865" w:type="dxa"/>
            <w:noWrap/>
          </w:tcPr>
          <w:p w14:paraId="2DB9C22A" w14:textId="77777777" w:rsidR="00C2421C" w:rsidRPr="0045283F" w:rsidRDefault="00C2421C" w:rsidP="00CA0D72">
            <w:pPr>
              <w:pStyle w:val="Table"/>
              <w:ind w:right="-3"/>
            </w:pPr>
            <w:r>
              <w:t>(3.5 – 12.5)</w:t>
            </w:r>
          </w:p>
        </w:tc>
      </w:tr>
      <w:tr w:rsidR="00C2421C" w:rsidRPr="0045283F" w14:paraId="7FF78C86" w14:textId="77777777" w:rsidTr="00C2421C">
        <w:trPr>
          <w:trHeight w:val="315"/>
        </w:trPr>
        <w:tc>
          <w:tcPr>
            <w:tcW w:w="2376" w:type="dxa"/>
            <w:noWrap/>
          </w:tcPr>
          <w:p w14:paraId="612ED9EE" w14:textId="7AE2DB10" w:rsidR="00C2421C" w:rsidRPr="0045283F" w:rsidRDefault="00C2421C" w:rsidP="00CA0D72">
            <w:pPr>
              <w:pStyle w:val="Table"/>
              <w:ind w:right="-3"/>
            </w:pPr>
            <w:r>
              <w:t>WA Residential</w:t>
            </w:r>
          </w:p>
        </w:tc>
        <w:tc>
          <w:tcPr>
            <w:tcW w:w="1352" w:type="dxa"/>
            <w:noWrap/>
          </w:tcPr>
          <w:p w14:paraId="5D6B7758" w14:textId="77777777" w:rsidR="00C2421C" w:rsidRPr="0045283F" w:rsidRDefault="00C2421C" w:rsidP="00CA0D72">
            <w:pPr>
              <w:pStyle w:val="Table"/>
              <w:ind w:right="-3"/>
            </w:pPr>
            <w:r>
              <w:t>6</w:t>
            </w:r>
          </w:p>
        </w:tc>
        <w:tc>
          <w:tcPr>
            <w:tcW w:w="1865" w:type="dxa"/>
            <w:noWrap/>
          </w:tcPr>
          <w:p w14:paraId="7ECE5CC8" w14:textId="77777777" w:rsidR="00C2421C" w:rsidRPr="0045283F" w:rsidRDefault="00C2421C" w:rsidP="00CA0D72">
            <w:pPr>
              <w:pStyle w:val="Table"/>
              <w:ind w:right="-3"/>
            </w:pPr>
            <w:r>
              <w:t>(2.5 – 14.5)</w:t>
            </w:r>
          </w:p>
        </w:tc>
        <w:tc>
          <w:tcPr>
            <w:tcW w:w="1864" w:type="dxa"/>
            <w:noWrap/>
          </w:tcPr>
          <w:p w14:paraId="4DCA617C" w14:textId="77777777" w:rsidR="00C2421C" w:rsidRPr="0045283F" w:rsidRDefault="00C2421C" w:rsidP="00CA0D72">
            <w:pPr>
              <w:pStyle w:val="Table"/>
              <w:ind w:right="-3"/>
            </w:pPr>
            <w:r>
              <w:t>7</w:t>
            </w:r>
          </w:p>
        </w:tc>
        <w:tc>
          <w:tcPr>
            <w:tcW w:w="1865" w:type="dxa"/>
            <w:noWrap/>
          </w:tcPr>
          <w:p w14:paraId="680AC369" w14:textId="77777777" w:rsidR="00C2421C" w:rsidRPr="0045283F" w:rsidRDefault="00C2421C" w:rsidP="00CA0D72">
            <w:pPr>
              <w:pStyle w:val="Table"/>
              <w:ind w:right="-3"/>
            </w:pPr>
            <w:r>
              <w:t>(3.0 – 19.0)</w:t>
            </w:r>
          </w:p>
        </w:tc>
      </w:tr>
      <w:tr w:rsidR="00C2421C" w:rsidRPr="0045283F" w14:paraId="470B859C" w14:textId="77777777" w:rsidTr="00C2421C">
        <w:trPr>
          <w:trHeight w:val="315"/>
        </w:trPr>
        <w:tc>
          <w:tcPr>
            <w:tcW w:w="2376" w:type="dxa"/>
            <w:noWrap/>
          </w:tcPr>
          <w:p w14:paraId="105F4EC8" w14:textId="12BF2CD9" w:rsidR="00C2421C" w:rsidRPr="0045283F" w:rsidRDefault="00C2421C" w:rsidP="00CA0D72">
            <w:pPr>
              <w:pStyle w:val="Table"/>
              <w:ind w:right="-3"/>
            </w:pPr>
            <w:r>
              <w:t>WA Combination</w:t>
            </w:r>
          </w:p>
        </w:tc>
        <w:tc>
          <w:tcPr>
            <w:tcW w:w="1352" w:type="dxa"/>
            <w:noWrap/>
          </w:tcPr>
          <w:p w14:paraId="335E01C2" w14:textId="77777777" w:rsidR="00C2421C" w:rsidRPr="0045283F" w:rsidRDefault="00C2421C" w:rsidP="00CA0D72">
            <w:pPr>
              <w:pStyle w:val="Table"/>
              <w:ind w:right="-3"/>
            </w:pPr>
            <w:r>
              <w:t>2</w:t>
            </w:r>
          </w:p>
        </w:tc>
        <w:tc>
          <w:tcPr>
            <w:tcW w:w="1865" w:type="dxa"/>
            <w:noWrap/>
          </w:tcPr>
          <w:p w14:paraId="387644AC" w14:textId="77777777" w:rsidR="00C2421C" w:rsidRPr="0045283F" w:rsidRDefault="00C2421C" w:rsidP="00CA0D72">
            <w:pPr>
              <w:pStyle w:val="Table"/>
              <w:ind w:right="-3"/>
            </w:pPr>
            <w:r>
              <w:t>(1.0 – 5.0)</w:t>
            </w:r>
          </w:p>
        </w:tc>
        <w:tc>
          <w:tcPr>
            <w:tcW w:w="1864" w:type="dxa"/>
            <w:noWrap/>
          </w:tcPr>
          <w:p w14:paraId="2C35421E" w14:textId="77777777" w:rsidR="00C2421C" w:rsidRPr="0045283F" w:rsidRDefault="00C2421C" w:rsidP="00CA0D72">
            <w:pPr>
              <w:pStyle w:val="Table"/>
              <w:ind w:right="-3"/>
            </w:pPr>
            <w:r>
              <w:t>3</w:t>
            </w:r>
          </w:p>
        </w:tc>
        <w:tc>
          <w:tcPr>
            <w:tcW w:w="1865" w:type="dxa"/>
            <w:noWrap/>
          </w:tcPr>
          <w:p w14:paraId="12364541" w14:textId="77777777" w:rsidR="00C2421C" w:rsidRPr="0045283F" w:rsidRDefault="00C2421C" w:rsidP="00CA0D72">
            <w:pPr>
              <w:pStyle w:val="Table"/>
              <w:ind w:right="-3"/>
            </w:pPr>
            <w:r>
              <w:t>(1.0 – 5.0)</w:t>
            </w:r>
          </w:p>
        </w:tc>
      </w:tr>
      <w:tr w:rsidR="00C2421C" w:rsidRPr="0045283F" w14:paraId="3D6A918D" w14:textId="77777777" w:rsidTr="00C2421C">
        <w:trPr>
          <w:trHeight w:val="315"/>
        </w:trPr>
        <w:tc>
          <w:tcPr>
            <w:tcW w:w="2376" w:type="dxa"/>
            <w:noWrap/>
          </w:tcPr>
          <w:p w14:paraId="5DFF1CCB" w14:textId="5D4A7835" w:rsidR="00C2421C" w:rsidRPr="0045283F" w:rsidRDefault="00C2421C" w:rsidP="00CA0D72">
            <w:pPr>
              <w:pStyle w:val="Table"/>
              <w:ind w:right="-3"/>
            </w:pPr>
            <w:r>
              <w:t>National Community</w:t>
            </w:r>
          </w:p>
        </w:tc>
        <w:tc>
          <w:tcPr>
            <w:tcW w:w="1352" w:type="dxa"/>
            <w:noWrap/>
          </w:tcPr>
          <w:p w14:paraId="1F007795" w14:textId="77777777" w:rsidR="00C2421C" w:rsidRPr="0045283F" w:rsidRDefault="00C2421C" w:rsidP="00CA0D72">
            <w:pPr>
              <w:pStyle w:val="Table"/>
              <w:ind w:right="-3"/>
            </w:pPr>
            <w:r>
              <w:t>4</w:t>
            </w:r>
          </w:p>
        </w:tc>
        <w:tc>
          <w:tcPr>
            <w:tcW w:w="1865" w:type="dxa"/>
            <w:noWrap/>
          </w:tcPr>
          <w:p w14:paraId="6FF84ED1" w14:textId="77777777" w:rsidR="00C2421C" w:rsidRPr="0045283F" w:rsidRDefault="00C2421C" w:rsidP="00CA0D72">
            <w:pPr>
              <w:pStyle w:val="Table"/>
              <w:ind w:right="-3"/>
            </w:pPr>
            <w:r>
              <w:t>(1.0 – 6.0)</w:t>
            </w:r>
          </w:p>
        </w:tc>
        <w:tc>
          <w:tcPr>
            <w:tcW w:w="1864" w:type="dxa"/>
            <w:noWrap/>
          </w:tcPr>
          <w:p w14:paraId="23F490E7" w14:textId="77777777" w:rsidR="00C2421C" w:rsidRPr="0045283F" w:rsidRDefault="00C2421C" w:rsidP="00CA0D72">
            <w:pPr>
              <w:pStyle w:val="Table"/>
              <w:ind w:right="-3"/>
            </w:pPr>
            <w:r>
              <w:t>4</w:t>
            </w:r>
          </w:p>
        </w:tc>
        <w:tc>
          <w:tcPr>
            <w:tcW w:w="1865" w:type="dxa"/>
            <w:noWrap/>
          </w:tcPr>
          <w:p w14:paraId="7867B3D3" w14:textId="77777777" w:rsidR="00C2421C" w:rsidRPr="0045283F" w:rsidRDefault="00C2421C" w:rsidP="00CA0D72">
            <w:pPr>
              <w:pStyle w:val="Table"/>
              <w:ind w:right="-3"/>
            </w:pPr>
            <w:r>
              <w:t>(2.0 – 8.0)</w:t>
            </w:r>
          </w:p>
        </w:tc>
      </w:tr>
      <w:tr w:rsidR="00C2421C" w:rsidRPr="0045283F" w14:paraId="57C64F35" w14:textId="77777777" w:rsidTr="00C2421C">
        <w:trPr>
          <w:trHeight w:val="315"/>
        </w:trPr>
        <w:tc>
          <w:tcPr>
            <w:tcW w:w="2376" w:type="dxa"/>
            <w:noWrap/>
          </w:tcPr>
          <w:p w14:paraId="13DE5C75" w14:textId="7224F045" w:rsidR="00C2421C" w:rsidRPr="0045283F" w:rsidRDefault="00C2421C" w:rsidP="00CA0D72">
            <w:pPr>
              <w:pStyle w:val="Table"/>
              <w:ind w:right="-3"/>
            </w:pPr>
            <w:r>
              <w:t>National Residential</w:t>
            </w:r>
          </w:p>
        </w:tc>
        <w:tc>
          <w:tcPr>
            <w:tcW w:w="1352" w:type="dxa"/>
            <w:noWrap/>
          </w:tcPr>
          <w:p w14:paraId="548DA9ED" w14:textId="77777777" w:rsidR="00C2421C" w:rsidRPr="0045283F" w:rsidRDefault="00C2421C" w:rsidP="00CA0D72">
            <w:pPr>
              <w:pStyle w:val="Table"/>
              <w:ind w:right="-3"/>
            </w:pPr>
            <w:r>
              <w:t>3</w:t>
            </w:r>
          </w:p>
        </w:tc>
        <w:tc>
          <w:tcPr>
            <w:tcW w:w="1865" w:type="dxa"/>
            <w:noWrap/>
          </w:tcPr>
          <w:p w14:paraId="59BCD67E" w14:textId="77777777" w:rsidR="00C2421C" w:rsidRPr="0045283F" w:rsidRDefault="00C2421C" w:rsidP="00CA0D72">
            <w:pPr>
              <w:pStyle w:val="Table"/>
              <w:ind w:right="-3"/>
            </w:pPr>
            <w:r>
              <w:t>(1.0 – 7.0)</w:t>
            </w:r>
          </w:p>
        </w:tc>
        <w:tc>
          <w:tcPr>
            <w:tcW w:w="1864" w:type="dxa"/>
            <w:noWrap/>
          </w:tcPr>
          <w:p w14:paraId="3C7D811B" w14:textId="77777777" w:rsidR="00C2421C" w:rsidRPr="0045283F" w:rsidRDefault="00C2421C" w:rsidP="00CA0D72">
            <w:pPr>
              <w:pStyle w:val="Table"/>
              <w:ind w:right="-3"/>
            </w:pPr>
            <w:r>
              <w:t>4</w:t>
            </w:r>
          </w:p>
        </w:tc>
        <w:tc>
          <w:tcPr>
            <w:tcW w:w="1865" w:type="dxa"/>
            <w:noWrap/>
          </w:tcPr>
          <w:p w14:paraId="35CEC0C6" w14:textId="77777777" w:rsidR="00C2421C" w:rsidRPr="0045283F" w:rsidRDefault="00C2421C" w:rsidP="00CA0D72">
            <w:pPr>
              <w:pStyle w:val="Table"/>
              <w:ind w:right="-3"/>
            </w:pPr>
            <w:r>
              <w:t>(1.0 – 8.0)</w:t>
            </w:r>
          </w:p>
        </w:tc>
      </w:tr>
      <w:tr w:rsidR="00C2421C" w:rsidRPr="0045283F" w14:paraId="2493A53F" w14:textId="77777777" w:rsidTr="00C2421C">
        <w:trPr>
          <w:trHeight w:val="315"/>
        </w:trPr>
        <w:tc>
          <w:tcPr>
            <w:tcW w:w="2376" w:type="dxa"/>
            <w:noWrap/>
          </w:tcPr>
          <w:p w14:paraId="4FA6E3C6" w14:textId="670AE018" w:rsidR="00C2421C" w:rsidRPr="0045283F" w:rsidRDefault="00C2421C" w:rsidP="00CA0D72">
            <w:pPr>
              <w:pStyle w:val="Table"/>
              <w:ind w:right="-3"/>
            </w:pPr>
            <w:r>
              <w:t>National Combination</w:t>
            </w:r>
          </w:p>
        </w:tc>
        <w:tc>
          <w:tcPr>
            <w:tcW w:w="1352" w:type="dxa"/>
            <w:noWrap/>
          </w:tcPr>
          <w:p w14:paraId="507CFA12" w14:textId="77777777" w:rsidR="00C2421C" w:rsidRPr="0045283F" w:rsidRDefault="00C2421C" w:rsidP="00CA0D72">
            <w:pPr>
              <w:pStyle w:val="Table"/>
              <w:ind w:right="-3"/>
            </w:pPr>
            <w:r>
              <w:t>3</w:t>
            </w:r>
          </w:p>
        </w:tc>
        <w:tc>
          <w:tcPr>
            <w:tcW w:w="1865" w:type="dxa"/>
            <w:noWrap/>
          </w:tcPr>
          <w:p w14:paraId="659267E4" w14:textId="77777777" w:rsidR="00C2421C" w:rsidRPr="0045283F" w:rsidRDefault="00C2421C" w:rsidP="00CA0D72">
            <w:pPr>
              <w:pStyle w:val="Table"/>
              <w:ind w:right="-3"/>
            </w:pPr>
            <w:r>
              <w:t>(1.0 – 6.0)</w:t>
            </w:r>
          </w:p>
        </w:tc>
        <w:tc>
          <w:tcPr>
            <w:tcW w:w="1864" w:type="dxa"/>
            <w:noWrap/>
          </w:tcPr>
          <w:p w14:paraId="3CA8907C" w14:textId="77777777" w:rsidR="00C2421C" w:rsidRPr="0045283F" w:rsidRDefault="00C2421C" w:rsidP="00CA0D72">
            <w:pPr>
              <w:pStyle w:val="Table"/>
              <w:ind w:right="-3"/>
            </w:pPr>
            <w:r>
              <w:t>4</w:t>
            </w:r>
          </w:p>
        </w:tc>
        <w:tc>
          <w:tcPr>
            <w:tcW w:w="1865" w:type="dxa"/>
            <w:noWrap/>
          </w:tcPr>
          <w:p w14:paraId="29BBCC26" w14:textId="77777777" w:rsidR="00C2421C" w:rsidRPr="0045283F" w:rsidRDefault="00C2421C" w:rsidP="00CA0D72">
            <w:pPr>
              <w:pStyle w:val="Table"/>
              <w:ind w:right="-3"/>
            </w:pPr>
            <w:r>
              <w:t>(1.0 – 7.0)</w:t>
            </w:r>
          </w:p>
        </w:tc>
      </w:tr>
      <w:tr w:rsidR="00C2421C" w:rsidRPr="0045283F" w14:paraId="48533B7A" w14:textId="77777777" w:rsidTr="00C2421C">
        <w:trPr>
          <w:trHeight w:val="315"/>
        </w:trPr>
        <w:tc>
          <w:tcPr>
            <w:tcW w:w="2376" w:type="dxa"/>
            <w:noWrap/>
          </w:tcPr>
          <w:p w14:paraId="14D5C1ED" w14:textId="2393EA95" w:rsidR="00C2421C" w:rsidRPr="0045283F" w:rsidRDefault="00C2421C" w:rsidP="00CA0D72">
            <w:pPr>
              <w:pStyle w:val="Table"/>
              <w:ind w:right="-3"/>
            </w:pPr>
            <w:r>
              <w:t>National Overall</w:t>
            </w:r>
          </w:p>
        </w:tc>
        <w:tc>
          <w:tcPr>
            <w:tcW w:w="1352" w:type="dxa"/>
            <w:noWrap/>
          </w:tcPr>
          <w:p w14:paraId="677D6355" w14:textId="77777777" w:rsidR="00C2421C" w:rsidRPr="0045283F" w:rsidRDefault="00C2421C" w:rsidP="00CA0D72">
            <w:pPr>
              <w:pStyle w:val="Table"/>
              <w:ind w:right="-3"/>
            </w:pPr>
            <w:r>
              <w:t>3</w:t>
            </w:r>
          </w:p>
        </w:tc>
        <w:tc>
          <w:tcPr>
            <w:tcW w:w="1865" w:type="dxa"/>
            <w:noWrap/>
          </w:tcPr>
          <w:p w14:paraId="5058A399" w14:textId="77777777" w:rsidR="00C2421C" w:rsidRPr="0045283F" w:rsidRDefault="00C2421C" w:rsidP="00CA0D72">
            <w:pPr>
              <w:pStyle w:val="Table"/>
              <w:ind w:right="-3"/>
            </w:pPr>
            <w:r>
              <w:t>(1.0 – 7.0)</w:t>
            </w:r>
          </w:p>
        </w:tc>
        <w:tc>
          <w:tcPr>
            <w:tcW w:w="1864" w:type="dxa"/>
            <w:noWrap/>
          </w:tcPr>
          <w:p w14:paraId="7388F7C0" w14:textId="77777777" w:rsidR="00C2421C" w:rsidRPr="0045283F" w:rsidRDefault="00C2421C" w:rsidP="00CA0D72">
            <w:pPr>
              <w:pStyle w:val="Table"/>
              <w:ind w:right="-3"/>
            </w:pPr>
            <w:r>
              <w:t>4</w:t>
            </w:r>
          </w:p>
        </w:tc>
        <w:tc>
          <w:tcPr>
            <w:tcW w:w="1865" w:type="dxa"/>
            <w:noWrap/>
          </w:tcPr>
          <w:p w14:paraId="6895726A" w14:textId="77777777" w:rsidR="00C2421C" w:rsidRPr="0045283F" w:rsidRDefault="00C2421C" w:rsidP="00CA0D72">
            <w:pPr>
              <w:pStyle w:val="Table"/>
              <w:ind w:right="-3"/>
            </w:pPr>
            <w:r>
              <w:t>(1.0 – 8.0)</w:t>
            </w:r>
          </w:p>
        </w:tc>
      </w:tr>
    </w:tbl>
    <w:p w14:paraId="3C1D9189" w14:textId="77777777" w:rsidR="00744C00" w:rsidRDefault="00744C00" w:rsidP="00FF7979"/>
    <w:p w14:paraId="556502EB" w14:textId="77777777" w:rsidR="00744C00" w:rsidRPr="00744C00" w:rsidRDefault="00744C00" w:rsidP="00C2421C">
      <w:pPr>
        <w:pStyle w:val="Heading4"/>
      </w:pPr>
      <w:r w:rsidRPr="00744C00">
        <w:t>Figure 5.4: Occupancy by jurisdiction, 2006/07</w:t>
      </w:r>
    </w:p>
    <w:p w14:paraId="1F2DDC85" w14:textId="77777777" w:rsidR="00744C00" w:rsidRDefault="00CA0D72" w:rsidP="00CA0D72">
      <w:pPr>
        <w:ind w:right="-3"/>
      </w:pPr>
      <w:r>
        <w:rPr>
          <w:noProof/>
        </w:rPr>
        <w:drawing>
          <wp:inline distT="0" distB="0" distL="0" distR="0" wp14:anchorId="0917B2BB" wp14:editId="6D30546C">
            <wp:extent cx="4946015" cy="3089275"/>
            <wp:effectExtent l="0" t="0" r="0" b="0"/>
            <wp:docPr id="47" name="Picture 47" descr="Graph of occupancy by jurisdiction.&#10;Order from highest to lowest occupancy:  SA, WA, ACT, Vic, NSW, NT, Tas,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raph of occupancy by jurisdiction.&#10;Order from highest to lowest occupancy:  SA, WA, ACT, Vic, NSW, NT, Tas, Q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6015" cy="3089275"/>
                    </a:xfrm>
                    <a:prstGeom prst="rect">
                      <a:avLst/>
                    </a:prstGeom>
                    <a:noFill/>
                    <a:ln>
                      <a:noFill/>
                    </a:ln>
                  </pic:spPr>
                </pic:pic>
              </a:graphicData>
            </a:graphic>
          </wp:inline>
        </w:drawing>
      </w:r>
    </w:p>
    <w:p w14:paraId="0D9B7EC2" w14:textId="77777777" w:rsidR="005D7ABA" w:rsidRDefault="00744C00" w:rsidP="00CA0D72">
      <w:pPr>
        <w:pStyle w:val="Heading1"/>
        <w:ind w:right="-3"/>
      </w:pPr>
      <w:r>
        <w:br w:type="page"/>
      </w:r>
      <w:bookmarkStart w:id="85" w:name="_Toc402348931"/>
      <w:r w:rsidR="000D38DA" w:rsidRPr="000D38DA">
        <w:lastRenderedPageBreak/>
        <w:t>6. What are the estimated costs of achieving the outcomes?</w:t>
      </w:r>
      <w:bookmarkEnd w:id="85"/>
    </w:p>
    <w:p w14:paraId="2C94E056" w14:textId="77777777" w:rsidR="005D7ABA" w:rsidRDefault="000D38DA" w:rsidP="00CA0D72">
      <w:pPr>
        <w:pStyle w:val="Heading2"/>
        <w:ind w:right="-3"/>
      </w:pPr>
      <w:bookmarkStart w:id="86" w:name="_Toc402348932"/>
      <w:r w:rsidRPr="000D38DA">
        <w:t>Key points</w:t>
      </w:r>
      <w:bookmarkEnd w:id="86"/>
    </w:p>
    <w:p w14:paraId="4D687B12" w14:textId="77777777" w:rsidR="005D7ABA" w:rsidRDefault="000D38DA" w:rsidP="00C2421C">
      <w:pPr>
        <w:pStyle w:val="Normal-Dot"/>
        <w:numPr>
          <w:ilvl w:val="0"/>
          <w:numId w:val="24"/>
        </w:numPr>
        <w:ind w:right="-3"/>
      </w:pPr>
      <w:r w:rsidRPr="00C2421C">
        <w:t>At six month post ACAT approval, a recipient of TC only in a community setting had survived an additional 28.9 days without being admitted into hospital or residential aged care when compared with those in the Control 2 group and the additional cost to achieve this for an individual TC recipient had reduced to $344 per day.</w:t>
      </w:r>
    </w:p>
    <w:p w14:paraId="6EAB5B09" w14:textId="77777777" w:rsidR="005D7ABA" w:rsidRDefault="000D38DA" w:rsidP="00C2421C">
      <w:pPr>
        <w:pStyle w:val="Normal-Dot"/>
        <w:numPr>
          <w:ilvl w:val="0"/>
          <w:numId w:val="24"/>
        </w:numPr>
        <w:ind w:right="-3"/>
      </w:pPr>
      <w:r w:rsidRPr="00C2421C">
        <w:t>For every day a recipient of TC survives without institutional care i.e. without hospital or residential aged care over a six month period it costs $344 per day.</w:t>
      </w:r>
    </w:p>
    <w:p w14:paraId="04F71D63" w14:textId="3C4643FF" w:rsidR="000D38DA" w:rsidRPr="000D38DA" w:rsidRDefault="000D38DA" w:rsidP="00CA0D72">
      <w:pPr>
        <w:ind w:right="-3"/>
      </w:pPr>
    </w:p>
    <w:p w14:paraId="5A2B33D0" w14:textId="77777777" w:rsidR="005D7ABA" w:rsidRDefault="000D38DA" w:rsidP="00CA0D72">
      <w:pPr>
        <w:ind w:right="-3"/>
      </w:pPr>
      <w:r w:rsidRPr="000D38DA">
        <w:t>Several of the reports in the evaluation of the TCP have considered different aspects of the costs of the program, including costs from an individual perspective (Recipient Snapshot Study (National Evaluation of the Transition Care Program 2007b)), jurisdictional perspective (Models of Transition Care Report (National Evaluation of the Transition Care Program 2007a)) and the Cost and Effects Study (National Evaluation of the Transition Care Program 2008).  Further evidence concerning costs and effects of the TCP relative to Control 2 are also presented in this section.</w:t>
      </w:r>
    </w:p>
    <w:p w14:paraId="40DA380C" w14:textId="77777777" w:rsidR="005D7ABA" w:rsidRDefault="000D38DA" w:rsidP="00CA0D72">
      <w:pPr>
        <w:ind w:right="-3"/>
      </w:pPr>
      <w:r w:rsidRPr="000D38DA">
        <w:t>Information concerning the costs incurred by recipients of TC was collected in the telephone interviews with recipients (National Evaluation of the Transition Care Program 2007b).  Recipients were asked about the daily charge for receiving TC that was levied by the TC service and any out of pocket costs they had incurred in relation to equipment or home modifications as a result of receiving TC.  Of the interviewed recipients who received TC only in a community setting, 39% reported that their co-payment fees were waived.  Among those who made a co-payment, the weekly average was $35.36 (SD $11.48), less than the capped amount of $45.95 that prevailed at the time of the interviews.  A total of 32% of the recipients of TC only in a residential setting reported their co-payment fees were waived, and the reported average weekly fee was $178.97 (SD 91.51) among those who made a co-payment, again less than the capped fee of $223.17.  Close to one half of respondents reported additional costs were incurred as a direct result of receiving TC, and the median expenditure was $200.  The reported costs were predominantly for equipment and home modifications.</w:t>
      </w:r>
    </w:p>
    <w:p w14:paraId="6990A984" w14:textId="77777777" w:rsidR="005D7ABA" w:rsidRDefault="000D38DA" w:rsidP="00CA0D72">
      <w:pPr>
        <w:ind w:right="-3"/>
      </w:pPr>
      <w:r w:rsidRPr="000D38DA">
        <w:t>Economic modelling in health technology assessment considers costs relative to effects of alternative strategies in a defined population.  From a government perspective, costs need to encompass program delivery, hospital costs, and residential aged care costs.  Analyses at three months post ACAT approval have been reported previously and are summarized here.  Additional analyses that examine the cost effectiveness of TC at six months post ACAT approval are also reported here.</w:t>
      </w:r>
    </w:p>
    <w:p w14:paraId="1A52C5B7" w14:textId="77777777" w:rsidR="005D7ABA" w:rsidRDefault="000D38DA" w:rsidP="00CA0D72">
      <w:pPr>
        <w:ind w:right="-3"/>
      </w:pPr>
      <w:r w:rsidRPr="000D38DA">
        <w:t>A national analysis that concentrated on the cost effectiveness of TC for recipients of TC only in a community setting compared to Control 2 was undertaken at three months post ACAT approval as part of the Costs and Effects Study (National Evaluation of the Transition Care Program 2008).  This analysis demonstrated that recipients of TC only in a community setting had an average of 11.8 days more of survival without institutional care (SWIC) - that is, residential or hospital care - in comparison to the Control 2 group.  Total costs for the TC recipients over the three months post ACAT approval were estimated to be $10,461 greater than those for the Control 2 group.  Thus the incremental cost per day of SWIC for the TC recipients was estimated $10,461/11.8 = $888 per day, with an estimated 95% CI of $737 - $1,135.  This is illustrated in Figure 6.1.</w:t>
      </w:r>
    </w:p>
    <w:p w14:paraId="3FB53667" w14:textId="6DC42F2D" w:rsidR="00861FD3" w:rsidRDefault="00861FD3" w:rsidP="00CA0D72">
      <w:pPr>
        <w:ind w:right="-3"/>
        <w:rPr>
          <w:b/>
        </w:rPr>
      </w:pPr>
    </w:p>
    <w:p w14:paraId="2F50B2BA" w14:textId="77777777" w:rsidR="005D7ABA" w:rsidRDefault="000D38DA" w:rsidP="00C2421C">
      <w:pPr>
        <w:pStyle w:val="Heading3"/>
      </w:pPr>
      <w:bookmarkStart w:id="87" w:name="_Toc402348933"/>
      <w:r w:rsidRPr="000D38DA">
        <w:lastRenderedPageBreak/>
        <w:t>Figure 6.1: Joint distribution of incremental cost and effects for recipients of Transition Care only in a community setting vs. Control 2 at three months post ACAT approval</w:t>
      </w:r>
      <w:bookmarkEnd w:id="87"/>
    </w:p>
    <w:p w14:paraId="415289E3" w14:textId="7477B466" w:rsidR="00861FD3" w:rsidRPr="00861FD3" w:rsidRDefault="00CA0D72" w:rsidP="00CA0D72">
      <w:pPr>
        <w:ind w:right="-3"/>
      </w:pPr>
      <w:r>
        <w:rPr>
          <w:noProof/>
        </w:rPr>
        <w:drawing>
          <wp:inline distT="0" distB="0" distL="0" distR="0" wp14:anchorId="72239EAE" wp14:editId="5B8B652E">
            <wp:extent cx="6207125" cy="4336415"/>
            <wp:effectExtent l="0" t="0" r="0" b="0"/>
            <wp:docPr id="48" name="Picture 48" descr="Joint distribution of incremental cost and effects for recipients of Transition Care only in a community setting vs. Control 2 at three months post ACAT approval. &#10;Shows point estimate (R=$888/day SWIC, upper 95% (R=$1135/day SWIC) and lower CI (R=$737/day SW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Joint distribution of incremental cost and effects for recipients of Transition Care only in a community setting vs. Control 2 at three months post ACAT approval. &#10;Shows point estimate (R=$888/day SWIC, upper 95% (R=$1135/day SWIC) and lower CI (R=$737/day SW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7125" cy="4336415"/>
                    </a:xfrm>
                    <a:prstGeom prst="rect">
                      <a:avLst/>
                    </a:prstGeom>
                    <a:noFill/>
                    <a:ln>
                      <a:noFill/>
                    </a:ln>
                  </pic:spPr>
                </pic:pic>
              </a:graphicData>
            </a:graphic>
          </wp:inline>
        </w:drawing>
      </w:r>
    </w:p>
    <w:p w14:paraId="121867B4" w14:textId="77777777" w:rsidR="005D7ABA" w:rsidRDefault="000D38DA" w:rsidP="00CA0D72">
      <w:pPr>
        <w:ind w:right="-3"/>
      </w:pPr>
      <w:r w:rsidRPr="000D38DA">
        <w:t>It is important to note that the incremental costs varied considerably between jurisdictions, and ranged from $557 per day in Victoria to $1,140 per day in New South Wales (National Evaluation of the Transition Care Program 2008).  This suggests that the different ways of implementing TC have very different costs.</w:t>
      </w:r>
    </w:p>
    <w:p w14:paraId="0C6881B7" w14:textId="77777777" w:rsidR="005D7ABA" w:rsidRDefault="000D38DA" w:rsidP="00CA0D72">
      <w:pPr>
        <w:ind w:right="-3"/>
      </w:pPr>
      <w:r w:rsidRPr="000D38DA">
        <w:t>At six months from the time of ACAT approval, the cost effectiveness of TC delivered only in a community setting versus Control 2 was analysed.  This showed that recipients of TC only in a community setting were estimated to have an additional 28.9 days of SWIC in comparison with Control 2 (156.4 vs. 127.4 days).</w:t>
      </w:r>
    </w:p>
    <w:p w14:paraId="1404B985" w14:textId="77777777" w:rsidR="005D7ABA" w:rsidRDefault="000D38DA" w:rsidP="00CA0D72">
      <w:pPr>
        <w:ind w:right="-3"/>
      </w:pPr>
      <w:r w:rsidRPr="000D38DA">
        <w:t>The average costs for the recipients of TC only in a community setting were estimated to be $9,942 greater per recipient than those for people in the Control 2 group over the six months post ACAT approval.  This was attributable to $12,094 greater direct payments ($12,949 vs. $855), less $1,226 for reduced hospitalization ($6,523 vs. $7,749) and $926 for reduced residential aged care use ($511 vs. $1,437).  Table 6.1 summarises these results.</w:t>
      </w:r>
    </w:p>
    <w:p w14:paraId="121484A5" w14:textId="20450CB2" w:rsidR="000D38DA" w:rsidRDefault="000D38DA" w:rsidP="00C2421C">
      <w:pPr>
        <w:pStyle w:val="Heading4"/>
      </w:pPr>
      <w:r w:rsidRPr="000D38DA">
        <w:t>Table 6.1: Summary of national incremental costs and effects at six months post ACAT approval in recipients of Transition Care only in a community setting vs. Control 2</w:t>
      </w:r>
    </w:p>
    <w:tbl>
      <w:tblPr>
        <w:tblStyle w:val="TableGrid"/>
        <w:tblW w:w="8719" w:type="dxa"/>
        <w:tblLook w:val="0000" w:firstRow="0" w:lastRow="0" w:firstColumn="0" w:lastColumn="0" w:noHBand="0" w:noVBand="0"/>
        <w:tblDescription w:val="Table 6.1: Summary of national incremental costs and effects at six months post ACAT approval in recipients of Transition Care only in a community setting vs. Control 2"/>
      </w:tblPr>
      <w:tblGrid>
        <w:gridCol w:w="4270"/>
        <w:gridCol w:w="1891"/>
        <w:gridCol w:w="1276"/>
        <w:gridCol w:w="1282"/>
      </w:tblGrid>
      <w:tr w:rsidR="00891276" w:rsidRPr="00891276" w14:paraId="5616FBFD" w14:textId="77777777" w:rsidTr="00C2421C">
        <w:trPr>
          <w:trHeight w:val="315"/>
          <w:tblHeader/>
        </w:trPr>
        <w:tc>
          <w:tcPr>
            <w:tcW w:w="4270" w:type="dxa"/>
            <w:noWrap/>
          </w:tcPr>
          <w:p w14:paraId="383158E0" w14:textId="77777777" w:rsidR="00891276" w:rsidRPr="00891276" w:rsidRDefault="00891276" w:rsidP="00CA0D72">
            <w:pPr>
              <w:pStyle w:val="Table"/>
              <w:ind w:right="-3"/>
              <w:rPr>
                <w:b/>
              </w:rPr>
            </w:pPr>
            <w:r w:rsidRPr="00891276">
              <w:rPr>
                <w:b/>
              </w:rPr>
              <w:t>Item</w:t>
            </w:r>
          </w:p>
        </w:tc>
        <w:tc>
          <w:tcPr>
            <w:tcW w:w="1891" w:type="dxa"/>
            <w:noWrap/>
          </w:tcPr>
          <w:p w14:paraId="582B6649" w14:textId="77777777" w:rsidR="00891276" w:rsidRPr="00891276" w:rsidRDefault="00891276" w:rsidP="00CA0D72">
            <w:pPr>
              <w:pStyle w:val="Table"/>
              <w:ind w:right="-3"/>
              <w:rPr>
                <w:b/>
              </w:rPr>
            </w:pPr>
            <w:r w:rsidRPr="00891276">
              <w:rPr>
                <w:b/>
              </w:rPr>
              <w:t>Community TC</w:t>
            </w:r>
          </w:p>
        </w:tc>
        <w:tc>
          <w:tcPr>
            <w:tcW w:w="1276" w:type="dxa"/>
            <w:noWrap/>
          </w:tcPr>
          <w:p w14:paraId="13FFE15A" w14:textId="77777777" w:rsidR="00891276" w:rsidRPr="00891276" w:rsidRDefault="00891276" w:rsidP="00CA0D72">
            <w:pPr>
              <w:pStyle w:val="Table"/>
              <w:ind w:right="-3"/>
              <w:rPr>
                <w:b/>
              </w:rPr>
            </w:pPr>
            <w:r w:rsidRPr="00891276">
              <w:rPr>
                <w:b/>
              </w:rPr>
              <w:t>Control 2</w:t>
            </w:r>
          </w:p>
        </w:tc>
        <w:tc>
          <w:tcPr>
            <w:tcW w:w="1282" w:type="dxa"/>
            <w:noWrap/>
          </w:tcPr>
          <w:p w14:paraId="5A750393" w14:textId="77777777" w:rsidR="00891276" w:rsidRPr="00891276" w:rsidRDefault="00891276" w:rsidP="00CA0D72">
            <w:pPr>
              <w:pStyle w:val="Table"/>
              <w:ind w:right="-3"/>
              <w:rPr>
                <w:b/>
              </w:rPr>
            </w:pPr>
            <w:r w:rsidRPr="00891276">
              <w:rPr>
                <w:b/>
              </w:rPr>
              <w:t>Difference</w:t>
            </w:r>
          </w:p>
        </w:tc>
      </w:tr>
      <w:tr w:rsidR="00891276" w:rsidRPr="00891276" w14:paraId="0B0A5FBB" w14:textId="77777777" w:rsidTr="00C2421C">
        <w:trPr>
          <w:trHeight w:val="315"/>
        </w:trPr>
        <w:tc>
          <w:tcPr>
            <w:tcW w:w="4270" w:type="dxa"/>
            <w:noWrap/>
          </w:tcPr>
          <w:p w14:paraId="4ACDEDBB" w14:textId="77777777" w:rsidR="00891276" w:rsidRPr="00891276" w:rsidRDefault="00891276" w:rsidP="00CA0D72">
            <w:pPr>
              <w:pStyle w:val="Table"/>
              <w:ind w:right="-3"/>
            </w:pPr>
            <w:r w:rsidRPr="00891276">
              <w:t>Direct costs</w:t>
            </w:r>
          </w:p>
        </w:tc>
        <w:tc>
          <w:tcPr>
            <w:tcW w:w="1891" w:type="dxa"/>
            <w:noWrap/>
          </w:tcPr>
          <w:p w14:paraId="5925EA16" w14:textId="77777777" w:rsidR="00891276" w:rsidRPr="00891276" w:rsidRDefault="00891276" w:rsidP="00CA0D72">
            <w:pPr>
              <w:pStyle w:val="Table"/>
              <w:ind w:right="-3"/>
            </w:pPr>
            <w:r w:rsidRPr="00891276">
              <w:t>$12,949</w:t>
            </w:r>
          </w:p>
        </w:tc>
        <w:tc>
          <w:tcPr>
            <w:tcW w:w="1276" w:type="dxa"/>
            <w:noWrap/>
          </w:tcPr>
          <w:p w14:paraId="1E922EF4" w14:textId="77777777" w:rsidR="00891276" w:rsidRPr="00891276" w:rsidRDefault="00891276" w:rsidP="00CA0D72">
            <w:pPr>
              <w:pStyle w:val="Table"/>
              <w:ind w:right="-3"/>
            </w:pPr>
            <w:r w:rsidRPr="00891276">
              <w:t>$855</w:t>
            </w:r>
          </w:p>
        </w:tc>
        <w:tc>
          <w:tcPr>
            <w:tcW w:w="1282" w:type="dxa"/>
            <w:noWrap/>
          </w:tcPr>
          <w:p w14:paraId="691FFBC3" w14:textId="77777777" w:rsidR="00891276" w:rsidRPr="00891276" w:rsidRDefault="00891276" w:rsidP="00CA0D72">
            <w:pPr>
              <w:pStyle w:val="Table"/>
              <w:ind w:right="-3"/>
            </w:pPr>
            <w:r w:rsidRPr="00891276">
              <w:t>$12,094</w:t>
            </w:r>
          </w:p>
        </w:tc>
      </w:tr>
      <w:tr w:rsidR="00891276" w:rsidRPr="00891276" w14:paraId="58895892" w14:textId="77777777" w:rsidTr="00C2421C">
        <w:trPr>
          <w:trHeight w:val="315"/>
        </w:trPr>
        <w:tc>
          <w:tcPr>
            <w:tcW w:w="4270" w:type="dxa"/>
            <w:noWrap/>
          </w:tcPr>
          <w:p w14:paraId="28072E06" w14:textId="77777777" w:rsidR="00891276" w:rsidRPr="00891276" w:rsidRDefault="00891276" w:rsidP="00CA0D72">
            <w:pPr>
              <w:pStyle w:val="Table"/>
              <w:ind w:right="-3"/>
            </w:pPr>
            <w:r w:rsidRPr="00891276">
              <w:t>Hospital costs</w:t>
            </w:r>
          </w:p>
        </w:tc>
        <w:tc>
          <w:tcPr>
            <w:tcW w:w="1891" w:type="dxa"/>
            <w:noWrap/>
          </w:tcPr>
          <w:p w14:paraId="367D72A6" w14:textId="77777777" w:rsidR="00891276" w:rsidRPr="00891276" w:rsidRDefault="00891276" w:rsidP="00CA0D72">
            <w:pPr>
              <w:pStyle w:val="Table"/>
              <w:ind w:right="-3"/>
            </w:pPr>
            <w:r w:rsidRPr="00891276">
              <w:t>$6,523</w:t>
            </w:r>
          </w:p>
        </w:tc>
        <w:tc>
          <w:tcPr>
            <w:tcW w:w="1276" w:type="dxa"/>
            <w:noWrap/>
          </w:tcPr>
          <w:p w14:paraId="05A41550" w14:textId="77777777" w:rsidR="00891276" w:rsidRPr="00891276" w:rsidRDefault="00891276" w:rsidP="00CA0D72">
            <w:pPr>
              <w:pStyle w:val="Table"/>
              <w:ind w:right="-3"/>
            </w:pPr>
            <w:r w:rsidRPr="00891276">
              <w:t>$7,749</w:t>
            </w:r>
          </w:p>
        </w:tc>
        <w:tc>
          <w:tcPr>
            <w:tcW w:w="1282" w:type="dxa"/>
            <w:noWrap/>
          </w:tcPr>
          <w:p w14:paraId="02D24AB9" w14:textId="77777777" w:rsidR="00891276" w:rsidRPr="00891276" w:rsidRDefault="00891276" w:rsidP="00CA0D72">
            <w:pPr>
              <w:pStyle w:val="Table"/>
              <w:ind w:right="-3"/>
            </w:pPr>
            <w:r w:rsidRPr="00891276">
              <w:t>-$1,226</w:t>
            </w:r>
          </w:p>
        </w:tc>
      </w:tr>
      <w:tr w:rsidR="00891276" w:rsidRPr="00891276" w14:paraId="5D72FEEA" w14:textId="77777777" w:rsidTr="00C2421C">
        <w:trPr>
          <w:trHeight w:val="315"/>
        </w:trPr>
        <w:tc>
          <w:tcPr>
            <w:tcW w:w="4270" w:type="dxa"/>
            <w:noWrap/>
          </w:tcPr>
          <w:p w14:paraId="2817D02E" w14:textId="77777777" w:rsidR="00891276" w:rsidRPr="00891276" w:rsidRDefault="00891276" w:rsidP="00CA0D72">
            <w:pPr>
              <w:pStyle w:val="Table"/>
              <w:ind w:right="-3"/>
            </w:pPr>
            <w:r w:rsidRPr="00891276">
              <w:t>Residential aged care costs</w:t>
            </w:r>
          </w:p>
        </w:tc>
        <w:tc>
          <w:tcPr>
            <w:tcW w:w="1891" w:type="dxa"/>
            <w:noWrap/>
          </w:tcPr>
          <w:p w14:paraId="349A37D9" w14:textId="77777777" w:rsidR="00891276" w:rsidRPr="00891276" w:rsidRDefault="00891276" w:rsidP="00CA0D72">
            <w:pPr>
              <w:pStyle w:val="Table"/>
              <w:ind w:right="-3"/>
            </w:pPr>
            <w:r w:rsidRPr="00891276">
              <w:t>$511</w:t>
            </w:r>
          </w:p>
        </w:tc>
        <w:tc>
          <w:tcPr>
            <w:tcW w:w="1276" w:type="dxa"/>
            <w:noWrap/>
          </w:tcPr>
          <w:p w14:paraId="1B5D5015" w14:textId="77777777" w:rsidR="00891276" w:rsidRPr="00891276" w:rsidRDefault="00891276" w:rsidP="00CA0D72">
            <w:pPr>
              <w:pStyle w:val="Table"/>
              <w:ind w:right="-3"/>
            </w:pPr>
            <w:r w:rsidRPr="00891276">
              <w:t>$1,437</w:t>
            </w:r>
          </w:p>
        </w:tc>
        <w:tc>
          <w:tcPr>
            <w:tcW w:w="1282" w:type="dxa"/>
            <w:noWrap/>
          </w:tcPr>
          <w:p w14:paraId="65D5FDB5" w14:textId="77777777" w:rsidR="00891276" w:rsidRPr="00891276" w:rsidRDefault="00891276" w:rsidP="00CA0D72">
            <w:pPr>
              <w:pStyle w:val="Table"/>
              <w:ind w:right="-3"/>
            </w:pPr>
            <w:r w:rsidRPr="00891276">
              <w:t>-$926</w:t>
            </w:r>
          </w:p>
        </w:tc>
      </w:tr>
      <w:tr w:rsidR="00891276" w:rsidRPr="00891276" w14:paraId="416E265C" w14:textId="77777777" w:rsidTr="00C2421C">
        <w:trPr>
          <w:trHeight w:val="315"/>
        </w:trPr>
        <w:tc>
          <w:tcPr>
            <w:tcW w:w="4270" w:type="dxa"/>
            <w:noWrap/>
          </w:tcPr>
          <w:p w14:paraId="1FAA4202" w14:textId="77777777" w:rsidR="00891276" w:rsidRPr="00891276" w:rsidRDefault="00891276" w:rsidP="00CA0D72">
            <w:pPr>
              <w:pStyle w:val="Table"/>
              <w:ind w:right="-3"/>
            </w:pPr>
            <w:r w:rsidRPr="00891276">
              <w:t>Total costs</w:t>
            </w:r>
          </w:p>
        </w:tc>
        <w:tc>
          <w:tcPr>
            <w:tcW w:w="1891" w:type="dxa"/>
            <w:noWrap/>
          </w:tcPr>
          <w:p w14:paraId="61B308E3" w14:textId="77777777" w:rsidR="00891276" w:rsidRPr="00891276" w:rsidRDefault="00891276" w:rsidP="00CA0D72">
            <w:pPr>
              <w:pStyle w:val="Table"/>
              <w:ind w:right="-3"/>
            </w:pPr>
            <w:r w:rsidRPr="00891276">
              <w:t>$19,983</w:t>
            </w:r>
          </w:p>
        </w:tc>
        <w:tc>
          <w:tcPr>
            <w:tcW w:w="1276" w:type="dxa"/>
            <w:noWrap/>
          </w:tcPr>
          <w:p w14:paraId="2C68D537" w14:textId="77777777" w:rsidR="00891276" w:rsidRPr="00891276" w:rsidRDefault="00891276" w:rsidP="00CA0D72">
            <w:pPr>
              <w:pStyle w:val="Table"/>
              <w:ind w:right="-3"/>
            </w:pPr>
            <w:r w:rsidRPr="00891276">
              <w:t>$10,041</w:t>
            </w:r>
          </w:p>
        </w:tc>
        <w:tc>
          <w:tcPr>
            <w:tcW w:w="1282" w:type="dxa"/>
            <w:noWrap/>
          </w:tcPr>
          <w:p w14:paraId="4CC87645" w14:textId="77777777" w:rsidR="00891276" w:rsidRPr="00891276" w:rsidRDefault="00891276" w:rsidP="00CA0D72">
            <w:pPr>
              <w:pStyle w:val="Table"/>
              <w:ind w:right="-3"/>
            </w:pPr>
            <w:r w:rsidRPr="00891276">
              <w:t>$9,942</w:t>
            </w:r>
          </w:p>
        </w:tc>
      </w:tr>
      <w:tr w:rsidR="00891276" w:rsidRPr="00891276" w14:paraId="51ECCF5F" w14:textId="77777777" w:rsidTr="00C2421C">
        <w:trPr>
          <w:trHeight w:val="315"/>
        </w:trPr>
        <w:tc>
          <w:tcPr>
            <w:tcW w:w="4270" w:type="dxa"/>
            <w:noWrap/>
          </w:tcPr>
          <w:p w14:paraId="39C2637A" w14:textId="77777777" w:rsidR="00891276" w:rsidRPr="00891276" w:rsidRDefault="00891276" w:rsidP="00CA0D72">
            <w:pPr>
              <w:pStyle w:val="Table"/>
              <w:ind w:right="-3"/>
            </w:pPr>
            <w:r w:rsidRPr="00891276">
              <w:t>Days of survival without institutional care</w:t>
            </w:r>
          </w:p>
        </w:tc>
        <w:tc>
          <w:tcPr>
            <w:tcW w:w="1891" w:type="dxa"/>
            <w:noWrap/>
          </w:tcPr>
          <w:p w14:paraId="716F00CE" w14:textId="77777777" w:rsidR="00891276" w:rsidRPr="00891276" w:rsidRDefault="00891276" w:rsidP="00CA0D72">
            <w:pPr>
              <w:pStyle w:val="Table"/>
              <w:ind w:right="-3"/>
            </w:pPr>
            <w:r w:rsidRPr="00891276">
              <w:t>156.4</w:t>
            </w:r>
          </w:p>
        </w:tc>
        <w:tc>
          <w:tcPr>
            <w:tcW w:w="1276" w:type="dxa"/>
            <w:noWrap/>
          </w:tcPr>
          <w:p w14:paraId="4A7ED599" w14:textId="77777777" w:rsidR="00891276" w:rsidRPr="00891276" w:rsidRDefault="00891276" w:rsidP="00CA0D72">
            <w:pPr>
              <w:pStyle w:val="Table"/>
              <w:ind w:right="-3"/>
            </w:pPr>
            <w:r w:rsidRPr="00891276">
              <w:t>127.4</w:t>
            </w:r>
          </w:p>
        </w:tc>
        <w:tc>
          <w:tcPr>
            <w:tcW w:w="1282" w:type="dxa"/>
            <w:noWrap/>
          </w:tcPr>
          <w:p w14:paraId="7ED524AC" w14:textId="77777777" w:rsidR="00891276" w:rsidRPr="00891276" w:rsidRDefault="00891276" w:rsidP="00CA0D72">
            <w:pPr>
              <w:pStyle w:val="Table"/>
              <w:ind w:right="-3"/>
            </w:pPr>
            <w:r w:rsidRPr="00891276">
              <w:t>28.9</w:t>
            </w:r>
          </w:p>
        </w:tc>
      </w:tr>
    </w:tbl>
    <w:p w14:paraId="04DC5724" w14:textId="77777777" w:rsidR="00861FD3" w:rsidRPr="00861FD3" w:rsidRDefault="00861FD3" w:rsidP="00CA0D72">
      <w:pPr>
        <w:ind w:right="-3"/>
        <w:rPr>
          <w:b/>
        </w:rPr>
      </w:pPr>
    </w:p>
    <w:p w14:paraId="0BAE5EF8" w14:textId="77777777" w:rsidR="005D7ABA" w:rsidRDefault="000D38DA" w:rsidP="00CA0D72">
      <w:pPr>
        <w:ind w:right="-3"/>
      </w:pPr>
      <w:r w:rsidRPr="000D38DA">
        <w:lastRenderedPageBreak/>
        <w:t>Comparing national unadjusted effects and costs data for recipients of TC only in a community setting versus Control 2 at six months, an incremental cost per day of SWIC (hospital or residential) is estimated at $344 (i.e. $9,942/28.9).  Uncertainty around this point estimate is shown in Figure 6.2, which demonstrates the 95%CI around this estimate to be $279 - $420.</w:t>
      </w:r>
    </w:p>
    <w:p w14:paraId="6E66F22C" w14:textId="77777777" w:rsidR="005D7ABA" w:rsidRDefault="000D38DA" w:rsidP="00C2421C">
      <w:pPr>
        <w:pStyle w:val="Heading4"/>
      </w:pPr>
      <w:r w:rsidRPr="000D38DA">
        <w:t>Figure 6.2: Joint distribution of incremental cost and effects for recipients of Transition Care only in a community setting vs. Control 2 at six months post ACAT approval</w:t>
      </w:r>
    </w:p>
    <w:p w14:paraId="13D09FAC" w14:textId="3B7E1135" w:rsidR="00891276" w:rsidRPr="00891276" w:rsidRDefault="00CA0D72" w:rsidP="00CA0D72">
      <w:pPr>
        <w:ind w:right="-3"/>
      </w:pPr>
      <w:r>
        <w:rPr>
          <w:b/>
          <w:noProof/>
        </w:rPr>
        <w:drawing>
          <wp:inline distT="0" distB="0" distL="0" distR="0" wp14:anchorId="0DB58C2D" wp14:editId="08CF547F">
            <wp:extent cx="6207125" cy="4267200"/>
            <wp:effectExtent l="0" t="0" r="0" b="0"/>
            <wp:docPr id="49" name="Picture 49" descr="Joint distribution of incremental cost and effects for recipients of Transition Care only in a community setting vs. Control 2 at six  months post ACAT approval. &#10;Shows point estimate (R=$344/day SWIC, upper 95% (R=$420/day SWIC) and lower CI (R=$279/day SW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Joint distribution of incremental cost and effects for recipients of Transition Care only in a community setting vs. Control 2 at six  months post ACAT approval. &#10;Shows point estimate (R=$344/day SWIC, upper 95% (R=$420/day SWIC) and lower CI (R=$279/day SW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7125" cy="4267200"/>
                    </a:xfrm>
                    <a:prstGeom prst="rect">
                      <a:avLst/>
                    </a:prstGeom>
                    <a:noFill/>
                    <a:ln>
                      <a:noFill/>
                    </a:ln>
                  </pic:spPr>
                </pic:pic>
              </a:graphicData>
            </a:graphic>
          </wp:inline>
        </w:drawing>
      </w:r>
    </w:p>
    <w:p w14:paraId="1404626F" w14:textId="77777777" w:rsidR="005D7ABA" w:rsidRDefault="000D38DA" w:rsidP="00CA0D72">
      <w:pPr>
        <w:ind w:right="-3"/>
      </w:pPr>
      <w:r w:rsidRPr="000D38DA">
        <w:t>Given the joint distribution displayed in Figure 6.2, the probability that receiving TC only in a community setting is cost effective relative to Control 2 with six months post ACAT approval is shown in the cost effectiveness acceptability curve (Figure 6.3).  This figure informs decision makers of the probability that TC is cost effective relative to Control 2 for plausible decision maker threshold values for an additional day of SWIC.</w:t>
      </w:r>
    </w:p>
    <w:p w14:paraId="61D60C1C" w14:textId="7E656C9B" w:rsidR="006A143A" w:rsidRDefault="006A143A" w:rsidP="00CA0D72">
      <w:pPr>
        <w:ind w:right="-3"/>
        <w:rPr>
          <w:b/>
        </w:rPr>
      </w:pPr>
    </w:p>
    <w:p w14:paraId="61DD55E7" w14:textId="77777777" w:rsidR="005D7ABA" w:rsidRDefault="006A143A" w:rsidP="00CA0D72">
      <w:pPr>
        <w:ind w:right="-3"/>
        <w:rPr>
          <w:b/>
        </w:rPr>
      </w:pPr>
      <w:r>
        <w:rPr>
          <w:b/>
        </w:rPr>
        <w:br w:type="page"/>
      </w:r>
      <w:r w:rsidR="000D38DA" w:rsidRPr="000D38DA">
        <w:rPr>
          <w:b/>
        </w:rPr>
        <w:lastRenderedPageBreak/>
        <w:t>Figure 6.3: National cost effectiveness acceptability curve for recipients of Transition Care only in a community setting vs. Control 2 at six months post ACAT approval</w:t>
      </w:r>
    </w:p>
    <w:p w14:paraId="44E941A4" w14:textId="0740F400" w:rsidR="00891276" w:rsidRDefault="00CA0D72" w:rsidP="00CA0D72">
      <w:pPr>
        <w:ind w:right="-3"/>
      </w:pPr>
      <w:r>
        <w:rPr>
          <w:noProof/>
        </w:rPr>
        <w:drawing>
          <wp:inline distT="0" distB="0" distL="0" distR="0" wp14:anchorId="14E93DD1" wp14:editId="5BA23569">
            <wp:extent cx="6207125" cy="3712845"/>
            <wp:effectExtent l="0" t="0" r="3175" b="1905"/>
            <wp:docPr id="50" name="Picture 50" descr="Figure 6.3 indicates that based on six month follow-up data from the time of ACAT approval there is a 50% probability that receiving TC only in a community setting is cost effective relative to Control 2 at a value of $344 per day of additional SWIC, given evidence of the distribution of costs and effects in Figure 6.2.  At $279 the probability is 2.5%, rising to 97.5% at $420 per day SW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ational cost effectiveness acceptability curve for recipients of Transition Care only in a community setting vs. Control 2 at six months post ACAT approval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7125" cy="3712845"/>
                    </a:xfrm>
                    <a:prstGeom prst="rect">
                      <a:avLst/>
                    </a:prstGeom>
                    <a:noFill/>
                    <a:ln>
                      <a:noFill/>
                    </a:ln>
                  </pic:spPr>
                </pic:pic>
              </a:graphicData>
            </a:graphic>
          </wp:inline>
        </w:drawing>
      </w:r>
    </w:p>
    <w:p w14:paraId="30729DF6" w14:textId="77777777" w:rsidR="005D7ABA" w:rsidRDefault="000D38DA" w:rsidP="00CA0D72">
      <w:pPr>
        <w:ind w:right="-3"/>
      </w:pPr>
      <w:r w:rsidRPr="000D38DA">
        <w:t>Figure 6.3 indicates that based on six month follow-up data from the time of ACAT approval there is a 50% probability that receiving TC only in a community setting is cost effective relative to Control 2 at a value of $344 per day of additional SWIC, given evidence of the distribution of costs and effects in Figure 6.2.  At $279 the probability is 2.5%, rising to 97.5% at $420 per day SWIC.</w:t>
      </w:r>
    </w:p>
    <w:p w14:paraId="25493B8E" w14:textId="77777777" w:rsidR="005D7ABA" w:rsidRDefault="000D38DA" w:rsidP="00CA0D72">
      <w:pPr>
        <w:ind w:right="-3"/>
      </w:pPr>
      <w:r w:rsidRPr="000D38DA">
        <w:t>Figure 6.4 shows the expected incremental net benefit over six months post ACAT approval of receiving TC only in a community setting relative to Control 2, dependant on threshold values for effects (additional days of SWIC).</w:t>
      </w:r>
    </w:p>
    <w:p w14:paraId="61A2EC59" w14:textId="77777777" w:rsidR="005D7ABA" w:rsidRDefault="000D38DA" w:rsidP="00C2421C">
      <w:pPr>
        <w:pStyle w:val="Heading4"/>
      </w:pPr>
      <w:r w:rsidRPr="000D38DA">
        <w:t>Figure 6.4: National net benefit curve for recipients of Transition Care only in a community setting vs. Control 2 at six months post ACAT approval</w:t>
      </w:r>
    </w:p>
    <w:p w14:paraId="6401EDBC" w14:textId="057E8437" w:rsidR="006A143A" w:rsidRDefault="00CA0D72" w:rsidP="00CA0D72">
      <w:pPr>
        <w:ind w:right="-3"/>
      </w:pPr>
      <w:r>
        <w:rPr>
          <w:noProof/>
        </w:rPr>
        <w:lastRenderedPageBreak/>
        <w:drawing>
          <wp:inline distT="0" distB="0" distL="0" distR="0" wp14:anchorId="25777AC5" wp14:editId="73AD9CCC">
            <wp:extent cx="6207125" cy="3948430"/>
            <wp:effectExtent l="0" t="0" r="0" b="0"/>
            <wp:docPr id="51" name="Picture 51" descr="Graph of National net benefit curve for recipients of Transition Care only in a community setting vs. Control 2 at six months post ACAT approval.  &#10;Demonstrates that restricted to evidence from six months of follow-up, the expected value of receiving TC only in a community setting is equivalent to that of Control 2 at a value of $344 per additional day of SW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aph of National net benefit curve for recipients of Transition Care only in a community setting vs. Control 2 at six months post ACAT approval.  &#10;Demonstrates that restricted to evidence from six months of follow-up, the expected value of receiving TC only in a community setting is equivalent to that of Control 2 at a value of $344 per additional day of SW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7125" cy="3948430"/>
                    </a:xfrm>
                    <a:prstGeom prst="rect">
                      <a:avLst/>
                    </a:prstGeom>
                    <a:noFill/>
                    <a:ln>
                      <a:noFill/>
                    </a:ln>
                  </pic:spPr>
                </pic:pic>
              </a:graphicData>
            </a:graphic>
          </wp:inline>
        </w:drawing>
      </w:r>
    </w:p>
    <w:p w14:paraId="390A2DD3" w14:textId="77777777" w:rsidR="006A143A" w:rsidRDefault="006A143A" w:rsidP="00CA0D72">
      <w:pPr>
        <w:ind w:right="-3"/>
      </w:pPr>
    </w:p>
    <w:p w14:paraId="5EBB24AD" w14:textId="77777777" w:rsidR="005D7ABA" w:rsidRDefault="000D38DA" w:rsidP="00CA0D72">
      <w:pPr>
        <w:ind w:right="-3"/>
      </w:pPr>
      <w:r w:rsidRPr="000D38DA">
        <w:t xml:space="preserve">Figure 6.4 demonstrates that restricted to evidence from six months of follow-up, the expected value of receiving TC only in a community setting is equivalent to that of Control 2 at a value of $344 per additional day of SWIC. For values above this threshold, TC delivered only in a community setting has a higher expected </w:t>
      </w:r>
      <w:proofErr w:type="gramStart"/>
      <w:r w:rsidRPr="000D38DA">
        <w:t>value,</w:t>
      </w:r>
      <w:proofErr w:type="gramEnd"/>
      <w:r w:rsidRPr="000D38DA">
        <w:t xml:space="preserve"> while for values below $344 Control 2 have higher expected value.  More generally, the difference in expected value at any given decision threshold value can be measured on the horizontal axis in monetary terms.</w:t>
      </w:r>
    </w:p>
    <w:p w14:paraId="23911C2B" w14:textId="77777777" w:rsidR="005D7ABA" w:rsidRDefault="000D38DA" w:rsidP="00CA0D72">
      <w:pPr>
        <w:ind w:right="-3"/>
      </w:pPr>
      <w:r w:rsidRPr="000D38DA">
        <w:t>It is important to note that the analyses presented here are restricted to six months of follow-up data post ACAT approval.  The direct costs of investing in TC are borne in the first three months post ACAT approval. However, benefits in terms of health outcomes and associated cost offsets from reduced residential aged care may continue beyond six months.  Therefore an analysis of the costs and effects of TC relative to other comparison groups over 12 months (to remove any seasonal effects) may provide further insight into the medium term effects of the TCP.</w:t>
      </w:r>
    </w:p>
    <w:p w14:paraId="3C688EE2" w14:textId="77777777" w:rsidR="005D7ABA" w:rsidRDefault="000D38DA" w:rsidP="00CA0D72">
      <w:pPr>
        <w:ind w:right="-3"/>
      </w:pPr>
      <w:r w:rsidRPr="000D38DA">
        <w:t>Finally, a point to bear in mind is that the economic analyses have used days of survival without institutional care as the effect.  Other important outcomes, such as the cost to achieve a one unit improvement in function (MBI) or quality of life, were not possible to examine as the data were not available.</w:t>
      </w:r>
    </w:p>
    <w:p w14:paraId="1523B399" w14:textId="10F259B7" w:rsidR="000D38DA" w:rsidRPr="000D38DA" w:rsidRDefault="000D38DA" w:rsidP="00CA0D72">
      <w:pPr>
        <w:ind w:right="-3"/>
      </w:pPr>
    </w:p>
    <w:p w14:paraId="79276067" w14:textId="77777777" w:rsidR="005D7ABA" w:rsidRDefault="000D38DA" w:rsidP="00CA0D72">
      <w:pPr>
        <w:pStyle w:val="Heading1"/>
        <w:ind w:right="-3"/>
      </w:pPr>
      <w:r>
        <w:br w:type="page"/>
      </w:r>
      <w:bookmarkStart w:id="88" w:name="_Toc402348934"/>
      <w:r w:rsidRPr="000D38DA">
        <w:lastRenderedPageBreak/>
        <w:t>7. What did the Transition Care services say about quality in Transition Care?</w:t>
      </w:r>
      <w:bookmarkEnd w:id="88"/>
    </w:p>
    <w:p w14:paraId="7F2D7363" w14:textId="77777777" w:rsidR="005D7ABA" w:rsidRDefault="000D38DA" w:rsidP="00CA0D72">
      <w:pPr>
        <w:pStyle w:val="Heading2"/>
        <w:ind w:right="-3"/>
      </w:pPr>
      <w:bookmarkStart w:id="89" w:name="_Toc402348935"/>
      <w:r w:rsidRPr="000D38DA">
        <w:t>Key points</w:t>
      </w:r>
      <w:bookmarkEnd w:id="89"/>
    </w:p>
    <w:p w14:paraId="6DCF3744" w14:textId="76AA528A" w:rsidR="005D7ABA" w:rsidRDefault="000D38DA" w:rsidP="00C2421C">
      <w:pPr>
        <w:pStyle w:val="Normal-Dot"/>
        <w:numPr>
          <w:ilvl w:val="0"/>
          <w:numId w:val="25"/>
        </w:numPr>
        <w:ind w:right="-3"/>
      </w:pPr>
      <w:r w:rsidRPr="00C2421C">
        <w:t>There was collaborative learning at state and regional levels and local service development.</w:t>
      </w:r>
    </w:p>
    <w:p w14:paraId="1FA1B9B0" w14:textId="77777777" w:rsidR="005D7ABA" w:rsidRDefault="000D38DA" w:rsidP="00C2421C">
      <w:pPr>
        <w:pStyle w:val="Normal-Dot"/>
        <w:numPr>
          <w:ilvl w:val="0"/>
          <w:numId w:val="25"/>
        </w:numPr>
        <w:ind w:right="-3"/>
      </w:pPr>
      <w:r w:rsidRPr="00C2421C">
        <w:t>Formalizing agreements between hospitals and community aged care providers is emerging as best practice in TC.</w:t>
      </w:r>
    </w:p>
    <w:p w14:paraId="51AF44A3" w14:textId="77777777" w:rsidR="005D7ABA" w:rsidRDefault="000D38DA" w:rsidP="00C2421C">
      <w:pPr>
        <w:pStyle w:val="Normal-Dot"/>
        <w:numPr>
          <w:ilvl w:val="0"/>
          <w:numId w:val="25"/>
        </w:numPr>
        <w:ind w:right="-3"/>
      </w:pPr>
      <w:r w:rsidRPr="00C2421C">
        <w:t>There is a clear workforce issue with all staff needing training in a restorative/rehabilitative model.</w:t>
      </w:r>
    </w:p>
    <w:p w14:paraId="4A65198F" w14:textId="77777777" w:rsidR="005D7ABA" w:rsidRDefault="000D38DA" w:rsidP="00C2421C">
      <w:pPr>
        <w:pStyle w:val="Normal-Dot"/>
        <w:numPr>
          <w:ilvl w:val="0"/>
          <w:numId w:val="25"/>
        </w:numPr>
        <w:ind w:right="-3"/>
      </w:pPr>
      <w:r w:rsidRPr="00C2421C">
        <w:t xml:space="preserve">Engaging General Practice in care planning and review remains challenging, and very few teams have succeeded in establishing a working relationship with medical specialists with expertise in elderly care (geriatricians, rehabilitation physicians, and </w:t>
      </w:r>
      <w:proofErr w:type="spellStart"/>
      <w:r w:rsidRPr="00C2421C">
        <w:t>psychogeriatricians</w:t>
      </w:r>
      <w:proofErr w:type="spellEnd"/>
      <w:r w:rsidRPr="00C2421C">
        <w:t>).</w:t>
      </w:r>
    </w:p>
    <w:p w14:paraId="41B95AA6" w14:textId="77777777" w:rsidR="005D7ABA" w:rsidRDefault="000D38DA" w:rsidP="00C2421C">
      <w:pPr>
        <w:pStyle w:val="Normal-Dot"/>
        <w:numPr>
          <w:ilvl w:val="0"/>
          <w:numId w:val="25"/>
        </w:numPr>
        <w:ind w:right="-3"/>
      </w:pPr>
      <w:r w:rsidRPr="00C2421C">
        <w:t>The role of community pharmacists in medication review requires clarification.</w:t>
      </w:r>
    </w:p>
    <w:p w14:paraId="296538BA" w14:textId="77777777" w:rsidR="005D7ABA" w:rsidRDefault="000D38DA" w:rsidP="00CA0D72">
      <w:pPr>
        <w:ind w:right="-3"/>
      </w:pPr>
      <w:r w:rsidRPr="000D38DA">
        <w:t>We found evidence from the 23 Quality Reports that service delivery was goal oriented, time limited and incorporated low intensity therapies aimed at maximising client independence.  Individualized care planning inclusive of the client, family members and other stakeholders involved in the client's longer term care was evidenced.  It was apparent that the requirements of TC, which centre on teamwork, case management, a restorative model of care, and efficient management of allocated TC places, require considerable adjustment for staff trained in clinical and residential aged care models.</w:t>
      </w:r>
    </w:p>
    <w:p w14:paraId="054610CE" w14:textId="77777777" w:rsidR="005D7ABA" w:rsidRDefault="000D38DA" w:rsidP="00CA0D72">
      <w:pPr>
        <w:ind w:right="-3"/>
      </w:pPr>
      <w:r w:rsidRPr="000D38DA">
        <w:t>Less well evidenced were GP, medical and pharmacist involvement in care planning and review, although this varied across services and regions.  Case managers were identified as having a key role in facilitating GP involvement in care planning and review.  The barriers to GP involvement in care planning and case conferencing are well documented (</w:t>
      </w:r>
      <w:proofErr w:type="spellStart"/>
      <w:r w:rsidRPr="000D38DA">
        <w:t>Shortus</w:t>
      </w:r>
      <w:proofErr w:type="spellEnd"/>
      <w:r w:rsidRPr="000D38DA">
        <w:t>, Coulson et al. 2005; Preen, Bailey et al. 2006), although Commonwealth initiatives to enhance GP involvement in residential aged care have had some success (</w:t>
      </w:r>
      <w:proofErr w:type="spellStart"/>
      <w:r w:rsidRPr="000D38DA">
        <w:t>Gadzhanova</w:t>
      </w:r>
      <w:proofErr w:type="spellEnd"/>
      <w:r w:rsidRPr="000D38DA">
        <w:t xml:space="preserve"> and Reed 2007).  Home Medication Management Reviews (Rigby 2006; Pit, </w:t>
      </w:r>
      <w:proofErr w:type="spellStart"/>
      <w:r w:rsidRPr="000D38DA">
        <w:t>Byles</w:t>
      </w:r>
      <w:proofErr w:type="spellEnd"/>
      <w:r w:rsidRPr="000D38DA">
        <w:t xml:space="preserve"> et al. 2007) were not noted in the Quality Reports assessed as part of this study.  Very few services were systematically involving a medical specialist in elderly care such as a geriatrician or rehabilitation physician in TC.</w:t>
      </w:r>
    </w:p>
    <w:p w14:paraId="40DB582E" w14:textId="77777777" w:rsidR="005D7ABA" w:rsidRDefault="000D38DA" w:rsidP="00CA0D72">
      <w:pPr>
        <w:ind w:right="-3"/>
      </w:pPr>
      <w:r w:rsidRPr="000D38DA">
        <w:t>It was reported that personal care staff were less familiar with the restorative/rehabilitation focus of TC and additional training opportunities were sought.  Timely transfer of information from the acute/sub-acute setting was not always achieved.  Similarly, waiting lists for HACC, CACP and EACH packages sometimes resulted in less than optimal care at the conclusion of the TC episode.</w:t>
      </w:r>
    </w:p>
    <w:p w14:paraId="6510C11D" w14:textId="77777777" w:rsidR="005D7ABA" w:rsidRDefault="000D38DA" w:rsidP="00CA0D72">
      <w:pPr>
        <w:ind w:right="-3"/>
      </w:pPr>
      <w:r w:rsidRPr="000D38DA">
        <w:t>We examined the first batch of quality reports submitted to state/territory Approved Providers and the Australian Government Department of Health &amp; Ageing.  The reports were completed on average nine months after commencement of the service and, with the exception of the pilot sites for the Innovation Care Rehabilitation Services (ICRS) program (Department of Health and Ageing 2005)</w:t>
      </w:r>
      <w:proofErr w:type="gramStart"/>
      <w:r w:rsidRPr="000D38DA">
        <w:t>,</w:t>
      </w:r>
      <w:proofErr w:type="gramEnd"/>
      <w:r w:rsidRPr="000D38DA">
        <w:t xml:space="preserve"> reflect the early development of service teams and partnership or brokerage models of service delivery.</w:t>
      </w:r>
    </w:p>
    <w:p w14:paraId="3A7E2D18" w14:textId="77777777" w:rsidR="005D7ABA" w:rsidRDefault="000D38DA" w:rsidP="00CA0D72">
      <w:pPr>
        <w:ind w:right="-3"/>
      </w:pPr>
      <w:r w:rsidRPr="000D38DA">
        <w:t xml:space="preserve">The TCP objectives, strategies, and service characteristics provide the conceptual framework for a set of key requirements against which services are required to self-assess in their first year of operation.  Self-assessment is part of a broader approach to quality improvement and monitoring, which also involves the selection of TC services, a Plan-Do-Study-Act cycle of continuous quality improvement, and an external complaints mechanism.  The Transition Care Quality Improvement and Monitoring Framework (Australian Government Department of Health and Ageing 2005) proposes external assessment and stakeholder feedback as additional checks of </w:t>
      </w:r>
      <w:r w:rsidRPr="000D38DA">
        <w:lastRenderedPageBreak/>
        <w:t>compliance with the requirements, although strategies to implement review team visits have yet to be agreed.</w:t>
      </w:r>
    </w:p>
    <w:p w14:paraId="05106421" w14:textId="77777777" w:rsidR="005D7ABA" w:rsidRDefault="000D38DA" w:rsidP="00CA0D72">
      <w:pPr>
        <w:ind w:right="-3"/>
      </w:pPr>
      <w:r w:rsidRPr="000D38DA">
        <w:t>The key requirements focus on those aspects of care specific to the TCP.  TC services are provided by health and aged care organizations and subject to various accreditation and external regulatory processes. Although most Quality Reports have two or more signatories and are reviewed by state/territory Approved Providers before submission to the Department of Health and Ageing, there is currently no mechanism for direct external peer assessment.</w:t>
      </w:r>
    </w:p>
    <w:p w14:paraId="3F871297" w14:textId="77777777" w:rsidR="005D7ABA" w:rsidRDefault="000D38DA" w:rsidP="00CA0D72">
      <w:pPr>
        <w:ind w:right="-3"/>
      </w:pPr>
      <w:r w:rsidRPr="000D38DA">
        <w:t>The key requirements specify the expectations of TC services but do not prescribe how the requirements are to be met. This approach allows for flexibility, innovation and the tailoring of strategies to meet local needs.  On the flipside, this lack of prescription contributes to ambiguity in the interpretation of the key requirements, as do subtle differences in the wording of the requirements and relevant sections of the TCP guidelines.  Some of the key requirements comprised numerous criteria which presented an additional challenge.  Few services responded to the criteria in a systematic way and this detracted from the confidence with which performance against a specific criterion could be reported.</w:t>
      </w:r>
    </w:p>
    <w:p w14:paraId="43F3A186" w14:textId="77777777" w:rsidR="005D7ABA" w:rsidRDefault="000D38DA" w:rsidP="00CA0D72">
      <w:pPr>
        <w:ind w:right="-3"/>
      </w:pPr>
      <w:r w:rsidRPr="000D38DA">
        <w:t>It is anticipated that additional sources of information such as site visits and discussions with stakeholders are required to expand on the evidence cited in the Quality Reports, particularly those areas where compliance is currently not well evidenced.  Site visits, or an alternative mechanism for external peer assessment would also benefit the program more broadly.</w:t>
      </w:r>
    </w:p>
    <w:p w14:paraId="30B41D70" w14:textId="77777777" w:rsidR="005D7ABA" w:rsidRDefault="000D38DA" w:rsidP="00CA0D72">
      <w:pPr>
        <w:ind w:right="-3"/>
      </w:pPr>
      <w:r w:rsidRPr="000D38DA">
        <w:t>Some services had been pilot sites for the ICRS program implemented in 2001/02 (Department of Health and Ageing 2005).  This experience was reflected in the maturity of service delivery processes and partnerships apparent in responses to the Quality Report.</w:t>
      </w:r>
    </w:p>
    <w:p w14:paraId="3309FFA2" w14:textId="77777777" w:rsidR="005D7ABA" w:rsidRDefault="000D38DA" w:rsidP="00CA0D72">
      <w:pPr>
        <w:ind w:right="-3"/>
      </w:pPr>
      <w:r w:rsidRPr="000D38DA">
        <w:t>Quality in the TCP is inextricably concerned with care processes to support transfer between locations (hospital to home or alternative care environment); between sectors (acute, primary, community, residential); and between individual states (illness, frailty or disability to optimal independence and quality of life) (Godfrey, Keen et al. 2005).  Responses to the Quality Report highlight emerging best practice in TC with respect to service agreements with referring hospitals that include protocols for the transfer of client information and agreed processes concerning referral and response times.  The analysis of the Quality Reports also noted difficulties in providing for clients' ongoing needs once TC has finished and suggestions of less than optimal ongoing care arrangements in some instances.</w:t>
      </w:r>
    </w:p>
    <w:p w14:paraId="16DB5435" w14:textId="08DA1FFE" w:rsidR="00394F64" w:rsidRDefault="000D38DA" w:rsidP="00CA0D72">
      <w:pPr>
        <w:ind w:right="-3"/>
      </w:pPr>
      <w:r w:rsidRPr="000D38DA">
        <w:t xml:space="preserve">In summary, the Quality Reports demonstrated there was collaborative learning at state and regional levels and local service development.  Formal agreements such as Memorandums of Understanding with hospitals and community aged care providers are emerging as best practice in TC.  All staff </w:t>
      </w:r>
      <w:proofErr w:type="gramStart"/>
      <w:r w:rsidRPr="000D38DA">
        <w:t>require</w:t>
      </w:r>
      <w:proofErr w:type="gramEnd"/>
      <w:r w:rsidRPr="000D38DA">
        <w:t xml:space="preserve"> training in a restorative/rehabilitative model.  Engaging General Practice in care planning and review remains challenging, while the role of community pharmacists in medication review requires clarification.  Finally, very few teams have succeeded in establishing a working relationship with medical specialists with expertise in elderly care such as geriatricians, </w:t>
      </w:r>
      <w:proofErr w:type="spellStart"/>
      <w:r w:rsidRPr="000D38DA">
        <w:t>psychogeriatricians</w:t>
      </w:r>
      <w:proofErr w:type="spellEnd"/>
      <w:r w:rsidRPr="000D38DA">
        <w:t>, or rehabilitation physicians.</w:t>
      </w:r>
    </w:p>
    <w:p w14:paraId="2CCE4E03" w14:textId="77777777" w:rsidR="005D7ABA" w:rsidRDefault="00394F64" w:rsidP="00CA0D72">
      <w:pPr>
        <w:pStyle w:val="Heading1"/>
        <w:ind w:right="-3"/>
      </w:pPr>
      <w:r>
        <w:br w:type="page"/>
      </w:r>
      <w:bookmarkStart w:id="90" w:name="_Toc402348936"/>
      <w:r>
        <w:lastRenderedPageBreak/>
        <w:t>8. Issues from each jurisdiction</w:t>
      </w:r>
      <w:bookmarkEnd w:id="90"/>
    </w:p>
    <w:p w14:paraId="168B2565" w14:textId="77777777" w:rsidR="005D7ABA" w:rsidRDefault="00394F64" w:rsidP="00CA0D72">
      <w:pPr>
        <w:ind w:right="-3"/>
      </w:pPr>
      <w:r>
        <w:t>Each jurisdiction was invited by the evaluators to contribute to this section concerning implementation and issues around TC in each state and territory.  The following subsections are the submissions that were provided by the TCWG in response to that invitation.</w:t>
      </w:r>
    </w:p>
    <w:p w14:paraId="22566DD3" w14:textId="77777777" w:rsidR="005D7ABA" w:rsidRDefault="00394F64" w:rsidP="00CA0D72">
      <w:pPr>
        <w:pStyle w:val="Heading2"/>
        <w:ind w:right="-3"/>
      </w:pPr>
      <w:bookmarkStart w:id="91" w:name="_Toc402348937"/>
      <w:r>
        <w:t>8.1. Australian Capital Territory</w:t>
      </w:r>
      <w:bookmarkEnd w:id="91"/>
    </w:p>
    <w:p w14:paraId="2A8BAA89" w14:textId="77777777" w:rsidR="005D7ABA" w:rsidRDefault="00394F64" w:rsidP="00CA0D72">
      <w:pPr>
        <w:ind w:right="-3"/>
      </w:pPr>
      <w:r>
        <w:t>In December 2005, the ACT operationalized ten TC places.  Following the end of the Intermittent Care Service Pilot on 1 July 2006, an additional 25 TC places were allocated and operationalized.  The ACT currently has 15 residential and 20 community TC places and operates as the ACT Transitional Therapy and Care Program.</w:t>
      </w:r>
    </w:p>
    <w:p w14:paraId="4131933F" w14:textId="77777777" w:rsidR="005D7ABA" w:rsidRDefault="00394F64" w:rsidP="00CA0D72">
      <w:pPr>
        <w:ind w:right="-3"/>
      </w:pPr>
      <w:r>
        <w:t>Since the start of the ACT Transitional Therapy and Care Program a new purpose built sub and non-acute facility was officially opened in February 2007, improving the capacity in the ACT to meet the needs of older people across the acute-aged care continuum.  The new facility added 28 new sub and non-acute beds to the existing 12 geriatric evaluation management beds at the Calvary Hospital.</w:t>
      </w:r>
    </w:p>
    <w:p w14:paraId="36804BF4" w14:textId="77777777" w:rsidR="005D7ABA" w:rsidRDefault="00394F64" w:rsidP="00CA0D72">
      <w:pPr>
        <w:pStyle w:val="Heading2"/>
        <w:ind w:right="-3"/>
      </w:pPr>
      <w:bookmarkStart w:id="92" w:name="_Toc402348938"/>
      <w:r>
        <w:t>8.2. New South Wales</w:t>
      </w:r>
      <w:bookmarkEnd w:id="92"/>
    </w:p>
    <w:p w14:paraId="4550CEBD" w14:textId="77777777" w:rsidR="005D7ABA" w:rsidRDefault="00394F64" w:rsidP="00CA0D72">
      <w:pPr>
        <w:ind w:right="-3"/>
      </w:pPr>
      <w:r>
        <w:t>To date, NSW has 31 Transitional Aged Care Services serving a population of people aged 70 years and over numbering approximately 676,000.  The majority of services offer community-based places and NSW is seeking to expand its facility-based component over the next four years.</w:t>
      </w:r>
    </w:p>
    <w:p w14:paraId="5E3B621E" w14:textId="77777777" w:rsidR="005D7ABA" w:rsidRDefault="00394F64" w:rsidP="00CA0D72">
      <w:pPr>
        <w:ind w:right="-3"/>
      </w:pPr>
      <w:r>
        <w:t>Given the increasing demands placed on ACATs following the introduction of this new service, it is pleasing to see that in 2006/07 NSW had a median length of time to enter TC following ACAT approval of three days and is reported as sharing with the ACT the "fastest entry to TC".</w:t>
      </w:r>
    </w:p>
    <w:p w14:paraId="758B8DD0" w14:textId="77777777" w:rsidR="005D7ABA" w:rsidRDefault="00394F64" w:rsidP="00CA0D72">
      <w:pPr>
        <w:ind w:right="-3"/>
      </w:pPr>
      <w:r>
        <w:t>NSW supports the researchers' recommendations around the need for more work on quality indicators for this type of service, on a detailed economic analysis of the different configurations and delivery approaches, and on more investigation of the benefits and outcomes of experiencing facility-based or community-based services or a combination of the two.</w:t>
      </w:r>
    </w:p>
    <w:p w14:paraId="0AB8E22E" w14:textId="77777777" w:rsidR="005D7ABA" w:rsidRDefault="00394F64" w:rsidP="00CA0D72">
      <w:pPr>
        <w:pStyle w:val="Heading2"/>
        <w:ind w:right="-3"/>
      </w:pPr>
      <w:bookmarkStart w:id="93" w:name="_Toc402348939"/>
      <w:r>
        <w:t>8.3. Northern Territory</w:t>
      </w:r>
      <w:bookmarkEnd w:id="93"/>
    </w:p>
    <w:p w14:paraId="6457EF7E" w14:textId="77777777" w:rsidR="005D7ABA" w:rsidRDefault="00394F64" w:rsidP="00CA0D72">
      <w:pPr>
        <w:ind w:right="-3"/>
      </w:pPr>
      <w:r>
        <w:t>The small number of clients assisted through the TCP in the Northern Territory makes it difficult to draw conclusions from the data.  Based on the evidence in this report, future expansion of TC in the NT should concentrate on establishing community based responses.</w:t>
      </w:r>
    </w:p>
    <w:p w14:paraId="3329D4D8" w14:textId="77777777" w:rsidR="005D7ABA" w:rsidRDefault="00394F64" w:rsidP="00CA0D72">
      <w:pPr>
        <w:pStyle w:val="Heading2"/>
        <w:ind w:right="-3"/>
      </w:pPr>
      <w:bookmarkStart w:id="94" w:name="_Toc402348940"/>
      <w:r>
        <w:t>8.4. Queensland</w:t>
      </w:r>
      <w:bookmarkEnd w:id="94"/>
    </w:p>
    <w:p w14:paraId="67575538" w14:textId="77777777" w:rsidR="005D7ABA" w:rsidRDefault="00394F64" w:rsidP="00CA0D72">
      <w:pPr>
        <w:ind w:right="-3"/>
      </w:pPr>
      <w:r>
        <w:t>Queensland Health received 351 places under the TCP from 2005 to 2007.  These places were approved in three tranches - 106 places in 2004/05, 167 places in 2005/06, and 78 places in 2006/07.  Queensland's Implementation Plan advised that these 351 places would be operationalized across both residential and</w:t>
      </w:r>
    </w:p>
    <w:p w14:paraId="22E48DA4" w14:textId="77777777" w:rsidR="005D7ABA" w:rsidRDefault="00394F64" w:rsidP="00CA0D72">
      <w:pPr>
        <w:ind w:right="-3"/>
      </w:pPr>
      <w:proofErr w:type="gramStart"/>
      <w:r>
        <w:t>community</w:t>
      </w:r>
      <w:proofErr w:type="gramEnd"/>
      <w:r>
        <w:t xml:space="preserve"> settings depending upon the availability of unused and unfunded beds in residential aged care facilities.</w:t>
      </w:r>
    </w:p>
    <w:p w14:paraId="3512A213" w14:textId="1C6D29AD" w:rsidR="00394F64" w:rsidRDefault="00394F64" w:rsidP="00CA0D72">
      <w:pPr>
        <w:ind w:right="-3"/>
      </w:pPr>
    </w:p>
    <w:p w14:paraId="5A246BE7" w14:textId="77777777" w:rsidR="005D7ABA" w:rsidRDefault="00394F64" w:rsidP="00CA0D72">
      <w:pPr>
        <w:ind w:right="-3"/>
      </w:pPr>
      <w:r>
        <w:t>In recognition that there would be inherent difficulties in implementing TC in residential aged care facilities, Queensland Health established higher subsidy rates for residential placements over community placements.</w:t>
      </w:r>
    </w:p>
    <w:p w14:paraId="0A26EE6C" w14:textId="77777777" w:rsidR="005D7ABA" w:rsidRDefault="00394F64" w:rsidP="00CA0D72">
      <w:pPr>
        <w:ind w:right="-3"/>
      </w:pPr>
      <w:r>
        <w:lastRenderedPageBreak/>
        <w:t>Despite this very significant higher subsidy rate, there were barriers to implementing TC in residential aged care facilities.  These barriers included a lack of spare bed capacity in residential aged care facilities to take on TC and difficulties in recruiting the additional workforce required in residential aged care facilities to provide restorative care.  As a result approximately only 25% of the places were operationalized in residential settings.</w:t>
      </w:r>
    </w:p>
    <w:p w14:paraId="0695CE80" w14:textId="77777777" w:rsidR="005D7ABA" w:rsidRDefault="00394F64" w:rsidP="00CA0D72">
      <w:pPr>
        <w:ind w:right="-3"/>
      </w:pPr>
      <w:r>
        <w:t>All 351 TC places will have been operationalized by 30 June 2008.</w:t>
      </w:r>
    </w:p>
    <w:p w14:paraId="2763492F" w14:textId="77777777" w:rsidR="005D7ABA" w:rsidRDefault="00394F64" w:rsidP="00CA0D72">
      <w:pPr>
        <w:ind w:right="-3"/>
      </w:pPr>
      <w:r>
        <w:t>Rather than fund the TC places on an occupied bed basis as per the Australian Government arrangements, Queensland Health fully funded its participating Health Service Districts on an annual basis at the beginning of each financial year.  The effect of this arrangement has been that Health Service Districts were able to employ a number of allied health staff on an ongoing basis to support the roll-out of TC through State funding. The funding available from unoccupied places was able to be used for infrastructure support.</w:t>
      </w:r>
    </w:p>
    <w:p w14:paraId="14775A90" w14:textId="77777777" w:rsidR="005D7ABA" w:rsidRDefault="00394F64" w:rsidP="00CA0D72">
      <w:pPr>
        <w:ind w:right="-3"/>
      </w:pPr>
      <w:r>
        <w:t>Overall the TCP has been successful in Queensland and has delivered improvements in terms of hospital readmissions, delayed transfer of older people to residential care and functional gain.</w:t>
      </w:r>
    </w:p>
    <w:p w14:paraId="662D5F91" w14:textId="77777777" w:rsidR="005D7ABA" w:rsidRDefault="00394F64" w:rsidP="00CA0D72">
      <w:pPr>
        <w:pStyle w:val="Heading2"/>
        <w:ind w:right="-3"/>
      </w:pPr>
      <w:bookmarkStart w:id="95" w:name="_Toc402348941"/>
      <w:r>
        <w:t>8.5. South Australia</w:t>
      </w:r>
      <w:bookmarkEnd w:id="95"/>
    </w:p>
    <w:p w14:paraId="329EB24C" w14:textId="77777777" w:rsidR="005D7ABA" w:rsidRDefault="00394F64" w:rsidP="00CA0D72">
      <w:pPr>
        <w:ind w:right="-3"/>
      </w:pPr>
      <w:r>
        <w:t>South Australia has placed a strong focus on re-organising our acute systems towards effective processes for timely assessment and screening of potential TCP clients.  We have a strong emphasis on early focussed intensive service delivery.</w:t>
      </w:r>
    </w:p>
    <w:p w14:paraId="424E74D4" w14:textId="77777777" w:rsidR="005D7ABA" w:rsidRDefault="00394F64" w:rsidP="00CA0D72">
      <w:pPr>
        <w:ind w:right="-3"/>
      </w:pPr>
      <w:r>
        <w:t xml:space="preserve">South Australia has less clients participating in the program with cognitive impairment due to the need to develop clearer care pathways for this group.  Models of care are being developed that will result in easy to access pathways of care for people with cognitive impairment and stronger integration of pre-acute, </w:t>
      </w:r>
      <w:proofErr w:type="spellStart"/>
      <w:r>
        <w:t>sub acute</w:t>
      </w:r>
      <w:proofErr w:type="spellEnd"/>
      <w:r>
        <w:t xml:space="preserve"> and primary care based services.</w:t>
      </w:r>
    </w:p>
    <w:p w14:paraId="20F75E87" w14:textId="77777777" w:rsidR="005D7ABA" w:rsidRDefault="00394F64" w:rsidP="00CA0D72">
      <w:pPr>
        <w:ind w:right="-3"/>
      </w:pPr>
      <w:r>
        <w:t>The longer median waiting time from ACAT approval to TC admission in South Australia is a factor of availability of residential care places.  It is also a result of the need for improvements in patient flow across the acute- aged care interface, which is being addressed by work associated with developing improved models of care.</w:t>
      </w:r>
    </w:p>
    <w:p w14:paraId="7E65FFD9" w14:textId="77777777" w:rsidR="005D7ABA" w:rsidRDefault="00394F64" w:rsidP="00CA0D72">
      <w:pPr>
        <w:pStyle w:val="Heading2"/>
        <w:ind w:right="-3"/>
      </w:pPr>
      <w:bookmarkStart w:id="96" w:name="_Toc402348942"/>
      <w:r>
        <w:t>8.6. Tasmania</w:t>
      </w:r>
      <w:bookmarkEnd w:id="96"/>
    </w:p>
    <w:p w14:paraId="061890C4" w14:textId="77777777" w:rsidR="005D7ABA" w:rsidRDefault="00394F64" w:rsidP="00CA0D72">
      <w:pPr>
        <w:ind w:right="-3"/>
      </w:pPr>
      <w:r>
        <w:t>Tasmania has two TC services, located in the south and north of the state, which became operational in July and December 2006, respectively.  As at 1st October 2007, all 57 places allocated to Tasmania were operational.</w:t>
      </w:r>
    </w:p>
    <w:p w14:paraId="12FF6709" w14:textId="77777777" w:rsidR="005D7ABA" w:rsidRDefault="00394F64" w:rsidP="00CA0D72">
      <w:pPr>
        <w:ind w:right="-3"/>
      </w:pPr>
      <w:r w:rsidRPr="00AC0343">
        <w:rPr>
          <w:b/>
        </w:rPr>
        <w:t xml:space="preserve">Transition Care South </w:t>
      </w:r>
      <w:r w:rsidRPr="00AC0343">
        <w:rPr>
          <w:b/>
        </w:rPr>
        <w:br/>
      </w:r>
      <w:proofErr w:type="gramStart"/>
      <w:r>
        <w:t>The</w:t>
      </w:r>
      <w:proofErr w:type="gramEnd"/>
      <w:r>
        <w:t xml:space="preserve"> TCP South is coordinated from the Royal Hobart Hospital operating 47 flexible care packages.  The program followed on from the previous Intermittent Care Service Pilot.  The program offers flexible packages in both the residential and community setting delivered through a mix of service provision sourced from private providers and the Tasmanian Department of Health and Human Services.</w:t>
      </w:r>
    </w:p>
    <w:p w14:paraId="563A3C18" w14:textId="77777777" w:rsidR="005D7ABA" w:rsidRDefault="00394F64" w:rsidP="00CA0D72">
      <w:pPr>
        <w:ind w:right="-3"/>
      </w:pPr>
      <w:r w:rsidRPr="00AC0343">
        <w:rPr>
          <w:b/>
        </w:rPr>
        <w:t xml:space="preserve">Residential Packages </w:t>
      </w:r>
      <w:r w:rsidRPr="00AC0343">
        <w:rPr>
          <w:b/>
        </w:rPr>
        <w:br/>
      </w:r>
      <w:r>
        <w:t xml:space="preserve">TCP South currently provides a total of 27 residential TC packages.  Twenty-four residential packages are provided at the department's Karingal facility located approximately 15 </w:t>
      </w:r>
      <w:proofErr w:type="spellStart"/>
      <w:r>
        <w:t>kms</w:t>
      </w:r>
      <w:proofErr w:type="spellEnd"/>
      <w:r>
        <w:t xml:space="preserve"> from the Royal Hobart Hospital (RHH) campus.  A comprehensive tender process was undertaken for a TC service to provide nursing, personal care, and hotel services in accordance with the TCP Guidelines.  The successful tenderer was awarded the contract for a period of three years to manage the facility and provide residential TC services to recipients.  The Department has responsibility for the maintenance and upkeep of the facility, all equipment requirements, together with the provision of all Allied Health services</w:t>
      </w:r>
      <w:proofErr w:type="gramStart"/>
      <w:r>
        <w:t>,  Geriatrician</w:t>
      </w:r>
      <w:proofErr w:type="gramEnd"/>
      <w:r>
        <w:t xml:space="preserve"> support to the facility is provided through weekly clinics.  The medical needs of the recipients are managed under the direction of a General Practitioner.  The remaining three residential packages are provided from </w:t>
      </w:r>
      <w:r>
        <w:lastRenderedPageBreak/>
        <w:t xml:space="preserve">the Repatriation Centre, located approximately 2 </w:t>
      </w:r>
      <w:proofErr w:type="spellStart"/>
      <w:r>
        <w:t>kms</w:t>
      </w:r>
      <w:proofErr w:type="spellEnd"/>
      <w:r>
        <w:t xml:space="preserve"> from the RHH campus.  An area of this building has recently been converted into two non-acute wards, providing both TC and geriatric evaluation services.  These packages are staffed by departmental staff from all health disciplines.</w:t>
      </w:r>
    </w:p>
    <w:p w14:paraId="58D2F130" w14:textId="77777777" w:rsidR="005D7ABA" w:rsidRDefault="00394F64" w:rsidP="00CA0D72">
      <w:pPr>
        <w:ind w:right="-3"/>
      </w:pPr>
      <w:r w:rsidRPr="00AC0343">
        <w:rPr>
          <w:b/>
        </w:rPr>
        <w:t xml:space="preserve">Community Packages </w:t>
      </w:r>
      <w:r w:rsidRPr="00AC0343">
        <w:rPr>
          <w:b/>
        </w:rPr>
        <w:br/>
      </w:r>
      <w:proofErr w:type="gramStart"/>
      <w:r>
        <w:t>The</w:t>
      </w:r>
      <w:proofErr w:type="gramEnd"/>
      <w:r>
        <w:t xml:space="preserve"> RHH currently operates 20 community packages.  A tender process was undertaken for a TC service to undertake the provision of this service in accord with the TCP Guidelines.  The successful tenderer was awarded the contract for a period of three years.  All referrals for community TCP come from the RHH Rehabilitation and Aged Liaison Team (RASL).  A case manager is appointed by the TC service at the commencement of the program.  The TC service is responsible for all discharge planning and referrals for additional support on completion of TCP.</w:t>
      </w:r>
    </w:p>
    <w:p w14:paraId="33A4AC6E" w14:textId="77777777" w:rsidR="005D7ABA" w:rsidRDefault="00394F64" w:rsidP="00CA0D72">
      <w:pPr>
        <w:ind w:right="-3"/>
      </w:pPr>
      <w:r w:rsidRPr="00AC0343">
        <w:rPr>
          <w:b/>
        </w:rPr>
        <w:t xml:space="preserve">Transition Care North </w:t>
      </w:r>
      <w:r w:rsidRPr="00AC0343">
        <w:rPr>
          <w:b/>
        </w:rPr>
        <w:br/>
      </w:r>
      <w:r>
        <w:t>Currently the Launceston General Hospital operates 10 Transition Care packages which are all community based. The catchment of the service is at the current time within a 20 minute radius of Launceston CBD.  At the current time all clients for the program are referred from the Launceston General Hospital.  Clients are assessed by the hospital Aged Care Assessment Team (ACAT) according to the Commonwealth guidelines.</w:t>
      </w:r>
    </w:p>
    <w:p w14:paraId="43762E9C" w14:textId="77777777" w:rsidR="005D7ABA" w:rsidRDefault="00394F64" w:rsidP="00CA0D72">
      <w:pPr>
        <w:ind w:right="-3"/>
      </w:pPr>
      <w:r>
        <w:t>The program is staffed by Launceston General Hospital which comprises, nursing, allied health and support staff. Brokerage of services for support is coordinated by the TCP team on the basis of client need and may include personal care, meal preparation, transport, nursing assessment, physiotherapy and occupational therapy assessment, planning and intervention.  The Service is staffed from 7.30 am to 8 pm with all clients provided with out of hours support through the Launceston General Hospital.</w:t>
      </w:r>
    </w:p>
    <w:p w14:paraId="611029FC" w14:textId="77777777" w:rsidR="005D7ABA" w:rsidRDefault="00394F64" w:rsidP="00CA0D72">
      <w:pPr>
        <w:ind w:right="-3"/>
      </w:pPr>
      <w:r>
        <w:t>All clients are case managed by a registered nurse, physiotherapist, occupational therapist, or social worker.  Client meetings are conducted weekly to discuss progress and modify care provision as required  On discharge from the program referrals to appropriate services are made or reconnection with previous services are arranged.</w:t>
      </w:r>
    </w:p>
    <w:p w14:paraId="3E0EFB9E" w14:textId="77777777" w:rsidR="005D7ABA" w:rsidRDefault="00394F64" w:rsidP="00CA0D72">
      <w:pPr>
        <w:ind w:right="-3"/>
      </w:pPr>
      <w:r>
        <w:t>The client's General Practitioner (GP) is informed on acceptance and discharge to the program and as required during the duration of the program.  General information sessions are also provided to GP practices as required.</w:t>
      </w:r>
    </w:p>
    <w:p w14:paraId="6E0D3B25" w14:textId="77777777" w:rsidR="005D7ABA" w:rsidRDefault="00394F64" w:rsidP="00CA0D72">
      <w:pPr>
        <w:ind w:right="-3"/>
      </w:pPr>
      <w:r w:rsidRPr="00AC0343">
        <w:rPr>
          <w:b/>
        </w:rPr>
        <w:t xml:space="preserve">Key Issues </w:t>
      </w:r>
      <w:r w:rsidRPr="00AC0343">
        <w:rPr>
          <w:b/>
        </w:rPr>
        <w:br/>
      </w:r>
      <w:r>
        <w:t xml:space="preserve">The cost of providing the program continues to be a key factor for Tasmania both in terms of direct funding and in kind contribution and the corporate and local costs associated with the administrative burden of managing the program.  During the first year of implementation Tasmania's contribution represented 75% of the total program funding compared to the Australian </w:t>
      </w:r>
      <w:proofErr w:type="spellStart"/>
      <w:r>
        <w:t>Governments</w:t>
      </w:r>
      <w:proofErr w:type="spellEnd"/>
      <w:r>
        <w:t xml:space="preserve"> 25% contribution.</w:t>
      </w:r>
    </w:p>
    <w:p w14:paraId="616B3539" w14:textId="77777777" w:rsidR="005D7ABA" w:rsidRDefault="00394F64" w:rsidP="00CA0D72">
      <w:pPr>
        <w:ind w:right="-3"/>
      </w:pPr>
      <w:r>
        <w:t>Tasmania's experience following the first year of operation demonstrates that the program would benefit from changes to the current guidelines in relation to increased flexibility for patients to enter the program from settings other than acute inpatient care, for example Department of Emergency Medicine and from the Community on General Practitioner referral.</w:t>
      </w:r>
    </w:p>
    <w:p w14:paraId="51316DCF" w14:textId="77777777" w:rsidR="005D7ABA" w:rsidRDefault="00394F64" w:rsidP="00CA0D72">
      <w:pPr>
        <w:ind w:right="-3"/>
      </w:pPr>
      <w:r>
        <w:t>The lack of appropriate leave provisions to exit and re-enter TC without readmission to hospital and ACAT reassessment has been found to be a significant hindrance to the smooth operation of the program and similarly the requirement for ACAT assessment for entry on to the program has also been found to cause delays and blockages in the system, due to long wait times for ACAT approvals to be completed.</w:t>
      </w:r>
    </w:p>
    <w:p w14:paraId="0F627229" w14:textId="77777777" w:rsidR="005D7ABA" w:rsidRDefault="00394F64" w:rsidP="00CA0D72">
      <w:pPr>
        <w:ind w:right="-3"/>
      </w:pPr>
      <w:r>
        <w:t>The evaluation results identified high readmission rates for TCP recipients in Tasmania when compared to other states and territories.  Whilst it is recognized that there were many limitations with the data set and the data only represented a three month snapshot, this is a matter for further investigation, and further data analysis at 12 months would be useful.</w:t>
      </w:r>
    </w:p>
    <w:p w14:paraId="0C1A57F7" w14:textId="77777777" w:rsidR="005D7ABA" w:rsidRDefault="00394F64" w:rsidP="00CA0D72">
      <w:pPr>
        <w:pStyle w:val="Heading2"/>
        <w:ind w:right="-3"/>
      </w:pPr>
      <w:bookmarkStart w:id="97" w:name="_Toc402348943"/>
      <w:r>
        <w:lastRenderedPageBreak/>
        <w:t>8.7. Victoria</w:t>
      </w:r>
      <w:bookmarkEnd w:id="97"/>
    </w:p>
    <w:p w14:paraId="39C186B8" w14:textId="77777777" w:rsidR="005D7ABA" w:rsidRDefault="00394F64" w:rsidP="00CA0D72">
      <w:pPr>
        <w:ind w:right="-3"/>
      </w:pPr>
      <w:r>
        <w:t>Victoria has led the way in Australia with a well-developed sub-acute service system.  It has a strong focus on inpatient and ambulatory sub-acute rehabilitation services and is becoming increasingly integrated within the acute service system.  Sub-acute services aim to maximise independence for patients of all ages, by providing goal oriented (and in most instances, time-limited) interventions aimed at assessing, treating and frequently managing complex conditions to maximise independence.</w:t>
      </w:r>
    </w:p>
    <w:p w14:paraId="2AC7485F" w14:textId="77777777" w:rsidR="005D7ABA" w:rsidRDefault="00394F64" w:rsidP="00CA0D72">
      <w:pPr>
        <w:ind w:right="-3"/>
      </w:pPr>
      <w:r>
        <w:t xml:space="preserve">Victoria made a commitment, via the Australian Health Ministers Advisory Council, to implement the National Action Plan for improving the care of older people across the acute-aged care continuum, 2004-2008. Part of this commitment included the development of planning guides regarding the availability and mix of inpatient and ambulatory services for sub-acute services for older people.  In addition to this, Victoria engaged the services of </w:t>
      </w:r>
      <w:proofErr w:type="spellStart"/>
      <w:r>
        <w:t>Aspex</w:t>
      </w:r>
      <w:proofErr w:type="spellEnd"/>
      <w:r>
        <w:t xml:space="preserve"> Consulting to develop a Sub-acute Planning Framework, which would ensure that adequate levels of service were being provided.  The final report will be available in June 2008.</w:t>
      </w:r>
    </w:p>
    <w:p w14:paraId="63628794" w14:textId="77777777" w:rsidR="005D7ABA" w:rsidRDefault="00394F64" w:rsidP="00CA0D72">
      <w:pPr>
        <w:ind w:right="-3"/>
      </w:pPr>
      <w:r>
        <w:t>The availability of TC services has allowed Victoria to bring the best elements of previous Commonwealth and State funded service support initiatives (such as Innovative Care Rehabilitation Service and Intermittent Care pilots and Interim Care) together under a single program, with capacity to tailor the service around the needs of the individual.  It also allowed broader and more systematic coverage across the state and serves to complement Victoria's acute and sub-acute service system.  The intended outcome of this care provision approach is to minimise the number of older people who experience inappropriate extended hospital lengths of stay and/or may be prematurely admitted to residential aged care.  TC services are located at the interface between the acute/sub-acute and aged care sectors.</w:t>
      </w:r>
    </w:p>
    <w:p w14:paraId="2BF6B310" w14:textId="77777777" w:rsidR="005D7ABA" w:rsidRDefault="00394F64" w:rsidP="00CA0D72">
      <w:pPr>
        <w:ind w:right="-3"/>
      </w:pPr>
      <w:r>
        <w:t>The TCP aims to provide an older person with the treatment and care that best suits their individual requirements and in so doing, places the older person at the centre of their care.  Older people may access TC services from an acute or sub-acute service depending on the need of the individual.  Consistent with the Department of Human Services assuming the role of approved provider, Victoria's TCP is operating as a single program, although multiple Health Services are involved in the delivery of TC services.</w:t>
      </w:r>
    </w:p>
    <w:p w14:paraId="66CC475F" w14:textId="77777777" w:rsidR="005D7ABA" w:rsidRDefault="00394F64" w:rsidP="00CA0D72">
      <w:pPr>
        <w:ind w:right="-3"/>
      </w:pPr>
      <w:r>
        <w:t>The effectiveness of the TCP is reliant on the recipient's capacity to 'transition' to a long-term care environment, be it in the community or in a residential care setting.  This requires access to care resources (for example, Home and Community Care, Community Aged Care Packages, Extended Aged Care Packages, Disability Support Services and residential care places) that can sustain and build on the goals achieved by the client during the TCP episode of care.  Imperative to the efficiency of the service is the close working relationship between TCP personnel and Aged Care Assessment Teams.  The use of multidisciplinary teams to deliver the TCP has proven successful in utilising the required skills and knowledge each member contributes to the development and refinement of the care plan and service.  The use of geriatrician intervention has supported the general practitioner in effectively managing the needs of an older person. TCP has been a great example to date of effective teamwork in achieving a common purpose:  better health and care outcomes for older Australians.</w:t>
      </w:r>
    </w:p>
    <w:p w14:paraId="7DE3933C" w14:textId="77777777" w:rsidR="005D7ABA" w:rsidRDefault="00394F64" w:rsidP="00CA0D72">
      <w:pPr>
        <w:pStyle w:val="Heading2"/>
        <w:ind w:right="-3"/>
      </w:pPr>
      <w:bookmarkStart w:id="98" w:name="_Toc402348944"/>
      <w:r>
        <w:t>8.8. Western Australia</w:t>
      </w:r>
      <w:bookmarkEnd w:id="98"/>
    </w:p>
    <w:p w14:paraId="400FEA6F" w14:textId="77777777" w:rsidR="005D7ABA" w:rsidRDefault="00394F64" w:rsidP="00CA0D72">
      <w:pPr>
        <w:ind w:right="-3"/>
      </w:pPr>
      <w:r>
        <w:t>Western Australia (WA) was keen to continue the model successfully established through the Aged Care Innovative Pool, national pool of flexible care places.</w:t>
      </w:r>
    </w:p>
    <w:p w14:paraId="774C849C" w14:textId="77777777" w:rsidR="005D7ABA" w:rsidRDefault="00394F64" w:rsidP="00CA0D72">
      <w:pPr>
        <w:ind w:right="-3"/>
      </w:pPr>
      <w:r>
        <w:t>WA planned during 2006 - 2008, within the first year the establishment of a metropolitan wide TCP with north and south locations providing a community/residential mix, and by 30 June 2008 to further expand the model to include flexible places in three rural locations.</w:t>
      </w:r>
    </w:p>
    <w:p w14:paraId="7EA36FC8" w14:textId="77777777" w:rsidR="005D7ABA" w:rsidRDefault="00394F64" w:rsidP="00CA0D72">
      <w:pPr>
        <w:ind w:right="-3"/>
      </w:pPr>
      <w:r>
        <w:t>A total of 160 TC places were requested to support the development of a program in WA:</w:t>
      </w:r>
    </w:p>
    <w:p w14:paraId="41DF341B" w14:textId="77777777" w:rsidR="005D7ABA" w:rsidRDefault="00394F64" w:rsidP="00CA0D72">
      <w:pPr>
        <w:ind w:right="-3"/>
      </w:pPr>
      <w:r>
        <w:lastRenderedPageBreak/>
        <w:t xml:space="preserve">a) 50 TC places operationalized by 1 January 2006 </w:t>
      </w:r>
      <w:r>
        <w:br/>
        <w:t>The initial 50-place allocation mainstreamed the Innovative Care Rehabilitation Service Pilot operating in the north metropolitan region.  The 50 flexible places consist of 20 residential places and 30 flexible community packages.</w:t>
      </w:r>
    </w:p>
    <w:p w14:paraId="3D52B4DA" w14:textId="77777777" w:rsidR="005D7ABA" w:rsidRDefault="00394F64" w:rsidP="00CA0D72">
      <w:pPr>
        <w:ind w:right="-3"/>
      </w:pPr>
      <w:r>
        <w:t xml:space="preserve">b) 50 TC places operationalized by 1 July 2006 </w:t>
      </w:r>
      <w:r>
        <w:br/>
        <w:t>The next 50-place allocation mainstreamed the Intermittent Care Service Pilot operating in the south metropolitan region.  The 50 places consist of 30 residential places and 20 flexible community packages.</w:t>
      </w:r>
    </w:p>
    <w:p w14:paraId="3C067D01" w14:textId="77777777" w:rsidR="005D7ABA" w:rsidRDefault="00394F64" w:rsidP="00CA0D72">
      <w:pPr>
        <w:ind w:right="-3"/>
      </w:pPr>
      <w:r>
        <w:t xml:space="preserve">c) 60 TC places operationalized by 01 May 2008 </w:t>
      </w:r>
      <w:r>
        <w:br/>
        <w:t>The next 60-place allocation provided TC to three separate rural locations, South West, Midwest, and Great Southern regions through equal distribution of 20 flexible community places/packages at each site.</w:t>
      </w:r>
    </w:p>
    <w:p w14:paraId="0A402C4D" w14:textId="77777777" w:rsidR="005D7ABA" w:rsidRDefault="00394F64" w:rsidP="00CA0D72">
      <w:pPr>
        <w:ind w:right="-3"/>
      </w:pPr>
      <w:r>
        <w:t>The model has a single point of entry for each program with local arrangements to suit the primary public health services in the area.  The most appropriate service for the client, community or residential, is determined following professional assessment by the Service Care Coordinator in the region in consultation with the referring treatment team.  The service has strong links with the teaching hospitals and with the Departments of Geriatric Medicine, Aged Care Assessment Teams, and general practice.</w:t>
      </w:r>
    </w:p>
    <w:p w14:paraId="71B858D8" w14:textId="5FF662FB" w:rsidR="00F80D1F" w:rsidRDefault="00394F64" w:rsidP="00CA0D72">
      <w:pPr>
        <w:ind w:right="-3"/>
      </w:pPr>
      <w:r>
        <w:t xml:space="preserve">The model of care and services are focussed on metropolitan clientele but access opportunities are broadened to offer options </w:t>
      </w:r>
      <w:proofErr w:type="spellStart"/>
      <w:r>
        <w:t>statewide</w:t>
      </w:r>
      <w:proofErr w:type="spellEnd"/>
      <w:r>
        <w:t>.  Rural residents are able to access the residential aspects of the metropolitan program should it be assessed that this is an appropriate service for the client and should appropriate supports and discharge planning arrangements be available for the client to return to their local area.</w:t>
      </w:r>
    </w:p>
    <w:p w14:paraId="4C4BE8C9" w14:textId="77777777" w:rsidR="005D7ABA" w:rsidRDefault="00F80D1F" w:rsidP="00CA0D72">
      <w:pPr>
        <w:pStyle w:val="Heading1"/>
        <w:ind w:right="-3"/>
      </w:pPr>
      <w:r>
        <w:br w:type="page"/>
      </w:r>
      <w:bookmarkStart w:id="99" w:name="_Toc402348945"/>
      <w:r w:rsidR="00AC0343">
        <w:lastRenderedPageBreak/>
        <w:t>9.</w:t>
      </w:r>
      <w:r w:rsidR="00AC0343">
        <w:tab/>
        <w:t>S</w:t>
      </w:r>
      <w:r>
        <w:t>trengths and limitations of the National Evaluation of the Transition Care Program</w:t>
      </w:r>
      <w:bookmarkEnd w:id="99"/>
    </w:p>
    <w:p w14:paraId="65EDD8E9" w14:textId="77777777" w:rsidR="005D7ABA" w:rsidRDefault="00F80D1F" w:rsidP="00CA0D72">
      <w:pPr>
        <w:ind w:right="-3"/>
      </w:pPr>
      <w:r>
        <w:t>The framework for the evaluation necessitated a descriptive approach, and a series of studies that gave snapshots in time of different aspects of the TCP were conducted.  This approach has both strengths and limitations, and in this section we recap briefly on the limitations in each of the six studies before commenting on the strengths and limitations of the NETCP as a whole.</w:t>
      </w:r>
    </w:p>
    <w:p w14:paraId="5B88CA0D" w14:textId="77777777" w:rsidR="005D7ABA" w:rsidRDefault="00F80D1F" w:rsidP="00CA0D72">
      <w:pPr>
        <w:pStyle w:val="Heading2"/>
        <w:ind w:right="-3"/>
      </w:pPr>
      <w:bookmarkStart w:id="100" w:name="_Toc402348946"/>
      <w:r>
        <w:t>9.1. Regional Characterization Study</w:t>
      </w:r>
      <w:bookmarkEnd w:id="100"/>
    </w:p>
    <w:p w14:paraId="37E2277B" w14:textId="77777777" w:rsidR="005D7ABA" w:rsidRDefault="00F80D1F" w:rsidP="00CA0D72">
      <w:pPr>
        <w:ind w:right="-3"/>
      </w:pPr>
      <w:r>
        <w:t>To calculate the provision of health and aged care services for older people in each ACAT region, estimates of the resident population in each region were made.  Because the estimated resident population in each Statistical Local Area (SLA) by age group was not available as at 30 June 2006 in time for submission of the report for the Regional Characterization Study, the population in each SLA by age group was projected from the estimated resident population at 30 June 2005.  Thus a state level increase in population was applied at a smaller geographic area level, and the actual growth in each SLA will have varied slightly from the overall state growth in each age group.  However, it is expected that this would have had a minor impact on the reported availability of health and aged care services.</w:t>
      </w:r>
    </w:p>
    <w:p w14:paraId="06F1D6BD" w14:textId="77777777" w:rsidR="005D7ABA" w:rsidRDefault="00F80D1F" w:rsidP="00CA0D72">
      <w:pPr>
        <w:ind w:right="-3"/>
      </w:pPr>
      <w:r>
        <w:t>There were also differences in the timing of the concordance mappings for SLAs, ACAT regions and postcodes that were used in this study.  The concordance mapping between SLAs and ACAT region is based on 2001 SLAs.  However, the estimated resident population uses 2005 SLAs.  The suburb and SLA concordance is based on 2003 SLAs.  The concordance between 2001 and 2006 SLAs was used in the few instances where SLAs from later years did not map to ACAT regions.  Any differences in SLA boundaries between years are expected to have negligible effects when aggregated to the ACAT regional level, but nonetheless some effects were possible.</w:t>
      </w:r>
    </w:p>
    <w:p w14:paraId="3AD2EC55" w14:textId="77777777" w:rsidR="005D7ABA" w:rsidRDefault="00F80D1F" w:rsidP="00CA0D72">
      <w:pPr>
        <w:ind w:right="-3"/>
      </w:pPr>
      <w:r>
        <w:t>In the ACAT-SLA concordance file, two of the SLAs in New South Wales map to more than one ACAT region.  South Sydney (C) maps to both South Eastern Sydney/Illawarra and Sydney South West.  The former was assumed in the Regional Characterization Report.  Similarly the SLA of Sydney (C) - Remainder maps to both South Eastern Sydney/Illawarra and Sydney South West.  The latter has been assumed throughout this report.</w:t>
      </w:r>
    </w:p>
    <w:p w14:paraId="3B9AAE00" w14:textId="77777777" w:rsidR="005D7ABA" w:rsidRDefault="00F80D1F" w:rsidP="00CA0D72">
      <w:pPr>
        <w:pStyle w:val="Heading2"/>
        <w:ind w:right="-3"/>
      </w:pPr>
      <w:bookmarkStart w:id="101" w:name="_Toc402348947"/>
      <w:r>
        <w:t>9.2. Models of Transition Care</w:t>
      </w:r>
      <w:bookmarkEnd w:id="101"/>
    </w:p>
    <w:p w14:paraId="256CDA02" w14:textId="77777777" w:rsidR="005D7ABA" w:rsidRDefault="00F80D1F" w:rsidP="00CA0D72">
      <w:pPr>
        <w:ind w:right="-3"/>
      </w:pPr>
      <w:r>
        <w:t xml:space="preserve">Two main limitations were evident in the derivation of models of TC.  The first main limitation related to the asynchrony of data that were used in the report.  In the main, data for </w:t>
      </w:r>
      <w:proofErr w:type="gramStart"/>
      <w:r>
        <w:t>this report were</w:t>
      </w:r>
      <w:proofErr w:type="gramEnd"/>
      <w:r>
        <w:t xml:space="preserve"> drawn from the TCP database COGNOS, administered by the Department of Health and Ageing, and covered the 2006/07 financial year.  The characteristics of ACAT regions drew on data from the 2005/06 financial year, while a survey of TC services that was also analysed in this report was carried out in November 2006. Quarterly Reports completed by the services generally were completed for the April-June 2007 period, but there was wide variation in the length of time that services had been operational when they submitted their Quarterly Report.</w:t>
      </w:r>
    </w:p>
    <w:p w14:paraId="43BDB4F9" w14:textId="77777777" w:rsidR="005D7ABA" w:rsidRDefault="00F80D1F" w:rsidP="00CA0D72">
      <w:pPr>
        <w:ind w:right="-3"/>
      </w:pPr>
      <w:r>
        <w:t>The second limitation related to the integrity of some of the TCP administrative data, especially those drawn from the TC Claim Form.  This report identified some issues in the reporting of discharge reason on the TC Claim Form, which possibly led to an underestimate of the proportion of TC recipients discharged to the community.</w:t>
      </w:r>
    </w:p>
    <w:p w14:paraId="7A917230" w14:textId="77777777" w:rsidR="005D7ABA" w:rsidRDefault="00F80D1F" w:rsidP="00CA0D72">
      <w:pPr>
        <w:pStyle w:val="Heading2"/>
        <w:ind w:right="-3"/>
      </w:pPr>
      <w:bookmarkStart w:id="102" w:name="_Toc402348948"/>
      <w:r>
        <w:t>9.3. Quality Assessment Study</w:t>
      </w:r>
      <w:bookmarkEnd w:id="102"/>
    </w:p>
    <w:p w14:paraId="1CF82A80" w14:textId="77777777" w:rsidR="005D7ABA" w:rsidRDefault="00F80D1F" w:rsidP="00CA0D72">
      <w:pPr>
        <w:ind w:right="-3"/>
      </w:pPr>
      <w:r>
        <w:t xml:space="preserve">From an evaluation perspective, the analysis of the Quality Reports presented challenges.  Quality Reports were provided in a variety of electronic formats including Microsoft Word, portable document format, or images embedded within Word, and with variable security settings which prevented the easy manipulation of data. A further challenge arose from the combination </w:t>
      </w:r>
      <w:r>
        <w:lastRenderedPageBreak/>
        <w:t>of descriptive responses and multiple criteria embedded within the reporting structure.  Few services responded to the criteria in a systematic way and this detracted from the confidence with which performance against a specific criterion could be reported.  Other quality review mechanisms, such as those proposed by the Department of Health and Ageing as part of the Transition Care Quality Improvement and Monitoring Framework are required to validate and expand on the findings of Quality Assessment Study.</w:t>
      </w:r>
    </w:p>
    <w:p w14:paraId="7D109F1A" w14:textId="77777777" w:rsidR="005D7ABA" w:rsidRDefault="00F80D1F" w:rsidP="00CA0D72">
      <w:pPr>
        <w:pStyle w:val="Heading2"/>
        <w:ind w:right="-3"/>
      </w:pPr>
      <w:bookmarkStart w:id="103" w:name="_Toc402348949"/>
      <w:r>
        <w:t>9.4. Recipient Snapshot Study</w:t>
      </w:r>
      <w:bookmarkEnd w:id="103"/>
    </w:p>
    <w:p w14:paraId="08CE100A" w14:textId="77777777" w:rsidR="005D7ABA" w:rsidRDefault="00F80D1F" w:rsidP="00CA0D72">
      <w:pPr>
        <w:ind w:right="-3"/>
      </w:pPr>
      <w:r>
        <w:t>The sample of interviewed TC recipients represented one fifth of the population of TC recipients who were discharged from TC in the timeframe of the Recipients Snapshot Study.  The sample was not randomly drawn from a list of all TC recipients, because the evaluators were not able to access the names and contact details of individuals without the individual's written consent for contact.  This was because privacy legislation in each of the jurisdictions limited the personal information that could be accessed by the evaluators.</w:t>
      </w:r>
    </w:p>
    <w:p w14:paraId="08E17543" w14:textId="77777777" w:rsidR="005D7ABA" w:rsidRDefault="00F80D1F" w:rsidP="00CA0D72">
      <w:pPr>
        <w:ind w:right="-3"/>
      </w:pPr>
      <w:r>
        <w:t>Consent to a telephone interview was provided by recipients at discharge from TC, and recipients who were discharged to hospital or residential aged care may have been discharged from TC quickly without discussions concerning the evaluation taking place.  This method of seeking consent also relied on TC services, and it is possible that some recipients were not approached if they had been recalcitrant or dissatisfied while in receipt of TC.  Thus the interviewed sample does not appear representative of the population of TC recipients in terms of discharge reason.  There was also a discrepancy with coding of discharge reason in Victoria (National Evaluation of the Transition Care Program, 2007b) so that a large proportion of recipients were discharged to 'other', and a probably under-estimate of discharges to the community.  If correct discharge destination data were available, it is likely that for Victoria a better representation of interviewed recipients from the total of all TC recipients would have been found.</w:t>
      </w:r>
    </w:p>
    <w:p w14:paraId="07A98335" w14:textId="77777777" w:rsidR="005D7ABA" w:rsidRDefault="00F80D1F" w:rsidP="00CA0D72">
      <w:pPr>
        <w:ind w:right="-3"/>
      </w:pPr>
      <w:r>
        <w:t>Furthermore, no recipients of TC in Western Australia or the Northern Territory were interviewed.  No Western Australian recipients were approached at the request of the Department of Health in Western Australia, while the Katherine Transitional Care Unit only commenced operation in February 2007 and had few discharges by 30 June 2007.  None of the recipients of TC from the Katherine Transitional Care Unit consented to a telephone follow-up interview.</w:t>
      </w:r>
    </w:p>
    <w:p w14:paraId="6A4AB588" w14:textId="77777777" w:rsidR="005D7ABA" w:rsidRDefault="00F80D1F" w:rsidP="00CA0D72">
      <w:pPr>
        <w:ind w:right="-3"/>
      </w:pPr>
      <w:r>
        <w:t>The results suggest that the interviewed sample had less functional dependence and were discharged to the community at a higher rate than the population of TC recipients over the same period.</w:t>
      </w:r>
    </w:p>
    <w:p w14:paraId="10D9D905" w14:textId="77777777" w:rsidR="005D7ABA" w:rsidRDefault="00F80D1F" w:rsidP="00CA0D72">
      <w:pPr>
        <w:pStyle w:val="Heading2"/>
        <w:ind w:right="-3"/>
      </w:pPr>
      <w:bookmarkStart w:id="104" w:name="_Toc402348950"/>
      <w:r>
        <w:t>9.5. Controlled Comparison Study and Costs and Effects Study</w:t>
      </w:r>
      <w:bookmarkEnd w:id="104"/>
    </w:p>
    <w:p w14:paraId="684414C6" w14:textId="77777777" w:rsidR="005D7ABA" w:rsidRDefault="00F80D1F" w:rsidP="00CA0D72">
      <w:pPr>
        <w:ind w:right="-3"/>
      </w:pPr>
      <w:r>
        <w:t>There are a number of limitations that must be borne in mind in interpreting the results from the data linkage component of the evaluation.</w:t>
      </w:r>
    </w:p>
    <w:p w14:paraId="592FF298" w14:textId="77777777" w:rsidR="005D7ABA" w:rsidRDefault="00F80D1F" w:rsidP="00CA0D72">
      <w:pPr>
        <w:ind w:right="-3"/>
      </w:pPr>
      <w:r>
        <w:t xml:space="preserve">One of the main limitations that must be considered is the validity of the control groups against whom the comparisons of TC recipients' outcomes are made.  Without data from randomized controlled trials, an assessment of both the effects and costs of the program are difficult because comparisons with unbiased control groups are not possible. The comparability of controls is further limited by the availability of data items to match the TC recipient, Control 1 and Control 2 groups.  The proposed methodology for this part of the NETCP was to control for comorbidity (including cognitive behaviours and continence) and demographic profile in the comparisons of the three groups of people.  However, data from Part 5 of the Aged Care Client Record (ACCR) are not entered in the Aged Care Assessment Program Minimum Dataset despite being collected by assessors.  The most relevant items concerning cognitive function were unavailable and so they could not be used to compare the three types of approvals with respect to this aspect of health.  Instead, the total number of Activity of Daily Living (ADL) items for which each individual in the cohort needed help was calculated based on Question 23 of the ACCR form.  </w:t>
      </w:r>
      <w:r>
        <w:lastRenderedPageBreak/>
        <w:t>The diagnosed diseases or disorders were used to code an individual as having a diagnosed cognitive impairment.</w:t>
      </w:r>
    </w:p>
    <w:p w14:paraId="3D7FF5BD" w14:textId="77777777" w:rsidR="005D7ABA" w:rsidRDefault="00F80D1F" w:rsidP="00CA0D72">
      <w:pPr>
        <w:ind w:right="-3"/>
      </w:pPr>
      <w:r>
        <w:t>On balance the control groups appeared a reasonable match to the TC recipients group overall. However, within jurisdictions there was considerable variation between the three groups in terms of cognitive impairment, co-resident carer availability and ADL needs.  It remains unclear if this is a difference in selection practices by different ACAT teams or whether the background differences between ACAT regions in terms of services available for older people influences the operations of these programs.</w:t>
      </w:r>
    </w:p>
    <w:p w14:paraId="22629442" w14:textId="77777777" w:rsidR="005D7ABA" w:rsidRDefault="00F80D1F" w:rsidP="00CA0D72">
      <w:pPr>
        <w:ind w:right="-3"/>
      </w:pPr>
      <w:r>
        <w:t>A second important limitation in the results reported here is the large proportion of individuals (22%) for whom an index hospital event could not be ascertained.  The index hospitalization was defined as the hospital event during which the ACAT assessment took place, with a leeway of up to a week allowed for individuals with close matches on hospital episode dates and ACAT assessment dates.  The proportion of individuals with no match for an index hospitalization was greater in the Control 2 group (25%) than in the TC recipients group (19%) or Control 1 group (22%).  The members of the cohort without an index hospitalization were not significantly different in terms of activity limitations or the availability of a co-resident carer. There was, however, a significant difference in terms of cognitive impairment with 28% of those without an index hospitalization versus 24% of those with an index hospitalization indicated to have cognitive impairment in the health conditions on the ACCR form.</w:t>
      </w:r>
    </w:p>
    <w:p w14:paraId="049D06CF" w14:textId="77777777" w:rsidR="005D7ABA" w:rsidRDefault="00F80D1F" w:rsidP="00CA0D72">
      <w:pPr>
        <w:ind w:right="-3"/>
      </w:pPr>
      <w:r>
        <w:t>There are several reasons that may have contributed to the high proportion of individuals without an index hospitalization. Hospital records were extracted in ACT, NSW, SA, Tasmania, and Victoria for all hospital separations between 1 October 2006 and 30 September 2007 for persons aged 65 years or more (specific records were extracted for NT, Queensland, and WA).  Therefore an index hospitalization for those people with an ACAT approval in these five states who were aged less than 65 years could not be determined.</w:t>
      </w:r>
    </w:p>
    <w:p w14:paraId="7EE502F2" w14:textId="77777777" w:rsidR="005D7ABA" w:rsidRDefault="00F80D1F" w:rsidP="00CA0D72">
      <w:pPr>
        <w:ind w:right="-3"/>
      </w:pPr>
      <w:r>
        <w:t>An additional limitation is that the availability of data from private hospitals differed between jurisdictions.  Data from private hospitals were not available from NSW, and the effect of this on the data linkage is not known.  Twenty five per cent of the NSW cohort could not be linked to an index hospitalization in comparison to 19% in SA where private hospital data were available.</w:t>
      </w:r>
    </w:p>
    <w:p w14:paraId="7E91140E" w14:textId="77777777" w:rsidR="005D7ABA" w:rsidRDefault="00F80D1F" w:rsidP="00CA0D72">
      <w:pPr>
        <w:ind w:right="-3"/>
      </w:pPr>
      <w:r>
        <w:t>It must also be borne in mind that the hospital morbidity data collections were accessed for the NETCP some four months before the same data are supplied to the Australian Institute of Health and Welfare.  The hospital data were analysed as supplied, and so differences between jurisdictions in the coding of administrative discharges, for example, may explain some of the differences observed here.  The pattern of hospital readmissions appears quite different for Tasmania compared to other jurisdictions.</w:t>
      </w:r>
    </w:p>
    <w:p w14:paraId="15165023" w14:textId="77777777" w:rsidR="005D7ABA" w:rsidRDefault="00F80D1F" w:rsidP="00CA0D72">
      <w:pPr>
        <w:ind w:right="-3"/>
      </w:pPr>
      <w:r>
        <w:t>The cost of each day in TC was estimated as $213.86 (that is, twice the flexible care subsidy for 2007/08 of $106.93; Australian Government Department of Health and Ageing, 2008).  However, different jurisdictions may have funded the community-based and residential-based TC places at different rates, but these differential rates were not available for the evaluation.  Nevertheless, the total program costs to both Commonwealth and State or Territory providers are accurately reflected in the costing method used in this evaluation.</w:t>
      </w:r>
    </w:p>
    <w:p w14:paraId="50FD5046" w14:textId="77777777" w:rsidR="005D7ABA" w:rsidRDefault="00F80D1F" w:rsidP="00CA0D72">
      <w:pPr>
        <w:ind w:right="-3"/>
      </w:pPr>
      <w:r>
        <w:t>The economic analyses have used days of survival without institutional care as the effect.  Other important outcomes, such as the cost to achieve a one unit improvement in function (MBI) or quality of life, were not possible to examine as the data for the two control groups were not available.  Annual Accountability Reports that are completed by TC services were not included in the analyses and this may be an area for future work in informing the economic analyses.</w:t>
      </w:r>
    </w:p>
    <w:p w14:paraId="07E679BA" w14:textId="140CFAC7" w:rsidR="005D7ABA" w:rsidRDefault="00F80D1F" w:rsidP="00CA0D72">
      <w:pPr>
        <w:ind w:right="-3"/>
      </w:pPr>
      <w:r>
        <w:t>Finally, the three and six month follow-up periods were based on time from ACAT approval, not discharge from TC, which does not provide a particularly lengthy follow-up period following completion of TC.</w:t>
      </w:r>
    </w:p>
    <w:p w14:paraId="38048A7C" w14:textId="77777777" w:rsidR="005D7ABA" w:rsidRDefault="00F80D1F" w:rsidP="00CA0D72">
      <w:pPr>
        <w:pStyle w:val="Heading2"/>
        <w:ind w:right="-3"/>
      </w:pPr>
      <w:bookmarkStart w:id="105" w:name="_Toc402348951"/>
      <w:r>
        <w:lastRenderedPageBreak/>
        <w:t>9.6. Overall strengths and limitations</w:t>
      </w:r>
      <w:bookmarkEnd w:id="105"/>
    </w:p>
    <w:p w14:paraId="69C518A1" w14:textId="77777777" w:rsidR="005D7ABA" w:rsidRDefault="00F80D1F" w:rsidP="00CA0D72">
      <w:pPr>
        <w:ind w:right="-3"/>
      </w:pPr>
      <w:r>
        <w:t>One notable overall limitation is the lack of independence between the TC services and the measurement and reporting of data for the evaluation.  The evaluation design deliberately imposed as little burden as possible on individual TC recipients or TC services.  This meant that making maximum use of existing TC administrative program data was an essential part of the evaluation.</w:t>
      </w:r>
    </w:p>
    <w:p w14:paraId="6D1E9B09" w14:textId="77777777" w:rsidR="005D7ABA" w:rsidRDefault="00F80D1F" w:rsidP="00CA0D72">
      <w:pPr>
        <w:ind w:right="-3"/>
      </w:pPr>
      <w:r>
        <w:t>The evaluation had to balance burden on TC services and individuals with the collection of quality data.  One casualty of minimising the burden is the relatively small amount of information that was able to be collected from TC services.  Important local issues in terms of TC implementation and service delivery that were not captured in the performance indicators of function and institutional care use are therefore not addressed in the evaluation.</w:t>
      </w:r>
    </w:p>
    <w:p w14:paraId="79A06B88" w14:textId="77777777" w:rsidR="005D7ABA" w:rsidRDefault="00F80D1F" w:rsidP="00CA0D72">
      <w:pPr>
        <w:ind w:right="-3"/>
      </w:pPr>
      <w:r>
        <w:t>The integrity of administrative data bases that are not collected for the primary purpose of evaluation has been raised by other authors (</w:t>
      </w:r>
      <w:proofErr w:type="spellStart"/>
      <w:r>
        <w:t>Kelman</w:t>
      </w:r>
      <w:proofErr w:type="spellEnd"/>
      <w:r>
        <w:t xml:space="preserve"> and Smith 2000).  The TCP database draws data from the TC claim forms, which directly inform the financial management of the program.  As noted in the limitations concerning the Models of Transition Care Report, some of these administrative data appeared inaccurate.</w:t>
      </w:r>
    </w:p>
    <w:p w14:paraId="2EC58506" w14:textId="77777777" w:rsidR="005D7ABA" w:rsidRDefault="00F80D1F" w:rsidP="00CA0D72">
      <w:pPr>
        <w:ind w:right="-3"/>
      </w:pPr>
      <w:r>
        <w:t>A second important limitation of the evaluation overall is the limited qualitative data that were collected from individual recipients of TC.  The journey of individual TC recipients was not mapped as part of the evaluation, and this would have added strength to our ability to describe the elements of TC which were associated with successful outcomes as well as chart individuals' trajectories through the emergency, acute, rehabilitation, and aged care sectors.</w:t>
      </w:r>
    </w:p>
    <w:p w14:paraId="44E86EC4" w14:textId="1A4A4854" w:rsidR="005D7ABA" w:rsidRDefault="00F80D1F" w:rsidP="00CA0D72">
      <w:pPr>
        <w:ind w:right="-3"/>
      </w:pPr>
      <w:r>
        <w:t>It is also important to note that the hospital readmissions considered in this report included all inpatient episodes.  Some of these episodes may have been for reasons or conditions unrelated to the original index hospitalization. In addition, a distinction between emergency and elective episodes has not been made so that the overall use of the hospital system as inpatients by TC recipients and control groups was estimated.</w:t>
      </w:r>
    </w:p>
    <w:p w14:paraId="209A6986" w14:textId="4BE9016C" w:rsidR="005D7ABA" w:rsidRDefault="00F80D1F" w:rsidP="00CA0D72">
      <w:pPr>
        <w:ind w:right="-3"/>
      </w:pPr>
      <w:r>
        <w:t>These are balanced to some extent by one of the major strengths of the evaluation, the synthesis of findings from different studies that examined the individual, service, regional and jurisdictional level factors that were important in the delivery and experience of TC.  Furthermore, all TC services that were operational at the time of conducting the evaluation were included, rather than just a sample of TC services.</w:t>
      </w:r>
    </w:p>
    <w:p w14:paraId="630FBF2C" w14:textId="2FD88606" w:rsidR="00F80D1F" w:rsidRDefault="00F80D1F" w:rsidP="00CA0D72">
      <w:pPr>
        <w:ind w:right="-3"/>
      </w:pPr>
      <w:r>
        <w:t>All data that were available from TC recipients were analysed.  While only a sample of TC recipients took part in telephone interviews, the data linkage methodology ensured that important outcomes of hospital readmissions, residential care admissions, and deaths were examined for all recipients of TC. One of the major strengths of the evaluation is the data linkage methodology that used current best practice.  This evaluation was the first study to link together the datasets that covered residential aged care, hospital use, mortality, and TC use on a national scale.</w:t>
      </w:r>
    </w:p>
    <w:p w14:paraId="4062A388" w14:textId="77777777" w:rsidR="005D7ABA" w:rsidRDefault="00F80D1F" w:rsidP="00CA0D72">
      <w:pPr>
        <w:pStyle w:val="Heading1"/>
        <w:ind w:right="-3"/>
      </w:pPr>
      <w:r>
        <w:br w:type="page"/>
      </w:r>
      <w:bookmarkStart w:id="106" w:name="_Toc402348952"/>
      <w:r w:rsidR="00991060">
        <w:lastRenderedPageBreak/>
        <w:t>10. Summary and future directions</w:t>
      </w:r>
      <w:bookmarkEnd w:id="106"/>
    </w:p>
    <w:p w14:paraId="62B940CA" w14:textId="77777777" w:rsidR="005D7ABA" w:rsidRDefault="00991060" w:rsidP="00CA0D72">
      <w:pPr>
        <w:pStyle w:val="Heading2"/>
        <w:ind w:right="-3"/>
      </w:pPr>
      <w:bookmarkStart w:id="107" w:name="_Toc402348953"/>
      <w:r>
        <w:t>10.1. Discussion</w:t>
      </w:r>
      <w:bookmarkEnd w:id="107"/>
    </w:p>
    <w:p w14:paraId="69463148" w14:textId="77777777" w:rsidR="005D7ABA" w:rsidRDefault="00991060" w:rsidP="00CA0D72">
      <w:pPr>
        <w:ind w:right="-3"/>
      </w:pPr>
      <w:r>
        <w:t>We found that the TCP was highly valued by both recipients and carers and that during the evaluation period which covered July 2006 - September 2007 the program had successfully assisted older Australians to remain in their own homes.  Our results suggest that the target group of frail older people are being identified and offered the program across Australia and that TC is preventing hospital readmissions and transfers to residential aged care.  We have summarized the evidence found for the TC models in Table 10.1.  The current configuration of the program is constraining its efficiency so the positive effects achieved by the program are being delivered at a significant cost.  This is not surprising in a new program which is tackling a complex policy area so these costs are likely to reduce with further development of the program.  Older people moving out of hospital are at risk of experiencing fragmented services associated with the complex governance arrangements in Australia.  The program has emerged from a policy commitment to improving the integration of older people's services but translating this policy intent into an efficient operational program is likely to be an iterative process taking three to five years.</w:t>
      </w:r>
    </w:p>
    <w:p w14:paraId="7FE2A5AF" w14:textId="77777777" w:rsidR="005D7ABA" w:rsidRDefault="00991060" w:rsidP="00CA0D72">
      <w:pPr>
        <w:ind w:right="-3"/>
      </w:pPr>
      <w:r>
        <w:t xml:space="preserve">Defining the interface between rehabilitation and TC appears an important issue.  Issues of local governance will need to be considered as the program is currently at risk of setting up another </w:t>
      </w:r>
      <w:proofErr w:type="spellStart"/>
      <w:r>
        <w:t>post acute</w:t>
      </w:r>
      <w:proofErr w:type="spellEnd"/>
      <w:r>
        <w:t xml:space="preserve"> care silo with its own assessment processes, its own queues and introducing further fragmentation.  In some states subacute care is part of acute hospital services and TC falls under the umbrella of primary care service structures; the interface is poor and there is early evidence of problems.  If the services are to be considered a continuum then the establishment of rehabilitation bed benchmarks may need to be part of the development of TC.  The variation in rehabilitation bed provision was clearly distorting the implementation phase, exaggerating state differences and leading to inefficiencies manifest in both queues and case selection.</w:t>
      </w:r>
    </w:p>
    <w:p w14:paraId="1FE1C5DB" w14:textId="77777777" w:rsidR="005D7ABA" w:rsidRDefault="00991060" w:rsidP="00CA0D72">
      <w:pPr>
        <w:ind w:right="-3"/>
      </w:pPr>
      <w:r>
        <w:t xml:space="preserve">A more complex issue is around the emphasis in the program on change outcomes i.e. improvements in physical function, confidence and morale rather than on maintenance outcomes i.e. outcomes which prevent or delay deterioration in health, </w:t>
      </w:r>
      <w:proofErr w:type="spellStart"/>
      <w:r>
        <w:t>well being</w:t>
      </w:r>
      <w:proofErr w:type="spellEnd"/>
      <w:r>
        <w:t xml:space="preserve"> or quality of life (</w:t>
      </w:r>
      <w:proofErr w:type="spellStart"/>
      <w:r>
        <w:t>Qureshi</w:t>
      </w:r>
      <w:proofErr w:type="spellEnd"/>
      <w:r>
        <w:t>, Patmore et al. 1998). This emphasis appears to have led to the selection of recipients who are able to achieve change outcomes, in a comparatively short period of time and probably resulted in the exclusion of many people with dementia.  Data from Victoria on recipient MBIs suggest that in their services there was less emphasis on physical function as an outcome and a greater emphasis on maintaining quality of life. However, Victorian services were penalized in our assessments of MBI efficiency (changes in function per day).</w:t>
      </w:r>
    </w:p>
    <w:p w14:paraId="7176E17F" w14:textId="77777777" w:rsidR="005D7ABA" w:rsidRDefault="00991060" w:rsidP="00CA0D72">
      <w:pPr>
        <w:ind w:right="-3"/>
      </w:pPr>
      <w:r>
        <w:t>There is comparatively little emphasis in the program on process outcomes such as feeling valued and respected, having a say over the timing and type of services and the way that the funds were allocated (</w:t>
      </w:r>
      <w:proofErr w:type="spellStart"/>
      <w:r>
        <w:t>Qureshi</w:t>
      </w:r>
      <w:proofErr w:type="spellEnd"/>
      <w:r>
        <w:t xml:space="preserve">, Patmore et al. 1998).  The TC interventions had the potential to be more flexible than was observed. The close alignment of most programs to conventional physical rehabilitation programs has led to less emphasis on active participation by recipients than is stated in the program guidelines.  Recipients' responses to the telephone survey indicated that the model has been implemented with the TC services allocating services to the older adult after a negotiation but these goals are constrained by the staffing mix in place. As a result, the decision on the type and amount of therapy was usually made by TC services.  In many areas competitive tendering has established panels of aged care providers to provide personal care while hospitals provide therapists and so the service is complicated and </w:t>
      </w:r>
      <w:proofErr w:type="spellStart"/>
      <w:r>
        <w:t>non transparent</w:t>
      </w:r>
      <w:proofErr w:type="spellEnd"/>
      <w:r>
        <w:t xml:space="preserve"> to hospital staff, patients and families.  The program is tending to use conventional health "prioritization approaches" for entry and then providing a service mix akin to hospital rehabilitation services.  There are limitations to this approach as it depends on a skilled work force, is inevitably associated with queues and there are incentives which encourage the staff to influence negotiations about what types of services will be delivered.</w:t>
      </w:r>
    </w:p>
    <w:p w14:paraId="6BEB3F9E" w14:textId="77777777" w:rsidR="005D7ABA" w:rsidRDefault="00991060" w:rsidP="00CA0D72">
      <w:pPr>
        <w:ind w:right="-3"/>
      </w:pPr>
      <w:r>
        <w:lastRenderedPageBreak/>
        <w:t>There is currently debate in the UK around whether Intermediate Care (a similar although different approach to post acute care) is over-emphasising physical maintenance outcomes instead of other maintenance outcomes such as sustaining social contacts and being able to stay alert and active (</w:t>
      </w:r>
      <w:proofErr w:type="spellStart"/>
      <w:r>
        <w:t>Glendinning</w:t>
      </w:r>
      <w:proofErr w:type="spellEnd"/>
      <w:r>
        <w:t xml:space="preserve">, Clarke et al. 2008). There have been suggestions that leaving the house should be a key outcome of community interventions for older people rather than the outcome currently given the highest priority by both researchers and policy makers - staying out of an institution (hospital or residential aged care) (Close, Ellis et al. 1999; </w:t>
      </w:r>
      <w:proofErr w:type="spellStart"/>
      <w:r>
        <w:t>Beswick</w:t>
      </w:r>
      <w:proofErr w:type="spellEnd"/>
      <w:r>
        <w:t>, Rees et al. 2008).  Given that an outcome focused approach is likely to continue, a broadening of key outcomes to align with older people's values could be considered.  In the Australian context, one of the stated aims of the TCP is to improve psycho-social functioning, with services contracted to provide activities to prevent social isolation and facilitate social contact.  A more flexible interpretation of the TC entry criteria may result in a broadening of access to the program to include those with complexity, mental health, and cognitive problems.</w:t>
      </w:r>
    </w:p>
    <w:p w14:paraId="4888CE5C" w14:textId="78B5A797" w:rsidR="005D7ABA" w:rsidRDefault="00991060" w:rsidP="00CA0D72">
      <w:pPr>
        <w:ind w:right="-3"/>
      </w:pPr>
      <w:r>
        <w:t>The analyses (although limited by reliance for comparisons on administrative data rather than appropriately selected controls) also suggested that the use of TC only in a residential setting as sites for geriatric evaluation and management by many states was probably not efficient or effective.  It took longer to get functional shifts in residential-based TC than in Victorian GEM units and this type of TC did not prevent transfer to residential aged care.  In some jurisdictions it is possible that patients in hospitals who were waiting for a place in a high level residential aged care were less likely to move to residential-based TC than patients who needed rehabilitation.  In these jurisdictions it is likely that their hospitals would still be occupied by people awaiting care while other patients likely to get home would be transferred to receive inefficient rehabilitation programs.</w:t>
      </w:r>
    </w:p>
    <w:p w14:paraId="51458DBF" w14:textId="77777777" w:rsidR="005D7ABA" w:rsidRDefault="00991060" w:rsidP="00CA0D72">
      <w:pPr>
        <w:ind w:right="-3"/>
      </w:pPr>
      <w:r>
        <w:t xml:space="preserve">This issue overlaps with the problems associated with using TC to substitute for rehabilitation services and the more complex issue of how and where to deliver </w:t>
      </w:r>
      <w:proofErr w:type="spellStart"/>
      <w:r>
        <w:t>post acute</w:t>
      </w:r>
      <w:proofErr w:type="spellEnd"/>
      <w:r>
        <w:t xml:space="preserve"> care.  However, it also raises questions about whether the outcomes selected for performance monitoring, (which are similar to those used in rehabilitation units) are influencing the approach staff are taking to operationalize the program.  Residential-based TC offers a more appropriate environment for individuals finalizing their care arrangements than hospital wards and it allows maintenance of function and quality of life goals can be met.  However, our results suggest that while on the one hand caution should be observed in the use of these units as rehabilitation sites, on the other those jurisdictions who used residential-based TC to assist very dependent older people make long term arrangements for their care are penalized by the current performance measures focused on functional improvement.</w:t>
      </w:r>
    </w:p>
    <w:p w14:paraId="7DAE82C8" w14:textId="77777777" w:rsidR="005D7ABA" w:rsidRDefault="00991060" w:rsidP="00CA0D72">
      <w:pPr>
        <w:ind w:right="-3"/>
      </w:pPr>
      <w:r>
        <w:t xml:space="preserve">The efficiencies of the program need exploration particularly those at the front end of the program and those factors affecting total episode costs.  Our analyses suggested that paradoxically hospital delays were occurring in the process of moving older people out of hospital with TC.  We did not include the index hospital admission in our economic analyses so ignored the delays in discharge associated with entry.  As a result it is likely that the costs we estimated are at the lower end of the spectrum.  Another strategy for decreasing costs would be to reduce the TC episode costs by examining incentives to increase turn over without decreasing the complexity of those selected.  In addition, the relative efficiencies of delivering </w:t>
      </w:r>
      <w:proofErr w:type="spellStart"/>
      <w:r>
        <w:t>post acute</w:t>
      </w:r>
      <w:proofErr w:type="spellEnd"/>
      <w:r>
        <w:t xml:space="preserve"> care in a home-based model (which involves therapists visiting older people at home) versus using hybrid models (e.g. home care plus centre based therapy, such as day centres/rehabilitation hospitals).</w:t>
      </w:r>
    </w:p>
    <w:p w14:paraId="5AFA064A" w14:textId="77777777" w:rsidR="005D7ABA" w:rsidRDefault="00991060" w:rsidP="00CA0D72">
      <w:pPr>
        <w:pStyle w:val="Heading3"/>
        <w:ind w:right="-3"/>
      </w:pPr>
      <w:bookmarkStart w:id="108" w:name="_Toc402348954"/>
      <w:r>
        <w:t>Specific issues identified during the implementation</w:t>
      </w:r>
      <w:bookmarkEnd w:id="108"/>
    </w:p>
    <w:p w14:paraId="02E36698" w14:textId="77777777" w:rsidR="005D7ABA" w:rsidRDefault="00991060" w:rsidP="00CA0D72">
      <w:pPr>
        <w:ind w:right="-3"/>
      </w:pPr>
      <w:r>
        <w:t>This evaluation focused on the period between July 2006 and September 2007 and so it represents a snapshot of the implementation phase.  We followed older people who were receiving the program from newly configured teams, at a time when they were still on a learning curve and were experimenting with triage processes and interventions.  Therefore, it is possible that some of the inefficiencies noted have reduced as staff and jurisdictional experience has increased.</w:t>
      </w:r>
    </w:p>
    <w:p w14:paraId="7B33CF84" w14:textId="77777777" w:rsidR="005D7ABA" w:rsidRDefault="00991060" w:rsidP="00CC4B48">
      <w:pPr>
        <w:numPr>
          <w:ilvl w:val="0"/>
          <w:numId w:val="4"/>
        </w:numPr>
        <w:ind w:left="0" w:right="-3"/>
      </w:pPr>
      <w:r w:rsidRPr="00991060">
        <w:rPr>
          <w:b/>
        </w:rPr>
        <w:lastRenderedPageBreak/>
        <w:t>Case selection.</w:t>
      </w:r>
      <w:r>
        <w:t xml:space="preserve"> The services and configurations of the program appeared flexible and allowed older people to receive a range of services in the community and in facilities.  However, case selection is important in determining the efficiency of the program.  There are elements of TC which have been imported from aged care services which are bureaucratic within a hospital setting.  Most home rehabilitation and discharge services involve a single assessment process rather than two assessments (ACAT assessment to approve eligibility and TC services to accept into the program).  Where recipients have no option for discharge to the community unless they receive the level of support in these programs this delay would not be a problem.  However, the high functional scores of some recipients (MBI greater than 90) suggest discharge might have been an option without the program.  Given that the program was set up to decrease time spent in hospital, the suggestion in some states and territories that the program is introducing delays in hospital discharge needs to be monitored.  Jurisdictions could also review case selection for community-based TC places and consider whether alternative services might achieve the same result in a more timely fashion.  Admission to the program is complex and the investment in supporting individuals comparatively high so the program could be reserved for more disabled individuals.  The eligibility requirements do not currently exclude older people with cognitive impairment yet it appeared that several jurisdictions were excluding people with dementia (although they are at particular risk of readmission to hospital and movement into residential aged care) and focusing on physical disability.  Consideration could be given to clarifying whether this group is intended to be excluded.</w:t>
      </w:r>
    </w:p>
    <w:p w14:paraId="02BDB41D" w14:textId="68E3835F" w:rsidR="005D7ABA" w:rsidRDefault="00991060" w:rsidP="00CC4B48">
      <w:pPr>
        <w:numPr>
          <w:ilvl w:val="0"/>
          <w:numId w:val="4"/>
        </w:numPr>
        <w:ind w:left="0" w:right="-3"/>
      </w:pPr>
      <w:r w:rsidRPr="00991060">
        <w:rPr>
          <w:b/>
        </w:rPr>
        <w:t>The interface with subacute care.</w:t>
      </w:r>
      <w:r>
        <w:t xml:space="preserve"> The variation faced by older Australians in access to subacute beds across Australia was one of the most striking findings of this evaluation.  The selection of cases (as evidenced by the recipients' disability levels) to receive TC places is likely to be influenced by the availability of other subacute services and cross state comparisons of disability levels suggested that TC was substituting for traditional subacute services in many jurisdictions.  For example, the program appeared to provide services in Queensland to older adults who would probably have received state funded Home Rehabilitation programs in other jurisdictions and in South Australia the residential-based units appeared to accept older adults who may have entered GEM units in Victoria (it was noteworthy that those entering residential-based TC in SA were less disabled (as measured by MBI) than those entering GEM in Victoria).  Based on the limited comparisons that we were able to make by using administrative data, it appeared that by using TC as a substitution for conventional rehabilitation approaches these states had settled for less efficient approaches (e.g. longer stays in residential-based TC than in GEM, longer delays to accessing community TC for older people) and this is likely to be contributing to the high costs of the program.  As a result, it also seems that groups of very disabled older adults who might access TC in regions with strong subacute services access are not entering TC in states such as Queensland where the TC places are occupied by less disabled patient groups.  This is a complex area and it is unlikely that the services will ever accept the same cases in each state.  However, the boundary between subacute care and TC was very unclear in several states and unless this interface is clarified it is likely to confound improvements in efficiency.  The definition of a rehabilitation episode of care includes psychiatric rehabilitation which appears to have led to some differences in reporting approaches from jurisdictions, as some states included psychiatric rehabilitation episodes of care in their count of rehabilitation episodes of care while others did not.  It would be helpful if reporting allowed national comparisons, longitudinal reporting of changes in bed stock and to allow for accurate workforce planning.  This would be consistent with Principle 5 of the National Action Plan for improving the care of older people across the acute-aged care continuum 2004-2008 "... all jurisdictions will develop and agree on standard definitions and consistent data collections and performance indicators to measure access to rehabilitation, geriatric evaluation and management, psychogeriatric, palliative care and other specialized health services for older people" (see Appendix 1).</w:t>
      </w:r>
    </w:p>
    <w:p w14:paraId="4168310D" w14:textId="77777777" w:rsidR="005D7ABA" w:rsidRDefault="00991060" w:rsidP="00CC4B48">
      <w:pPr>
        <w:numPr>
          <w:ilvl w:val="0"/>
          <w:numId w:val="4"/>
        </w:numPr>
        <w:ind w:left="0" w:right="-3"/>
      </w:pPr>
      <w:r w:rsidRPr="00991060">
        <w:rPr>
          <w:b/>
        </w:rPr>
        <w:t>Allocation</w:t>
      </w:r>
      <w:r>
        <w:t xml:space="preserve">. Given the widespread shortages, access to TC places might be improved if a move was made to incorporate a population based allocation such as currently used by the </w:t>
      </w:r>
      <w:r>
        <w:lastRenderedPageBreak/>
        <w:t>Commonwealth to allocate aged care places i.e. per 1,000 population aged 70 years and over.  If this were not possible consideration should be given to allocation of TC places according to areas of need as assessed by the map of aged care places and subacute hospital beds provided in the Regional Characterization Report.  A state or territory based plan, taking into account local issues such as workforce and service, could also be explored. Many areas identified as particularly lacking in both aged care and subacute services were rural which will present workforce difficulties.  However, the program is flexible allowing a range of professions and organizations to deliver TC services.</w:t>
      </w:r>
    </w:p>
    <w:p w14:paraId="79CE4393" w14:textId="77777777" w:rsidR="005D7ABA" w:rsidRDefault="00991060" w:rsidP="00CC4B48">
      <w:pPr>
        <w:numPr>
          <w:ilvl w:val="0"/>
          <w:numId w:val="4"/>
        </w:numPr>
        <w:ind w:left="0" w:right="-3"/>
      </w:pPr>
      <w:r w:rsidRPr="00991060">
        <w:rPr>
          <w:b/>
        </w:rPr>
        <w:t>Hospital readmissions.</w:t>
      </w:r>
      <w:r>
        <w:t xml:space="preserve"> The hospital readmission rate was high particularly in the community-based TC group. Access to a medical assessment and a pharmacy review of drugs is likely to reduce (although not eliminate) this rate.  Very few TC services had allocated funds to include medical or pharmacy staff in their programs.  Older adults with medication discrepancies on transfer are more likely to be re-hospitalized within 30 days than those without (Coleman, Mahoney et al. 2005).  In addition, a relationship between readmission rates and number of nursing staff was established.  Evidence that the team members providing services to recipients are broad and collected at the service level in Quarterly Reports, but are not available at the recipient level.  The governance structures and responsibility for clinical outcomes in residential-based TC units can be unclear and this has been identified in the UK as a problem.</w:t>
      </w:r>
    </w:p>
    <w:p w14:paraId="0EB3701E" w14:textId="77777777" w:rsidR="005D7ABA" w:rsidRDefault="00991060" w:rsidP="00CC4B48">
      <w:pPr>
        <w:numPr>
          <w:ilvl w:val="0"/>
          <w:numId w:val="4"/>
        </w:numPr>
        <w:ind w:left="0" w:right="-3"/>
      </w:pPr>
      <w:r w:rsidRPr="00991060">
        <w:rPr>
          <w:b/>
        </w:rPr>
        <w:t>Leave rule</w:t>
      </w:r>
      <w:r>
        <w:t>. A substantial proportion of TC recipients (22%) ended their programs back in hospital and many subsequently reapplied to return to TC, adding burden to ACATs through the additional assessments required for many re-entries.  Acknowledging the frailty of this group and the high hospital readmission rates, the rule regarding transfer back to hospital which currently allows a leave period of only 24 hours could be reviewed and consideration given to allowing a longer period of leave.  For example, seven days would allow for a short hospital stay and return to TC service without creating the need for a second ACAT assessment.  This may also reduce the proportion who are ultimately discharged to hospital, with more discharged from the service to the community or residential aged care.  This would also allow a better assessment of the final residential outcome of TC recipients.</w:t>
      </w:r>
    </w:p>
    <w:p w14:paraId="12760D42" w14:textId="77777777" w:rsidR="005D7ABA" w:rsidRDefault="00991060" w:rsidP="00CC4B48">
      <w:pPr>
        <w:numPr>
          <w:ilvl w:val="0"/>
          <w:numId w:val="4"/>
        </w:numPr>
        <w:ind w:left="0" w:right="-3"/>
      </w:pPr>
      <w:r w:rsidRPr="00991060">
        <w:rPr>
          <w:b/>
        </w:rPr>
        <w:t>Measures of Transition</w:t>
      </w:r>
      <w:r>
        <w:t xml:space="preserve">. Internationally the risks associated with transfer 'episodes' between institutions and systems of care in institutionalized older adults are high enough and occur frequently enough for the terms 'falling through the cracks" and "transfer trauma" to have entered the literature (Coleman 2003; Sherman 2006).  The US is using a 'pay for performance' strategy for managing transfer outcomes (Sherman 2006).  Recognising that older patients with complex conditions require care from a variety of settings and that poor transitions between these settings threaten safety and increases costs, there has been considerable focus in the US on guidelines to improve the transfer and on a patient tool (the Care Transition Measure) which assess change in health system performance (Coleman, </w:t>
      </w:r>
      <w:proofErr w:type="spellStart"/>
      <w:r>
        <w:t>Boult</w:t>
      </w:r>
      <w:proofErr w:type="spellEnd"/>
      <w:r>
        <w:t xml:space="preserve"> et al. 2003; Coleman, Mahoney et al. 2005).  The Care Transition Measure is currently being trialled in 200 hospitals in 10 European countries as a quality indicator of transfer from hospital (Coleman, Parry et al. 2007).  We trialled this tool in the telephone survey of recipients and we found that the scores were suggesting problems with medication management.  However, scores did not predict </w:t>
      </w:r>
      <w:proofErr w:type="spellStart"/>
      <w:r>
        <w:t>rehospitalization</w:t>
      </w:r>
      <w:proofErr w:type="spellEnd"/>
      <w:r>
        <w:t xml:space="preserve"> so further work is needed to identify an indicator that has predictive validity.</w:t>
      </w:r>
    </w:p>
    <w:p w14:paraId="2587C981" w14:textId="77777777" w:rsidR="005D7ABA" w:rsidRDefault="00991060" w:rsidP="00CC4B48">
      <w:pPr>
        <w:numPr>
          <w:ilvl w:val="0"/>
          <w:numId w:val="4"/>
        </w:numPr>
        <w:ind w:left="0" w:right="-3"/>
      </w:pPr>
      <w:r w:rsidRPr="00991060">
        <w:rPr>
          <w:b/>
        </w:rPr>
        <w:t>End of life care</w:t>
      </w:r>
      <w:r>
        <w:t xml:space="preserve">.  Achieving a good death e.g. advance directives could be reasonably considered with certain patients.  Twenty </w:t>
      </w:r>
      <w:proofErr w:type="spellStart"/>
      <w:r>
        <w:t>percent</w:t>
      </w:r>
      <w:proofErr w:type="spellEnd"/>
      <w:r>
        <w:t xml:space="preserve"> of those over 80 who received TC only in a residential setting were dead at six months suggesting end of life issues were important.  In the UK, programs have been developed to ask doctors to identify patients using the questions "would you be surprised if this patient died within the next year?"  Patients identified in this way then have differing quality measures applied (</w:t>
      </w:r>
      <w:proofErr w:type="spellStart"/>
      <w:r>
        <w:t>Dy</w:t>
      </w:r>
      <w:proofErr w:type="spellEnd"/>
      <w:r>
        <w:t xml:space="preserve"> and Lynn 2007).  Consideration could be given to including end of life quality measures in residential-based TC.</w:t>
      </w:r>
    </w:p>
    <w:p w14:paraId="690AA4F1" w14:textId="77777777" w:rsidR="005D7ABA" w:rsidRDefault="00991060" w:rsidP="00CC4B48">
      <w:pPr>
        <w:numPr>
          <w:ilvl w:val="0"/>
          <w:numId w:val="4"/>
        </w:numPr>
        <w:ind w:left="0" w:right="-3"/>
      </w:pPr>
      <w:r w:rsidRPr="00991060">
        <w:rPr>
          <w:b/>
        </w:rPr>
        <w:t>Workforce</w:t>
      </w:r>
      <w:r>
        <w:t xml:space="preserve"> has been a significant barrier in the US to providing </w:t>
      </w:r>
      <w:proofErr w:type="spellStart"/>
      <w:r>
        <w:t>post acute</w:t>
      </w:r>
      <w:proofErr w:type="spellEnd"/>
      <w:r>
        <w:t xml:space="preserve"> care.  In particular, many doctors are not prepared to work in geriatrics and long term care and this lack of medical practitioner interest is viewed as a greater impediment than the financial and delivery problems </w:t>
      </w:r>
      <w:r>
        <w:lastRenderedPageBreak/>
        <w:t xml:space="preserve">(Anonymous 2008).  Disease management programs have been in place in the US since the 1990s and more recently variations of these chronic care models with strategies to increase the level of medical involvement have been described (e.g. telemedicine, Advanced Medical Homes) in the US (Wagner, Austin et al. 2001; </w:t>
      </w:r>
      <w:proofErr w:type="spellStart"/>
      <w:r>
        <w:t>Bodenheimer</w:t>
      </w:r>
      <w:proofErr w:type="spellEnd"/>
      <w:r>
        <w:t xml:space="preserve">, </w:t>
      </w:r>
      <w:proofErr w:type="spellStart"/>
      <w:r>
        <w:t>Lorig</w:t>
      </w:r>
      <w:proofErr w:type="spellEnd"/>
      <w:r>
        <w:t xml:space="preserve"> et al. 2002).  There may need to be some exploration of these new models to allow rural areas to deal with accessing specialist staff.</w:t>
      </w:r>
    </w:p>
    <w:p w14:paraId="0E19A9A5" w14:textId="654A28C3" w:rsidR="005D7ABA" w:rsidRDefault="00991060" w:rsidP="00CC4B48">
      <w:pPr>
        <w:numPr>
          <w:ilvl w:val="0"/>
          <w:numId w:val="4"/>
        </w:numPr>
        <w:ind w:left="0" w:right="-3"/>
      </w:pPr>
      <w:r w:rsidRPr="00991060">
        <w:rPr>
          <w:b/>
        </w:rPr>
        <w:t>Residential-based TC - minimum size</w:t>
      </w:r>
      <w:r>
        <w:t>. We were unable to answer the question around whether TC provided in a residential-based setting should be offered as single places in aged care settings or whether larger numbers of co-located clients will achieve greater outcomes.  We were also unable to find differences in outcomes of residential sites provided on hospital grounds compared with residential-based TC in existing facilities.  Without critical mass it seems unlikely that older adults are receiving adequate therapy and nursing levels, the facilities are unlikely to have appropriate equipment and gyms for one or two clients and more importantly the interface with acute care is more likely to improve with higher numbers of TC recipients.</w:t>
      </w:r>
    </w:p>
    <w:p w14:paraId="74DB2082" w14:textId="77777777" w:rsidR="005D7ABA" w:rsidRDefault="00991060" w:rsidP="00CC4B48">
      <w:pPr>
        <w:numPr>
          <w:ilvl w:val="0"/>
          <w:numId w:val="4"/>
        </w:numPr>
        <w:ind w:left="0" w:right="-3"/>
      </w:pPr>
      <w:r w:rsidRPr="00991060">
        <w:rPr>
          <w:b/>
        </w:rPr>
        <w:t>Access to other aged care services</w:t>
      </w:r>
      <w:r>
        <w:t>. At a recipient level the long-term effectiveness of the program is largely dependent on the ability for the individual to transition to long-term care support, whether this is in the community or in a residential care setting.  Access to supports such as HACC, CACP, EACH, low and high care places is essential in supporting and maintaining the goals achieved for the TCP recipient.  The current levels of service provision are potentially limiting the benefit of the program, especially where recipients are unable to access a CACP or EACH and therefore require residential aged care.</w:t>
      </w:r>
    </w:p>
    <w:p w14:paraId="2007CD78" w14:textId="5866A52A" w:rsidR="005D7ABA" w:rsidRDefault="00991060" w:rsidP="00CC4B48">
      <w:pPr>
        <w:numPr>
          <w:ilvl w:val="0"/>
          <w:numId w:val="4"/>
        </w:numPr>
        <w:ind w:left="0" w:right="-3"/>
      </w:pPr>
      <w:r w:rsidRPr="00991060">
        <w:rPr>
          <w:b/>
        </w:rPr>
        <w:t>Reducing out-of-pocket costs</w:t>
      </w:r>
      <w:r>
        <w:t>.  Developing a funding method to reduce out-of-pocket costs for TC recipients with extensive equipment needs, especially where it is unlikely that other resource programs will be in a position to intervene in time, is another potential area for consideration.</w:t>
      </w:r>
    </w:p>
    <w:p w14:paraId="60F551B3" w14:textId="77777777" w:rsidR="005D7ABA" w:rsidRDefault="00991060" w:rsidP="00CC4B48">
      <w:pPr>
        <w:numPr>
          <w:ilvl w:val="0"/>
          <w:numId w:val="4"/>
        </w:numPr>
        <w:ind w:left="0" w:right="-3"/>
      </w:pPr>
      <w:r>
        <w:t xml:space="preserve">A future evaluation of the TCP could include </w:t>
      </w:r>
      <w:r w:rsidRPr="00991060">
        <w:rPr>
          <w:b/>
        </w:rPr>
        <w:t>an analysis of the financial data</w:t>
      </w:r>
      <w:r>
        <w:t xml:space="preserve"> included in the Annual Accountability reporting that all TC services have to submit.  This could usefully supplement the other resource use estimates that were used in the evaluation.  While the Annual Accountability Reports do not include patient level data, the reports demonstrate the wide variability in expenditure by TC services with different models.</w:t>
      </w:r>
    </w:p>
    <w:p w14:paraId="08584D86" w14:textId="77777777" w:rsidR="005D7ABA" w:rsidRDefault="00991060" w:rsidP="00CC4B48">
      <w:pPr>
        <w:numPr>
          <w:ilvl w:val="0"/>
          <w:numId w:val="4"/>
        </w:numPr>
        <w:ind w:left="0" w:right="-3"/>
      </w:pPr>
      <w:r w:rsidRPr="00991060">
        <w:rPr>
          <w:b/>
        </w:rPr>
        <w:t>Longer-term follow-up</w:t>
      </w:r>
      <w:r>
        <w:t>. A longitudinal study involving either the client group included in the Recipient Snapshot Study or the client group included in the data linkage study (Controlled Comparison Study and Costs and Effects Study) may provide useful data about the longer term effect of the TCP, particularly if combined with several years of Annual Accountability Reporting.</w:t>
      </w:r>
    </w:p>
    <w:p w14:paraId="453A68B6" w14:textId="3E4C1898" w:rsidR="00991060" w:rsidRDefault="00991060" w:rsidP="00CA0D72">
      <w:pPr>
        <w:ind w:right="-3"/>
      </w:pPr>
    </w:p>
    <w:p w14:paraId="6CCFF0A5" w14:textId="77777777" w:rsidR="00991060" w:rsidRPr="000A4ADB" w:rsidRDefault="00991060" w:rsidP="00227642">
      <w:pPr>
        <w:pStyle w:val="Heading3"/>
      </w:pPr>
      <w:bookmarkStart w:id="109" w:name="_Toc402348955"/>
      <w:r w:rsidRPr="000A4ADB">
        <w:t>Table 10.1:  Transition Care Program: assumptions behind the model and evidence for these assumptions.</w:t>
      </w:r>
      <w:bookmarkEnd w:id="109"/>
      <w:r w:rsidRPr="000A4ADB">
        <w:t xml:space="preserve"> </w:t>
      </w:r>
    </w:p>
    <w:tbl>
      <w:tblPr>
        <w:tblStyle w:val="TableGrid"/>
        <w:tblW w:w="8420" w:type="dxa"/>
        <w:tblLook w:val="0000" w:firstRow="0" w:lastRow="0" w:firstColumn="0" w:lastColumn="0" w:noHBand="0" w:noVBand="0"/>
        <w:tblDescription w:val="Table 10.1:  Transition Care Program: assumptions behind the model and evidence for these assumptions."/>
      </w:tblPr>
      <w:tblGrid>
        <w:gridCol w:w="567"/>
        <w:gridCol w:w="4073"/>
        <w:gridCol w:w="3780"/>
      </w:tblGrid>
      <w:tr w:rsidR="00C2421C" w:rsidRPr="00AC0343" w14:paraId="24FB7EA6" w14:textId="77777777" w:rsidTr="00227642">
        <w:trPr>
          <w:trHeight w:val="428"/>
          <w:tblHeader/>
        </w:trPr>
        <w:tc>
          <w:tcPr>
            <w:tcW w:w="567" w:type="dxa"/>
            <w:noWrap/>
          </w:tcPr>
          <w:p w14:paraId="095452B7" w14:textId="0B936F54" w:rsidR="00C2421C" w:rsidRPr="00227642" w:rsidRDefault="00C2421C" w:rsidP="00CA0D72">
            <w:pPr>
              <w:pStyle w:val="Table"/>
              <w:ind w:right="-3"/>
              <w:rPr>
                <w:b/>
              </w:rPr>
            </w:pPr>
            <w:r w:rsidRPr="00227642">
              <w:rPr>
                <w:b/>
              </w:rPr>
              <w:t>No.</w:t>
            </w:r>
          </w:p>
        </w:tc>
        <w:tc>
          <w:tcPr>
            <w:tcW w:w="4073" w:type="dxa"/>
          </w:tcPr>
          <w:p w14:paraId="02F5ED1B" w14:textId="5F3674E7" w:rsidR="00C2421C" w:rsidRPr="00227642" w:rsidRDefault="00C2421C" w:rsidP="00CA0D72">
            <w:pPr>
              <w:pStyle w:val="Table"/>
              <w:ind w:right="-3"/>
              <w:rPr>
                <w:b/>
              </w:rPr>
            </w:pPr>
            <w:r w:rsidRPr="00227642">
              <w:rPr>
                <w:b/>
              </w:rPr>
              <w:t>Assumption</w:t>
            </w:r>
          </w:p>
        </w:tc>
        <w:tc>
          <w:tcPr>
            <w:tcW w:w="3780" w:type="dxa"/>
          </w:tcPr>
          <w:p w14:paraId="2F95E83F" w14:textId="472FB083" w:rsidR="00C2421C" w:rsidRPr="00227642" w:rsidRDefault="00C2421C" w:rsidP="00CA0D72">
            <w:pPr>
              <w:pStyle w:val="Table"/>
              <w:ind w:right="-3"/>
              <w:rPr>
                <w:b/>
              </w:rPr>
            </w:pPr>
            <w:r w:rsidRPr="00227642">
              <w:rPr>
                <w:b/>
              </w:rPr>
              <w:t>Evidence</w:t>
            </w:r>
          </w:p>
        </w:tc>
      </w:tr>
      <w:tr w:rsidR="00AC0343" w:rsidRPr="00AC0343" w14:paraId="02963D7D" w14:textId="77777777" w:rsidTr="00C2421C">
        <w:trPr>
          <w:trHeight w:val="1260"/>
        </w:trPr>
        <w:tc>
          <w:tcPr>
            <w:tcW w:w="567" w:type="dxa"/>
            <w:noWrap/>
          </w:tcPr>
          <w:p w14:paraId="0E65E5E4" w14:textId="77777777" w:rsidR="00AC0343" w:rsidRPr="00AC0343" w:rsidRDefault="00AC0343" w:rsidP="00CA0D72">
            <w:pPr>
              <w:pStyle w:val="Table"/>
              <w:ind w:right="-3"/>
            </w:pPr>
            <w:r>
              <w:t>1</w:t>
            </w:r>
          </w:p>
        </w:tc>
        <w:tc>
          <w:tcPr>
            <w:tcW w:w="4073" w:type="dxa"/>
          </w:tcPr>
          <w:p w14:paraId="76311F2B" w14:textId="315404B1" w:rsidR="00AC0343" w:rsidRPr="00AC0343" w:rsidRDefault="00AC0343" w:rsidP="00CA0D72">
            <w:pPr>
              <w:pStyle w:val="Table"/>
              <w:ind w:right="-3"/>
            </w:pPr>
            <w:r>
              <w:t>The planning benchmark for residential aged care is not being met in a number of regions (Principle 1 page 5 (Australian Health Ministers' Advisory Council 2004)).</w:t>
            </w:r>
          </w:p>
        </w:tc>
        <w:tc>
          <w:tcPr>
            <w:tcW w:w="3780" w:type="dxa"/>
          </w:tcPr>
          <w:p w14:paraId="5585A19F" w14:textId="77777777" w:rsidR="00AC0343" w:rsidRPr="00AC0343" w:rsidRDefault="00AC0343" w:rsidP="00CA0D72">
            <w:pPr>
              <w:pStyle w:val="Table"/>
              <w:ind w:right="-3"/>
            </w:pPr>
            <w:r>
              <w:t>We identified regions where the planning benchmarks for residential aged care were not met.</w:t>
            </w:r>
          </w:p>
        </w:tc>
      </w:tr>
      <w:tr w:rsidR="00AC0343" w:rsidRPr="00AC0343" w14:paraId="421785B5" w14:textId="77777777" w:rsidTr="00C2421C">
        <w:trPr>
          <w:trHeight w:val="2205"/>
        </w:trPr>
        <w:tc>
          <w:tcPr>
            <w:tcW w:w="567" w:type="dxa"/>
            <w:noWrap/>
          </w:tcPr>
          <w:p w14:paraId="58C18707" w14:textId="77777777" w:rsidR="00AC0343" w:rsidRPr="00AC0343" w:rsidRDefault="00AC0343" w:rsidP="00CA0D72">
            <w:pPr>
              <w:pStyle w:val="Table"/>
              <w:ind w:right="-3"/>
            </w:pPr>
            <w:r>
              <w:t>2</w:t>
            </w:r>
          </w:p>
        </w:tc>
        <w:tc>
          <w:tcPr>
            <w:tcW w:w="4073" w:type="dxa"/>
          </w:tcPr>
          <w:p w14:paraId="1365EE3E" w14:textId="77777777" w:rsidR="00AC0343" w:rsidRPr="00AC0343" w:rsidRDefault="00AC0343" w:rsidP="00CA0D72">
            <w:pPr>
              <w:pStyle w:val="Table"/>
              <w:ind w:right="-3"/>
            </w:pPr>
            <w:r>
              <w:t>Provision of step-down and rehabilitation is variable and few jurisdictions have known benchmarks for estimating the level of provision (Principle 1 page 5 (Australian Health Ministers' Advisory Council 2004))</w:t>
            </w:r>
          </w:p>
        </w:tc>
        <w:tc>
          <w:tcPr>
            <w:tcW w:w="3780" w:type="dxa"/>
          </w:tcPr>
          <w:p w14:paraId="48716AB5" w14:textId="7F44C8F9" w:rsidR="00AC0343" w:rsidRPr="00AC0343" w:rsidRDefault="00AC0343" w:rsidP="00CA0D72">
            <w:pPr>
              <w:pStyle w:val="Table"/>
              <w:ind w:right="-3"/>
            </w:pPr>
            <w:r>
              <w:t>We confirmed that provision of rehabilitation beds was variable but across Australia was around 3.0 per 1,000 older people aged 70 plus for the 2005/06 period. Victoria had a substantially larger subacute sector than other jurisdictions.</w:t>
            </w:r>
          </w:p>
        </w:tc>
      </w:tr>
      <w:tr w:rsidR="00AC0343" w:rsidRPr="00AC0343" w14:paraId="060BF09C" w14:textId="77777777" w:rsidTr="00C2421C">
        <w:trPr>
          <w:trHeight w:val="1260"/>
        </w:trPr>
        <w:tc>
          <w:tcPr>
            <w:tcW w:w="567" w:type="dxa"/>
            <w:noWrap/>
          </w:tcPr>
          <w:p w14:paraId="1B71566F" w14:textId="77777777" w:rsidR="00AC0343" w:rsidRPr="00AC0343" w:rsidRDefault="00AC0343" w:rsidP="00CA0D72">
            <w:pPr>
              <w:pStyle w:val="Table"/>
              <w:ind w:right="-3"/>
            </w:pPr>
            <w:r>
              <w:lastRenderedPageBreak/>
              <w:t>3</w:t>
            </w:r>
          </w:p>
        </w:tc>
        <w:tc>
          <w:tcPr>
            <w:tcW w:w="4073" w:type="dxa"/>
          </w:tcPr>
          <w:p w14:paraId="660DA675" w14:textId="0CDEEE06" w:rsidR="00AC0343" w:rsidRPr="00AC0343" w:rsidRDefault="00AC0343" w:rsidP="00CA0D72">
            <w:pPr>
              <w:pStyle w:val="Table"/>
              <w:ind w:right="-3"/>
            </w:pPr>
            <w:r>
              <w:t>Alternate models of care in settings other than hospitals can lead to improvements in functional status from an additional period of time limited low intensity therapy and care.</w:t>
            </w:r>
          </w:p>
        </w:tc>
        <w:tc>
          <w:tcPr>
            <w:tcW w:w="3780" w:type="dxa"/>
          </w:tcPr>
          <w:p w14:paraId="34B7B0F2" w14:textId="77777777" w:rsidR="00AC0343" w:rsidRPr="00AC0343" w:rsidRDefault="00AC0343" w:rsidP="00CA0D72">
            <w:pPr>
              <w:pStyle w:val="Table"/>
              <w:ind w:right="-3"/>
            </w:pPr>
            <w:r>
              <w:t>We confirmed that improvements in functional status occurred</w:t>
            </w:r>
          </w:p>
        </w:tc>
      </w:tr>
      <w:tr w:rsidR="00AC0343" w:rsidRPr="00AC0343" w14:paraId="07ECEDCE" w14:textId="77777777" w:rsidTr="00C2421C">
        <w:trPr>
          <w:trHeight w:val="2520"/>
        </w:trPr>
        <w:tc>
          <w:tcPr>
            <w:tcW w:w="567" w:type="dxa"/>
            <w:noWrap/>
          </w:tcPr>
          <w:p w14:paraId="131A4919" w14:textId="77777777" w:rsidR="00AC0343" w:rsidRPr="00AC0343" w:rsidRDefault="00AC0343" w:rsidP="00CA0D72">
            <w:pPr>
              <w:pStyle w:val="Table"/>
              <w:ind w:right="-3"/>
            </w:pPr>
            <w:r>
              <w:t>4</w:t>
            </w:r>
          </w:p>
        </w:tc>
        <w:tc>
          <w:tcPr>
            <w:tcW w:w="4073" w:type="dxa"/>
          </w:tcPr>
          <w:p w14:paraId="7272EEF0" w14:textId="77777777" w:rsidR="00AC0343" w:rsidRPr="00AC0343" w:rsidRDefault="00AC0343" w:rsidP="00CA0D72">
            <w:pPr>
              <w:pStyle w:val="Table"/>
              <w:ind w:right="-3"/>
            </w:pPr>
            <w:r>
              <w:t>The alternative models should be in additional to the other existing services jurisdictions provide to support older people moving from hospital to home.</w:t>
            </w:r>
          </w:p>
        </w:tc>
        <w:tc>
          <w:tcPr>
            <w:tcW w:w="3780" w:type="dxa"/>
          </w:tcPr>
          <w:p w14:paraId="3E45697E" w14:textId="5F5E0F81" w:rsidR="00AC0343" w:rsidRPr="00AC0343" w:rsidRDefault="00AC0343" w:rsidP="00CA0D72">
            <w:pPr>
              <w:pStyle w:val="Table"/>
              <w:ind w:right="-3"/>
            </w:pPr>
            <w:r>
              <w:t>We found that these older people entered these services at the end of existing hospital services. There was much variation in the point at which this occurred and in jurisdictions where there were limited rehabilitation services TC appeared to substitute for rehabilitation services.</w:t>
            </w:r>
          </w:p>
        </w:tc>
      </w:tr>
      <w:tr w:rsidR="00AC0343" w:rsidRPr="00AC0343" w14:paraId="0FCAEAD2" w14:textId="77777777" w:rsidTr="00C2421C">
        <w:trPr>
          <w:trHeight w:val="1260"/>
        </w:trPr>
        <w:tc>
          <w:tcPr>
            <w:tcW w:w="567" w:type="dxa"/>
            <w:noWrap/>
          </w:tcPr>
          <w:p w14:paraId="276BA1F3" w14:textId="77777777" w:rsidR="00AC0343" w:rsidRPr="00AC0343" w:rsidRDefault="00AC0343" w:rsidP="00CA0D72">
            <w:pPr>
              <w:pStyle w:val="Table"/>
              <w:ind w:right="-3"/>
            </w:pPr>
            <w:r>
              <w:t>5</w:t>
            </w:r>
          </w:p>
        </w:tc>
        <w:tc>
          <w:tcPr>
            <w:tcW w:w="4073" w:type="dxa"/>
          </w:tcPr>
          <w:p w14:paraId="67309DE6" w14:textId="3685B1F6" w:rsidR="00AC0343" w:rsidRPr="00AC0343" w:rsidRDefault="00AC0343" w:rsidP="00CA0D72">
            <w:pPr>
              <w:pStyle w:val="Table"/>
              <w:ind w:right="-3"/>
            </w:pPr>
            <w:r>
              <w:t>Older people waiting for residential aged care are “blocking” hospital beds (Service provision for older people in the acute – aged care system (</w:t>
            </w:r>
            <w:proofErr w:type="spellStart"/>
            <w:r>
              <w:t>Gray</w:t>
            </w:r>
            <w:proofErr w:type="spellEnd"/>
            <w:r>
              <w:t xml:space="preserve">, </w:t>
            </w:r>
            <w:proofErr w:type="spellStart"/>
            <w:r>
              <w:t>Dorevitch</w:t>
            </w:r>
            <w:proofErr w:type="spellEnd"/>
            <w:r>
              <w:t xml:space="preserve"> et al. 2002).</w:t>
            </w:r>
          </w:p>
        </w:tc>
        <w:tc>
          <w:tcPr>
            <w:tcW w:w="3780" w:type="dxa"/>
          </w:tcPr>
          <w:p w14:paraId="4F266A5A" w14:textId="77777777" w:rsidR="00AC0343" w:rsidRPr="00AC0343" w:rsidRDefault="00AC0343" w:rsidP="00CA0D72">
            <w:pPr>
              <w:pStyle w:val="Table"/>
              <w:ind w:right="-3"/>
            </w:pPr>
            <w:r>
              <w:t>No evidence was provided on this issue.</w:t>
            </w:r>
          </w:p>
        </w:tc>
      </w:tr>
      <w:tr w:rsidR="00AC0343" w:rsidRPr="00AC0343" w14:paraId="20FE5B74" w14:textId="77777777" w:rsidTr="00C2421C">
        <w:trPr>
          <w:trHeight w:val="945"/>
        </w:trPr>
        <w:tc>
          <w:tcPr>
            <w:tcW w:w="567" w:type="dxa"/>
            <w:noWrap/>
          </w:tcPr>
          <w:p w14:paraId="769F31E2" w14:textId="77777777" w:rsidR="00AC0343" w:rsidRPr="00AC0343" w:rsidRDefault="00AC0343" w:rsidP="00CA0D72">
            <w:pPr>
              <w:pStyle w:val="Table"/>
              <w:ind w:right="-3"/>
            </w:pPr>
            <w:r>
              <w:t>6</w:t>
            </w:r>
          </w:p>
        </w:tc>
        <w:tc>
          <w:tcPr>
            <w:tcW w:w="4073" w:type="dxa"/>
          </w:tcPr>
          <w:p w14:paraId="5449A2C3" w14:textId="42090C00" w:rsidR="00AC0343" w:rsidRPr="00AC0343" w:rsidRDefault="00AC0343" w:rsidP="00CA0D72">
            <w:pPr>
              <w:pStyle w:val="Table"/>
              <w:ind w:right="-3"/>
            </w:pPr>
            <w:r>
              <w:t>TC services should have a focus on recovery or maintaining function as well as facilitating long-term care arrangements.</w:t>
            </w:r>
          </w:p>
        </w:tc>
        <w:tc>
          <w:tcPr>
            <w:tcW w:w="3780" w:type="dxa"/>
          </w:tcPr>
          <w:p w14:paraId="27F5EFD4" w14:textId="77777777" w:rsidR="00AC0343" w:rsidRPr="00AC0343" w:rsidRDefault="00AC0343" w:rsidP="00CA0D72">
            <w:pPr>
              <w:pStyle w:val="Table"/>
              <w:ind w:right="-3"/>
            </w:pPr>
            <w:r>
              <w:t>There was evidence that the units focused on recovery and maintaining function.</w:t>
            </w:r>
          </w:p>
        </w:tc>
      </w:tr>
      <w:tr w:rsidR="00AC0343" w:rsidRPr="00AC0343" w14:paraId="62E2D429" w14:textId="77777777" w:rsidTr="00C2421C">
        <w:trPr>
          <w:trHeight w:val="4725"/>
        </w:trPr>
        <w:tc>
          <w:tcPr>
            <w:tcW w:w="567" w:type="dxa"/>
            <w:noWrap/>
          </w:tcPr>
          <w:p w14:paraId="590736E6" w14:textId="77777777" w:rsidR="00AC0343" w:rsidRPr="00AC0343" w:rsidRDefault="00AC0343" w:rsidP="00CA0D72">
            <w:pPr>
              <w:pStyle w:val="Table"/>
              <w:ind w:right="-3"/>
            </w:pPr>
            <w:r>
              <w:t>7</w:t>
            </w:r>
          </w:p>
        </w:tc>
        <w:tc>
          <w:tcPr>
            <w:tcW w:w="4073" w:type="dxa"/>
          </w:tcPr>
          <w:p w14:paraId="04D1F385" w14:textId="77777777" w:rsidR="00AC0343" w:rsidRPr="00AC0343" w:rsidRDefault="00AC0343" w:rsidP="00CA0D72">
            <w:pPr>
              <w:pStyle w:val="Table"/>
              <w:ind w:right="-3"/>
            </w:pPr>
            <w:r>
              <w:t>TC services should have interdisciplinary input, coordinated by a case manager where possible.</w:t>
            </w:r>
          </w:p>
        </w:tc>
        <w:tc>
          <w:tcPr>
            <w:tcW w:w="3780" w:type="dxa"/>
          </w:tcPr>
          <w:p w14:paraId="0577E041" w14:textId="701E2979" w:rsidR="00AC0343" w:rsidRPr="00AC0343" w:rsidRDefault="00AC0343" w:rsidP="00CA0D72">
            <w:pPr>
              <w:pStyle w:val="Table"/>
              <w:ind w:right="-3"/>
            </w:pPr>
            <w:r>
              <w:t>It was not clear that interdisciplinary input occurred. Many services used a team approach. However, brokerage services were often in place for personal care and some services were limited (medical, nursing, pharmacy). Staffing levels varied. Lower levels of allied health staff predicted transfer to care and lower levels of nursing staff predicted hospital readmission. It was unclear whether an interdisciplinary model was in place (i.e. no evidence of team case meetings and shared goal setting) but there did appear to be a multidisciplinary team in most areas.</w:t>
            </w:r>
          </w:p>
        </w:tc>
      </w:tr>
      <w:tr w:rsidR="00AC0343" w:rsidRPr="00AC0343" w14:paraId="03C3C19C" w14:textId="77777777" w:rsidTr="00C2421C">
        <w:trPr>
          <w:trHeight w:val="1575"/>
        </w:trPr>
        <w:tc>
          <w:tcPr>
            <w:tcW w:w="567" w:type="dxa"/>
            <w:noWrap/>
          </w:tcPr>
          <w:p w14:paraId="32F20BBA" w14:textId="77777777" w:rsidR="00AC0343" w:rsidRPr="00AC0343" w:rsidRDefault="00AC0343" w:rsidP="00CA0D72">
            <w:pPr>
              <w:pStyle w:val="Table"/>
              <w:ind w:right="-3"/>
            </w:pPr>
            <w:r>
              <w:t>8</w:t>
            </w:r>
          </w:p>
        </w:tc>
        <w:tc>
          <w:tcPr>
            <w:tcW w:w="4073" w:type="dxa"/>
          </w:tcPr>
          <w:p w14:paraId="0AB8A874" w14:textId="77777777" w:rsidR="00AC0343" w:rsidRPr="00AC0343" w:rsidRDefault="00AC0343" w:rsidP="00CA0D72">
            <w:pPr>
              <w:pStyle w:val="Table"/>
              <w:ind w:right="-3"/>
            </w:pPr>
            <w:r>
              <w:t>TC is likely to be providing care [rehabilitation] at a lower cost than hospital based care (ICRS (Department of Health and Ageing 2005)).</w:t>
            </w:r>
          </w:p>
        </w:tc>
        <w:tc>
          <w:tcPr>
            <w:tcW w:w="3780" w:type="dxa"/>
          </w:tcPr>
          <w:p w14:paraId="6923215C" w14:textId="502A001E" w:rsidR="00AC0343" w:rsidRPr="00AC0343" w:rsidRDefault="00AC0343" w:rsidP="00CA0D72">
            <w:pPr>
              <w:pStyle w:val="Table"/>
              <w:ind w:right="-3"/>
            </w:pPr>
            <w:r>
              <w:t>Our results suggest that individuals with similar levels of disability at entry spend longer in TC units and have less efficient functional gain that those in rehabilitation units and GEM units.</w:t>
            </w:r>
          </w:p>
        </w:tc>
      </w:tr>
      <w:tr w:rsidR="00AC0343" w:rsidRPr="00AC0343" w14:paraId="5FFB7999" w14:textId="77777777" w:rsidTr="00C2421C">
        <w:trPr>
          <w:trHeight w:val="1890"/>
        </w:trPr>
        <w:tc>
          <w:tcPr>
            <w:tcW w:w="567" w:type="dxa"/>
            <w:noWrap/>
          </w:tcPr>
          <w:p w14:paraId="07E72277" w14:textId="77777777" w:rsidR="00AC0343" w:rsidRPr="00AC0343" w:rsidRDefault="00AC0343" w:rsidP="00CA0D72">
            <w:pPr>
              <w:pStyle w:val="Table"/>
              <w:ind w:right="-3"/>
            </w:pPr>
            <w:r>
              <w:lastRenderedPageBreak/>
              <w:t>9</w:t>
            </w:r>
          </w:p>
        </w:tc>
        <w:tc>
          <w:tcPr>
            <w:tcW w:w="4073" w:type="dxa"/>
          </w:tcPr>
          <w:p w14:paraId="4921E9D3" w14:textId="77777777" w:rsidR="00AC0343" w:rsidRPr="00AC0343" w:rsidRDefault="00AC0343" w:rsidP="00CA0D72">
            <w:pPr>
              <w:pStyle w:val="Table"/>
              <w:ind w:right="-3"/>
            </w:pPr>
            <w:r>
              <w:t>A consistent application of data definitions and appropriate data items are fundamental to a robust service planning process. Nationally consistent application of existing definitions for subacute services is therefore a priority.</w:t>
            </w:r>
          </w:p>
        </w:tc>
        <w:tc>
          <w:tcPr>
            <w:tcW w:w="3780" w:type="dxa"/>
          </w:tcPr>
          <w:p w14:paraId="35141F24" w14:textId="76534DCC" w:rsidR="00AC0343" w:rsidRPr="00AC0343" w:rsidRDefault="00AC0343" w:rsidP="00CA0D72">
            <w:pPr>
              <w:pStyle w:val="Table"/>
              <w:ind w:right="-3"/>
            </w:pPr>
            <w:r>
              <w:t>We identified inconsistencies in the reporting of rehabilitation beds with some states including psychiatric rehabilitation beds in their count of rehabilitation beds while others did not.</w:t>
            </w:r>
          </w:p>
        </w:tc>
      </w:tr>
      <w:tr w:rsidR="00AC0343" w:rsidRPr="00AC0343" w14:paraId="09118A99" w14:textId="77777777" w:rsidTr="00C2421C">
        <w:trPr>
          <w:trHeight w:val="1260"/>
        </w:trPr>
        <w:tc>
          <w:tcPr>
            <w:tcW w:w="567" w:type="dxa"/>
            <w:noWrap/>
          </w:tcPr>
          <w:p w14:paraId="4D74D466" w14:textId="77777777" w:rsidR="00AC0343" w:rsidRPr="00AC0343" w:rsidRDefault="00AC0343" w:rsidP="00CA0D72">
            <w:pPr>
              <w:pStyle w:val="Table"/>
              <w:ind w:right="-3"/>
            </w:pPr>
            <w:r>
              <w:t>10</w:t>
            </w:r>
          </w:p>
        </w:tc>
        <w:tc>
          <w:tcPr>
            <w:tcW w:w="4073" w:type="dxa"/>
          </w:tcPr>
          <w:p w14:paraId="16052386" w14:textId="77777777" w:rsidR="00AC0343" w:rsidRPr="00AC0343" w:rsidRDefault="00AC0343" w:rsidP="00CA0D72">
            <w:pPr>
              <w:pStyle w:val="Table"/>
              <w:ind w:right="-3"/>
            </w:pPr>
            <w:r>
              <w:t>A model for data linkage to include the acute, subacute aged care and community care data sets should be established in every linkage jurisdiction.</w:t>
            </w:r>
          </w:p>
        </w:tc>
        <w:tc>
          <w:tcPr>
            <w:tcW w:w="3780" w:type="dxa"/>
          </w:tcPr>
          <w:p w14:paraId="5E3096AE" w14:textId="77777777" w:rsidR="00AC0343" w:rsidRPr="00AC0343" w:rsidRDefault="00AC0343" w:rsidP="00CA0D72">
            <w:pPr>
              <w:pStyle w:val="Table"/>
              <w:ind w:right="-3"/>
            </w:pPr>
            <w:r>
              <w:t>The feasibility of data linkage of these data sets was demonstrated.</w:t>
            </w:r>
          </w:p>
        </w:tc>
      </w:tr>
    </w:tbl>
    <w:p w14:paraId="00FECCF4" w14:textId="77777777" w:rsidR="000A4ADB" w:rsidRDefault="000A4ADB" w:rsidP="00CA0D72">
      <w:pPr>
        <w:ind w:right="-3"/>
      </w:pPr>
    </w:p>
    <w:p w14:paraId="2F0BDA62" w14:textId="77777777" w:rsidR="005D7ABA" w:rsidRDefault="00991060" w:rsidP="00CA0D72">
      <w:pPr>
        <w:pStyle w:val="Heading2"/>
        <w:ind w:right="-3"/>
      </w:pPr>
      <w:bookmarkStart w:id="110" w:name="_Toc402348956"/>
      <w:r>
        <w:t>10.2. Comparison of the Innovative Care Rehabilitation Services pilot and the National Evaluation of the Transition Care Program</w:t>
      </w:r>
      <w:bookmarkEnd w:id="110"/>
    </w:p>
    <w:p w14:paraId="5C50C24A" w14:textId="77777777" w:rsidR="005D7ABA" w:rsidRDefault="00991060" w:rsidP="00CA0D72">
      <w:pPr>
        <w:ind w:right="-3"/>
      </w:pPr>
      <w:r>
        <w:t>Table 10.2 presents a comparison of the findings from the ICRS report and the present NETCP report.  Given that the ICRS evaluation was used to develop the TC funding model and the current evaluation of the implementation phase has demonstrated that the costs are high, detailed comparisons of the two approaches are included to assist policy makers' assessments.  There are many similarities between ICRS and the NETCP.  Both the demographics of the recipients and the functional changes that were achieved are comparable.  Differences between the two evaluations result from the sampling methodologies, the retention rates of participants, and the approach to the economic evaluation.  The strength of the ICRS evaluation is the significantly richer data for the TC experience, in terms of the characteristics of the services, the type, and duration of therapy.  In contrast, the NETCP was able to sample and follow-up a large percentage of TC recipients which provides a more comprehensive picture of the outcomes of TC.</w:t>
      </w:r>
    </w:p>
    <w:p w14:paraId="59118D65" w14:textId="77777777" w:rsidR="005D7ABA" w:rsidRDefault="00991060" w:rsidP="00CA0D72">
      <w:pPr>
        <w:ind w:right="-3"/>
      </w:pPr>
      <w:r>
        <w:t>The two reports used different approaches to the economic evaluation.  Strong assumptions concerning residential aged care use were inherent in the ICRS report, and their conclusion heavily relies on the assumption that in the absence of TC, people would have received residential aged care for the entire period.  In contrast, the NETCP compared program costs and cost offsets for TC recipients and people approved for CACP, and this showed that only 28% of TC recipients were admitted to residential aged care in the six months post ACAT approval.  A fuller description of the differences is presented in Appendix 2.</w:t>
      </w:r>
    </w:p>
    <w:p w14:paraId="34FB9867" w14:textId="77777777" w:rsidR="005D7ABA" w:rsidRDefault="00991060" w:rsidP="00CA0D72">
      <w:pPr>
        <w:ind w:right="-3"/>
      </w:pPr>
      <w:r>
        <w:t xml:space="preserve">Finally, the analysis of the linked datasets gave many opportunities for analysing the health outcomes of both TC recipients and other frail older people who had recently been hospitalized.  As noted by </w:t>
      </w:r>
      <w:proofErr w:type="spellStart"/>
      <w:r>
        <w:t>Kelman</w:t>
      </w:r>
      <w:proofErr w:type="spellEnd"/>
      <w:r>
        <w:t>, Bass and Holman (</w:t>
      </w:r>
      <w:proofErr w:type="spellStart"/>
      <w:r>
        <w:t>Kelman</w:t>
      </w:r>
      <w:proofErr w:type="spellEnd"/>
      <w:r>
        <w:t>, Bass et al. 2002), the increasing number and availability of health data resources in Australia provides an opportunity for significant advances in the monitoring and evaluation of health outcomes, and thus could lead to improvements in the quality of health care.  The investment in the national 'Population health and clinical data linkage' funded from the National Collaborative Research Infrastructure Strategy will help to realize the full potential of health data linkage in evaluations of new health services and programs such as the TCP.  A data linkage approach is particularly attractive in evaluations that involve older groups of people, because cognitive and other health issues can lead to significant difficulties in interviewing a representative sample of people.  Further analysis of the linked data sets from the national evaluation will help to fully realize the potential that exists with this approach.</w:t>
      </w:r>
    </w:p>
    <w:p w14:paraId="67F592A5" w14:textId="77777777" w:rsidR="005D7ABA" w:rsidRDefault="00991060" w:rsidP="00CA0D72">
      <w:pPr>
        <w:ind w:right="-3"/>
      </w:pPr>
      <w:r>
        <w:t xml:space="preserve">This evaluation of the implementation phase of TC provides evidence that the current TC model is reaching an appropriate group and delivering positive outcomes, our estimates around program </w:t>
      </w:r>
      <w:r>
        <w:lastRenderedPageBreak/>
        <w:t>efficiency suggest that piloting of different interventions, and different delivery approaches with rigorous economic evaluations should be considered.</w:t>
      </w:r>
    </w:p>
    <w:p w14:paraId="7D4A481E" w14:textId="33128142" w:rsidR="00991060" w:rsidRDefault="00991060" w:rsidP="00227642">
      <w:pPr>
        <w:pStyle w:val="Heading3"/>
      </w:pPr>
      <w:bookmarkStart w:id="111" w:name="_Toc402348957"/>
      <w:r w:rsidRPr="008B5B94">
        <w:t>Table 10.2: Comparison between the results from the National Evaluation of Innovative Care Rehabilitation Services and the National Evaluation</w:t>
      </w:r>
      <w:r w:rsidR="00227642">
        <w:t xml:space="preserve"> of the Transition Care Program</w:t>
      </w:r>
      <w:bookmarkEnd w:id="111"/>
    </w:p>
    <w:tbl>
      <w:tblPr>
        <w:tblStyle w:val="TableGrid"/>
        <w:tblW w:w="10031" w:type="dxa"/>
        <w:tblLook w:val="0000" w:firstRow="0" w:lastRow="0" w:firstColumn="0" w:lastColumn="0" w:noHBand="0" w:noVBand="0"/>
        <w:tblDescription w:val="Table 10.2: Comparison between the results from the National Evaluation of Innovative Care Rehabilitation Services and the National Evaluation of the Transition Care Program"/>
      </w:tblPr>
      <w:tblGrid>
        <w:gridCol w:w="2093"/>
        <w:gridCol w:w="3311"/>
        <w:gridCol w:w="2501"/>
        <w:gridCol w:w="2126"/>
      </w:tblGrid>
      <w:tr w:rsidR="00227642" w:rsidRPr="00754AA7" w14:paraId="271A5CCB" w14:textId="77777777" w:rsidTr="00227642">
        <w:trPr>
          <w:trHeight w:val="315"/>
          <w:tblHeader/>
        </w:trPr>
        <w:tc>
          <w:tcPr>
            <w:tcW w:w="2093" w:type="dxa"/>
            <w:noWrap/>
          </w:tcPr>
          <w:p w14:paraId="5E3AEAF9" w14:textId="77777777" w:rsidR="00227642" w:rsidRPr="00754AA7" w:rsidRDefault="00227642" w:rsidP="00227642">
            <w:pPr>
              <w:pStyle w:val="Table"/>
              <w:ind w:right="-3"/>
              <w:rPr>
                <w:b/>
              </w:rPr>
            </w:pPr>
            <w:r w:rsidRPr="00754AA7">
              <w:rPr>
                <w:b/>
              </w:rPr>
              <w:t>Item</w:t>
            </w:r>
          </w:p>
        </w:tc>
        <w:tc>
          <w:tcPr>
            <w:tcW w:w="3311" w:type="dxa"/>
            <w:noWrap/>
          </w:tcPr>
          <w:p w14:paraId="15553F68" w14:textId="77777777" w:rsidR="00227642" w:rsidRPr="00754AA7" w:rsidRDefault="00227642" w:rsidP="00227642">
            <w:pPr>
              <w:pStyle w:val="Table"/>
              <w:ind w:right="-3"/>
              <w:rPr>
                <w:b/>
              </w:rPr>
            </w:pPr>
            <w:r w:rsidRPr="00754AA7">
              <w:rPr>
                <w:b/>
              </w:rPr>
              <w:t>ICRS</w:t>
            </w:r>
          </w:p>
        </w:tc>
        <w:tc>
          <w:tcPr>
            <w:tcW w:w="2501" w:type="dxa"/>
            <w:noWrap/>
          </w:tcPr>
          <w:p w14:paraId="026E304F" w14:textId="77777777" w:rsidR="00227642" w:rsidRPr="00754AA7" w:rsidRDefault="00227642" w:rsidP="00227642">
            <w:pPr>
              <w:pStyle w:val="Table"/>
              <w:ind w:right="-3"/>
              <w:rPr>
                <w:b/>
              </w:rPr>
            </w:pPr>
            <w:r w:rsidRPr="00754AA7">
              <w:rPr>
                <w:b/>
              </w:rPr>
              <w:t>NETCP</w:t>
            </w:r>
          </w:p>
        </w:tc>
        <w:tc>
          <w:tcPr>
            <w:tcW w:w="2126" w:type="dxa"/>
            <w:noWrap/>
          </w:tcPr>
          <w:p w14:paraId="583FEAAA" w14:textId="77777777" w:rsidR="00227642" w:rsidRPr="00754AA7" w:rsidRDefault="00227642" w:rsidP="00227642">
            <w:pPr>
              <w:pStyle w:val="Table"/>
              <w:ind w:right="-3"/>
              <w:rPr>
                <w:b/>
              </w:rPr>
            </w:pPr>
            <w:r w:rsidRPr="00754AA7">
              <w:rPr>
                <w:b/>
              </w:rPr>
              <w:t>Comment</w:t>
            </w:r>
          </w:p>
        </w:tc>
      </w:tr>
      <w:tr w:rsidR="00227642" w:rsidRPr="00754AA7" w14:paraId="07D2ECF4" w14:textId="77777777" w:rsidTr="00227642">
        <w:trPr>
          <w:trHeight w:val="1575"/>
        </w:trPr>
        <w:tc>
          <w:tcPr>
            <w:tcW w:w="2093" w:type="dxa"/>
          </w:tcPr>
          <w:p w14:paraId="3966AAD8" w14:textId="77777777" w:rsidR="00227642" w:rsidRPr="00754AA7" w:rsidRDefault="00227642" w:rsidP="00227642">
            <w:pPr>
              <w:pStyle w:val="Table"/>
              <w:ind w:right="-3"/>
            </w:pPr>
            <w:r>
              <w:t>Sample</w:t>
            </w:r>
          </w:p>
        </w:tc>
        <w:tc>
          <w:tcPr>
            <w:tcW w:w="3311" w:type="dxa"/>
          </w:tcPr>
          <w:p w14:paraId="32B4E4CE" w14:textId="77777777" w:rsidR="00227642" w:rsidRPr="00754AA7" w:rsidRDefault="00227642" w:rsidP="00227642">
            <w:pPr>
              <w:pStyle w:val="Table"/>
              <w:ind w:right="-3"/>
            </w:pPr>
            <w:r>
              <w:t>• 2001-2004</w:t>
            </w:r>
            <w:r>
              <w:br/>
              <w:t>• 1,810 completed episodes</w:t>
            </w:r>
            <w:r>
              <w:br/>
              <w:t>• 170 excluded from the analysis as they did not meet eligibility criteria</w:t>
            </w:r>
            <w:r>
              <w:br/>
              <w:t>• Final dataset 1,640 episodes</w:t>
            </w:r>
          </w:p>
        </w:tc>
        <w:tc>
          <w:tcPr>
            <w:tcW w:w="2501" w:type="dxa"/>
          </w:tcPr>
          <w:p w14:paraId="60BA7F7C" w14:textId="77777777" w:rsidR="00227642" w:rsidRPr="00754AA7" w:rsidRDefault="00227642" w:rsidP="00227642">
            <w:pPr>
              <w:pStyle w:val="Table"/>
              <w:ind w:right="-3"/>
            </w:pPr>
            <w:r>
              <w:t>• 2006-2007</w:t>
            </w:r>
            <w:r>
              <w:br/>
              <w:t>• 3,206 ACAT approvals for TC</w:t>
            </w:r>
            <w:r>
              <w:br/>
              <w:t>• Final linked data available for 2,443</w:t>
            </w:r>
            <w:r>
              <w:br/>
              <w:t>• 879 Control 1.</w:t>
            </w:r>
            <w:r>
              <w:br/>
            </w:r>
            <w:proofErr w:type="gramStart"/>
            <w:r>
              <w:t>• 2,188 Control</w:t>
            </w:r>
            <w:proofErr w:type="gramEnd"/>
            <w:r>
              <w:t xml:space="preserve"> 2.</w:t>
            </w:r>
          </w:p>
        </w:tc>
        <w:tc>
          <w:tcPr>
            <w:tcW w:w="2126" w:type="dxa"/>
          </w:tcPr>
          <w:p w14:paraId="6DB9B147" w14:textId="77777777" w:rsidR="00227642" w:rsidRPr="00754AA7" w:rsidRDefault="00227642" w:rsidP="00227642">
            <w:pPr>
              <w:pStyle w:val="Table"/>
              <w:ind w:right="-3"/>
            </w:pPr>
            <w:r>
              <w:t>• ICRS sample of 907 represents 55% of eligible episodes</w:t>
            </w:r>
            <w:r>
              <w:br/>
              <w:t>• NETCP sampled 76% of TC approvals</w:t>
            </w:r>
          </w:p>
        </w:tc>
      </w:tr>
      <w:tr w:rsidR="00227642" w:rsidRPr="00754AA7" w14:paraId="52010F80" w14:textId="77777777" w:rsidTr="00227642">
        <w:trPr>
          <w:trHeight w:val="1575"/>
        </w:trPr>
        <w:tc>
          <w:tcPr>
            <w:tcW w:w="2093" w:type="dxa"/>
          </w:tcPr>
          <w:p w14:paraId="41D8FF5E" w14:textId="77777777" w:rsidR="00227642" w:rsidRPr="00754AA7" w:rsidRDefault="00227642" w:rsidP="00227642">
            <w:pPr>
              <w:pStyle w:val="Table"/>
              <w:ind w:right="-3"/>
            </w:pPr>
            <w:r>
              <w:t>Follow-up and retention</w:t>
            </w:r>
          </w:p>
        </w:tc>
        <w:tc>
          <w:tcPr>
            <w:tcW w:w="3311" w:type="dxa"/>
          </w:tcPr>
          <w:p w14:paraId="3CC991DD" w14:textId="77777777" w:rsidR="00227642" w:rsidRPr="00754AA7" w:rsidRDefault="00227642" w:rsidP="00227642">
            <w:pPr>
              <w:pStyle w:val="Table"/>
              <w:ind w:right="-3"/>
            </w:pPr>
            <w:r>
              <w:t>• 3 months post discharge</w:t>
            </w:r>
            <w:r>
              <w:br/>
              <w:t>• 6 months post discharge</w:t>
            </w:r>
            <w:r>
              <w:br/>
              <w:t>• At discharge n= 907</w:t>
            </w:r>
            <w:r>
              <w:br/>
              <w:t>• 3 month n=350</w:t>
            </w:r>
            <w:r>
              <w:br/>
              <w:t>• 6 month n=309</w:t>
            </w:r>
          </w:p>
        </w:tc>
        <w:tc>
          <w:tcPr>
            <w:tcW w:w="2501" w:type="dxa"/>
          </w:tcPr>
          <w:p w14:paraId="1BEDA786" w14:textId="77777777" w:rsidR="00227642" w:rsidRPr="00754AA7" w:rsidRDefault="00227642" w:rsidP="00227642">
            <w:pPr>
              <w:pStyle w:val="Table"/>
              <w:ind w:right="-3"/>
            </w:pPr>
            <w:r>
              <w:t>• 3 months post ACAT approval</w:t>
            </w:r>
            <w:r>
              <w:br/>
              <w:t>• 6 months post ACAT approval</w:t>
            </w:r>
            <w:r>
              <w:br/>
              <w:t>• All 2,443 recipients included</w:t>
            </w:r>
          </w:p>
        </w:tc>
        <w:tc>
          <w:tcPr>
            <w:tcW w:w="2126" w:type="dxa"/>
          </w:tcPr>
          <w:p w14:paraId="07408A2A" w14:textId="77777777" w:rsidR="00227642" w:rsidRPr="00754AA7" w:rsidRDefault="00227642" w:rsidP="00227642">
            <w:pPr>
              <w:pStyle w:val="Table"/>
              <w:ind w:right="-3"/>
            </w:pPr>
            <w:r>
              <w:t>• ICRS retention rate was 39% at 3 months and 34% at 6 months</w:t>
            </w:r>
          </w:p>
        </w:tc>
      </w:tr>
      <w:tr w:rsidR="00227642" w:rsidRPr="00754AA7" w14:paraId="0C593693" w14:textId="77777777" w:rsidTr="00227642">
        <w:trPr>
          <w:trHeight w:val="1260"/>
        </w:trPr>
        <w:tc>
          <w:tcPr>
            <w:tcW w:w="2093" w:type="dxa"/>
          </w:tcPr>
          <w:p w14:paraId="0DBC7BB8" w14:textId="77777777" w:rsidR="00227642" w:rsidRPr="00754AA7" w:rsidRDefault="00227642" w:rsidP="00227642">
            <w:pPr>
              <w:pStyle w:val="Table"/>
              <w:ind w:right="-3"/>
            </w:pPr>
            <w:r>
              <w:t>Demographics</w:t>
            </w:r>
          </w:p>
        </w:tc>
        <w:tc>
          <w:tcPr>
            <w:tcW w:w="3311" w:type="dxa"/>
          </w:tcPr>
          <w:p w14:paraId="12E2E9A2" w14:textId="77777777" w:rsidR="00227642" w:rsidRPr="00754AA7" w:rsidRDefault="00227642" w:rsidP="00227642">
            <w:pPr>
              <w:pStyle w:val="Table"/>
              <w:ind w:right="-3"/>
            </w:pPr>
            <w:r>
              <w:t>• 70% female</w:t>
            </w:r>
            <w:r>
              <w:br/>
              <w:t>• Mean age 81.5 years</w:t>
            </w:r>
            <w:r>
              <w:br/>
              <w:t xml:space="preserve">• 46% had a </w:t>
            </w:r>
            <w:proofErr w:type="spellStart"/>
            <w:r>
              <w:t>carer</w:t>
            </w:r>
            <w:proofErr w:type="spellEnd"/>
            <w:r>
              <w:br/>
              <w:t>• 64% aged 80+</w:t>
            </w:r>
          </w:p>
        </w:tc>
        <w:tc>
          <w:tcPr>
            <w:tcW w:w="2501" w:type="dxa"/>
          </w:tcPr>
          <w:p w14:paraId="2629B0A3" w14:textId="77777777" w:rsidR="00227642" w:rsidRPr="00754AA7" w:rsidRDefault="00227642" w:rsidP="00227642">
            <w:pPr>
              <w:pStyle w:val="Table"/>
              <w:ind w:right="-3"/>
            </w:pPr>
            <w:r>
              <w:t>• 64% female</w:t>
            </w:r>
            <w:r>
              <w:br/>
              <w:t>• Mean age 82.2 years</w:t>
            </w:r>
            <w:r>
              <w:br/>
              <w:t>• 41% had a co-resident carer</w:t>
            </w:r>
            <w:r>
              <w:br/>
              <w:t>• 61% aged 80+</w:t>
            </w:r>
          </w:p>
        </w:tc>
        <w:tc>
          <w:tcPr>
            <w:tcW w:w="2126" w:type="dxa"/>
          </w:tcPr>
          <w:p w14:paraId="286A2D51" w14:textId="77777777" w:rsidR="00227642" w:rsidRPr="00754AA7" w:rsidRDefault="00227642" w:rsidP="00227642">
            <w:pPr>
              <w:pStyle w:val="Table"/>
              <w:ind w:right="-3"/>
            </w:pPr>
            <w:r>
              <w:t>• The groups appear similar</w:t>
            </w:r>
          </w:p>
        </w:tc>
      </w:tr>
      <w:tr w:rsidR="00227642" w:rsidRPr="00754AA7" w14:paraId="2CAD1468" w14:textId="77777777" w:rsidTr="00227642">
        <w:trPr>
          <w:trHeight w:val="945"/>
        </w:trPr>
        <w:tc>
          <w:tcPr>
            <w:tcW w:w="2093" w:type="dxa"/>
          </w:tcPr>
          <w:p w14:paraId="558F5714" w14:textId="77777777" w:rsidR="00227642" w:rsidRPr="00754AA7" w:rsidRDefault="00227642" w:rsidP="00227642">
            <w:pPr>
              <w:pStyle w:val="Table"/>
              <w:ind w:right="-3"/>
            </w:pPr>
            <w:r>
              <w:t>Service characteristics</w:t>
            </w:r>
          </w:p>
        </w:tc>
        <w:tc>
          <w:tcPr>
            <w:tcW w:w="3311" w:type="dxa"/>
          </w:tcPr>
          <w:p w14:paraId="770C8483" w14:textId="77777777" w:rsidR="00227642" w:rsidRPr="00754AA7" w:rsidRDefault="00227642" w:rsidP="00227642">
            <w:pPr>
              <w:pStyle w:val="Table"/>
              <w:ind w:right="-3"/>
            </w:pPr>
            <w:r>
              <w:t>• Community 54.9 mins/day</w:t>
            </w:r>
            <w:r>
              <w:br/>
              <w:t>• Residential 38.7 mins/day</w:t>
            </w:r>
            <w:r>
              <w:br/>
              <w:t>• Combination 60.3 mins/day</w:t>
            </w:r>
          </w:p>
        </w:tc>
        <w:tc>
          <w:tcPr>
            <w:tcW w:w="2501" w:type="dxa"/>
          </w:tcPr>
          <w:p w14:paraId="36448529" w14:textId="77777777" w:rsidR="00227642" w:rsidRPr="00754AA7" w:rsidRDefault="00227642" w:rsidP="00227642">
            <w:pPr>
              <w:pStyle w:val="Table"/>
              <w:ind w:right="-3"/>
            </w:pPr>
            <w:r>
              <w:t>• 1203 Community places</w:t>
            </w:r>
            <w:r>
              <w:br/>
              <w:t>• 1026 Residential places</w:t>
            </w:r>
            <w:r>
              <w:br/>
              <w:t>• 213 Combination places</w:t>
            </w:r>
          </w:p>
        </w:tc>
        <w:tc>
          <w:tcPr>
            <w:tcW w:w="2126" w:type="dxa"/>
          </w:tcPr>
          <w:p w14:paraId="7DB53B33" w14:textId="77777777" w:rsidR="00227642" w:rsidRPr="00754AA7" w:rsidRDefault="00227642" w:rsidP="00227642">
            <w:pPr>
              <w:pStyle w:val="Table"/>
              <w:ind w:right="-3"/>
            </w:pPr>
            <w:r>
              <w:t>• Comparable data on therapy time per day not available</w:t>
            </w:r>
          </w:p>
        </w:tc>
      </w:tr>
      <w:tr w:rsidR="00227642" w:rsidRPr="00754AA7" w14:paraId="43C9C728" w14:textId="77777777" w:rsidTr="00227642">
        <w:trPr>
          <w:trHeight w:val="2835"/>
        </w:trPr>
        <w:tc>
          <w:tcPr>
            <w:tcW w:w="2093" w:type="dxa"/>
          </w:tcPr>
          <w:p w14:paraId="06F49D72" w14:textId="77777777" w:rsidR="00227642" w:rsidRPr="00754AA7" w:rsidRDefault="00227642" w:rsidP="00227642">
            <w:pPr>
              <w:pStyle w:val="Table"/>
              <w:ind w:right="-3"/>
            </w:pPr>
            <w:r>
              <w:t>Functional Change (as measured</w:t>
            </w:r>
            <w:r>
              <w:br/>
              <w:t>using the MBI at admission and</w:t>
            </w:r>
            <w:r>
              <w:br/>
              <w:t>discharge for the TC episode)</w:t>
            </w:r>
          </w:p>
        </w:tc>
        <w:tc>
          <w:tcPr>
            <w:tcW w:w="3311" w:type="dxa"/>
          </w:tcPr>
          <w:p w14:paraId="7148D2B6" w14:textId="77777777" w:rsidR="00227642" w:rsidRPr="00754AA7" w:rsidRDefault="00227642" w:rsidP="00227642">
            <w:pPr>
              <w:pStyle w:val="Table"/>
              <w:ind w:right="-3"/>
            </w:pPr>
            <w:r>
              <w:t>• Overall</w:t>
            </w:r>
            <w:r>
              <w:br/>
              <w:t xml:space="preserve">  -  Mean admission MBI 67.3</w:t>
            </w:r>
            <w:r>
              <w:br/>
              <w:t xml:space="preserve">  -  Mean discharge MBI 79.1</w:t>
            </w:r>
            <w:r>
              <w:br/>
              <w:t>• Community</w:t>
            </w:r>
            <w:r>
              <w:br/>
              <w:t xml:space="preserve">  -  Mean admission MBI 77.1</w:t>
            </w:r>
            <w:r>
              <w:br/>
              <w:t xml:space="preserve">  -  Mean discharge MBI 85.8</w:t>
            </w:r>
            <w:r>
              <w:br/>
              <w:t>• Residential</w:t>
            </w:r>
            <w:r>
              <w:br/>
              <w:t xml:space="preserve">  -  Mean admission MBI 60.5</w:t>
            </w:r>
            <w:r>
              <w:br/>
              <w:t xml:space="preserve">  -  Mean discharge MBI 72.3</w:t>
            </w:r>
          </w:p>
        </w:tc>
        <w:tc>
          <w:tcPr>
            <w:tcW w:w="2501" w:type="dxa"/>
          </w:tcPr>
          <w:p w14:paraId="11C88815" w14:textId="77777777" w:rsidR="00227642" w:rsidRPr="00754AA7" w:rsidRDefault="00227642" w:rsidP="00227642">
            <w:pPr>
              <w:pStyle w:val="Table"/>
              <w:ind w:right="-3"/>
            </w:pPr>
            <w:r>
              <w:t>• Overall</w:t>
            </w:r>
            <w:r>
              <w:br/>
              <w:t xml:space="preserve">  -  Mean admission MBI 64.3</w:t>
            </w:r>
            <w:r>
              <w:br/>
              <w:t xml:space="preserve">  -  Mean discharge MBI 76.9</w:t>
            </w:r>
            <w:r>
              <w:br/>
              <w:t>• Community</w:t>
            </w:r>
            <w:r>
              <w:br/>
              <w:t xml:space="preserve">  -  Mean admission MBI 73.7</w:t>
            </w:r>
            <w:r>
              <w:br/>
              <w:t xml:space="preserve">  -  Mean discharge MBI 84.8</w:t>
            </w:r>
            <w:r>
              <w:br/>
              <w:t>• Residential</w:t>
            </w:r>
            <w:r>
              <w:br/>
              <w:t xml:space="preserve">  -  Mean admission MBI 51.1</w:t>
            </w:r>
            <w:r>
              <w:br/>
              <w:t xml:space="preserve">  -  Mean discharge MBI 65.0</w:t>
            </w:r>
          </w:p>
        </w:tc>
        <w:tc>
          <w:tcPr>
            <w:tcW w:w="2126" w:type="dxa"/>
          </w:tcPr>
          <w:p w14:paraId="551939C3" w14:textId="77777777" w:rsidR="00227642" w:rsidRPr="00754AA7" w:rsidRDefault="00227642" w:rsidP="00227642">
            <w:pPr>
              <w:pStyle w:val="Table"/>
              <w:ind w:right="-3"/>
            </w:pPr>
            <w:r>
              <w:t>• Overall the groups appear similar, however, the functional status at entry of residential based TC and community-based TC recipients in the NETCP appears lower than the ICRS sample</w:t>
            </w:r>
          </w:p>
        </w:tc>
      </w:tr>
      <w:tr w:rsidR="00227642" w:rsidRPr="00754AA7" w14:paraId="3945C4BF" w14:textId="77777777" w:rsidTr="00227642">
        <w:trPr>
          <w:trHeight w:val="2520"/>
        </w:trPr>
        <w:tc>
          <w:tcPr>
            <w:tcW w:w="2093" w:type="dxa"/>
          </w:tcPr>
          <w:p w14:paraId="2EEA10CA" w14:textId="77777777" w:rsidR="00227642" w:rsidRPr="00754AA7" w:rsidRDefault="00227642" w:rsidP="00227642">
            <w:pPr>
              <w:pStyle w:val="Table"/>
              <w:ind w:right="-3"/>
            </w:pPr>
            <w:r>
              <w:lastRenderedPageBreak/>
              <w:t>Hospital Readmission</w:t>
            </w:r>
            <w:r>
              <w:br/>
              <w:t>(one or more times in the follow-up</w:t>
            </w:r>
            <w:r>
              <w:br/>
              <w:t>period)</w:t>
            </w:r>
          </w:p>
        </w:tc>
        <w:tc>
          <w:tcPr>
            <w:tcW w:w="3311" w:type="dxa"/>
          </w:tcPr>
          <w:p w14:paraId="6492E541" w14:textId="77777777" w:rsidR="00227642" w:rsidRPr="00754AA7" w:rsidRDefault="00227642" w:rsidP="00227642">
            <w:pPr>
              <w:pStyle w:val="Table"/>
              <w:ind w:right="-3"/>
            </w:pPr>
            <w:r>
              <w:t>• 3 months follow-up</w:t>
            </w:r>
            <w:r>
              <w:br/>
              <w:t xml:space="preserve">  -  Overall 21%</w:t>
            </w:r>
            <w:r>
              <w:br/>
              <w:t>• 6 month follow-up</w:t>
            </w:r>
            <w:r>
              <w:br/>
              <w:t xml:space="preserve">  -  Overall 22%</w:t>
            </w:r>
            <w:r>
              <w:br/>
              <w:t>• A breakdown by type of TC was</w:t>
            </w:r>
            <w:r>
              <w:br/>
              <w:t>not presented in the ICRS report</w:t>
            </w:r>
          </w:p>
        </w:tc>
        <w:tc>
          <w:tcPr>
            <w:tcW w:w="2501" w:type="dxa"/>
          </w:tcPr>
          <w:p w14:paraId="7271E094" w14:textId="77777777" w:rsidR="00227642" w:rsidRPr="00754AA7" w:rsidRDefault="00227642" w:rsidP="00227642">
            <w:pPr>
              <w:pStyle w:val="Table"/>
              <w:ind w:right="-3"/>
            </w:pPr>
            <w:r>
              <w:t>• 3 months post ACAT approval</w:t>
            </w:r>
            <w:r>
              <w:br/>
              <w:t xml:space="preserve">  -  Overall 37%</w:t>
            </w:r>
            <w:r>
              <w:br/>
              <w:t xml:space="preserve">  -  Community 39%</w:t>
            </w:r>
            <w:r>
              <w:br/>
              <w:t xml:space="preserve">  -  Residential 35%</w:t>
            </w:r>
            <w:r>
              <w:br/>
              <w:t>• 6 months follow-up</w:t>
            </w:r>
            <w:r>
              <w:br/>
              <w:t xml:space="preserve">  -  Overall 47%</w:t>
            </w:r>
            <w:r>
              <w:br/>
              <w:t xml:space="preserve">  -  Community 51%</w:t>
            </w:r>
            <w:r>
              <w:br/>
              <w:t xml:space="preserve">  -  Residential 43%</w:t>
            </w:r>
          </w:p>
        </w:tc>
        <w:tc>
          <w:tcPr>
            <w:tcW w:w="2126" w:type="dxa"/>
          </w:tcPr>
          <w:p w14:paraId="15C1722C" w14:textId="77777777" w:rsidR="00227642" w:rsidRPr="00754AA7" w:rsidRDefault="00227642" w:rsidP="00227642">
            <w:pPr>
              <w:pStyle w:val="Table"/>
              <w:ind w:right="-3"/>
            </w:pPr>
            <w:r>
              <w:t>• ICRS used self-reported data for hospital readmissions which may have underestimated the true incidence</w:t>
            </w:r>
          </w:p>
        </w:tc>
      </w:tr>
      <w:tr w:rsidR="00227642" w:rsidRPr="00754AA7" w14:paraId="11D8EC2A" w14:textId="77777777" w:rsidTr="00227642">
        <w:trPr>
          <w:trHeight w:val="2520"/>
        </w:trPr>
        <w:tc>
          <w:tcPr>
            <w:tcW w:w="2093" w:type="dxa"/>
          </w:tcPr>
          <w:p w14:paraId="4499A728" w14:textId="77777777" w:rsidR="00227642" w:rsidRPr="00754AA7" w:rsidRDefault="00227642" w:rsidP="00227642">
            <w:pPr>
              <w:pStyle w:val="Table"/>
              <w:ind w:right="-3"/>
            </w:pPr>
            <w:r>
              <w:t>Living at home at follow-up</w:t>
            </w:r>
          </w:p>
        </w:tc>
        <w:tc>
          <w:tcPr>
            <w:tcW w:w="3311" w:type="dxa"/>
          </w:tcPr>
          <w:p w14:paraId="55AE8637" w14:textId="77777777" w:rsidR="00227642" w:rsidRPr="00754AA7" w:rsidRDefault="00227642" w:rsidP="00227642">
            <w:pPr>
              <w:pStyle w:val="Table"/>
              <w:ind w:right="-3"/>
            </w:pPr>
            <w:r>
              <w:t>• 3 months follow-up</w:t>
            </w:r>
            <w:r>
              <w:br/>
              <w:t xml:space="preserve">  -  Overall 81.6%</w:t>
            </w:r>
            <w:r>
              <w:br/>
              <w:t>• 6 months follow-up</w:t>
            </w:r>
            <w:r>
              <w:br/>
              <w:t xml:space="preserve">  -  Overall 81.5%</w:t>
            </w:r>
            <w:r>
              <w:br/>
              <w:t>• A breakdown by type of TC was</w:t>
            </w:r>
            <w:r>
              <w:br/>
              <w:t>not presented in the ICRS report</w:t>
            </w:r>
          </w:p>
        </w:tc>
        <w:tc>
          <w:tcPr>
            <w:tcW w:w="2501" w:type="dxa"/>
          </w:tcPr>
          <w:p w14:paraId="235FE045" w14:textId="77777777" w:rsidR="00227642" w:rsidRPr="00754AA7" w:rsidRDefault="00227642" w:rsidP="00227642">
            <w:pPr>
              <w:pStyle w:val="Table"/>
              <w:ind w:right="-3"/>
            </w:pPr>
            <w:r>
              <w:t>• 3 months post ACAT approval</w:t>
            </w:r>
            <w:r>
              <w:br/>
              <w:t xml:space="preserve">  -  Overall 78%</w:t>
            </w:r>
            <w:r>
              <w:br/>
              <w:t xml:space="preserve">  -  Community 96%</w:t>
            </w:r>
            <w:r>
              <w:br/>
              <w:t xml:space="preserve">  -  Residential 55%</w:t>
            </w:r>
            <w:r>
              <w:br/>
              <w:t>• 6 months post ACAT approval</w:t>
            </w:r>
            <w:r>
              <w:br/>
              <w:t xml:space="preserve">  -  Overall 70%</w:t>
            </w:r>
            <w:r>
              <w:br/>
              <w:t xml:space="preserve">  -  Community 93%</w:t>
            </w:r>
            <w:r>
              <w:br/>
              <w:t xml:space="preserve">  -  Residential 42%</w:t>
            </w:r>
          </w:p>
        </w:tc>
        <w:tc>
          <w:tcPr>
            <w:tcW w:w="2126" w:type="dxa"/>
          </w:tcPr>
          <w:p w14:paraId="302B8D4F" w14:textId="77777777" w:rsidR="00227642" w:rsidRPr="00754AA7" w:rsidRDefault="00227642" w:rsidP="00227642">
            <w:pPr>
              <w:pStyle w:val="Table"/>
              <w:ind w:right="-3"/>
            </w:pPr>
            <w:r>
              <w:t>• The difference between ICRS and NETCP possibly reflects the higher proportion of community dwelling TC recipients in ICRS</w:t>
            </w:r>
          </w:p>
        </w:tc>
      </w:tr>
      <w:tr w:rsidR="00227642" w:rsidRPr="00754AA7" w14:paraId="5A74B2FD" w14:textId="77777777" w:rsidTr="00227642">
        <w:trPr>
          <w:trHeight w:val="2205"/>
        </w:trPr>
        <w:tc>
          <w:tcPr>
            <w:tcW w:w="2093" w:type="dxa"/>
          </w:tcPr>
          <w:p w14:paraId="49E8C047" w14:textId="77777777" w:rsidR="00227642" w:rsidRPr="00754AA7" w:rsidRDefault="00227642" w:rsidP="00227642">
            <w:pPr>
              <w:pStyle w:val="Table"/>
              <w:ind w:right="-3"/>
            </w:pPr>
            <w:r>
              <w:t>Economic analysis</w:t>
            </w:r>
          </w:p>
        </w:tc>
        <w:tc>
          <w:tcPr>
            <w:tcW w:w="3311" w:type="dxa"/>
          </w:tcPr>
          <w:p w14:paraId="01254667" w14:textId="77777777" w:rsidR="00227642" w:rsidRPr="00754AA7" w:rsidRDefault="00227642" w:rsidP="00227642">
            <w:pPr>
              <w:pStyle w:val="Table"/>
              <w:ind w:right="-3"/>
            </w:pPr>
            <w:r>
              <w:t>• Cost-benefit approach</w:t>
            </w:r>
            <w:r>
              <w:br/>
              <w:t>• Residential costs $236 per day or 10,500 per episode</w:t>
            </w:r>
            <w:r>
              <w:br/>
              <w:t>• Community costs $86 per day (5,300 per episode)</w:t>
            </w:r>
            <w:r>
              <w:br/>
              <w:t>• Overall cost benefit of 4.7 million in savings</w:t>
            </w:r>
          </w:p>
        </w:tc>
        <w:tc>
          <w:tcPr>
            <w:tcW w:w="2501" w:type="dxa"/>
          </w:tcPr>
          <w:p w14:paraId="0E0A9265" w14:textId="77777777" w:rsidR="00227642" w:rsidRPr="00754AA7" w:rsidRDefault="00227642" w:rsidP="00227642">
            <w:pPr>
              <w:pStyle w:val="Table"/>
              <w:ind w:right="-3"/>
            </w:pPr>
            <w:r>
              <w:t>• Cost-effectiveness approach</w:t>
            </w:r>
            <w:r>
              <w:br/>
              <w:t>• Taking into account costs of hospital readmissions and residential aged care admissions in the follow-up period, at six months post ACAT approval TC cost $344 per additional day of survival without institutional care compared with Control 2</w:t>
            </w:r>
          </w:p>
        </w:tc>
        <w:tc>
          <w:tcPr>
            <w:tcW w:w="2126" w:type="dxa"/>
          </w:tcPr>
          <w:p w14:paraId="469EF047" w14:textId="77777777" w:rsidR="00227642" w:rsidRPr="00754AA7" w:rsidRDefault="00227642" w:rsidP="00227642">
            <w:pPr>
              <w:pStyle w:val="Table"/>
              <w:ind w:right="-3"/>
            </w:pPr>
            <w:r>
              <w:t>• Two different approaches were used. ICRS implicitly assumed that the average 65 day LOS in TC would have been spent entirely in residential aged care in the absence of TC. Hospital costs were not taken into  account in ICRS</w:t>
            </w:r>
          </w:p>
        </w:tc>
      </w:tr>
    </w:tbl>
    <w:p w14:paraId="6BEB51E3" w14:textId="77777777" w:rsidR="005D7ABA" w:rsidRDefault="00991060" w:rsidP="00CA0D72">
      <w:pPr>
        <w:pStyle w:val="Heading2"/>
        <w:ind w:right="-3"/>
      </w:pPr>
      <w:bookmarkStart w:id="112" w:name="_Toc402348958"/>
      <w:r>
        <w:t>10.3. Areas for future work</w:t>
      </w:r>
      <w:bookmarkEnd w:id="112"/>
    </w:p>
    <w:p w14:paraId="5946172E" w14:textId="77777777" w:rsidR="005D7ABA" w:rsidRDefault="00991060" w:rsidP="00CA0D72">
      <w:pPr>
        <w:ind w:right="-3"/>
      </w:pPr>
      <w:r>
        <w:t>A number of areas have been identified as important for further work that may lead to improvements in the TCP:</w:t>
      </w:r>
    </w:p>
    <w:p w14:paraId="0B702371" w14:textId="3DB16395" w:rsidR="008B5B94" w:rsidRDefault="008B5B94" w:rsidP="00227642">
      <w:pPr>
        <w:numPr>
          <w:ilvl w:val="0"/>
          <w:numId w:val="26"/>
        </w:numPr>
        <w:ind w:right="-3"/>
      </w:pPr>
      <w:r>
        <w:t>There is considerable uncertainty around the effectiveness and resource implications of model configurations and delivery approaches. This evaluation failed to produce information on the impact on costs of different governance and brokerage arrangements across Australia and their impact on costs. A detailed economic analysis of differing models of delivery (e.g. voucher system versus conventional TC) which included Medicare Australia data items at an individual level would significantly contribute to a better understanding of key areas of decision-making uncertainty.</w:t>
      </w:r>
    </w:p>
    <w:p w14:paraId="680C5B53" w14:textId="77777777" w:rsidR="008B5B94" w:rsidRDefault="008B5B94" w:rsidP="00227642">
      <w:pPr>
        <w:numPr>
          <w:ilvl w:val="0"/>
          <w:numId w:val="26"/>
        </w:numPr>
        <w:ind w:right="-3"/>
      </w:pPr>
      <w:r>
        <w:t>Modelling could be undertaken to assess costs by week to explore the MBI shifts per week. Exploration of ideal lengths of stay could be undertaken e.g. can you truncate the episode cost without losing the effect?</w:t>
      </w:r>
    </w:p>
    <w:p w14:paraId="3D185E9D" w14:textId="77777777" w:rsidR="008B5B94" w:rsidRDefault="008B5B94" w:rsidP="00227642">
      <w:pPr>
        <w:numPr>
          <w:ilvl w:val="0"/>
          <w:numId w:val="26"/>
        </w:numPr>
        <w:ind w:right="-3"/>
      </w:pPr>
      <w:r>
        <w:lastRenderedPageBreak/>
        <w:t>Very little qualitative data was collected in this evaluation and very little information was available on the differences in the approach to implementation which occurred in each state. It is unclear what role the state policy makers and context had on the approach. The definition of the target population, approach to assessment, care planning, and composition of the teams differed substantially in each state. There was no information on the background services against which the program was introduced or on barriers to success. Finally, there was no information on which organizational structures appeared to work well or on processes e.g. what happened when deteriorations occurred, which might have informed our understanding of the readmission rates. Overall, there appeared to be poor engagement with GPs and local hospital elderly care units – it is unclear why. Information on these issues would enhance development of the program.</w:t>
      </w:r>
    </w:p>
    <w:p w14:paraId="6AF2703E" w14:textId="77777777" w:rsidR="008B5B94" w:rsidRDefault="008B5B94" w:rsidP="00227642">
      <w:pPr>
        <w:numPr>
          <w:ilvl w:val="0"/>
          <w:numId w:val="26"/>
        </w:numPr>
        <w:ind w:right="-3"/>
      </w:pPr>
      <w:r>
        <w:t xml:space="preserve">More work on appropriate outcomes should be undertaken. Using the model of outcomes put forward by </w:t>
      </w:r>
      <w:proofErr w:type="spellStart"/>
      <w:r>
        <w:t>Qureshi</w:t>
      </w:r>
      <w:proofErr w:type="spellEnd"/>
      <w:r>
        <w:t xml:space="preserve"> (</w:t>
      </w:r>
      <w:proofErr w:type="spellStart"/>
      <w:r>
        <w:t>Qureshi</w:t>
      </w:r>
      <w:proofErr w:type="spellEnd"/>
      <w:r>
        <w:t xml:space="preserve">, Patmore et al. 1998) where there are three types of outcomes, namely change outcomes, maintenance outcomes, and process outcomes, the program is currently </w:t>
      </w:r>
      <w:proofErr w:type="gramStart"/>
      <w:r>
        <w:t>very</w:t>
      </w:r>
      <w:proofErr w:type="gramEnd"/>
      <w:r>
        <w:t xml:space="preserve"> focused on change outcomes. Inclusion of additional outcomes of relevance to older people such as being able to go out or having an appropriate environment should be explored. More work on quality indicators for these types of services is required.</w:t>
      </w:r>
    </w:p>
    <w:p w14:paraId="71C8F81A" w14:textId="77777777" w:rsidR="008B5B94" w:rsidRDefault="008B5B94" w:rsidP="00227642">
      <w:pPr>
        <w:numPr>
          <w:ilvl w:val="0"/>
          <w:numId w:val="26"/>
        </w:numPr>
        <w:ind w:right="-3"/>
      </w:pPr>
      <w:r>
        <w:t>Further investigation of the types of intervention that should be offered is necessary. For example, case management may have been a key intervention with navigation provided through the complex health and social care systems providing information on referrals and ensuring that follow-up care occurred.  Evidence on this approach from the UK and US is mixed but reviews could be sought to assist in evaluating the approach.</w:t>
      </w:r>
    </w:p>
    <w:p w14:paraId="45E2E7C5" w14:textId="77777777" w:rsidR="008B5B94" w:rsidRDefault="008B5B94" w:rsidP="00227642">
      <w:pPr>
        <w:numPr>
          <w:ilvl w:val="0"/>
          <w:numId w:val="26"/>
        </w:numPr>
        <w:ind w:right="-3"/>
      </w:pPr>
      <w:r>
        <w:t xml:space="preserve">Work could be undertaken to gain a better understanding of readmissions in the frail elderly. UK data suggests that there is no stable pool of “frequent flyers”. A cohort of patients with two unplanned admissions in a year reverts over four years to the same level of unplanned readmissions for that age group (Roland, </w:t>
      </w:r>
      <w:proofErr w:type="spellStart"/>
      <w:r>
        <w:t>Dusheiko</w:t>
      </w:r>
      <w:proofErr w:type="spellEnd"/>
      <w:r>
        <w:t xml:space="preserve"> et al. 2005). It is not clear what happens in Australia and information on this issue would inform interventions.</w:t>
      </w:r>
    </w:p>
    <w:p w14:paraId="619E8FB5" w14:textId="77777777" w:rsidR="005D7ABA" w:rsidRDefault="008B5B94" w:rsidP="00227642">
      <w:pPr>
        <w:numPr>
          <w:ilvl w:val="0"/>
          <w:numId w:val="26"/>
        </w:numPr>
        <w:ind w:right="-3"/>
      </w:pPr>
      <w:r>
        <w:rPr>
          <w:rFonts w:ascii="Arial" w:hAnsi="Arial" w:cs="Arial"/>
          <w:sz w:val="20"/>
          <w:szCs w:val="20"/>
        </w:rPr>
        <w:t xml:space="preserve">TC delivered in a residential setting </w:t>
      </w:r>
      <w:proofErr w:type="spellStart"/>
      <w:r>
        <w:rPr>
          <w:rFonts w:ascii="Arial" w:hAnsi="Arial" w:cs="Arial"/>
          <w:sz w:val="20"/>
          <w:szCs w:val="20"/>
        </w:rPr>
        <w:t>ge</w:t>
      </w:r>
      <w:proofErr w:type="spellEnd"/>
      <w:r>
        <w:t xml:space="preserve"> </w:t>
      </w:r>
      <w:r w:rsidR="00991060">
        <w:t>TC delivered in a residential setting generally needed more investigation as there is much uncertainty around this model e.g. the types of cases who benefit most, appropriate staffing levels and competencies, quality approaches.</w:t>
      </w:r>
    </w:p>
    <w:p w14:paraId="52E05924" w14:textId="77777777" w:rsidR="005D7ABA" w:rsidRDefault="00991060" w:rsidP="00CA0D72">
      <w:pPr>
        <w:pStyle w:val="Heading2"/>
        <w:ind w:right="-3"/>
      </w:pPr>
      <w:bookmarkStart w:id="113" w:name="_Toc402348959"/>
      <w:r>
        <w:t>10.4. Summary</w:t>
      </w:r>
      <w:bookmarkEnd w:id="113"/>
    </w:p>
    <w:p w14:paraId="42F0583F" w14:textId="77777777" w:rsidR="005D7ABA" w:rsidRDefault="00991060" w:rsidP="00CA0D72">
      <w:pPr>
        <w:ind w:right="-3"/>
      </w:pPr>
      <w:r>
        <w:t>This evaluation of the implementation phase found evidence that TC is improving the experiences of older people at the interface between acute and aged care services.  Individual outcomes are improving and system processes are evolving.  Meeting the needs of the ageing population cost effectively without compromising on quality is difficult and it appears at this stage the program is trading off higher costs to ensure quality services which is a reasonable approach for a new program focusing on vulnerable older people.  Over time efficiencies are very likely and evaluation of costs at a l</w:t>
      </w:r>
      <w:r w:rsidR="008B5B94">
        <w:t xml:space="preserve">ater date with longer follow-up </w:t>
      </w:r>
      <w:r>
        <w:t xml:space="preserve">(e.g. 12 months) and greater coverage (e.g. medications) would very likely show reductions in the costs.  There were surprising differences between jurisdictions in the availability of subacute rehabilitation and geriatric services which did affect the implementation, as TC was often required to fill a pre-existing gap in state and territory services.  This does raise questions about the level of improvement that can be made by simply adding one program and whether a larger review of </w:t>
      </w:r>
      <w:proofErr w:type="spellStart"/>
      <w:r>
        <w:t>post acute</w:t>
      </w:r>
      <w:proofErr w:type="spellEnd"/>
      <w:r>
        <w:t xml:space="preserve"> services may be necessary.  The risk of setting up an additional </w:t>
      </w:r>
      <w:proofErr w:type="spellStart"/>
      <w:r>
        <w:t>post acute</w:t>
      </w:r>
      <w:proofErr w:type="spellEnd"/>
      <w:r>
        <w:t xml:space="preserve"> silo has been identified and evidence provided on queues and inconsistent case selection across </w:t>
      </w:r>
      <w:r>
        <w:lastRenderedPageBreak/>
        <w:t>jurisdictions.  Nevertheless our evaluation found that the program has made a significant contribution to post acute options for older people and appears to be successfully assisting older people to stay living independently in the community.</w:t>
      </w:r>
    </w:p>
    <w:p w14:paraId="0E49D5C1" w14:textId="03C8A1B5" w:rsidR="000D38DA" w:rsidRDefault="00733CF1" w:rsidP="00CA0D72">
      <w:pPr>
        <w:pStyle w:val="Heading1"/>
        <w:ind w:right="-3"/>
      </w:pPr>
      <w:r>
        <w:br w:type="page"/>
      </w:r>
      <w:bookmarkStart w:id="114" w:name="_Toc402348960"/>
      <w:r w:rsidRPr="00733CF1">
        <w:lastRenderedPageBreak/>
        <w:t>11. References</w:t>
      </w:r>
      <w:bookmarkEnd w:id="114"/>
    </w:p>
    <w:p w14:paraId="6A325C7F" w14:textId="77777777" w:rsidR="005D7ABA" w:rsidRDefault="00733CF1" w:rsidP="00CA0D72">
      <w:pPr>
        <w:ind w:right="-3"/>
      </w:pPr>
      <w:proofErr w:type="gramStart"/>
      <w:r w:rsidRPr="00227642">
        <w:t>Anonymous (2008).</w:t>
      </w:r>
      <w:proofErr w:type="gramEnd"/>
      <w:r w:rsidRPr="00227642">
        <w:t xml:space="preserve"> "Who cares for the elderly?" Lancet 371(9617): 959.</w:t>
      </w:r>
    </w:p>
    <w:p w14:paraId="68E79059" w14:textId="77777777" w:rsidR="005D7ABA" w:rsidRDefault="00733CF1" w:rsidP="00CA0D72">
      <w:pPr>
        <w:ind w:right="-3"/>
      </w:pPr>
      <w:proofErr w:type="gramStart"/>
      <w:r w:rsidRPr="00227642">
        <w:t>Australian Government Department of Health and Ageing (2005).</w:t>
      </w:r>
      <w:proofErr w:type="gramEnd"/>
      <w:r w:rsidRPr="00227642">
        <w:t xml:space="preserve"> </w:t>
      </w:r>
      <w:proofErr w:type="gramStart"/>
      <w:r w:rsidRPr="00227642">
        <w:t>"Transition Care Program Guidelines."</w:t>
      </w:r>
      <w:proofErr w:type="gramEnd"/>
      <w:r w:rsidRPr="00227642">
        <w:t xml:space="preserve"> </w:t>
      </w:r>
      <w:proofErr w:type="gramStart"/>
      <w:r w:rsidR="000D6836" w:rsidRPr="00227642">
        <w:t>Department of Health and Ageing, Canberra, Australia</w:t>
      </w:r>
      <w:r w:rsidRPr="00227642">
        <w:t>.</w:t>
      </w:r>
      <w:proofErr w:type="gramEnd"/>
    </w:p>
    <w:p w14:paraId="1ACE1E89" w14:textId="77777777" w:rsidR="005D7ABA" w:rsidRDefault="00733CF1" w:rsidP="00CA0D72">
      <w:pPr>
        <w:ind w:right="-3"/>
      </w:pPr>
      <w:proofErr w:type="gramStart"/>
      <w:r w:rsidRPr="00227642">
        <w:t>Australian Government Department of Health and Ageing (2007).</w:t>
      </w:r>
      <w:proofErr w:type="gramEnd"/>
      <w:r w:rsidRPr="00227642">
        <w:t xml:space="preserve"> </w:t>
      </w:r>
      <w:proofErr w:type="gramStart"/>
      <w:r w:rsidRPr="00227642">
        <w:t>"Securing the future of aged care for Australians."</w:t>
      </w:r>
      <w:proofErr w:type="gramEnd"/>
      <w:r w:rsidRPr="00227642">
        <w:t xml:space="preserve"> </w:t>
      </w:r>
      <w:proofErr w:type="gramStart"/>
      <w:r w:rsidR="000D6836" w:rsidRPr="00227642">
        <w:t>Department of Health and Ageing, Canberra, Australia</w:t>
      </w:r>
      <w:r w:rsidRPr="00227642">
        <w:t>.</w:t>
      </w:r>
      <w:proofErr w:type="gramEnd"/>
    </w:p>
    <w:p w14:paraId="03360DE7" w14:textId="77777777" w:rsidR="005D7ABA" w:rsidRDefault="00733CF1" w:rsidP="00CA0D72">
      <w:pPr>
        <w:ind w:right="-3"/>
      </w:pPr>
      <w:proofErr w:type="gramStart"/>
      <w:r w:rsidRPr="00227642">
        <w:t>Australian Health Ministers' Advisory Council (2004).</w:t>
      </w:r>
      <w:proofErr w:type="gramEnd"/>
      <w:r w:rsidRPr="00227642">
        <w:t xml:space="preserve"> "From hospital to home: Improving care outcomes for older people." </w:t>
      </w:r>
      <w:proofErr w:type="gramStart"/>
      <w:r w:rsidR="000D6836" w:rsidRPr="00227642">
        <w:t>Victorian Department of Human Services, Melbourne, Australia</w:t>
      </w:r>
      <w:r w:rsidRPr="00227642">
        <w:t>.</w:t>
      </w:r>
      <w:proofErr w:type="gramEnd"/>
    </w:p>
    <w:p w14:paraId="1FDA67B3" w14:textId="77777777" w:rsidR="005D7ABA" w:rsidRDefault="00733CF1" w:rsidP="00CA0D72">
      <w:pPr>
        <w:ind w:right="-3"/>
      </w:pPr>
      <w:proofErr w:type="gramStart"/>
      <w:r w:rsidRPr="00227642">
        <w:t>Australian Institute of Health and Welfare (2005).</w:t>
      </w:r>
      <w:proofErr w:type="gramEnd"/>
      <w:r w:rsidRPr="00227642">
        <w:t xml:space="preserve"> "</w:t>
      </w:r>
      <w:proofErr w:type="spellStart"/>
      <w:r w:rsidRPr="00227642">
        <w:t>METeOR</w:t>
      </w:r>
      <w:proofErr w:type="spellEnd"/>
      <w:r w:rsidRPr="00227642">
        <w:t xml:space="preserve">: Metadata online registry (Hospital service - care type, code)." </w:t>
      </w:r>
      <w:proofErr w:type="gramStart"/>
      <w:r w:rsidR="000D6836" w:rsidRPr="00227642">
        <w:t>Australian Institute of Health and Welfare, Canberra, Australia</w:t>
      </w:r>
      <w:r w:rsidRPr="00227642">
        <w:t xml:space="preserve"> http://meteor.aihw.gov.au/content/index.phtml/itemId/270174.</w:t>
      </w:r>
      <w:proofErr w:type="gramEnd"/>
    </w:p>
    <w:p w14:paraId="6FCBD4B2" w14:textId="77777777" w:rsidR="005D7ABA" w:rsidRDefault="00733CF1" w:rsidP="00CA0D72">
      <w:pPr>
        <w:ind w:right="-3"/>
      </w:pPr>
      <w:proofErr w:type="gramStart"/>
      <w:r w:rsidRPr="00227642">
        <w:t>Australian Institute of Health and Welfare (2007).</w:t>
      </w:r>
      <w:proofErr w:type="gramEnd"/>
      <w:r w:rsidRPr="00227642">
        <w:t xml:space="preserve"> </w:t>
      </w:r>
      <w:proofErr w:type="gramStart"/>
      <w:r w:rsidRPr="00227642">
        <w:t>"Older Australians in hospital.</w:t>
      </w:r>
      <w:proofErr w:type="gramEnd"/>
      <w:r w:rsidRPr="00227642">
        <w:t xml:space="preserve">  </w:t>
      </w:r>
      <w:proofErr w:type="gramStart"/>
      <w:r w:rsidRPr="00227642">
        <w:t>Bulletin 53, Cat.</w:t>
      </w:r>
      <w:proofErr w:type="gramEnd"/>
      <w:r w:rsidRPr="00227642">
        <w:t xml:space="preserve"> No. </w:t>
      </w:r>
      <w:proofErr w:type="gramStart"/>
      <w:r w:rsidRPr="00227642">
        <w:t>AUS 92."</w:t>
      </w:r>
      <w:proofErr w:type="gramEnd"/>
      <w:r w:rsidRPr="00227642">
        <w:t xml:space="preserve"> </w:t>
      </w:r>
      <w:proofErr w:type="gramStart"/>
      <w:r w:rsidR="000D6836" w:rsidRPr="00227642">
        <w:t>Australian Institute of Health and Welfare, Canberra, Australia</w:t>
      </w:r>
      <w:r w:rsidRPr="00227642">
        <w:t>.</w:t>
      </w:r>
      <w:proofErr w:type="gramEnd"/>
    </w:p>
    <w:p w14:paraId="4A6AE94B" w14:textId="77777777" w:rsidR="005D7ABA" w:rsidRDefault="00733CF1" w:rsidP="00CA0D72">
      <w:pPr>
        <w:ind w:right="-3"/>
      </w:pPr>
      <w:proofErr w:type="spellStart"/>
      <w:r w:rsidRPr="00227642">
        <w:t>Ayis</w:t>
      </w:r>
      <w:proofErr w:type="spellEnd"/>
      <w:r w:rsidRPr="00227642">
        <w:t xml:space="preserve">, S., R. </w:t>
      </w:r>
      <w:proofErr w:type="spellStart"/>
      <w:r w:rsidRPr="00227642">
        <w:t>Gooberman</w:t>
      </w:r>
      <w:proofErr w:type="spellEnd"/>
      <w:r w:rsidRPr="00227642">
        <w:t xml:space="preserve">-Hill, et al. (2006). </w:t>
      </w:r>
      <w:proofErr w:type="gramStart"/>
      <w:r w:rsidRPr="00227642">
        <w:t>"Predicting catastrophic decline in mobility among older people."</w:t>
      </w:r>
      <w:proofErr w:type="gramEnd"/>
      <w:r w:rsidRPr="00227642">
        <w:t xml:space="preserve"> Age &amp; Ageing 35(4): 382-7.</w:t>
      </w:r>
    </w:p>
    <w:p w14:paraId="3BD6CB25" w14:textId="77777777" w:rsidR="005D7ABA" w:rsidRDefault="00733CF1" w:rsidP="00CA0D72">
      <w:pPr>
        <w:ind w:right="-3"/>
      </w:pPr>
      <w:proofErr w:type="spellStart"/>
      <w:proofErr w:type="gramStart"/>
      <w:r w:rsidRPr="00227642">
        <w:t>Battersby</w:t>
      </w:r>
      <w:proofErr w:type="spellEnd"/>
      <w:r w:rsidRPr="00227642">
        <w:t>, M., P. Harvey, et al. (2007).</w:t>
      </w:r>
      <w:proofErr w:type="gramEnd"/>
      <w:r w:rsidRPr="00227642">
        <w:t xml:space="preserve"> "SA </w:t>
      </w:r>
      <w:proofErr w:type="spellStart"/>
      <w:r w:rsidRPr="00227642">
        <w:t>HealthPlus</w:t>
      </w:r>
      <w:proofErr w:type="spellEnd"/>
      <w:r w:rsidRPr="00227642">
        <w:t xml:space="preserve">: a controlled trial of a </w:t>
      </w:r>
      <w:proofErr w:type="spellStart"/>
      <w:r w:rsidRPr="00227642">
        <w:t>statewide</w:t>
      </w:r>
      <w:proofErr w:type="spellEnd"/>
      <w:r w:rsidRPr="00227642">
        <w:t xml:space="preserve"> application of a generic model of chronic illness care." Milbank Quarterly 85(1): 37-67.</w:t>
      </w:r>
    </w:p>
    <w:p w14:paraId="2E321EE3" w14:textId="77777777" w:rsidR="005D7ABA" w:rsidRDefault="00733CF1" w:rsidP="00CA0D72">
      <w:pPr>
        <w:ind w:right="-3"/>
      </w:pPr>
      <w:proofErr w:type="spellStart"/>
      <w:proofErr w:type="gramStart"/>
      <w:r w:rsidRPr="00227642">
        <w:t>Beland</w:t>
      </w:r>
      <w:proofErr w:type="spellEnd"/>
      <w:r w:rsidRPr="00227642">
        <w:t>, F., H. Bergman, et al. (2006).</w:t>
      </w:r>
      <w:proofErr w:type="gramEnd"/>
      <w:r w:rsidRPr="00227642">
        <w:t xml:space="preserve"> </w:t>
      </w:r>
      <w:proofErr w:type="gramStart"/>
      <w:r w:rsidRPr="00227642">
        <w:t>"Integrated services for frail elders (SIPA): a trial of a model for Canada."</w:t>
      </w:r>
      <w:proofErr w:type="gramEnd"/>
      <w:r w:rsidRPr="00227642">
        <w:t xml:space="preserve"> Canadian Journal on Aging 25(1): 5-42.</w:t>
      </w:r>
    </w:p>
    <w:p w14:paraId="1608E7BA" w14:textId="77777777" w:rsidR="005D7ABA" w:rsidRDefault="00733CF1" w:rsidP="00CA0D72">
      <w:pPr>
        <w:ind w:right="-3"/>
      </w:pPr>
      <w:proofErr w:type="spellStart"/>
      <w:r w:rsidRPr="00227642">
        <w:t>Beswick</w:t>
      </w:r>
      <w:proofErr w:type="spellEnd"/>
      <w:r w:rsidRPr="00227642">
        <w:t>, A. D., K. Rees, et al. (2008). "Complex interventions to improve physical function and maintain independent living in elderly people: a systematic review and meta-analysis." Lancet 371(9614): 725-35.</w:t>
      </w:r>
    </w:p>
    <w:p w14:paraId="3B341558" w14:textId="77777777" w:rsidR="005D7ABA" w:rsidRDefault="00733CF1" w:rsidP="00CA0D72">
      <w:pPr>
        <w:ind w:right="-3"/>
      </w:pPr>
      <w:proofErr w:type="gramStart"/>
      <w:r w:rsidRPr="00227642">
        <w:t>Black, D. A. (2007).</w:t>
      </w:r>
      <w:proofErr w:type="gramEnd"/>
      <w:r w:rsidRPr="00227642">
        <w:t xml:space="preserve"> </w:t>
      </w:r>
      <w:proofErr w:type="gramStart"/>
      <w:r w:rsidRPr="00227642">
        <w:t>"Case management for elderly people in the community."</w:t>
      </w:r>
      <w:proofErr w:type="gramEnd"/>
      <w:r w:rsidRPr="00227642">
        <w:t xml:space="preserve"> </w:t>
      </w:r>
      <w:r w:rsidR="000D6836" w:rsidRPr="00227642">
        <w:t>BMJ</w:t>
      </w:r>
      <w:r w:rsidRPr="00227642">
        <w:t xml:space="preserve"> 334(7583): 3-4.</w:t>
      </w:r>
    </w:p>
    <w:p w14:paraId="6C930AE7" w14:textId="77777777" w:rsidR="005D7ABA" w:rsidRDefault="00733CF1" w:rsidP="00CA0D72">
      <w:pPr>
        <w:ind w:right="-3"/>
      </w:pPr>
      <w:proofErr w:type="spellStart"/>
      <w:proofErr w:type="gramStart"/>
      <w:r w:rsidRPr="00227642">
        <w:t>Bodenheimer</w:t>
      </w:r>
      <w:proofErr w:type="spellEnd"/>
      <w:r w:rsidRPr="00227642">
        <w:t xml:space="preserve">, T., K. </w:t>
      </w:r>
      <w:proofErr w:type="spellStart"/>
      <w:r w:rsidRPr="00227642">
        <w:t>Lorig</w:t>
      </w:r>
      <w:proofErr w:type="spellEnd"/>
      <w:r w:rsidRPr="00227642">
        <w:t>, et al. (2002).</w:t>
      </w:r>
      <w:proofErr w:type="gramEnd"/>
      <w:r w:rsidRPr="00227642">
        <w:t xml:space="preserve"> </w:t>
      </w:r>
      <w:proofErr w:type="gramStart"/>
      <w:r w:rsidRPr="00227642">
        <w:t xml:space="preserve">"Patient self-management of chronic disease in primary </w:t>
      </w:r>
      <w:r w:rsidR="000D6836" w:rsidRPr="00227642">
        <w:t>c</w:t>
      </w:r>
      <w:r w:rsidRPr="00227642">
        <w:t>are."</w:t>
      </w:r>
      <w:proofErr w:type="gramEnd"/>
      <w:r w:rsidRPr="00227642">
        <w:t xml:space="preserve"> JAMA 288(19): 2469-75.</w:t>
      </w:r>
    </w:p>
    <w:p w14:paraId="4D201F9E" w14:textId="77777777" w:rsidR="005D7ABA" w:rsidRDefault="00733CF1" w:rsidP="00CA0D72">
      <w:pPr>
        <w:ind w:right="-3"/>
      </w:pPr>
      <w:proofErr w:type="gramStart"/>
      <w:r w:rsidRPr="00227642">
        <w:t xml:space="preserve">Branch, L. G., R. F. </w:t>
      </w:r>
      <w:proofErr w:type="spellStart"/>
      <w:r w:rsidRPr="00227642">
        <w:t>Coulam</w:t>
      </w:r>
      <w:proofErr w:type="spellEnd"/>
      <w:r w:rsidRPr="00227642">
        <w:t>, et al. (1995).</w:t>
      </w:r>
      <w:proofErr w:type="gramEnd"/>
      <w:r w:rsidRPr="00227642">
        <w:t xml:space="preserve"> "The PACE evaluation: initial findings." Gerontologist 35(3): 349</w:t>
      </w:r>
      <w:r w:rsidR="000D6836" w:rsidRPr="00227642">
        <w:t>-</w:t>
      </w:r>
      <w:r w:rsidRPr="00227642">
        <w:t>59.</w:t>
      </w:r>
    </w:p>
    <w:p w14:paraId="48EDBE6D" w14:textId="77777777" w:rsidR="005D7ABA" w:rsidRDefault="00733CF1" w:rsidP="00CA0D72">
      <w:pPr>
        <w:ind w:right="-3"/>
      </w:pPr>
      <w:proofErr w:type="spellStart"/>
      <w:proofErr w:type="gramStart"/>
      <w:r w:rsidRPr="00227642">
        <w:t>Buntin</w:t>
      </w:r>
      <w:proofErr w:type="spellEnd"/>
      <w:r w:rsidRPr="00227642">
        <w:t>, M. B. (2007).</w:t>
      </w:r>
      <w:proofErr w:type="gramEnd"/>
      <w:r w:rsidRPr="00227642">
        <w:t xml:space="preserve"> </w:t>
      </w:r>
      <w:proofErr w:type="gramStart"/>
      <w:r w:rsidRPr="00227642">
        <w:t xml:space="preserve">"Access to </w:t>
      </w:r>
      <w:proofErr w:type="spellStart"/>
      <w:r w:rsidRPr="00227642">
        <w:t>postacute</w:t>
      </w:r>
      <w:proofErr w:type="spellEnd"/>
      <w:r w:rsidRPr="00227642">
        <w:t xml:space="preserve"> rehabilitation."</w:t>
      </w:r>
      <w:proofErr w:type="gramEnd"/>
      <w:r w:rsidRPr="00227642">
        <w:t xml:space="preserve"> Archives of Physical Medicine &amp; Rehabilitation 88(11): 1488-93.</w:t>
      </w:r>
    </w:p>
    <w:p w14:paraId="5650DC73" w14:textId="77777777" w:rsidR="005D7ABA" w:rsidRDefault="00733CF1" w:rsidP="00CA0D72">
      <w:pPr>
        <w:ind w:right="-3"/>
      </w:pPr>
      <w:proofErr w:type="spellStart"/>
      <w:r w:rsidRPr="00227642">
        <w:t>Byles</w:t>
      </w:r>
      <w:proofErr w:type="spellEnd"/>
      <w:r w:rsidRPr="00227642">
        <w:t xml:space="preserve">, J. E., M. </w:t>
      </w:r>
      <w:proofErr w:type="spellStart"/>
      <w:r w:rsidRPr="00227642">
        <w:t>Tavener</w:t>
      </w:r>
      <w:proofErr w:type="spellEnd"/>
      <w:r w:rsidRPr="00227642">
        <w:t xml:space="preserve">, et al. (2004). </w:t>
      </w:r>
      <w:proofErr w:type="gramStart"/>
      <w:r w:rsidRPr="00227642">
        <w:t>"Randomised controlled trial of health assessments for older Australian veterans and war widows."</w:t>
      </w:r>
      <w:proofErr w:type="gramEnd"/>
      <w:r w:rsidRPr="00227642">
        <w:t xml:space="preserve"> </w:t>
      </w:r>
      <w:r w:rsidR="000D6836" w:rsidRPr="00227642">
        <w:t>Medical Journal of Australia</w:t>
      </w:r>
      <w:r w:rsidRPr="00227642">
        <w:t xml:space="preserve"> 181(4): 186-90.</w:t>
      </w:r>
    </w:p>
    <w:p w14:paraId="09E7A741" w14:textId="77777777" w:rsidR="005D7ABA" w:rsidRDefault="00733CF1" w:rsidP="00CA0D72">
      <w:pPr>
        <w:ind w:right="-3"/>
      </w:pPr>
      <w:proofErr w:type="gramStart"/>
      <w:r w:rsidRPr="00227642">
        <w:t>Cameron, I. D. and O. Davies (2007).</w:t>
      </w:r>
      <w:proofErr w:type="gramEnd"/>
      <w:r w:rsidRPr="00227642">
        <w:t xml:space="preserve"> "Transition Care: what is it and what are its outcomes?" </w:t>
      </w:r>
      <w:r w:rsidR="000D6836" w:rsidRPr="00227642">
        <w:t>Medical Journal of Australia</w:t>
      </w:r>
      <w:r w:rsidRPr="00227642">
        <w:t xml:space="preserve"> 187(3): 197-8.</w:t>
      </w:r>
    </w:p>
    <w:p w14:paraId="2B6A0434" w14:textId="77777777" w:rsidR="005D7ABA" w:rsidRDefault="00733CF1" w:rsidP="00CA0D72">
      <w:pPr>
        <w:ind w:right="-3"/>
      </w:pPr>
      <w:proofErr w:type="gramStart"/>
      <w:r w:rsidRPr="00227642">
        <w:t xml:space="preserve">Carpenter, I., J. R. </w:t>
      </w:r>
      <w:proofErr w:type="spellStart"/>
      <w:r w:rsidRPr="00227642">
        <w:t>Gladman</w:t>
      </w:r>
      <w:proofErr w:type="spellEnd"/>
      <w:r w:rsidRPr="00227642">
        <w:t>, et al. (2002).</w:t>
      </w:r>
      <w:proofErr w:type="gramEnd"/>
      <w:r w:rsidRPr="00227642">
        <w:t xml:space="preserve"> </w:t>
      </w:r>
      <w:proofErr w:type="gramStart"/>
      <w:r w:rsidRPr="00227642">
        <w:t>"Clinical and research challenges of intermediate care."</w:t>
      </w:r>
      <w:proofErr w:type="gramEnd"/>
      <w:r w:rsidRPr="00227642">
        <w:t xml:space="preserve"> </w:t>
      </w:r>
      <w:r w:rsidR="000D6836" w:rsidRPr="00227642">
        <w:t>Age &amp; Ageing</w:t>
      </w:r>
      <w:r w:rsidRPr="00227642">
        <w:t xml:space="preserve"> 31(2): 97-100.</w:t>
      </w:r>
    </w:p>
    <w:p w14:paraId="57BBE06B" w14:textId="77777777" w:rsidR="005D7ABA" w:rsidRDefault="00733CF1" w:rsidP="00CA0D72">
      <w:pPr>
        <w:ind w:right="-3"/>
      </w:pPr>
      <w:proofErr w:type="spellStart"/>
      <w:proofErr w:type="gramStart"/>
      <w:r w:rsidRPr="00227642">
        <w:t>Centers</w:t>
      </w:r>
      <w:proofErr w:type="spellEnd"/>
      <w:r w:rsidRPr="00227642">
        <w:t xml:space="preserve"> for Medicare and Medicaid Services (2006).</w:t>
      </w:r>
      <w:proofErr w:type="gramEnd"/>
      <w:r w:rsidRPr="00227642">
        <w:t xml:space="preserve"> </w:t>
      </w:r>
      <w:proofErr w:type="gramStart"/>
      <w:r w:rsidRPr="00227642">
        <w:t>"Post-acute care reform plan."</w:t>
      </w:r>
      <w:proofErr w:type="gramEnd"/>
      <w:r w:rsidRPr="00227642">
        <w:t xml:space="preserve"> </w:t>
      </w:r>
      <w:proofErr w:type="spellStart"/>
      <w:r w:rsidRPr="00227642">
        <w:t>Centers</w:t>
      </w:r>
      <w:proofErr w:type="spellEnd"/>
      <w:r w:rsidRPr="00227642">
        <w:t xml:space="preserve"> for Medicare and Medicaid Services, Baltimore, US http://www.cms.hhs.gov/SNFPPS/Downloads/pac_reform_plan_2006.pdf.</w:t>
      </w:r>
    </w:p>
    <w:p w14:paraId="74D014E4" w14:textId="77777777" w:rsidR="005D7ABA" w:rsidRDefault="00733CF1" w:rsidP="00CA0D72">
      <w:pPr>
        <w:ind w:right="-3"/>
      </w:pPr>
      <w:r w:rsidRPr="00227642">
        <w:t xml:space="preserve">Chappell, N. L., B. H. </w:t>
      </w:r>
      <w:proofErr w:type="spellStart"/>
      <w:r w:rsidRPr="00227642">
        <w:t>Dlitt</w:t>
      </w:r>
      <w:proofErr w:type="spellEnd"/>
      <w:r w:rsidRPr="00227642">
        <w:t xml:space="preserve">, et al. (2004). "Comparative costs of home care and residential care." </w:t>
      </w:r>
      <w:r w:rsidR="000D6836" w:rsidRPr="00227642">
        <w:t>Gerontologist</w:t>
      </w:r>
      <w:r w:rsidRPr="00227642">
        <w:t xml:space="preserve"> 44(3): 389-400.</w:t>
      </w:r>
    </w:p>
    <w:p w14:paraId="3B38345D" w14:textId="77777777" w:rsidR="005D7ABA" w:rsidRDefault="00733CF1" w:rsidP="00CA0D72">
      <w:pPr>
        <w:ind w:right="-3"/>
      </w:pPr>
      <w:r w:rsidRPr="00227642">
        <w:t xml:space="preserve">Chen, Q., R. L. Kane, et al. (2000). </w:t>
      </w:r>
      <w:proofErr w:type="gramStart"/>
      <w:r w:rsidRPr="00227642">
        <w:t>"The cost effectiveness of post-acute care for elderly Medicare beneficiaries."</w:t>
      </w:r>
      <w:proofErr w:type="gramEnd"/>
      <w:r w:rsidRPr="00227642">
        <w:t xml:space="preserve"> Inquiry 37(4): 359-75.</w:t>
      </w:r>
    </w:p>
    <w:p w14:paraId="37576381" w14:textId="77777777" w:rsidR="005D7ABA" w:rsidRDefault="00733CF1" w:rsidP="00CA0D72">
      <w:pPr>
        <w:ind w:right="-3"/>
      </w:pPr>
      <w:proofErr w:type="gramStart"/>
      <w:r w:rsidRPr="00227642">
        <w:lastRenderedPageBreak/>
        <w:t>Close, J., M. Ellis, et al. (1999).</w:t>
      </w:r>
      <w:proofErr w:type="gramEnd"/>
      <w:r w:rsidRPr="00227642">
        <w:t xml:space="preserve"> "Prevention of falls in the elderly trial (PROFET): a randomised controlled trial." </w:t>
      </w:r>
      <w:r w:rsidR="000D6836" w:rsidRPr="00227642">
        <w:t>Lancet</w:t>
      </w:r>
      <w:r w:rsidRPr="00227642">
        <w:t xml:space="preserve"> 353(9147): 93-7.</w:t>
      </w:r>
    </w:p>
    <w:p w14:paraId="10E1C1C2" w14:textId="77777777" w:rsidR="005D7ABA" w:rsidRDefault="00733CF1" w:rsidP="00CA0D72">
      <w:pPr>
        <w:ind w:right="-3"/>
      </w:pPr>
      <w:r w:rsidRPr="00227642">
        <w:t xml:space="preserve">Coleman, E. A. (2003). </w:t>
      </w:r>
      <w:proofErr w:type="gramStart"/>
      <w:r w:rsidRPr="00227642">
        <w:t>"Falling through the cracks: challenges and opportunities for improving transitional care for persons with continuous complex care needs."</w:t>
      </w:r>
      <w:proofErr w:type="gramEnd"/>
      <w:r w:rsidRPr="00227642">
        <w:t xml:space="preserve"> </w:t>
      </w:r>
      <w:r w:rsidR="000D6836" w:rsidRPr="00227642">
        <w:t>Journal of the American Geriatrics Society</w:t>
      </w:r>
      <w:r w:rsidRPr="00227642">
        <w:t xml:space="preserve"> 51(4): 549-55.</w:t>
      </w:r>
    </w:p>
    <w:p w14:paraId="16B5CF32" w14:textId="77777777" w:rsidR="005D7ABA" w:rsidRDefault="00733CF1" w:rsidP="00CA0D72">
      <w:pPr>
        <w:ind w:right="-3"/>
      </w:pPr>
      <w:r w:rsidRPr="00227642">
        <w:t xml:space="preserve">Coleman, E. A., C. </w:t>
      </w:r>
      <w:proofErr w:type="spellStart"/>
      <w:r w:rsidRPr="00227642">
        <w:t>Boult</w:t>
      </w:r>
      <w:proofErr w:type="spellEnd"/>
      <w:r w:rsidRPr="00227642">
        <w:t xml:space="preserve">, et al. (2003). </w:t>
      </w:r>
      <w:proofErr w:type="gramStart"/>
      <w:r w:rsidRPr="00227642">
        <w:t>"Improving the quality of transitional care for persons with complex care needs."</w:t>
      </w:r>
      <w:proofErr w:type="gramEnd"/>
      <w:r w:rsidRPr="00227642">
        <w:t xml:space="preserve"> </w:t>
      </w:r>
      <w:r w:rsidR="000D6836" w:rsidRPr="00227642">
        <w:t>Journal of the American Geriatrics Society</w:t>
      </w:r>
      <w:r w:rsidRPr="00227642">
        <w:t xml:space="preserve"> 51(4): 556-7.</w:t>
      </w:r>
    </w:p>
    <w:p w14:paraId="74308CC2" w14:textId="77777777" w:rsidR="005D7ABA" w:rsidRDefault="00733CF1" w:rsidP="00CA0D72">
      <w:pPr>
        <w:ind w:right="-3"/>
      </w:pPr>
      <w:r w:rsidRPr="00227642">
        <w:t xml:space="preserve">Coleman, E. A., E. Mahoney, et al. (2005). </w:t>
      </w:r>
      <w:proofErr w:type="gramStart"/>
      <w:r w:rsidRPr="00227642">
        <w:t xml:space="preserve">"Assessing the quality of preparation for </w:t>
      </w:r>
      <w:proofErr w:type="spellStart"/>
      <w:r w:rsidRPr="00227642">
        <w:t>posthospital</w:t>
      </w:r>
      <w:proofErr w:type="spellEnd"/>
      <w:r w:rsidRPr="00227642">
        <w:t xml:space="preserve"> care from the patient's perspective: the care transitions measure."</w:t>
      </w:r>
      <w:proofErr w:type="gramEnd"/>
      <w:r w:rsidRPr="00227642">
        <w:t xml:space="preserve"> Medical Care 43(3): 246-55.</w:t>
      </w:r>
    </w:p>
    <w:p w14:paraId="3DC918A1" w14:textId="77777777" w:rsidR="005D7ABA" w:rsidRDefault="00733CF1" w:rsidP="00CA0D72">
      <w:pPr>
        <w:ind w:right="-3"/>
      </w:pPr>
      <w:r w:rsidRPr="00227642">
        <w:t xml:space="preserve">Coleman, E. A., C. Parry, et al. (2007). </w:t>
      </w:r>
      <w:proofErr w:type="gramStart"/>
      <w:r w:rsidRPr="00227642">
        <w:t>"The central role of performance measurement in improving the quality of transitional care."</w:t>
      </w:r>
      <w:proofErr w:type="gramEnd"/>
      <w:r w:rsidRPr="00227642">
        <w:t xml:space="preserve"> Home Health Care Services Quarterly 26(4): 93-104.</w:t>
      </w:r>
    </w:p>
    <w:p w14:paraId="579BE28A" w14:textId="77777777" w:rsidR="005D7ABA" w:rsidRDefault="00733CF1" w:rsidP="00CA0D72">
      <w:pPr>
        <w:ind w:right="-3"/>
      </w:pPr>
      <w:proofErr w:type="gramStart"/>
      <w:r w:rsidRPr="00227642">
        <w:t>Council of Australian Government (1995).</w:t>
      </w:r>
      <w:proofErr w:type="gramEnd"/>
      <w:r w:rsidRPr="00227642">
        <w:t xml:space="preserve"> </w:t>
      </w:r>
      <w:proofErr w:type="gramStart"/>
      <w:r w:rsidRPr="00227642">
        <w:t>"Task force on health and community services.</w:t>
      </w:r>
      <w:proofErr w:type="gramEnd"/>
      <w:r w:rsidRPr="00227642">
        <w:t xml:space="preserve"> Health and community services: meeting </w:t>
      </w:r>
      <w:proofErr w:type="gramStart"/>
      <w:r w:rsidRPr="00227642">
        <w:t>people's</w:t>
      </w:r>
      <w:proofErr w:type="gramEnd"/>
      <w:r w:rsidRPr="00227642">
        <w:t xml:space="preserve"> needs better. </w:t>
      </w:r>
      <w:proofErr w:type="gramStart"/>
      <w:r w:rsidRPr="00227642">
        <w:t>A discussion paper."</w:t>
      </w:r>
      <w:proofErr w:type="gramEnd"/>
      <w:r w:rsidRPr="00227642">
        <w:t xml:space="preserve"> </w:t>
      </w:r>
      <w:proofErr w:type="gramStart"/>
      <w:r w:rsidRPr="00227642">
        <w:t>Commonwealth of Australia, Canberra.</w:t>
      </w:r>
      <w:proofErr w:type="gramEnd"/>
    </w:p>
    <w:p w14:paraId="6D9A3FC6" w14:textId="77777777" w:rsidR="005D7ABA" w:rsidRDefault="00733CF1" w:rsidP="00CA0D72">
      <w:pPr>
        <w:ind w:right="-3"/>
      </w:pPr>
      <w:proofErr w:type="gramStart"/>
      <w:r w:rsidRPr="00227642">
        <w:t>Crotty, M., C. H. Whitehead, et al. (2005).</w:t>
      </w:r>
      <w:proofErr w:type="gramEnd"/>
      <w:r w:rsidRPr="00227642">
        <w:t xml:space="preserve"> "Transitional care facility for elderly people in hospital awaiting a long term care bed: a randomised controlled trial." Br Med J 331(7525): 1110-1113.</w:t>
      </w:r>
    </w:p>
    <w:p w14:paraId="3BFE5C73" w14:textId="77777777" w:rsidR="005D7ABA" w:rsidRDefault="00733CF1" w:rsidP="00CA0D72">
      <w:pPr>
        <w:ind w:right="-3"/>
      </w:pPr>
      <w:r w:rsidRPr="00227642">
        <w:t xml:space="preserve">Daff, D., J. M. </w:t>
      </w:r>
      <w:proofErr w:type="spellStart"/>
      <w:r w:rsidRPr="00227642">
        <w:t>Stepien</w:t>
      </w:r>
      <w:proofErr w:type="spellEnd"/>
      <w:r w:rsidRPr="00227642">
        <w:t xml:space="preserve">, et al. (2006). </w:t>
      </w:r>
      <w:proofErr w:type="gramStart"/>
      <w:r w:rsidRPr="00227642">
        <w:t>"Moving from hospital to a transitional care unit: carers' views."</w:t>
      </w:r>
      <w:proofErr w:type="gramEnd"/>
      <w:r w:rsidRPr="00227642">
        <w:t xml:space="preserve"> Qualitative Health Research 16(2): 189-205.</w:t>
      </w:r>
    </w:p>
    <w:p w14:paraId="755975FD" w14:textId="77777777" w:rsidR="005D7ABA" w:rsidRDefault="00733CF1" w:rsidP="00CA0D72">
      <w:pPr>
        <w:ind w:right="-3"/>
      </w:pPr>
      <w:proofErr w:type="gramStart"/>
      <w:r w:rsidRPr="00227642">
        <w:t>Dale, S. B. and R. S. Brown (2007).</w:t>
      </w:r>
      <w:proofErr w:type="gramEnd"/>
      <w:r w:rsidRPr="00227642">
        <w:t xml:space="preserve"> "How does Cash and </w:t>
      </w:r>
      <w:proofErr w:type="spellStart"/>
      <w:r w:rsidRPr="00227642">
        <w:t>Counseling</w:t>
      </w:r>
      <w:proofErr w:type="spellEnd"/>
      <w:r w:rsidRPr="00227642">
        <w:t xml:space="preserve"> affect costs?" Health Services Research 42(1 </w:t>
      </w:r>
      <w:proofErr w:type="spellStart"/>
      <w:r w:rsidRPr="00227642">
        <w:t>Pt</w:t>
      </w:r>
      <w:proofErr w:type="spellEnd"/>
      <w:r w:rsidRPr="00227642">
        <w:t xml:space="preserve"> 2): 488-509.</w:t>
      </w:r>
    </w:p>
    <w:p w14:paraId="0490ED38" w14:textId="77777777" w:rsidR="005D7ABA" w:rsidRDefault="00733CF1" w:rsidP="00CA0D72">
      <w:pPr>
        <w:ind w:right="-3"/>
      </w:pPr>
      <w:proofErr w:type="gramStart"/>
      <w:r w:rsidRPr="00227642">
        <w:t>Department of Health and Ageing (2005).</w:t>
      </w:r>
      <w:proofErr w:type="gramEnd"/>
      <w:r w:rsidRPr="00227642">
        <w:t xml:space="preserve"> </w:t>
      </w:r>
      <w:proofErr w:type="gramStart"/>
      <w:r w:rsidRPr="00227642">
        <w:t>"National evaluation of the Innovative Care Rehabilitation Services (ICRS) pilot program."</w:t>
      </w:r>
      <w:proofErr w:type="gramEnd"/>
      <w:r w:rsidRPr="00227642">
        <w:t xml:space="preserve"> </w:t>
      </w:r>
      <w:proofErr w:type="gramStart"/>
      <w:r w:rsidR="000D6836" w:rsidRPr="00227642">
        <w:t>Department of Health and Ageing, Canberra, Australia</w:t>
      </w:r>
      <w:r w:rsidRPr="00227642">
        <w:t>.</w:t>
      </w:r>
      <w:proofErr w:type="gramEnd"/>
    </w:p>
    <w:p w14:paraId="7CD744E1" w14:textId="77777777" w:rsidR="005D7ABA" w:rsidRDefault="00733CF1" w:rsidP="00CA0D72">
      <w:pPr>
        <w:ind w:right="-3"/>
      </w:pPr>
      <w:proofErr w:type="gramStart"/>
      <w:r w:rsidRPr="00227642">
        <w:t>Department of Health and Ageing (2008).</w:t>
      </w:r>
      <w:proofErr w:type="gramEnd"/>
      <w:r w:rsidRPr="00227642">
        <w:t xml:space="preserve"> </w:t>
      </w:r>
      <w:proofErr w:type="gramStart"/>
      <w:r w:rsidRPr="00227642">
        <w:t>"Transition Care Program COGNOS database."</w:t>
      </w:r>
      <w:proofErr w:type="gramEnd"/>
      <w:r w:rsidRPr="00227642">
        <w:t xml:space="preserve"> </w:t>
      </w:r>
      <w:proofErr w:type="gramStart"/>
      <w:r w:rsidR="000D6836" w:rsidRPr="00227642">
        <w:t>Department of Health and Ageing, Canberra, Australia</w:t>
      </w:r>
      <w:r w:rsidRPr="00227642">
        <w:t>.</w:t>
      </w:r>
      <w:proofErr w:type="gramEnd"/>
    </w:p>
    <w:p w14:paraId="158C50C1" w14:textId="77777777" w:rsidR="005D7ABA" w:rsidRDefault="00733CF1" w:rsidP="00CA0D72">
      <w:pPr>
        <w:ind w:right="-3"/>
      </w:pPr>
      <w:proofErr w:type="gramStart"/>
      <w:r w:rsidRPr="00227642">
        <w:t>Dwyer, J. and T. Jackson (2001).</w:t>
      </w:r>
      <w:proofErr w:type="gramEnd"/>
      <w:r w:rsidRPr="00227642">
        <w:t xml:space="preserve"> "Literature review: Integrated bed and patient management." </w:t>
      </w:r>
      <w:proofErr w:type="gramStart"/>
      <w:r w:rsidRPr="00227642">
        <w:t>Department of Human Services Victoria.</w:t>
      </w:r>
      <w:proofErr w:type="gramEnd"/>
    </w:p>
    <w:p w14:paraId="5CF0F92B" w14:textId="77777777" w:rsidR="005D7ABA" w:rsidRDefault="00733CF1" w:rsidP="00CA0D72">
      <w:pPr>
        <w:ind w:right="-3"/>
      </w:pPr>
      <w:proofErr w:type="spellStart"/>
      <w:proofErr w:type="gramStart"/>
      <w:r w:rsidRPr="00227642">
        <w:t>Dy</w:t>
      </w:r>
      <w:proofErr w:type="spellEnd"/>
      <w:r w:rsidRPr="00227642">
        <w:t>, S. and J. Lynn (2007).</w:t>
      </w:r>
      <w:proofErr w:type="gramEnd"/>
      <w:r w:rsidRPr="00227642">
        <w:t xml:space="preserve"> </w:t>
      </w:r>
      <w:proofErr w:type="gramStart"/>
      <w:r w:rsidRPr="00227642">
        <w:t>"Getting services right for those sick enough to die."</w:t>
      </w:r>
      <w:proofErr w:type="gramEnd"/>
      <w:r w:rsidRPr="00227642">
        <w:t xml:space="preserve"> </w:t>
      </w:r>
      <w:r w:rsidR="000D6836" w:rsidRPr="00227642">
        <w:t>BMJ</w:t>
      </w:r>
      <w:r w:rsidRPr="00227642">
        <w:t xml:space="preserve"> 334(7592): 511-3.</w:t>
      </w:r>
    </w:p>
    <w:p w14:paraId="771D1718" w14:textId="77777777" w:rsidR="005D7ABA" w:rsidRDefault="00733CF1" w:rsidP="00CA0D72">
      <w:pPr>
        <w:ind w:right="-3"/>
      </w:pPr>
      <w:r w:rsidRPr="00227642">
        <w:t xml:space="preserve">Eagar, K., R. Gordon, et al. (2001). "The Australian Sub-Acute and Non-Acute patient Classification (ANSNAP): report on the National Sub-Acute and Non-Acute </w:t>
      </w:r>
      <w:proofErr w:type="spellStart"/>
      <w:r w:rsidRPr="00227642">
        <w:t>Casemix</w:t>
      </w:r>
      <w:proofErr w:type="spellEnd"/>
      <w:r w:rsidRPr="00227642">
        <w:t xml:space="preserve"> Study." Centre for Health Service Development, University of Wollongong.</w:t>
      </w:r>
    </w:p>
    <w:p w14:paraId="10710CB6" w14:textId="77777777" w:rsidR="005D7ABA" w:rsidRDefault="00733CF1" w:rsidP="00CA0D72">
      <w:pPr>
        <w:ind w:right="-3"/>
      </w:pPr>
      <w:proofErr w:type="spellStart"/>
      <w:proofErr w:type="gramStart"/>
      <w:r w:rsidRPr="00227642">
        <w:t>Esterman</w:t>
      </w:r>
      <w:proofErr w:type="spellEnd"/>
      <w:r w:rsidRPr="00227642">
        <w:t>, A. J. and D. I. Ben-</w:t>
      </w:r>
      <w:proofErr w:type="spellStart"/>
      <w:r w:rsidRPr="00227642">
        <w:t>Tovim</w:t>
      </w:r>
      <w:proofErr w:type="spellEnd"/>
      <w:r w:rsidRPr="00227642">
        <w:t xml:space="preserve"> (2002).</w:t>
      </w:r>
      <w:proofErr w:type="gramEnd"/>
      <w:r w:rsidRPr="00227642">
        <w:t xml:space="preserve"> "The Australian coordinated care trials: success or failure? The second round of trials may provide more answers." </w:t>
      </w:r>
      <w:r w:rsidR="000D6836" w:rsidRPr="00227642">
        <w:t>Medical Journal of Australia</w:t>
      </w:r>
      <w:r w:rsidRPr="00227642">
        <w:t xml:space="preserve"> 177(9): 469-70.</w:t>
      </w:r>
    </w:p>
    <w:p w14:paraId="39D8DE6B" w14:textId="77777777" w:rsidR="005D7ABA" w:rsidRDefault="00733CF1" w:rsidP="00CA0D72">
      <w:pPr>
        <w:ind w:right="-3"/>
      </w:pPr>
      <w:r w:rsidRPr="00227642">
        <w:t xml:space="preserve">Evans, R. L., R. T. </w:t>
      </w:r>
      <w:proofErr w:type="spellStart"/>
      <w:r w:rsidRPr="00227642">
        <w:t>Connis</w:t>
      </w:r>
      <w:proofErr w:type="spellEnd"/>
      <w:r w:rsidRPr="00227642">
        <w:t xml:space="preserve">, et al. (1995). "Multidisciplinary rehabilitation versus medical care: a </w:t>
      </w:r>
      <w:proofErr w:type="spellStart"/>
      <w:r w:rsidRPr="00227642">
        <w:t>metaanalysis</w:t>
      </w:r>
      <w:proofErr w:type="spellEnd"/>
      <w:r w:rsidRPr="00227642">
        <w:t>." Social Science &amp; Medicine 40(12): 1699-706.</w:t>
      </w:r>
    </w:p>
    <w:p w14:paraId="65EBB078" w14:textId="77777777" w:rsidR="005D7ABA" w:rsidRDefault="00733CF1" w:rsidP="00CA0D72">
      <w:pPr>
        <w:ind w:right="-3"/>
      </w:pPr>
      <w:proofErr w:type="gramStart"/>
      <w:r w:rsidRPr="00227642">
        <w:t>Freedman, V. A., N. Hodgson, et al. (2006).</w:t>
      </w:r>
      <w:proofErr w:type="gramEnd"/>
      <w:r w:rsidRPr="00227642">
        <w:t xml:space="preserve"> </w:t>
      </w:r>
      <w:proofErr w:type="gramStart"/>
      <w:r w:rsidRPr="00227642">
        <w:t>"Promoting declines in the prevalence of late-life disability: comparisons of three potentially high-impact interventions."</w:t>
      </w:r>
      <w:proofErr w:type="gramEnd"/>
      <w:r w:rsidRPr="00227642">
        <w:t xml:space="preserve"> Milbank Quarterly 84(3): 493-520.</w:t>
      </w:r>
    </w:p>
    <w:p w14:paraId="64C8ACFF" w14:textId="77777777" w:rsidR="005D7ABA" w:rsidRDefault="00733CF1" w:rsidP="00CA0D72">
      <w:pPr>
        <w:ind w:right="-3"/>
      </w:pPr>
      <w:r w:rsidRPr="00227642">
        <w:t xml:space="preserve">Fried, L. P., L. </w:t>
      </w:r>
      <w:proofErr w:type="spellStart"/>
      <w:r w:rsidRPr="00227642">
        <w:t>Ferrucci</w:t>
      </w:r>
      <w:proofErr w:type="spellEnd"/>
      <w:r w:rsidRPr="00227642">
        <w:t xml:space="preserve">, et al. (2004). </w:t>
      </w:r>
      <w:proofErr w:type="gramStart"/>
      <w:r w:rsidRPr="00227642">
        <w:t>"Untangling the concepts of disability, frailty, and comorbidity: implications for improved targeting and care."</w:t>
      </w:r>
      <w:proofErr w:type="gramEnd"/>
      <w:r w:rsidRPr="00227642">
        <w:t xml:space="preserve"> Journals of Gerontology Series A-Biological Sciences &amp; Medical Sciences 59(3): 255-63.</w:t>
      </w:r>
    </w:p>
    <w:p w14:paraId="30517691" w14:textId="77777777" w:rsidR="005D7ABA" w:rsidRDefault="00733CF1" w:rsidP="00CA0D72">
      <w:pPr>
        <w:ind w:right="-3"/>
      </w:pPr>
      <w:proofErr w:type="spellStart"/>
      <w:proofErr w:type="gramStart"/>
      <w:r w:rsidRPr="00227642">
        <w:t>Gadzhanova</w:t>
      </w:r>
      <w:proofErr w:type="spellEnd"/>
      <w:r w:rsidRPr="00227642">
        <w:t>, S. and R. Reed (2007).</w:t>
      </w:r>
      <w:proofErr w:type="gramEnd"/>
      <w:r w:rsidRPr="00227642">
        <w:t xml:space="preserve"> "Medical services provided by general practitioners in residential aged-care facilities in Australia." </w:t>
      </w:r>
      <w:r w:rsidR="000D6836" w:rsidRPr="00227642">
        <w:t>Medical Journal of Australia</w:t>
      </w:r>
      <w:r w:rsidRPr="00227642">
        <w:t xml:space="preserve"> 187(2): 92-4.</w:t>
      </w:r>
    </w:p>
    <w:p w14:paraId="361276C2" w14:textId="77777777" w:rsidR="005D7ABA" w:rsidRDefault="00733CF1" w:rsidP="00CA0D72">
      <w:pPr>
        <w:ind w:right="-3"/>
      </w:pPr>
      <w:proofErr w:type="spellStart"/>
      <w:r w:rsidRPr="00227642">
        <w:lastRenderedPageBreak/>
        <w:t>Glendinning</w:t>
      </w:r>
      <w:proofErr w:type="spellEnd"/>
      <w:r w:rsidRPr="00227642">
        <w:t xml:space="preserve">, C., S. Clarke, et al. (2008). </w:t>
      </w:r>
      <w:proofErr w:type="gramStart"/>
      <w:r w:rsidRPr="00227642">
        <w:t>"Progress and problems in developing outcomes-focused social care services for older people in England."</w:t>
      </w:r>
      <w:proofErr w:type="gramEnd"/>
      <w:r w:rsidRPr="00227642">
        <w:t xml:space="preserve"> Health &amp; Social Care in the Community 16(1): 54-63.</w:t>
      </w:r>
    </w:p>
    <w:p w14:paraId="504C0A5E" w14:textId="77777777" w:rsidR="005D7ABA" w:rsidRDefault="00733CF1" w:rsidP="00CA0D72">
      <w:pPr>
        <w:ind w:right="-3"/>
      </w:pPr>
      <w:proofErr w:type="gramStart"/>
      <w:r w:rsidRPr="00227642">
        <w:t>Godfrey, M., J. Keen, et al. (2005).</w:t>
      </w:r>
      <w:proofErr w:type="gramEnd"/>
      <w:r w:rsidRPr="00227642">
        <w:t xml:space="preserve"> </w:t>
      </w:r>
      <w:proofErr w:type="gramStart"/>
      <w:r w:rsidRPr="00227642">
        <w:t>"An evaluation of Intermediate Care for older people."</w:t>
      </w:r>
      <w:proofErr w:type="gramEnd"/>
      <w:r w:rsidRPr="00227642">
        <w:t xml:space="preserve"> </w:t>
      </w:r>
      <w:proofErr w:type="gramStart"/>
      <w:r w:rsidRPr="00227642">
        <w:t>Institute of Health Sciences and Public Health Research Leeds, UK.</w:t>
      </w:r>
      <w:proofErr w:type="gramEnd"/>
    </w:p>
    <w:p w14:paraId="1885A8D8" w14:textId="77777777" w:rsidR="005D7ABA" w:rsidRDefault="00733CF1" w:rsidP="00CA0D72">
      <w:pPr>
        <w:ind w:right="-3"/>
      </w:pPr>
      <w:proofErr w:type="spellStart"/>
      <w:r w:rsidRPr="00227642">
        <w:t>Gravelle</w:t>
      </w:r>
      <w:proofErr w:type="spellEnd"/>
      <w:r w:rsidRPr="00227642">
        <w:t xml:space="preserve">, H., M. </w:t>
      </w:r>
      <w:proofErr w:type="spellStart"/>
      <w:r w:rsidRPr="00227642">
        <w:t>Dusheiko</w:t>
      </w:r>
      <w:proofErr w:type="spellEnd"/>
      <w:r w:rsidRPr="00227642">
        <w:t xml:space="preserve">, et al. (2007). "Impact of case management (Evercare) on frail elderly patients: controlled before and after analysis of quantitative outcome data." </w:t>
      </w:r>
      <w:r w:rsidR="000D6836" w:rsidRPr="00227642">
        <w:t>BMJ</w:t>
      </w:r>
      <w:r w:rsidRPr="00227642">
        <w:t xml:space="preserve"> 334(7583): 31.</w:t>
      </w:r>
    </w:p>
    <w:p w14:paraId="723A1D22" w14:textId="77777777" w:rsidR="005D7ABA" w:rsidRDefault="00733CF1" w:rsidP="00CA0D72">
      <w:pPr>
        <w:ind w:right="-3"/>
      </w:pPr>
      <w:proofErr w:type="spellStart"/>
      <w:r w:rsidRPr="00227642">
        <w:t>Gray</w:t>
      </w:r>
      <w:proofErr w:type="spellEnd"/>
      <w:r w:rsidRPr="00227642">
        <w:t xml:space="preserve">, L., M. </w:t>
      </w:r>
      <w:proofErr w:type="spellStart"/>
      <w:r w:rsidRPr="00227642">
        <w:t>Dorevitch</w:t>
      </w:r>
      <w:proofErr w:type="spellEnd"/>
      <w:r w:rsidRPr="00227642">
        <w:t xml:space="preserve">, et al. (2002). </w:t>
      </w:r>
      <w:proofErr w:type="gramStart"/>
      <w:r w:rsidRPr="00227642">
        <w:t>"Service provision for older people in the acute-aged care system."</w:t>
      </w:r>
      <w:proofErr w:type="gramEnd"/>
      <w:r w:rsidRPr="00227642">
        <w:t xml:space="preserve"> </w:t>
      </w:r>
      <w:proofErr w:type="gramStart"/>
      <w:r w:rsidR="000D6836" w:rsidRPr="00227642">
        <w:t>Victorian Department of Human Services, Melbourne, Australia</w:t>
      </w:r>
      <w:r w:rsidRPr="00227642">
        <w:t>.</w:t>
      </w:r>
      <w:proofErr w:type="gramEnd"/>
    </w:p>
    <w:p w14:paraId="5940627D" w14:textId="77777777" w:rsidR="005D7ABA" w:rsidRDefault="00733CF1" w:rsidP="00CA0D72">
      <w:pPr>
        <w:ind w:right="-3"/>
      </w:pPr>
      <w:proofErr w:type="spellStart"/>
      <w:r w:rsidRPr="00227642">
        <w:t>Gray</w:t>
      </w:r>
      <w:proofErr w:type="spellEnd"/>
      <w:r w:rsidRPr="00227642">
        <w:t xml:space="preserve">, L. C., C. M. Travers, et al. (2008). "Transition care: will it deliver?" </w:t>
      </w:r>
      <w:r w:rsidR="000D6836" w:rsidRPr="00227642">
        <w:t>Medical Journal of Australia</w:t>
      </w:r>
      <w:r w:rsidRPr="00227642">
        <w:t xml:space="preserve"> 188(4): 251-3.</w:t>
      </w:r>
    </w:p>
    <w:p w14:paraId="611E4A34" w14:textId="77777777" w:rsidR="005D7ABA" w:rsidRDefault="00733CF1" w:rsidP="00CA0D72">
      <w:pPr>
        <w:ind w:right="-3"/>
      </w:pPr>
      <w:proofErr w:type="gramStart"/>
      <w:r w:rsidRPr="00227642">
        <w:t xml:space="preserve">Gross, D. L., H. </w:t>
      </w:r>
      <w:proofErr w:type="spellStart"/>
      <w:r w:rsidRPr="00227642">
        <w:t>Temkin</w:t>
      </w:r>
      <w:proofErr w:type="spellEnd"/>
      <w:r w:rsidRPr="00227642">
        <w:t>-Greener, et al. (2006).</w:t>
      </w:r>
      <w:proofErr w:type="gramEnd"/>
      <w:r w:rsidRPr="00227642">
        <w:t xml:space="preserve"> </w:t>
      </w:r>
      <w:proofErr w:type="gramStart"/>
      <w:r w:rsidRPr="00227642">
        <w:t>"The growing pains of integrated health care for the elderly: Lessons from the expansion of PACE."</w:t>
      </w:r>
      <w:proofErr w:type="gramEnd"/>
      <w:r w:rsidRPr="00227642">
        <w:t xml:space="preserve"> </w:t>
      </w:r>
      <w:r w:rsidR="000D6836" w:rsidRPr="00227642">
        <w:t xml:space="preserve">Milbank Quarterly </w:t>
      </w:r>
      <w:r w:rsidRPr="00227642">
        <w:t>82(2): 257-82.</w:t>
      </w:r>
    </w:p>
    <w:p w14:paraId="56FA13A1" w14:textId="77777777" w:rsidR="005D7ABA" w:rsidRDefault="00733CF1" w:rsidP="00CA0D72">
      <w:pPr>
        <w:ind w:right="-3"/>
      </w:pPr>
      <w:r w:rsidRPr="00227642">
        <w:t xml:space="preserve">Harrington, C., C. Cassel, et al. (1991). </w:t>
      </w:r>
      <w:proofErr w:type="gramStart"/>
      <w:r w:rsidRPr="00227642">
        <w:t>"A national long-term care program for the United States.</w:t>
      </w:r>
      <w:proofErr w:type="gramEnd"/>
      <w:r w:rsidRPr="00227642">
        <w:t xml:space="preserve"> </w:t>
      </w:r>
      <w:proofErr w:type="gramStart"/>
      <w:r w:rsidRPr="00227642">
        <w:t>A caring vision.</w:t>
      </w:r>
      <w:proofErr w:type="gramEnd"/>
      <w:r w:rsidRPr="00227642">
        <w:t xml:space="preserve"> </w:t>
      </w:r>
      <w:proofErr w:type="gramStart"/>
      <w:r w:rsidRPr="00227642">
        <w:t>The Working Group on Long-term Care Program Design, Physicians for a National Health Program."</w:t>
      </w:r>
      <w:proofErr w:type="gramEnd"/>
      <w:r w:rsidRPr="00227642">
        <w:t xml:space="preserve"> JAMA 266(21): 3023-9.</w:t>
      </w:r>
    </w:p>
    <w:p w14:paraId="0C578171" w14:textId="77777777" w:rsidR="005D7ABA" w:rsidRDefault="00733CF1" w:rsidP="00CA0D72">
      <w:pPr>
        <w:ind w:right="-3"/>
      </w:pPr>
      <w:r w:rsidRPr="00227642">
        <w:t>Hebert, R., P. J. Durand, et al. (2003). "PRISMA: a new model of Integrated Service Delivery for the frail older people in Canada." International Journal of Integrated Care 3: e08.</w:t>
      </w:r>
    </w:p>
    <w:p w14:paraId="6427581E" w14:textId="77777777" w:rsidR="005D7ABA" w:rsidRDefault="00733CF1" w:rsidP="00CA0D72">
      <w:pPr>
        <w:ind w:right="-3"/>
      </w:pPr>
      <w:proofErr w:type="spellStart"/>
      <w:proofErr w:type="gramStart"/>
      <w:r w:rsidRPr="00227642">
        <w:t>Heggestad</w:t>
      </w:r>
      <w:proofErr w:type="spellEnd"/>
      <w:r w:rsidRPr="00227642">
        <w:t>, T. (2002).</w:t>
      </w:r>
      <w:proofErr w:type="gramEnd"/>
      <w:r w:rsidRPr="00227642">
        <w:t xml:space="preserve"> "Do hospital length of stay and staffing ratio affect elderly patients' risk of readmission? </w:t>
      </w:r>
      <w:proofErr w:type="gramStart"/>
      <w:r w:rsidRPr="00227642">
        <w:t>A nation-wide study of Norwegian hospitals."</w:t>
      </w:r>
      <w:proofErr w:type="gramEnd"/>
      <w:r w:rsidRPr="00227642">
        <w:t xml:space="preserve"> Health Services Research 37(3): 647-65.</w:t>
      </w:r>
    </w:p>
    <w:p w14:paraId="5FF6D40E" w14:textId="77777777" w:rsidR="005D7ABA" w:rsidRDefault="00733CF1" w:rsidP="00CA0D72">
      <w:pPr>
        <w:ind w:right="-3"/>
      </w:pPr>
      <w:proofErr w:type="spellStart"/>
      <w:r w:rsidRPr="00227642">
        <w:t>Hofmarcher</w:t>
      </w:r>
      <w:proofErr w:type="spellEnd"/>
      <w:r w:rsidRPr="00227642">
        <w:t xml:space="preserve">, M. M., H. Oxley, et al. (2007). </w:t>
      </w:r>
      <w:proofErr w:type="gramStart"/>
      <w:r w:rsidRPr="00227642">
        <w:t>"Improved health system performance through better care coordination."</w:t>
      </w:r>
      <w:proofErr w:type="gramEnd"/>
      <w:r w:rsidRPr="00227642">
        <w:t xml:space="preserve"> OECD Health Working Paper No. 30.</w:t>
      </w:r>
    </w:p>
    <w:p w14:paraId="6A4D2C10" w14:textId="77777777" w:rsidR="005D7ABA" w:rsidRDefault="00733CF1" w:rsidP="00CA0D72">
      <w:pPr>
        <w:ind w:right="-3"/>
      </w:pPr>
      <w:r w:rsidRPr="00227642">
        <w:t xml:space="preserve">Hughes, S. L., A. </w:t>
      </w:r>
      <w:proofErr w:type="spellStart"/>
      <w:r w:rsidRPr="00227642">
        <w:t>Ulasevich</w:t>
      </w:r>
      <w:proofErr w:type="spellEnd"/>
      <w:r w:rsidRPr="00227642">
        <w:t xml:space="preserve">, et al. (1997). "Impact of home care on hospital days: a </w:t>
      </w:r>
      <w:proofErr w:type="spellStart"/>
      <w:r w:rsidRPr="00227642">
        <w:t>meta analysis</w:t>
      </w:r>
      <w:proofErr w:type="spellEnd"/>
      <w:r w:rsidRPr="00227642">
        <w:t>." Health Services Research 32(4): 415-32.</w:t>
      </w:r>
    </w:p>
    <w:p w14:paraId="7CEB647A" w14:textId="77777777" w:rsidR="005D7ABA" w:rsidRDefault="00733CF1" w:rsidP="00CA0D72">
      <w:pPr>
        <w:ind w:right="-3"/>
      </w:pPr>
      <w:r w:rsidRPr="00227642">
        <w:t xml:space="preserve">Hutt, R., R. Rosen, et al. (2004). "Case-managing long-term conditions: What impact does it have in the treatment of older people?" </w:t>
      </w:r>
      <w:proofErr w:type="gramStart"/>
      <w:r w:rsidRPr="00227642">
        <w:t>King's Fund, London, UK.</w:t>
      </w:r>
      <w:proofErr w:type="gramEnd"/>
    </w:p>
    <w:p w14:paraId="10ABD6B2" w14:textId="77777777" w:rsidR="005D7ABA" w:rsidRDefault="00733CF1" w:rsidP="00CA0D72">
      <w:pPr>
        <w:ind w:right="-3"/>
      </w:pPr>
      <w:r w:rsidRPr="00227642">
        <w:t xml:space="preserve">Kane, R. L. (2007). </w:t>
      </w:r>
      <w:proofErr w:type="gramStart"/>
      <w:r w:rsidRPr="00227642">
        <w:t xml:space="preserve">"Assessing the effectiveness of </w:t>
      </w:r>
      <w:proofErr w:type="spellStart"/>
      <w:r w:rsidRPr="00227642">
        <w:t>postacute</w:t>
      </w:r>
      <w:proofErr w:type="spellEnd"/>
      <w:r w:rsidRPr="00227642">
        <w:t xml:space="preserve"> care rehabilitation."</w:t>
      </w:r>
      <w:proofErr w:type="gramEnd"/>
      <w:r w:rsidRPr="00227642">
        <w:t xml:space="preserve"> Archives of Physical Medicine &amp; Rehabilitation 88(11): 1500-4.</w:t>
      </w:r>
    </w:p>
    <w:p w14:paraId="6F8BD11C" w14:textId="77777777" w:rsidR="005D7ABA" w:rsidRDefault="00733CF1" w:rsidP="00CA0D72">
      <w:pPr>
        <w:ind w:right="-3"/>
      </w:pPr>
      <w:r w:rsidRPr="00227642">
        <w:t xml:space="preserve">Kane, R. L., Q. Chen, et al. (1998). "Functional outcomes of </w:t>
      </w:r>
      <w:proofErr w:type="spellStart"/>
      <w:r w:rsidRPr="00227642">
        <w:t>posthospital</w:t>
      </w:r>
      <w:proofErr w:type="spellEnd"/>
      <w:r w:rsidRPr="00227642">
        <w:t xml:space="preserve"> care for stroke and hip fracture patients under </w:t>
      </w:r>
      <w:proofErr w:type="spellStart"/>
      <w:r w:rsidRPr="00227642">
        <w:t>medicare</w:t>
      </w:r>
      <w:proofErr w:type="spellEnd"/>
      <w:r w:rsidRPr="00227642">
        <w:t xml:space="preserve">." </w:t>
      </w:r>
      <w:r w:rsidR="000D6836" w:rsidRPr="00227642">
        <w:t>Journal of the American Geriatrics Society</w:t>
      </w:r>
      <w:r w:rsidRPr="00227642">
        <w:t xml:space="preserve"> 46(12): 1525-33.</w:t>
      </w:r>
    </w:p>
    <w:p w14:paraId="36F224A1" w14:textId="77777777" w:rsidR="005D7ABA" w:rsidRDefault="00733CF1" w:rsidP="00CA0D72">
      <w:pPr>
        <w:ind w:right="-3"/>
      </w:pPr>
      <w:r w:rsidRPr="00227642">
        <w:t xml:space="preserve">Kane, R. L., M. Finch, et al. (1996). </w:t>
      </w:r>
      <w:proofErr w:type="gramStart"/>
      <w:r w:rsidRPr="00227642">
        <w:t>"Use of post-hospital care by Medicare patients."</w:t>
      </w:r>
      <w:proofErr w:type="gramEnd"/>
      <w:r w:rsidRPr="00227642">
        <w:t xml:space="preserve"> </w:t>
      </w:r>
      <w:r w:rsidR="000D6836" w:rsidRPr="00227642">
        <w:t>Journal of the American Geriatrics Society</w:t>
      </w:r>
      <w:r w:rsidRPr="00227642">
        <w:t xml:space="preserve"> 44(3): 242-50.</w:t>
      </w:r>
    </w:p>
    <w:p w14:paraId="36C43BCE" w14:textId="77777777" w:rsidR="005D7ABA" w:rsidRDefault="00733CF1" w:rsidP="00CA0D72">
      <w:pPr>
        <w:ind w:right="-3"/>
      </w:pPr>
      <w:r w:rsidRPr="00227642">
        <w:t xml:space="preserve">Kane, R. L., W.-C. </w:t>
      </w:r>
      <w:proofErr w:type="gramStart"/>
      <w:r w:rsidRPr="00227642">
        <w:t>Lin, et al. (2002).</w:t>
      </w:r>
      <w:proofErr w:type="gramEnd"/>
      <w:r w:rsidRPr="00227642">
        <w:t xml:space="preserve"> </w:t>
      </w:r>
      <w:proofErr w:type="gramStart"/>
      <w:r w:rsidRPr="00227642">
        <w:t>"Geographic variation in the use of post-acute care."</w:t>
      </w:r>
      <w:proofErr w:type="gramEnd"/>
      <w:r w:rsidRPr="00227642">
        <w:t xml:space="preserve"> Health Services Research 37(3): 667-82.</w:t>
      </w:r>
    </w:p>
    <w:p w14:paraId="599B7BCF" w14:textId="77777777" w:rsidR="005D7ABA" w:rsidRDefault="00733CF1" w:rsidP="00CA0D72">
      <w:pPr>
        <w:ind w:right="-3"/>
      </w:pPr>
      <w:r w:rsidRPr="00227642">
        <w:t xml:space="preserve">Kaplan, S. J. (2007). "Growth and payment adequacy of </w:t>
      </w:r>
      <w:proofErr w:type="spellStart"/>
      <w:r w:rsidRPr="00227642">
        <w:t>medicare</w:t>
      </w:r>
      <w:proofErr w:type="spellEnd"/>
      <w:r w:rsidRPr="00227642">
        <w:t xml:space="preserve"> </w:t>
      </w:r>
      <w:proofErr w:type="spellStart"/>
      <w:r w:rsidRPr="00227642">
        <w:t>postacute</w:t>
      </w:r>
      <w:proofErr w:type="spellEnd"/>
      <w:r w:rsidRPr="00227642">
        <w:t xml:space="preserve"> care rehabilitation." </w:t>
      </w:r>
      <w:r w:rsidR="000D6836" w:rsidRPr="00227642">
        <w:t xml:space="preserve">Archives of Physical Medicine &amp; Rehabilitation </w:t>
      </w:r>
      <w:r w:rsidRPr="00227642">
        <w:t>88(11): 1494-9.</w:t>
      </w:r>
    </w:p>
    <w:p w14:paraId="69620BA0" w14:textId="77777777" w:rsidR="005D7ABA" w:rsidRDefault="00733CF1" w:rsidP="00CA0D72">
      <w:pPr>
        <w:ind w:right="-3"/>
      </w:pPr>
      <w:proofErr w:type="spellStart"/>
      <w:r w:rsidRPr="00227642">
        <w:t>Kardamanidis</w:t>
      </w:r>
      <w:proofErr w:type="spellEnd"/>
      <w:r w:rsidRPr="00227642">
        <w:t xml:space="preserve">, K., K. Lim, et al. (2007). "Hospital costs of older people in New South Wales in the last year of life." </w:t>
      </w:r>
      <w:r w:rsidR="000D6836" w:rsidRPr="00227642">
        <w:t>Medical Journal of Australia</w:t>
      </w:r>
      <w:r w:rsidRPr="00227642">
        <w:t xml:space="preserve"> 187(7): 383-6.</w:t>
      </w:r>
    </w:p>
    <w:p w14:paraId="49BDDD30" w14:textId="77777777" w:rsidR="005D7ABA" w:rsidRDefault="00733CF1" w:rsidP="00CA0D72">
      <w:pPr>
        <w:ind w:right="-3"/>
      </w:pPr>
      <w:proofErr w:type="spellStart"/>
      <w:r w:rsidRPr="00227642">
        <w:t>Kauh</w:t>
      </w:r>
      <w:proofErr w:type="spellEnd"/>
      <w:r w:rsidRPr="00227642">
        <w:t xml:space="preserve">, B., T. </w:t>
      </w:r>
      <w:proofErr w:type="spellStart"/>
      <w:r w:rsidRPr="00227642">
        <w:t>Polak</w:t>
      </w:r>
      <w:proofErr w:type="spellEnd"/>
      <w:r w:rsidRPr="00227642">
        <w:t xml:space="preserve">, et al. (2005). "A pilot study: post-acute geriatric rehabilitation versus usual care in skilled nursing facilities." </w:t>
      </w:r>
      <w:r w:rsidR="000D6836" w:rsidRPr="00227642">
        <w:t xml:space="preserve">Journal of the American Medical Directors Association </w:t>
      </w:r>
      <w:r w:rsidRPr="00227642">
        <w:t>6(5): 321-6.</w:t>
      </w:r>
    </w:p>
    <w:p w14:paraId="602BBA3D" w14:textId="77777777" w:rsidR="005D7ABA" w:rsidRDefault="00733CF1" w:rsidP="00CA0D72">
      <w:pPr>
        <w:ind w:right="-3"/>
      </w:pPr>
      <w:proofErr w:type="spellStart"/>
      <w:proofErr w:type="gramStart"/>
      <w:r w:rsidRPr="00227642">
        <w:t>Kelman</w:t>
      </w:r>
      <w:proofErr w:type="spellEnd"/>
      <w:r w:rsidRPr="00227642">
        <w:t>, C. and L. Smith (2000).</w:t>
      </w:r>
      <w:proofErr w:type="gramEnd"/>
      <w:r w:rsidRPr="00227642">
        <w:t xml:space="preserve"> "It's time: record linkage--the vision and the reality." </w:t>
      </w:r>
      <w:r w:rsidR="000D6836" w:rsidRPr="00227642">
        <w:t xml:space="preserve">Australian &amp; New Zealand Journal of Public Health </w:t>
      </w:r>
      <w:r w:rsidRPr="00227642">
        <w:t>24(1): 100-1.</w:t>
      </w:r>
    </w:p>
    <w:p w14:paraId="4A0877C5" w14:textId="77777777" w:rsidR="005D7ABA" w:rsidRDefault="00733CF1" w:rsidP="00CA0D72">
      <w:pPr>
        <w:ind w:right="-3"/>
      </w:pPr>
      <w:proofErr w:type="spellStart"/>
      <w:r w:rsidRPr="00227642">
        <w:lastRenderedPageBreak/>
        <w:t>Kelman</w:t>
      </w:r>
      <w:proofErr w:type="spellEnd"/>
      <w:r w:rsidRPr="00227642">
        <w:t xml:space="preserve">, C. W., A. J. Bass, et al. (2002). </w:t>
      </w:r>
      <w:proofErr w:type="gramStart"/>
      <w:r w:rsidRPr="00227642">
        <w:t>"Research use of linked health data - a best practice protocol."</w:t>
      </w:r>
      <w:proofErr w:type="gramEnd"/>
      <w:r w:rsidRPr="00227642">
        <w:t xml:space="preserve"> </w:t>
      </w:r>
      <w:r w:rsidR="000D6836" w:rsidRPr="00227642">
        <w:t xml:space="preserve">Australian &amp; New Zealand Journal of Public Health </w:t>
      </w:r>
      <w:r w:rsidRPr="00227642">
        <w:t>26: 251-255.</w:t>
      </w:r>
    </w:p>
    <w:p w14:paraId="6E298D4B" w14:textId="77777777" w:rsidR="005D7ABA" w:rsidRDefault="00733CF1" w:rsidP="00CA0D72">
      <w:pPr>
        <w:ind w:right="-3"/>
      </w:pPr>
      <w:proofErr w:type="spellStart"/>
      <w:proofErr w:type="gramStart"/>
      <w:r w:rsidRPr="00227642">
        <w:t>Kodner</w:t>
      </w:r>
      <w:proofErr w:type="spellEnd"/>
      <w:r w:rsidRPr="00227642">
        <w:t xml:space="preserve">, D. L. and C. K. </w:t>
      </w:r>
      <w:proofErr w:type="spellStart"/>
      <w:r w:rsidRPr="00227642">
        <w:t>Kyriacou</w:t>
      </w:r>
      <w:proofErr w:type="spellEnd"/>
      <w:r w:rsidRPr="00227642">
        <w:t xml:space="preserve"> (2003).</w:t>
      </w:r>
      <w:proofErr w:type="gramEnd"/>
      <w:r w:rsidRPr="00227642">
        <w:t xml:space="preserve"> "Bringing managed care home to people with chronic, disabling conditions: prospects and challenges for policy, practice, and research." Journal of Aging &amp; Health 15(1): 189-22.</w:t>
      </w:r>
    </w:p>
    <w:p w14:paraId="6A11F2C4" w14:textId="77777777" w:rsidR="005D7ABA" w:rsidRDefault="00733CF1" w:rsidP="00CA0D72">
      <w:pPr>
        <w:ind w:right="-3"/>
      </w:pPr>
      <w:r w:rsidRPr="00227642">
        <w:t xml:space="preserve">Kramer, A. M., J. F. Steiner, et al. (1997). "Outcomes and costs after hip fracture and stroke. </w:t>
      </w:r>
      <w:proofErr w:type="gramStart"/>
      <w:r w:rsidRPr="00227642">
        <w:t>A comparison of rehabilitation settings."</w:t>
      </w:r>
      <w:proofErr w:type="gramEnd"/>
      <w:r w:rsidRPr="00227642">
        <w:t xml:space="preserve"> JAMA 277(5): 396-404.</w:t>
      </w:r>
    </w:p>
    <w:p w14:paraId="54AD4262" w14:textId="77777777" w:rsidR="005D7ABA" w:rsidRDefault="00733CF1" w:rsidP="00CA0D72">
      <w:pPr>
        <w:ind w:right="-3"/>
      </w:pPr>
      <w:proofErr w:type="spellStart"/>
      <w:r w:rsidRPr="00227642">
        <w:t>Leutz</w:t>
      </w:r>
      <w:proofErr w:type="spellEnd"/>
      <w:r w:rsidRPr="00227642">
        <w:t xml:space="preserve">, W. N. (1999). "Five laws for integrating medical and social services: lessons from the United States and the United Kingdom." </w:t>
      </w:r>
      <w:r w:rsidR="000D6836" w:rsidRPr="00227642">
        <w:t xml:space="preserve">Milbank Quarterly </w:t>
      </w:r>
      <w:r w:rsidRPr="00227642">
        <w:t>77(1): 77-110.</w:t>
      </w:r>
    </w:p>
    <w:p w14:paraId="2CF84614" w14:textId="77777777" w:rsidR="005D7ABA" w:rsidRDefault="00733CF1" w:rsidP="00CA0D72">
      <w:pPr>
        <w:ind w:right="-3"/>
      </w:pPr>
      <w:r w:rsidRPr="00227642">
        <w:t xml:space="preserve">Lim, W. K., S. F. Lambert, et al. (2003). </w:t>
      </w:r>
      <w:proofErr w:type="gramStart"/>
      <w:r w:rsidRPr="00227642">
        <w:t>"Effectiveness of case management and post-acute services in older people after hospital discharge."</w:t>
      </w:r>
      <w:proofErr w:type="gramEnd"/>
      <w:r w:rsidRPr="00227642">
        <w:t xml:space="preserve"> </w:t>
      </w:r>
      <w:r w:rsidR="000D6836" w:rsidRPr="00227642">
        <w:t>Medical Journal of Australia</w:t>
      </w:r>
      <w:r w:rsidRPr="00227642">
        <w:t xml:space="preserve"> 178(6): 262-6.</w:t>
      </w:r>
    </w:p>
    <w:p w14:paraId="1E244E4D" w14:textId="77777777" w:rsidR="005D7ABA" w:rsidRDefault="00733CF1" w:rsidP="00CA0D72">
      <w:pPr>
        <w:ind w:right="-3"/>
      </w:pPr>
      <w:r w:rsidRPr="00227642">
        <w:t xml:space="preserve">Liu, Z., P. Braun, et al. (2001). </w:t>
      </w:r>
      <w:proofErr w:type="gramStart"/>
      <w:r w:rsidRPr="00227642">
        <w:t>"The probability of using an aged care home over a lifetime.</w:t>
      </w:r>
      <w:proofErr w:type="gramEnd"/>
      <w:r w:rsidRPr="00227642">
        <w:t xml:space="preserve">  AIHW cat, no. </w:t>
      </w:r>
      <w:proofErr w:type="gramStart"/>
      <w:r w:rsidRPr="00227642">
        <w:t>AGE 21."</w:t>
      </w:r>
      <w:proofErr w:type="gramEnd"/>
      <w:r w:rsidRPr="00227642">
        <w:t xml:space="preserve"> </w:t>
      </w:r>
      <w:proofErr w:type="gramStart"/>
      <w:r w:rsidR="000D6836" w:rsidRPr="00227642">
        <w:t>Australian Institute of Health and Welfare, Canberra, Australia</w:t>
      </w:r>
      <w:r w:rsidRPr="00227642">
        <w:t>.</w:t>
      </w:r>
      <w:proofErr w:type="gramEnd"/>
    </w:p>
    <w:p w14:paraId="3ACB9E01" w14:textId="77777777" w:rsidR="005D7ABA" w:rsidRDefault="00733CF1" w:rsidP="00CA0D72">
      <w:pPr>
        <w:ind w:right="-3"/>
      </w:pPr>
      <w:proofErr w:type="spellStart"/>
      <w:r w:rsidRPr="00227642">
        <w:t>Lunney</w:t>
      </w:r>
      <w:proofErr w:type="spellEnd"/>
      <w:r w:rsidRPr="00227642">
        <w:t xml:space="preserve">, J. R., J. Lynn, et al. (2002). </w:t>
      </w:r>
      <w:proofErr w:type="gramStart"/>
      <w:r w:rsidRPr="00227642">
        <w:t xml:space="preserve">"Profiles of older </w:t>
      </w:r>
      <w:proofErr w:type="spellStart"/>
      <w:r w:rsidRPr="00227642">
        <w:t>medicare</w:t>
      </w:r>
      <w:proofErr w:type="spellEnd"/>
      <w:r w:rsidRPr="00227642">
        <w:t xml:space="preserve"> decedents."</w:t>
      </w:r>
      <w:proofErr w:type="gramEnd"/>
      <w:r w:rsidRPr="00227642">
        <w:t xml:space="preserve"> </w:t>
      </w:r>
      <w:r w:rsidR="000D6836" w:rsidRPr="00227642">
        <w:t>Journal of the American Geriatrics Society</w:t>
      </w:r>
      <w:r w:rsidRPr="00227642">
        <w:t xml:space="preserve"> 50(6): 1108-12.</w:t>
      </w:r>
    </w:p>
    <w:p w14:paraId="3AF9BA15" w14:textId="77777777" w:rsidR="005D7ABA" w:rsidRDefault="00733CF1" w:rsidP="00CA0D72">
      <w:pPr>
        <w:ind w:right="-3"/>
      </w:pPr>
      <w:r w:rsidRPr="00227642">
        <w:t xml:space="preserve">Murray, S. A., M. Kendall, et al. (2005). </w:t>
      </w:r>
      <w:proofErr w:type="gramStart"/>
      <w:r w:rsidRPr="00227642">
        <w:t>"Illness trajectories and palliative care."</w:t>
      </w:r>
      <w:proofErr w:type="gramEnd"/>
      <w:r w:rsidRPr="00227642">
        <w:t xml:space="preserve"> </w:t>
      </w:r>
      <w:r w:rsidR="000D6836" w:rsidRPr="00227642">
        <w:t>BMJ</w:t>
      </w:r>
      <w:r w:rsidRPr="00227642">
        <w:t xml:space="preserve"> 330(7498): 1007-11.</w:t>
      </w:r>
    </w:p>
    <w:p w14:paraId="417B4249" w14:textId="77777777" w:rsidR="005D7ABA" w:rsidRDefault="00733CF1" w:rsidP="00CA0D72">
      <w:pPr>
        <w:ind w:right="-3"/>
      </w:pPr>
      <w:proofErr w:type="gramStart"/>
      <w:r w:rsidRPr="00227642">
        <w:t>National Evaluation of the Transition Care Program (2007a).</w:t>
      </w:r>
      <w:proofErr w:type="gramEnd"/>
      <w:r w:rsidRPr="00227642">
        <w:t xml:space="preserve"> </w:t>
      </w:r>
      <w:proofErr w:type="gramStart"/>
      <w:r w:rsidRPr="00227642">
        <w:t>"Models of Transition Care."</w:t>
      </w:r>
      <w:proofErr w:type="gramEnd"/>
      <w:r w:rsidRPr="00227642">
        <w:t xml:space="preserve"> </w:t>
      </w:r>
      <w:proofErr w:type="gramStart"/>
      <w:r w:rsidR="000D6836" w:rsidRPr="00227642">
        <w:t>Department of Health and Ageing, Canberra, Australia</w:t>
      </w:r>
      <w:r w:rsidRPr="00227642">
        <w:t>.</w:t>
      </w:r>
      <w:proofErr w:type="gramEnd"/>
    </w:p>
    <w:p w14:paraId="20366660" w14:textId="77777777" w:rsidR="005D7ABA" w:rsidRDefault="00733CF1" w:rsidP="00CA0D72">
      <w:pPr>
        <w:ind w:right="-3"/>
      </w:pPr>
      <w:proofErr w:type="gramStart"/>
      <w:r w:rsidRPr="00227642">
        <w:t>National Evaluation of the Transition Care Program (2007b).</w:t>
      </w:r>
      <w:proofErr w:type="gramEnd"/>
      <w:r w:rsidRPr="00227642">
        <w:t xml:space="preserve"> "Recipient Snapshot Study." </w:t>
      </w:r>
      <w:proofErr w:type="gramStart"/>
      <w:r w:rsidR="000D6836" w:rsidRPr="00227642">
        <w:t>Department of Health and Ageing, Canberra, Australia</w:t>
      </w:r>
      <w:r w:rsidRPr="00227642">
        <w:t>.</w:t>
      </w:r>
      <w:proofErr w:type="gramEnd"/>
    </w:p>
    <w:p w14:paraId="09168CE7" w14:textId="77777777" w:rsidR="005D7ABA" w:rsidRDefault="00733CF1" w:rsidP="00CA0D72">
      <w:pPr>
        <w:ind w:right="-3"/>
      </w:pPr>
      <w:proofErr w:type="gramStart"/>
      <w:r w:rsidRPr="00227642">
        <w:t>National Evaluation of the Transition Care Program (2007c).</w:t>
      </w:r>
      <w:proofErr w:type="gramEnd"/>
      <w:r w:rsidRPr="00227642">
        <w:t xml:space="preserve"> </w:t>
      </w:r>
      <w:proofErr w:type="gramStart"/>
      <w:r w:rsidRPr="00227642">
        <w:t>"Regional Characterization Report."</w:t>
      </w:r>
      <w:proofErr w:type="gramEnd"/>
      <w:r w:rsidRPr="00227642">
        <w:t xml:space="preserve"> </w:t>
      </w:r>
      <w:proofErr w:type="gramStart"/>
      <w:r w:rsidR="000D6836" w:rsidRPr="00227642">
        <w:t>Department of Health and Ageing, Canberra, Australia</w:t>
      </w:r>
      <w:r w:rsidRPr="00227642">
        <w:t>.</w:t>
      </w:r>
      <w:proofErr w:type="gramEnd"/>
    </w:p>
    <w:p w14:paraId="3E484305" w14:textId="77777777" w:rsidR="005D7ABA" w:rsidRDefault="00733CF1" w:rsidP="00CA0D72">
      <w:pPr>
        <w:ind w:right="-3"/>
      </w:pPr>
      <w:proofErr w:type="gramStart"/>
      <w:r w:rsidRPr="00227642">
        <w:t>National Evaluation of the Transition Care Program (2008).</w:t>
      </w:r>
      <w:proofErr w:type="gramEnd"/>
      <w:r w:rsidRPr="00227642">
        <w:t xml:space="preserve"> "Data Linkage Components:  Controlled Comparison Study, Costs and Effects Study." </w:t>
      </w:r>
      <w:proofErr w:type="gramStart"/>
      <w:r w:rsidR="000D6836" w:rsidRPr="00227642">
        <w:t>Department of Health and Ageing, Canberra, Australia</w:t>
      </w:r>
      <w:r w:rsidRPr="00227642">
        <w:t>.</w:t>
      </w:r>
      <w:proofErr w:type="gramEnd"/>
    </w:p>
    <w:p w14:paraId="2D8516CC" w14:textId="77777777" w:rsidR="005D7ABA" w:rsidRDefault="00733CF1" w:rsidP="00CA0D72">
      <w:pPr>
        <w:ind w:right="-3"/>
      </w:pPr>
      <w:r w:rsidRPr="00227642">
        <w:t xml:space="preserve">Naylor, M. D., D. </w:t>
      </w:r>
      <w:proofErr w:type="spellStart"/>
      <w:r w:rsidRPr="00227642">
        <w:t>Brooten</w:t>
      </w:r>
      <w:proofErr w:type="spellEnd"/>
      <w:r w:rsidRPr="00227642">
        <w:t xml:space="preserve">, et al. (1999). "Comprehensive discharge planning and home follow-up of hospitalized elders: a randomized clinical trial." </w:t>
      </w:r>
      <w:r w:rsidR="000D6836" w:rsidRPr="00227642">
        <w:t>JAMA</w:t>
      </w:r>
      <w:r w:rsidRPr="00227642">
        <w:t xml:space="preserve"> 281(7): 613-20.</w:t>
      </w:r>
    </w:p>
    <w:p w14:paraId="507F1006" w14:textId="77777777" w:rsidR="005D7ABA" w:rsidRDefault="00733CF1" w:rsidP="00CA0D72">
      <w:pPr>
        <w:ind w:right="-3"/>
      </w:pPr>
      <w:proofErr w:type="spellStart"/>
      <w:r w:rsidRPr="00227642">
        <w:t>Neu</w:t>
      </w:r>
      <w:proofErr w:type="spellEnd"/>
      <w:r w:rsidRPr="00227642">
        <w:t>, C. R., S. Harrison, et al. (1989). "Medicare patients and post-acute care: Who go</w:t>
      </w:r>
      <w:r w:rsidR="000D6836" w:rsidRPr="00227642">
        <w:t xml:space="preserve">es where? Report no. </w:t>
      </w:r>
      <w:proofErr w:type="gramStart"/>
      <w:r w:rsidR="000D6836" w:rsidRPr="00227642">
        <w:t>R-3780-MN.</w:t>
      </w:r>
      <w:proofErr w:type="gramEnd"/>
      <w:r w:rsidRPr="00227642">
        <w:t xml:space="preserve"> </w:t>
      </w:r>
      <w:proofErr w:type="gramStart"/>
      <w:r w:rsidRPr="00227642">
        <w:t>Rand Corp, Santa Monica, US.</w:t>
      </w:r>
      <w:proofErr w:type="gramEnd"/>
    </w:p>
    <w:p w14:paraId="6CA41B89" w14:textId="77777777" w:rsidR="005D7ABA" w:rsidRDefault="00733CF1" w:rsidP="00CA0D72">
      <w:pPr>
        <w:ind w:right="-3"/>
      </w:pPr>
      <w:proofErr w:type="gramStart"/>
      <w:r w:rsidRPr="00227642">
        <w:t xml:space="preserve">Parker, G., P. </w:t>
      </w:r>
      <w:proofErr w:type="spellStart"/>
      <w:r w:rsidRPr="00227642">
        <w:t>Bhakta</w:t>
      </w:r>
      <w:proofErr w:type="spellEnd"/>
      <w:r w:rsidRPr="00227642">
        <w:t>, et al. (2000).</w:t>
      </w:r>
      <w:proofErr w:type="gramEnd"/>
      <w:r w:rsidRPr="00227642">
        <w:t xml:space="preserve"> "Best place of care for older people after acute and during subacute illness: a systematic review." Journal of Health Services &amp; Research Policy 5(3): 176-89.</w:t>
      </w:r>
    </w:p>
    <w:p w14:paraId="0A775D1B" w14:textId="77777777" w:rsidR="005D7ABA" w:rsidRDefault="00733CF1" w:rsidP="00CA0D72">
      <w:pPr>
        <w:ind w:right="-3"/>
      </w:pPr>
      <w:proofErr w:type="gramStart"/>
      <w:r w:rsidRPr="00227642">
        <w:t>Parker, S. G., S. D. Lee, et al. (2004).</w:t>
      </w:r>
      <w:proofErr w:type="gramEnd"/>
      <w:r w:rsidRPr="00227642">
        <w:t xml:space="preserve"> "The benefits of joined up care: Coordinated discharge procedures in the elderly." Evidence-Based Healthcare and Public Health 8(6): 323-4.</w:t>
      </w:r>
    </w:p>
    <w:p w14:paraId="24924518" w14:textId="77777777" w:rsidR="005D7ABA" w:rsidRDefault="00733CF1" w:rsidP="00CA0D72">
      <w:pPr>
        <w:ind w:right="-3"/>
      </w:pPr>
      <w:proofErr w:type="gramStart"/>
      <w:r w:rsidRPr="00227642">
        <w:t xml:space="preserve">Parker, S. G., S. M. </w:t>
      </w:r>
      <w:proofErr w:type="spellStart"/>
      <w:r w:rsidRPr="00227642">
        <w:t>Peet</w:t>
      </w:r>
      <w:proofErr w:type="spellEnd"/>
      <w:r w:rsidRPr="00227642">
        <w:t>, et al. (2002).</w:t>
      </w:r>
      <w:proofErr w:type="gramEnd"/>
      <w:r w:rsidRPr="00227642">
        <w:t xml:space="preserve"> </w:t>
      </w:r>
      <w:proofErr w:type="gramStart"/>
      <w:r w:rsidRPr="00227642">
        <w:t>"A systematic review of discharge arrangements for older people."</w:t>
      </w:r>
      <w:proofErr w:type="gramEnd"/>
      <w:r w:rsidRPr="00227642">
        <w:t xml:space="preserve"> Health Technology Assessment (Winchester, England) 6(4): 1-183.</w:t>
      </w:r>
    </w:p>
    <w:p w14:paraId="0BF9C2DB" w14:textId="77777777" w:rsidR="005D7ABA" w:rsidRDefault="00733CF1" w:rsidP="00CA0D72">
      <w:pPr>
        <w:ind w:right="-3"/>
      </w:pPr>
      <w:proofErr w:type="gramStart"/>
      <w:r w:rsidRPr="00227642">
        <w:t xml:space="preserve">Pit, S. W., J. E. </w:t>
      </w:r>
      <w:proofErr w:type="spellStart"/>
      <w:r w:rsidRPr="00227642">
        <w:t>Byles</w:t>
      </w:r>
      <w:proofErr w:type="spellEnd"/>
      <w:r w:rsidRPr="00227642">
        <w:t>, et al. (2007).</w:t>
      </w:r>
      <w:proofErr w:type="gramEnd"/>
      <w:r w:rsidRPr="00227642">
        <w:t xml:space="preserve"> "A Quality Use of Medicines program for general practitioners and older people: a cluster randomised controlled trial." </w:t>
      </w:r>
      <w:r w:rsidR="000D6836" w:rsidRPr="00227642">
        <w:t>Medical Journal of Australia</w:t>
      </w:r>
      <w:r w:rsidRPr="00227642">
        <w:t xml:space="preserve"> 187(1): 23-30.</w:t>
      </w:r>
    </w:p>
    <w:p w14:paraId="4416600C" w14:textId="77777777" w:rsidR="005D7ABA" w:rsidRDefault="00733CF1" w:rsidP="00CA0D72">
      <w:pPr>
        <w:ind w:right="-3"/>
      </w:pPr>
      <w:r w:rsidRPr="00227642">
        <w:t xml:space="preserve">Preen, D. B., B. E. S. Bailey, et al. (2006). "Willingness of general practitioners to participate in enhanced primary care discharge care planning." </w:t>
      </w:r>
      <w:r w:rsidR="000D6836" w:rsidRPr="00227642">
        <w:t>Medical Journal of Australia</w:t>
      </w:r>
      <w:r w:rsidRPr="00227642">
        <w:t xml:space="preserve"> 184(2): 90-1.</w:t>
      </w:r>
    </w:p>
    <w:p w14:paraId="36A46264" w14:textId="77777777" w:rsidR="005D7ABA" w:rsidRDefault="00733CF1" w:rsidP="00CA0D72">
      <w:pPr>
        <w:ind w:right="-3"/>
      </w:pPr>
      <w:proofErr w:type="spellStart"/>
      <w:r w:rsidRPr="00227642">
        <w:t>Qureshi</w:t>
      </w:r>
      <w:proofErr w:type="spellEnd"/>
      <w:r w:rsidRPr="00227642">
        <w:t xml:space="preserve">, H., C. Patmore, et al. (1998). "Outcomes in community care practice. Overview: Outcomes of social care for older people and carers. Report no. 5." </w:t>
      </w:r>
      <w:proofErr w:type="gramStart"/>
      <w:r w:rsidRPr="00227642">
        <w:t>Social Policy Research Unit, University of York, York, UK.</w:t>
      </w:r>
      <w:proofErr w:type="gramEnd"/>
    </w:p>
    <w:p w14:paraId="7468156F" w14:textId="77777777" w:rsidR="005D7ABA" w:rsidRDefault="00733CF1" w:rsidP="00CA0D72">
      <w:pPr>
        <w:ind w:right="-3"/>
      </w:pPr>
      <w:r w:rsidRPr="00227642">
        <w:lastRenderedPageBreak/>
        <w:t>Rigby, D. (2006). "Residential MMRs leading the way [Pharmacists have been remunerated for Residential Medication Management Reviews (RMMRs) by the Australian government since 1997]." Australian Pharmacist 25(10): 766-70.</w:t>
      </w:r>
    </w:p>
    <w:p w14:paraId="3F6A4EFC" w14:textId="77777777" w:rsidR="005D7ABA" w:rsidRDefault="00733CF1" w:rsidP="00CA0D72">
      <w:pPr>
        <w:ind w:right="-3"/>
      </w:pPr>
      <w:proofErr w:type="gramStart"/>
      <w:r w:rsidRPr="00227642">
        <w:t xml:space="preserve">Roland, M., M. </w:t>
      </w:r>
      <w:proofErr w:type="spellStart"/>
      <w:r w:rsidRPr="00227642">
        <w:t>Dusheiko</w:t>
      </w:r>
      <w:proofErr w:type="spellEnd"/>
      <w:r w:rsidRPr="00227642">
        <w:t>, et al. (2005).</w:t>
      </w:r>
      <w:proofErr w:type="gramEnd"/>
      <w:r w:rsidRPr="00227642">
        <w:t xml:space="preserve"> "Follow up of people aged 65 and over with a history of emergency admissions: analysis of routine admission data." </w:t>
      </w:r>
      <w:r w:rsidR="000D6836" w:rsidRPr="00227642">
        <w:t>BMJ</w:t>
      </w:r>
      <w:r w:rsidRPr="00227642">
        <w:t xml:space="preserve"> 330(7486): 289-92.</w:t>
      </w:r>
    </w:p>
    <w:p w14:paraId="7821CB67" w14:textId="77777777" w:rsidR="005D7ABA" w:rsidRDefault="00733CF1" w:rsidP="00CA0D72">
      <w:pPr>
        <w:ind w:right="-3"/>
      </w:pPr>
      <w:r w:rsidRPr="00227642">
        <w:t xml:space="preserve">Rolland, Y., F. </w:t>
      </w:r>
      <w:proofErr w:type="spellStart"/>
      <w:r w:rsidRPr="00227642">
        <w:t>Pillard</w:t>
      </w:r>
      <w:proofErr w:type="spellEnd"/>
      <w:r w:rsidRPr="00227642">
        <w:t xml:space="preserve">, et al. (2007). "Exercise program for nursing home residents with Alzheimer's disease: a 1-year randomized, controlled trial." </w:t>
      </w:r>
      <w:r w:rsidR="000D6836" w:rsidRPr="00227642">
        <w:t>Journal of the American Geriatrics Society</w:t>
      </w:r>
      <w:r w:rsidRPr="00227642">
        <w:t xml:space="preserve"> 55(2): 158-65.</w:t>
      </w:r>
    </w:p>
    <w:p w14:paraId="635B098C" w14:textId="77777777" w:rsidR="005D7ABA" w:rsidRDefault="00733CF1" w:rsidP="00CA0D72">
      <w:pPr>
        <w:ind w:right="-3"/>
      </w:pPr>
      <w:proofErr w:type="spellStart"/>
      <w:proofErr w:type="gramStart"/>
      <w:r w:rsidRPr="00227642">
        <w:t>Shepperd</w:t>
      </w:r>
      <w:proofErr w:type="spellEnd"/>
      <w:r w:rsidRPr="00227642">
        <w:t xml:space="preserve">, S. and S. </w:t>
      </w:r>
      <w:proofErr w:type="spellStart"/>
      <w:r w:rsidRPr="00227642">
        <w:t>Iliffe</w:t>
      </w:r>
      <w:proofErr w:type="spellEnd"/>
      <w:r w:rsidRPr="00227642">
        <w:t xml:space="preserve"> (1998).</w:t>
      </w:r>
      <w:proofErr w:type="gramEnd"/>
      <w:r w:rsidRPr="00227642">
        <w:t xml:space="preserve"> "The effectiveness of hospital at home compared with in-patient hospital care: A systematic review." Journal of Public Health Medicine 20(3): 344-50.</w:t>
      </w:r>
    </w:p>
    <w:p w14:paraId="6D673E69" w14:textId="77777777" w:rsidR="005D7ABA" w:rsidRDefault="00733CF1" w:rsidP="00CA0D72">
      <w:pPr>
        <w:ind w:right="-3"/>
      </w:pPr>
      <w:r w:rsidRPr="00227642">
        <w:t>Sherman, F. T. (2006). "Don't let transitional care fall through the cracks." Geriatrics 61(4): 9-10.</w:t>
      </w:r>
    </w:p>
    <w:p w14:paraId="1562AEE2" w14:textId="77777777" w:rsidR="005D7ABA" w:rsidRDefault="00733CF1" w:rsidP="00CA0D72">
      <w:pPr>
        <w:ind w:right="-3"/>
      </w:pPr>
      <w:proofErr w:type="spellStart"/>
      <w:r w:rsidRPr="00227642">
        <w:t>Shortus</w:t>
      </w:r>
      <w:proofErr w:type="spellEnd"/>
      <w:r w:rsidRPr="00227642">
        <w:t>, T. D., M. L. Coulson, et al. (2005). "An aged care liaison nurse can facilitate care planning using the Enhanced Primary Care items." Australasian Journal on Ageing 24(2): 67-8.</w:t>
      </w:r>
    </w:p>
    <w:p w14:paraId="5D0858FA" w14:textId="77777777" w:rsidR="005D7ABA" w:rsidRDefault="00733CF1" w:rsidP="00CA0D72">
      <w:pPr>
        <w:ind w:right="-3"/>
      </w:pPr>
      <w:proofErr w:type="gramStart"/>
      <w:r w:rsidRPr="00227642">
        <w:t>Steering Committee for the Review of Government Service Provisions (2007).</w:t>
      </w:r>
      <w:proofErr w:type="gramEnd"/>
      <w:r w:rsidRPr="00227642">
        <w:t xml:space="preserve"> "Report on Government Services 2007." </w:t>
      </w:r>
      <w:proofErr w:type="gramStart"/>
      <w:r w:rsidRPr="00227642">
        <w:t>Productivity Commission, Canberra, Australia.</w:t>
      </w:r>
      <w:proofErr w:type="gramEnd"/>
    </w:p>
    <w:p w14:paraId="539E0CDD" w14:textId="77777777" w:rsidR="005D7ABA" w:rsidRDefault="00733CF1" w:rsidP="00CA0D72">
      <w:pPr>
        <w:ind w:right="-3"/>
      </w:pPr>
      <w:r w:rsidRPr="00227642">
        <w:t xml:space="preserve">Stone, R. I. (2000). "Long-term care for the elderly with disabilities: current policy, emerging trends, and implications for the twenty-first century." </w:t>
      </w:r>
      <w:r w:rsidRPr="00227642">
        <w:rPr>
          <w:i/>
        </w:rPr>
        <w:t>Milbank Memorial Fund</w:t>
      </w:r>
      <w:r w:rsidRPr="00227642">
        <w:t>, New York, USA.</w:t>
      </w:r>
    </w:p>
    <w:p w14:paraId="18E9B164" w14:textId="77777777" w:rsidR="005D7ABA" w:rsidRDefault="00733CF1" w:rsidP="00CA0D72">
      <w:pPr>
        <w:ind w:right="-3"/>
      </w:pPr>
      <w:r w:rsidRPr="00227642">
        <w:t xml:space="preserve">Stott, D. J., P. Langhorne, et al. (2008). </w:t>
      </w:r>
      <w:proofErr w:type="gramStart"/>
      <w:r w:rsidRPr="00227642">
        <w:t>"Multidisciplinary care for elderly people in the community."</w:t>
      </w:r>
      <w:proofErr w:type="gramEnd"/>
      <w:r w:rsidRPr="00227642">
        <w:t xml:space="preserve"> </w:t>
      </w:r>
      <w:r w:rsidR="000D6836" w:rsidRPr="00227642">
        <w:t>Lancet</w:t>
      </w:r>
      <w:r w:rsidRPr="00227642">
        <w:t xml:space="preserve"> 371(9614): 699-700.</w:t>
      </w:r>
    </w:p>
    <w:p w14:paraId="3AD54909" w14:textId="77777777" w:rsidR="005D7ABA" w:rsidRDefault="00733CF1" w:rsidP="00CA0D72">
      <w:pPr>
        <w:ind w:right="-3"/>
      </w:pPr>
      <w:proofErr w:type="gramStart"/>
      <w:r w:rsidRPr="00227642">
        <w:t xml:space="preserve">Stuck, A. E., A. L. </w:t>
      </w:r>
      <w:proofErr w:type="spellStart"/>
      <w:r w:rsidRPr="00227642">
        <w:t>Siu</w:t>
      </w:r>
      <w:proofErr w:type="spellEnd"/>
      <w:r w:rsidRPr="00227642">
        <w:t>, et al. (1993).</w:t>
      </w:r>
      <w:proofErr w:type="gramEnd"/>
      <w:r w:rsidRPr="00227642">
        <w:t xml:space="preserve"> "Comprehensive geriatric assessment: a meta-analysis of controlled trials." </w:t>
      </w:r>
      <w:r w:rsidR="000D6836" w:rsidRPr="00227642">
        <w:t>Lancet</w:t>
      </w:r>
      <w:r w:rsidRPr="00227642">
        <w:t xml:space="preserve"> 342(8878): 1032-6.</w:t>
      </w:r>
    </w:p>
    <w:p w14:paraId="2B7FCC54" w14:textId="77777777" w:rsidR="005D7ABA" w:rsidRDefault="00733CF1" w:rsidP="00CA0D72">
      <w:pPr>
        <w:ind w:right="-3"/>
      </w:pPr>
      <w:proofErr w:type="gramStart"/>
      <w:r w:rsidRPr="00227642">
        <w:t xml:space="preserve">Stuck, A. E., J. M. </w:t>
      </w:r>
      <w:proofErr w:type="spellStart"/>
      <w:r w:rsidRPr="00227642">
        <w:t>Walthert</w:t>
      </w:r>
      <w:proofErr w:type="spellEnd"/>
      <w:r w:rsidRPr="00227642">
        <w:t>, et al. (1999).</w:t>
      </w:r>
      <w:proofErr w:type="gramEnd"/>
      <w:r w:rsidRPr="00227642">
        <w:t xml:space="preserve"> "Risk factors for functional status decline in community-living elderly people: a systematic literature review." </w:t>
      </w:r>
      <w:r w:rsidRPr="00227642">
        <w:rPr>
          <w:i/>
        </w:rPr>
        <w:t>Social Science &amp; Medicine</w:t>
      </w:r>
      <w:r w:rsidRPr="00227642">
        <w:t xml:space="preserve"> 48(4): 445-69.</w:t>
      </w:r>
    </w:p>
    <w:p w14:paraId="69BB4C7A" w14:textId="77777777" w:rsidR="005D7ABA" w:rsidRDefault="00733CF1" w:rsidP="00CA0D72">
      <w:pPr>
        <w:ind w:right="-3"/>
      </w:pPr>
      <w:proofErr w:type="spellStart"/>
      <w:r w:rsidRPr="00227642">
        <w:t>Tappen</w:t>
      </w:r>
      <w:proofErr w:type="spellEnd"/>
      <w:r w:rsidRPr="00227642">
        <w:t xml:space="preserve">, R. M., K. E. Roach, et al. (2000). </w:t>
      </w:r>
      <w:proofErr w:type="gramStart"/>
      <w:r w:rsidRPr="00227642">
        <w:t>"Effect of a combined walking and conversation intervention on functional mobility of nursing home residents with Alzheimer disease."</w:t>
      </w:r>
      <w:proofErr w:type="gramEnd"/>
      <w:r w:rsidRPr="00227642">
        <w:t xml:space="preserve"> </w:t>
      </w:r>
      <w:r w:rsidRPr="00227642">
        <w:rPr>
          <w:i/>
        </w:rPr>
        <w:t>Alzheimer Disease &amp; Associated Disorders</w:t>
      </w:r>
      <w:r w:rsidRPr="00227642">
        <w:t xml:space="preserve"> 14(4): 196-201.</w:t>
      </w:r>
    </w:p>
    <w:p w14:paraId="172553B4" w14:textId="77777777" w:rsidR="005D7ABA" w:rsidRDefault="00733CF1" w:rsidP="00CA0D72">
      <w:pPr>
        <w:ind w:right="-3"/>
      </w:pPr>
      <w:proofErr w:type="gramStart"/>
      <w:r w:rsidRPr="00227642">
        <w:t>United Health Europe (2005).</w:t>
      </w:r>
      <w:proofErr w:type="gramEnd"/>
      <w:r w:rsidRPr="00227642">
        <w:t xml:space="preserve"> </w:t>
      </w:r>
      <w:proofErr w:type="gramStart"/>
      <w:r w:rsidRPr="00227642">
        <w:t>"Assessment of the Evercare Programme in England 2003-2004."</w:t>
      </w:r>
      <w:proofErr w:type="gramEnd"/>
      <w:r w:rsidRPr="00227642">
        <w:t xml:space="preserve"> </w:t>
      </w:r>
      <w:proofErr w:type="gramStart"/>
      <w:r w:rsidRPr="00227642">
        <w:rPr>
          <w:i/>
        </w:rPr>
        <w:t>Department of Health, London, UK</w:t>
      </w:r>
      <w:r w:rsidRPr="00227642">
        <w:t>.</w:t>
      </w:r>
      <w:proofErr w:type="gramEnd"/>
    </w:p>
    <w:p w14:paraId="03F3FA7B" w14:textId="77777777" w:rsidR="005D7ABA" w:rsidRDefault="00733CF1" w:rsidP="00CA0D72">
      <w:pPr>
        <w:ind w:right="-3"/>
      </w:pPr>
      <w:r w:rsidRPr="00227642">
        <w:t xml:space="preserve">Wagner, E. H., B. T. Austin, et al. (2001). "Improving chronic illness care: translating evidence into action." </w:t>
      </w:r>
      <w:r w:rsidRPr="00227642">
        <w:rPr>
          <w:i/>
        </w:rPr>
        <w:t>Health Affairs</w:t>
      </w:r>
      <w:r w:rsidRPr="00227642">
        <w:t xml:space="preserve"> 20(6): 64-78.</w:t>
      </w:r>
    </w:p>
    <w:p w14:paraId="5267B365" w14:textId="77777777" w:rsidR="005D7ABA" w:rsidRDefault="00733CF1" w:rsidP="00CA0D72">
      <w:pPr>
        <w:ind w:right="-3"/>
      </w:pPr>
      <w:proofErr w:type="gramStart"/>
      <w:r w:rsidRPr="00227642">
        <w:t>Walker, A. and C. Hennessy (2004).</w:t>
      </w:r>
      <w:proofErr w:type="gramEnd"/>
      <w:r w:rsidRPr="00227642">
        <w:t xml:space="preserve"> </w:t>
      </w:r>
      <w:proofErr w:type="gramStart"/>
      <w:r w:rsidRPr="00227642">
        <w:t>"Growing older: Quality of life in old age."</w:t>
      </w:r>
      <w:proofErr w:type="gramEnd"/>
      <w:r w:rsidRPr="00227642">
        <w:t xml:space="preserve"> </w:t>
      </w:r>
      <w:r w:rsidRPr="00227642">
        <w:rPr>
          <w:i/>
        </w:rPr>
        <w:t>Open University Press, Maidenhead</w:t>
      </w:r>
      <w:r w:rsidRPr="00227642">
        <w:t>.</w:t>
      </w:r>
    </w:p>
    <w:p w14:paraId="06EB39CE" w14:textId="41DCE5C6" w:rsidR="00733CF1" w:rsidRPr="00227642" w:rsidRDefault="00733CF1" w:rsidP="00CA0D72">
      <w:pPr>
        <w:ind w:right="-3"/>
      </w:pPr>
      <w:r w:rsidRPr="00227642">
        <w:t xml:space="preserve">Weaver, F. M., E. C. Hickey, et al. (2008). </w:t>
      </w:r>
      <w:proofErr w:type="gramStart"/>
      <w:r w:rsidRPr="00227642">
        <w:t>"Providing all-inclusive care for frail elderly veterans: evaluation of three models of care."</w:t>
      </w:r>
      <w:proofErr w:type="gramEnd"/>
      <w:r w:rsidRPr="00227642">
        <w:t xml:space="preserve"> </w:t>
      </w:r>
      <w:r w:rsidR="000D6836" w:rsidRPr="00227642">
        <w:t>Journal of the American Geriatrics Society</w:t>
      </w:r>
      <w:r w:rsidRPr="00227642">
        <w:t xml:space="preserve"> 56(2): 345-53.</w:t>
      </w:r>
    </w:p>
    <w:p w14:paraId="09153B7A" w14:textId="77777777" w:rsidR="00AF4752" w:rsidRPr="00AF4752" w:rsidRDefault="00733CF1" w:rsidP="00CA0D72">
      <w:pPr>
        <w:pStyle w:val="Heading1"/>
        <w:ind w:right="-3"/>
        <w:rPr>
          <w:i/>
        </w:rPr>
      </w:pPr>
      <w:r>
        <w:br w:type="page"/>
      </w:r>
      <w:bookmarkStart w:id="115" w:name="_Toc402348961"/>
      <w:r w:rsidRPr="00733CF1">
        <w:lastRenderedPageBreak/>
        <w:t>Appendix 1</w:t>
      </w:r>
      <w:r w:rsidR="00AF4752">
        <w:t>: Extracts f</w:t>
      </w:r>
      <w:r w:rsidR="00AF4752" w:rsidRPr="00AF4752">
        <w:t xml:space="preserve">rom </w:t>
      </w:r>
      <w:proofErr w:type="spellStart"/>
      <w:r w:rsidR="00AF4752" w:rsidRPr="00AF4752">
        <w:rPr>
          <w:i/>
        </w:rPr>
        <w:t>From</w:t>
      </w:r>
      <w:proofErr w:type="spellEnd"/>
      <w:r w:rsidR="00AF4752" w:rsidRPr="00AF4752">
        <w:rPr>
          <w:i/>
        </w:rPr>
        <w:t xml:space="preserve"> Hospital to home – Improving care outcomes for older people, a National Action Plan for improving the care of older people across the acute-aged care continuum 2004 – 2008</w:t>
      </w:r>
      <w:bookmarkEnd w:id="115"/>
    </w:p>
    <w:p w14:paraId="0E976E2C" w14:textId="410DF01A" w:rsidR="00AF4752" w:rsidRPr="00E202B5" w:rsidRDefault="00AF4752" w:rsidP="00A31C49">
      <w:pPr>
        <w:pStyle w:val="Heading2"/>
      </w:pPr>
      <w:bookmarkStart w:id="116" w:name="_Toc402348962"/>
      <w:r>
        <w:t xml:space="preserve">Principle 1: </w:t>
      </w:r>
      <w:r w:rsidRPr="00E202B5">
        <w:t xml:space="preserve">Older people have access to an appropriate level of health and aged care </w:t>
      </w:r>
      <w:r w:rsidR="00E202B5" w:rsidRPr="00E202B5">
        <w:tab/>
      </w:r>
      <w:r w:rsidRPr="00E202B5">
        <w:t>services that match their changing needs.</w:t>
      </w:r>
      <w:bookmarkEnd w:id="116"/>
    </w:p>
    <w:p w14:paraId="626A3FF6" w14:textId="77777777" w:rsidR="00AF4752" w:rsidRPr="00AF4752" w:rsidRDefault="00AF4752" w:rsidP="00CA0D72">
      <w:pPr>
        <w:ind w:right="-3"/>
      </w:pPr>
      <w:r w:rsidRPr="00E202B5">
        <w:rPr>
          <w:b/>
        </w:rPr>
        <w:t>Key stakeholders</w:t>
      </w:r>
      <w:r>
        <w:t>: State/territory governments, Australian Government</w:t>
      </w:r>
    </w:p>
    <w:tbl>
      <w:tblPr>
        <w:tblStyle w:val="TableGrid"/>
        <w:tblW w:w="9606" w:type="dxa"/>
        <w:tblLook w:val="0000" w:firstRow="0" w:lastRow="0" w:firstColumn="0" w:lastColumn="0" w:noHBand="0" w:noVBand="0"/>
        <w:tblDescription w:val="Key stakeholders: State/territory governments, Australian Government"/>
      </w:tblPr>
      <w:tblGrid>
        <w:gridCol w:w="4786"/>
        <w:gridCol w:w="4820"/>
      </w:tblGrid>
      <w:tr w:rsidR="00E202B5" w:rsidRPr="00E202B5" w14:paraId="7FB06ED9" w14:textId="77777777" w:rsidTr="00A31C49">
        <w:trPr>
          <w:cantSplit/>
          <w:trHeight w:val="255"/>
          <w:tblHeader/>
        </w:trPr>
        <w:tc>
          <w:tcPr>
            <w:tcW w:w="4786" w:type="dxa"/>
          </w:tcPr>
          <w:p w14:paraId="2124A021" w14:textId="77777777" w:rsidR="00E202B5" w:rsidRPr="00E202B5" w:rsidRDefault="00E202B5" w:rsidP="00CA0D72">
            <w:pPr>
              <w:pStyle w:val="Table"/>
              <w:spacing w:after="100"/>
              <w:ind w:right="-3"/>
              <w:rPr>
                <w:b/>
              </w:rPr>
            </w:pPr>
            <w:r w:rsidRPr="00E202B5">
              <w:rPr>
                <w:b/>
              </w:rPr>
              <w:t>Statements of intent</w:t>
            </w:r>
          </w:p>
        </w:tc>
        <w:tc>
          <w:tcPr>
            <w:tcW w:w="4820" w:type="dxa"/>
          </w:tcPr>
          <w:p w14:paraId="151FCAB6" w14:textId="77777777" w:rsidR="00E202B5" w:rsidRPr="00E202B5" w:rsidRDefault="00E202B5" w:rsidP="00CA0D72">
            <w:pPr>
              <w:pStyle w:val="Table"/>
              <w:spacing w:after="100"/>
              <w:ind w:right="-3"/>
              <w:rPr>
                <w:b/>
              </w:rPr>
            </w:pPr>
            <w:r w:rsidRPr="00E202B5">
              <w:rPr>
                <w:b/>
              </w:rPr>
              <w:t>Actions and milestones</w:t>
            </w:r>
          </w:p>
        </w:tc>
      </w:tr>
      <w:tr w:rsidR="00E202B5" w14:paraId="06CE7506" w14:textId="77777777" w:rsidTr="00A31C49">
        <w:trPr>
          <w:cantSplit/>
          <w:trHeight w:val="1275"/>
        </w:trPr>
        <w:tc>
          <w:tcPr>
            <w:tcW w:w="4786" w:type="dxa"/>
          </w:tcPr>
          <w:p w14:paraId="2E9966A8" w14:textId="77777777" w:rsidR="00E202B5" w:rsidRDefault="00E202B5" w:rsidP="00CA0D72">
            <w:pPr>
              <w:pStyle w:val="Table"/>
              <w:spacing w:after="100"/>
              <w:ind w:right="-3" w:hanging="284"/>
            </w:pPr>
            <w:r>
              <w:t>1. State/territory governments commit to an adequate level and mix of inpatient and ambulatory services including rehabilitation, geriatric evaluation management, psychogeriatric services and palliative care and other specialised health services for older people. This includes:</w:t>
            </w:r>
          </w:p>
          <w:p w14:paraId="4E03FD31" w14:textId="77777777" w:rsidR="00E202B5" w:rsidRDefault="00E202B5" w:rsidP="00CC4B48">
            <w:pPr>
              <w:pStyle w:val="Table"/>
              <w:numPr>
                <w:ilvl w:val="0"/>
                <w:numId w:val="10"/>
              </w:numPr>
              <w:tabs>
                <w:tab w:val="clear" w:pos="1418"/>
                <w:tab w:val="left" w:pos="426"/>
              </w:tabs>
              <w:spacing w:after="100"/>
              <w:ind w:left="0" w:right="-3"/>
            </w:pPr>
            <w:r>
              <w:t>Developing planning guides that identify the adequate level and mix of inpatient and ambulatory services including rehabilitation, geriatric evaluation management psychogeriatric services and palliative care and other specialised health services for older people by geographic region</w:t>
            </w:r>
          </w:p>
          <w:p w14:paraId="0A15298E" w14:textId="77777777" w:rsidR="00E202B5" w:rsidRDefault="00E202B5" w:rsidP="00CC4B48">
            <w:pPr>
              <w:pStyle w:val="Table"/>
              <w:numPr>
                <w:ilvl w:val="0"/>
                <w:numId w:val="10"/>
              </w:numPr>
              <w:tabs>
                <w:tab w:val="clear" w:pos="1418"/>
                <w:tab w:val="left" w:pos="426"/>
              </w:tabs>
              <w:spacing w:after="100"/>
              <w:ind w:left="0" w:right="-3"/>
            </w:pPr>
            <w:r>
              <w:t>Ensuring service levels increase in line with the planning guides and the growth of the target population.</w:t>
            </w:r>
          </w:p>
        </w:tc>
        <w:tc>
          <w:tcPr>
            <w:tcW w:w="4820" w:type="dxa"/>
          </w:tcPr>
          <w:p w14:paraId="68E7DD83" w14:textId="77777777" w:rsidR="00E202B5" w:rsidRDefault="00E202B5" w:rsidP="00CA0D72">
            <w:pPr>
              <w:pStyle w:val="Table"/>
              <w:spacing w:after="100"/>
              <w:ind w:right="-3"/>
            </w:pPr>
            <w:r>
              <w:t>Each state and territory government will develop planning guides that define the adequate level and mix of inpatient and ambulatory services including rehabilitation, geriatric evaluation and management, psychogeriatric services and palliative care and other specialised health services for older people by geographic region by 30 June, 2005.</w:t>
            </w:r>
          </w:p>
          <w:p w14:paraId="2229DBE2" w14:textId="77777777" w:rsidR="00E202B5" w:rsidRDefault="00E202B5" w:rsidP="00CA0D72">
            <w:pPr>
              <w:pStyle w:val="Table"/>
              <w:spacing w:after="100"/>
              <w:ind w:right="-3"/>
            </w:pPr>
            <w:r>
              <w:t>Where adequate levels of levels of services are not being provided for older people in each region, each state and territory government will introduce measures to progressively meet the defined level by 30 June, 2008.</w:t>
            </w:r>
          </w:p>
          <w:p w14:paraId="3AE53928" w14:textId="77777777" w:rsidR="00E202B5" w:rsidRDefault="00E202B5" w:rsidP="00CA0D72">
            <w:pPr>
              <w:pStyle w:val="Table"/>
              <w:spacing w:after="100"/>
              <w:ind w:right="-3"/>
            </w:pPr>
            <w:r>
              <w:t>Each state and territory government will report annually on the level and mix of inpatient and ambulatory services including rehabilitation, geriatric evaluation and management, psychogeriatric services and palliative care and other specialised health services being provided to older people in each geographic region and on progress to meeting the defined level of services in each region.</w:t>
            </w:r>
          </w:p>
        </w:tc>
      </w:tr>
      <w:tr w:rsidR="00E202B5" w14:paraId="008C8BA1" w14:textId="77777777" w:rsidTr="00A31C49">
        <w:trPr>
          <w:cantSplit/>
          <w:trHeight w:val="765"/>
        </w:trPr>
        <w:tc>
          <w:tcPr>
            <w:tcW w:w="4786" w:type="dxa"/>
          </w:tcPr>
          <w:p w14:paraId="396C1137" w14:textId="77777777" w:rsidR="006B3EF6" w:rsidRDefault="00E202B5" w:rsidP="00CA0D72">
            <w:pPr>
              <w:pStyle w:val="Table"/>
              <w:spacing w:after="100"/>
              <w:ind w:right="-3" w:hanging="284"/>
            </w:pPr>
            <w:r>
              <w:t>2. The Australian Government commits to an adequate level of operational aged care places including:</w:t>
            </w:r>
          </w:p>
          <w:p w14:paraId="01DD4101" w14:textId="77777777" w:rsidR="006B3EF6" w:rsidRDefault="00E202B5" w:rsidP="00CC4B48">
            <w:pPr>
              <w:pStyle w:val="Table"/>
              <w:numPr>
                <w:ilvl w:val="0"/>
                <w:numId w:val="9"/>
              </w:numPr>
              <w:spacing w:after="100"/>
              <w:ind w:left="0" w:right="-3"/>
            </w:pPr>
            <w:r>
              <w:t>Achieving the new benchmarks for supply of aged care places within a reasonable timeframe.</w:t>
            </w:r>
          </w:p>
          <w:p w14:paraId="2013648F" w14:textId="77777777" w:rsidR="00E202B5" w:rsidRDefault="00E202B5" w:rsidP="00CC4B48">
            <w:pPr>
              <w:pStyle w:val="Table"/>
              <w:numPr>
                <w:ilvl w:val="0"/>
                <w:numId w:val="9"/>
              </w:numPr>
              <w:spacing w:after="100"/>
              <w:ind w:left="0" w:right="-3"/>
            </w:pPr>
            <w:r>
              <w:t>Ensuring new places are equitably distributed across aged care planning regions.</w:t>
            </w:r>
          </w:p>
        </w:tc>
        <w:tc>
          <w:tcPr>
            <w:tcW w:w="4820" w:type="dxa"/>
          </w:tcPr>
          <w:p w14:paraId="6ECCE178" w14:textId="77777777" w:rsidR="005D7ABA" w:rsidRDefault="00E202B5" w:rsidP="00CA0D72">
            <w:pPr>
              <w:pStyle w:val="Table"/>
              <w:spacing w:after="100"/>
              <w:ind w:right="-3"/>
            </w:pPr>
            <w:r>
              <w:t xml:space="preserve">The Australian Government will </w:t>
            </w:r>
            <w:proofErr w:type="spellStart"/>
            <w:r>
              <w:t>operationalise</w:t>
            </w:r>
            <w:proofErr w:type="spellEnd"/>
            <w:r>
              <w:t xml:space="preserve"> an adequate level of aged care places including achieving the new aged care planning benchmarks by 30 June 2008.</w:t>
            </w:r>
          </w:p>
          <w:p w14:paraId="2625C05E" w14:textId="6F5A1B0E" w:rsidR="00E202B5" w:rsidRDefault="00E202B5" w:rsidP="00CA0D72">
            <w:pPr>
              <w:pStyle w:val="Table"/>
              <w:spacing w:after="100"/>
              <w:ind w:right="-3"/>
            </w:pPr>
            <w:r>
              <w:t>The Australian Government will report annually on the ratio of operational residential aged care beds and packages by geographic region.</w:t>
            </w:r>
          </w:p>
          <w:p w14:paraId="11518CA0" w14:textId="77777777" w:rsidR="00E202B5" w:rsidRDefault="00E202B5" w:rsidP="00CA0D72">
            <w:pPr>
              <w:pStyle w:val="Table"/>
              <w:spacing w:after="100"/>
              <w:ind w:right="-3"/>
            </w:pPr>
            <w:r>
              <w:t>State and territory governments will work with the Australian Government to reduce delays that prevent allocated residential aged care places becoming operational.</w:t>
            </w:r>
          </w:p>
        </w:tc>
      </w:tr>
      <w:tr w:rsidR="00E202B5" w14:paraId="435D8E93" w14:textId="77777777" w:rsidTr="00A31C49">
        <w:trPr>
          <w:cantSplit/>
          <w:trHeight w:val="765"/>
        </w:trPr>
        <w:tc>
          <w:tcPr>
            <w:tcW w:w="4786" w:type="dxa"/>
          </w:tcPr>
          <w:p w14:paraId="2AD54721" w14:textId="77777777" w:rsidR="00E202B5" w:rsidRDefault="00E202B5" w:rsidP="00CA0D72">
            <w:pPr>
              <w:pStyle w:val="Table"/>
              <w:spacing w:after="100"/>
              <w:ind w:right="-3" w:hanging="284"/>
            </w:pPr>
            <w:r>
              <w:lastRenderedPageBreak/>
              <w:t>3. State/territory governments and the Australian Government commit to ensure that Aboriginal and Torres Strait Islander people have access to culturally appropriate health and aged care services.</w:t>
            </w:r>
          </w:p>
        </w:tc>
        <w:tc>
          <w:tcPr>
            <w:tcW w:w="4820" w:type="dxa"/>
          </w:tcPr>
          <w:p w14:paraId="531673D6" w14:textId="77777777" w:rsidR="00E202B5" w:rsidRDefault="00E202B5" w:rsidP="00CA0D72">
            <w:pPr>
              <w:pStyle w:val="Table"/>
              <w:spacing w:after="100"/>
              <w:ind w:right="-3"/>
            </w:pPr>
            <w:r>
              <w:t>The Australian Government will work to increase the number of new aged care places targeted to the needs of Aboriginal and Torres Strait Islander people.</w:t>
            </w:r>
          </w:p>
          <w:p w14:paraId="1F66BC96" w14:textId="77777777" w:rsidR="00E202B5" w:rsidRDefault="00E202B5" w:rsidP="00CA0D72">
            <w:pPr>
              <w:pStyle w:val="Table"/>
              <w:ind w:right="-3"/>
            </w:pPr>
            <w:r>
              <w:t>Jurisdictions will report on measures that improve the availability of and Aboriginal and Torres Strait Islander people’s access to culturally appropriate health and aged care services.</w:t>
            </w:r>
          </w:p>
        </w:tc>
      </w:tr>
    </w:tbl>
    <w:p w14:paraId="2A63ED00" w14:textId="77777777" w:rsidR="005D7ABA" w:rsidRDefault="00E202B5" w:rsidP="00CA0D72">
      <w:pPr>
        <w:pStyle w:val="Heading3"/>
        <w:tabs>
          <w:tab w:val="left" w:pos="1418"/>
        </w:tabs>
        <w:ind w:right="-3"/>
      </w:pPr>
      <w:bookmarkStart w:id="117" w:name="_Toc402348963"/>
      <w:r w:rsidRPr="00E202B5">
        <w:t xml:space="preserve">Principle 5: </w:t>
      </w:r>
      <w:r>
        <w:tab/>
      </w:r>
      <w:r w:rsidRPr="00E202B5">
        <w:t xml:space="preserve">The health and aged care system operate to deliver an integrated suite of </w:t>
      </w:r>
      <w:r>
        <w:tab/>
      </w:r>
      <w:r w:rsidRPr="00E202B5">
        <w:t>services and care for older people.</w:t>
      </w:r>
      <w:bookmarkEnd w:id="117"/>
    </w:p>
    <w:p w14:paraId="60AC8534" w14:textId="44F29C53" w:rsidR="00E202B5" w:rsidRDefault="00E202B5" w:rsidP="00A31C49">
      <w:pPr>
        <w:ind w:right="-3"/>
      </w:pPr>
      <w:r w:rsidRPr="00E202B5">
        <w:rPr>
          <w:b/>
          <w:bCs/>
        </w:rPr>
        <w:t>Key stakeholders</w:t>
      </w:r>
      <w:r w:rsidR="004B41DC">
        <w:rPr>
          <w:b/>
          <w:bCs/>
        </w:rPr>
        <w:t>:</w:t>
      </w:r>
      <w:r w:rsidRPr="00E202B5">
        <w:rPr>
          <w:b/>
          <w:bCs/>
        </w:rPr>
        <w:t xml:space="preserve"> </w:t>
      </w:r>
      <w:r w:rsidRPr="00E202B5">
        <w:t>state/territory governments, Australian Government, health and aged care providers, COAWG</w:t>
      </w:r>
    </w:p>
    <w:p w14:paraId="557F04A4" w14:textId="77777777" w:rsidR="00E202B5" w:rsidRPr="00E202B5" w:rsidRDefault="00E202B5" w:rsidP="00CA0D72">
      <w:pPr>
        <w:ind w:right="-3" w:hanging="1843"/>
      </w:pPr>
    </w:p>
    <w:tbl>
      <w:tblPr>
        <w:tblStyle w:val="TableGrid"/>
        <w:tblW w:w="9606" w:type="dxa"/>
        <w:tblLook w:val="0000" w:firstRow="0" w:lastRow="0" w:firstColumn="0" w:lastColumn="0" w:noHBand="0" w:noVBand="0"/>
        <w:tblDescription w:val="Key stakeholders: state/territory governments, Australian Government, health and aged care providers, COAWG"/>
      </w:tblPr>
      <w:tblGrid>
        <w:gridCol w:w="4786"/>
        <w:gridCol w:w="4820"/>
      </w:tblGrid>
      <w:tr w:rsidR="00E202B5" w:rsidRPr="00E202B5" w14:paraId="0F15789B" w14:textId="77777777" w:rsidTr="00A31C49">
        <w:trPr>
          <w:cantSplit/>
          <w:trHeight w:val="255"/>
          <w:tblHeader/>
        </w:trPr>
        <w:tc>
          <w:tcPr>
            <w:tcW w:w="4786" w:type="dxa"/>
          </w:tcPr>
          <w:p w14:paraId="04E1DEE0" w14:textId="77777777" w:rsidR="00E202B5" w:rsidRPr="00E202B5" w:rsidRDefault="00E202B5" w:rsidP="00CA0D72">
            <w:pPr>
              <w:pStyle w:val="Table"/>
              <w:spacing w:after="100"/>
              <w:ind w:right="-3"/>
              <w:rPr>
                <w:b/>
              </w:rPr>
            </w:pPr>
            <w:r w:rsidRPr="00E202B5">
              <w:rPr>
                <w:b/>
              </w:rPr>
              <w:t>Statements of intent</w:t>
            </w:r>
          </w:p>
        </w:tc>
        <w:tc>
          <w:tcPr>
            <w:tcW w:w="4820" w:type="dxa"/>
          </w:tcPr>
          <w:p w14:paraId="682FDBF0" w14:textId="77777777" w:rsidR="00E202B5" w:rsidRPr="00E202B5" w:rsidRDefault="00E202B5" w:rsidP="00CA0D72">
            <w:pPr>
              <w:pStyle w:val="Table"/>
              <w:spacing w:after="100"/>
              <w:ind w:right="-3"/>
              <w:rPr>
                <w:b/>
              </w:rPr>
            </w:pPr>
            <w:r w:rsidRPr="00E202B5">
              <w:rPr>
                <w:b/>
              </w:rPr>
              <w:t>Actions and milestones</w:t>
            </w:r>
          </w:p>
        </w:tc>
      </w:tr>
      <w:tr w:rsidR="00E202B5" w:rsidRPr="00E202B5" w14:paraId="34DE7672" w14:textId="77777777" w:rsidTr="00A31C49">
        <w:trPr>
          <w:cantSplit/>
          <w:trHeight w:val="255"/>
        </w:trPr>
        <w:tc>
          <w:tcPr>
            <w:tcW w:w="4786" w:type="dxa"/>
          </w:tcPr>
          <w:p w14:paraId="45C093CC" w14:textId="77777777" w:rsidR="00E202B5" w:rsidRPr="00E202B5" w:rsidRDefault="00E202B5" w:rsidP="00CA0D72">
            <w:pPr>
              <w:spacing w:before="20" w:after="100"/>
              <w:ind w:right="-3" w:hanging="284"/>
            </w:pPr>
            <w:r w:rsidRPr="00E202B5">
              <w:t>1. States/territories commit to promote the adoption of best practice assessment processes by Health Services in their jurisdiction.</w:t>
            </w:r>
          </w:p>
        </w:tc>
        <w:tc>
          <w:tcPr>
            <w:tcW w:w="4820" w:type="dxa"/>
          </w:tcPr>
          <w:p w14:paraId="07F2C983" w14:textId="77777777" w:rsidR="00E202B5" w:rsidRDefault="00E202B5" w:rsidP="00CC4B48">
            <w:pPr>
              <w:numPr>
                <w:ilvl w:val="0"/>
                <w:numId w:val="7"/>
              </w:numPr>
              <w:tabs>
                <w:tab w:val="clear" w:pos="720"/>
              </w:tabs>
              <w:spacing w:before="20" w:after="100"/>
              <w:ind w:left="0" w:right="-3"/>
            </w:pPr>
            <w:r w:rsidRPr="00E202B5">
              <w:t>State and territory governments will:</w:t>
            </w:r>
            <w:r w:rsidRPr="00E202B5">
              <w:br/>
              <w:t>promote adoption of the Best Practice Assessment Guide for the Care of Older People in Health Service Settings</w:t>
            </w:r>
          </w:p>
          <w:p w14:paraId="0829563F" w14:textId="77777777" w:rsidR="00E202B5" w:rsidRPr="00E202B5" w:rsidRDefault="00E202B5" w:rsidP="00CC4B48">
            <w:pPr>
              <w:numPr>
                <w:ilvl w:val="0"/>
                <w:numId w:val="7"/>
              </w:numPr>
              <w:tabs>
                <w:tab w:val="clear" w:pos="720"/>
              </w:tabs>
              <w:spacing w:before="20" w:after="100"/>
              <w:ind w:left="0" w:right="-3"/>
            </w:pPr>
            <w:proofErr w:type="gramStart"/>
            <w:r w:rsidRPr="00E202B5">
              <w:t>report</w:t>
            </w:r>
            <w:proofErr w:type="gramEnd"/>
            <w:r w:rsidRPr="00E202B5">
              <w:t xml:space="preserve"> on measures to promote implementation of principles and practices outlined in the best practice assessment guide by 30 June 2005.</w:t>
            </w:r>
          </w:p>
        </w:tc>
      </w:tr>
      <w:tr w:rsidR="00E202B5" w:rsidRPr="00E202B5" w14:paraId="66B86351" w14:textId="77777777" w:rsidTr="00A31C49">
        <w:trPr>
          <w:cantSplit/>
          <w:trHeight w:val="255"/>
        </w:trPr>
        <w:tc>
          <w:tcPr>
            <w:tcW w:w="4786" w:type="dxa"/>
          </w:tcPr>
          <w:p w14:paraId="5572B8CC" w14:textId="77777777" w:rsidR="00E202B5" w:rsidRPr="00E202B5" w:rsidRDefault="00E202B5" w:rsidP="00CA0D72">
            <w:pPr>
              <w:spacing w:before="20" w:after="100"/>
              <w:ind w:right="-3" w:hanging="284"/>
            </w:pPr>
            <w:r w:rsidRPr="00E202B5">
              <w:t xml:space="preserve">2. States/territories and the Australian </w:t>
            </w:r>
            <w:r w:rsidR="006B3EF6">
              <w:t>Government commit to facilitate</w:t>
            </w:r>
            <w:r w:rsidRPr="00E202B5">
              <w:t xml:space="preserve"> uptake and use of care pathways by health services and aged care providers.</w:t>
            </w:r>
          </w:p>
        </w:tc>
        <w:tc>
          <w:tcPr>
            <w:tcW w:w="4820" w:type="dxa"/>
          </w:tcPr>
          <w:p w14:paraId="2D284B98" w14:textId="77777777" w:rsidR="00E202B5" w:rsidRDefault="00E202B5" w:rsidP="00CA0D72">
            <w:pPr>
              <w:spacing w:before="20" w:after="100"/>
              <w:ind w:right="-3"/>
            </w:pPr>
            <w:r w:rsidRPr="00E202B5">
              <w:t>The Australian Government and all state and territory governments will</w:t>
            </w:r>
            <w:r>
              <w:t xml:space="preserve"> work together to:</w:t>
            </w:r>
          </w:p>
          <w:p w14:paraId="7DE8C5C1" w14:textId="77777777" w:rsidR="00E202B5" w:rsidRDefault="00E202B5" w:rsidP="00CC4B48">
            <w:pPr>
              <w:numPr>
                <w:ilvl w:val="0"/>
                <w:numId w:val="8"/>
              </w:numPr>
              <w:tabs>
                <w:tab w:val="clear" w:pos="787"/>
                <w:tab w:val="left" w:pos="408"/>
              </w:tabs>
              <w:spacing w:before="20" w:after="100"/>
              <w:ind w:left="0" w:right="-3"/>
            </w:pPr>
            <w:r w:rsidRPr="00E202B5">
              <w:t>develop care pathways</w:t>
            </w:r>
          </w:p>
          <w:p w14:paraId="65F77E83" w14:textId="77777777" w:rsidR="00E202B5" w:rsidRDefault="00E202B5" w:rsidP="00CC4B48">
            <w:pPr>
              <w:numPr>
                <w:ilvl w:val="0"/>
                <w:numId w:val="8"/>
              </w:numPr>
              <w:tabs>
                <w:tab w:val="clear" w:pos="787"/>
                <w:tab w:val="left" w:pos="408"/>
              </w:tabs>
              <w:spacing w:before="20" w:after="100"/>
              <w:ind w:left="0" w:right="-3"/>
            </w:pPr>
            <w:r w:rsidRPr="00E202B5">
              <w:t>promote their uptake and use by health s</w:t>
            </w:r>
            <w:r>
              <w:t>ervices and aged care providers</w:t>
            </w:r>
          </w:p>
          <w:p w14:paraId="62BD5C1A" w14:textId="77777777" w:rsidR="00E202B5" w:rsidRDefault="00E202B5" w:rsidP="00CC4B48">
            <w:pPr>
              <w:numPr>
                <w:ilvl w:val="0"/>
                <w:numId w:val="8"/>
              </w:numPr>
              <w:tabs>
                <w:tab w:val="clear" w:pos="787"/>
                <w:tab w:val="left" w:pos="408"/>
              </w:tabs>
              <w:spacing w:before="20" w:after="100"/>
              <w:ind w:left="0" w:right="-3"/>
            </w:pPr>
            <w:proofErr w:type="gramStart"/>
            <w:r w:rsidRPr="00E202B5">
              <w:t>promote</w:t>
            </w:r>
            <w:proofErr w:type="gramEnd"/>
            <w:r w:rsidRPr="00E202B5">
              <w:t xml:space="preserve"> training for staff in health and aged ca</w:t>
            </w:r>
            <w:r>
              <w:t>re facilities to assist uptake.</w:t>
            </w:r>
          </w:p>
          <w:p w14:paraId="15833C98" w14:textId="77777777" w:rsidR="00E202B5" w:rsidRPr="00E202B5" w:rsidRDefault="00E202B5" w:rsidP="00CA0D72">
            <w:pPr>
              <w:spacing w:before="20" w:after="100"/>
              <w:ind w:right="-3"/>
            </w:pPr>
            <w:r w:rsidRPr="00E202B5">
              <w:t>All jurisdictions will report on measures taken to promote uptake of care pathways (stroke by 30 June 2005 and delirium clinical guidelines and care pathways by 30 June 2007).</w:t>
            </w:r>
          </w:p>
        </w:tc>
      </w:tr>
      <w:tr w:rsidR="00E202B5" w:rsidRPr="00E202B5" w14:paraId="57975A88" w14:textId="77777777" w:rsidTr="00A31C49">
        <w:trPr>
          <w:cantSplit/>
          <w:trHeight w:val="255"/>
        </w:trPr>
        <w:tc>
          <w:tcPr>
            <w:tcW w:w="4786" w:type="dxa"/>
          </w:tcPr>
          <w:p w14:paraId="4AC6FAEF" w14:textId="77777777" w:rsidR="00E202B5" w:rsidRPr="00E202B5" w:rsidRDefault="00E202B5" w:rsidP="00CA0D72">
            <w:pPr>
              <w:spacing w:before="20" w:after="100"/>
              <w:ind w:right="-3" w:hanging="284"/>
            </w:pPr>
            <w:r w:rsidRPr="00E202B5">
              <w:t>3. States/territory governments and the Australian Government commit to develop consistent definitions and data collections that allow the level and mix of inpatient and ambulatory services including rehabilitation, geriatric evaluation and management, psychogeriatric, palliative care and other specialised health services for older people to be measured and reported.</w:t>
            </w:r>
          </w:p>
        </w:tc>
        <w:tc>
          <w:tcPr>
            <w:tcW w:w="4820" w:type="dxa"/>
          </w:tcPr>
          <w:p w14:paraId="4E957ADD" w14:textId="77777777" w:rsidR="00E202B5" w:rsidRPr="00E202B5" w:rsidRDefault="00E202B5" w:rsidP="00CA0D72">
            <w:pPr>
              <w:spacing w:before="20" w:after="100"/>
              <w:ind w:right="-3"/>
            </w:pPr>
            <w:r w:rsidRPr="00E202B5">
              <w:t>By 30 December 2004, all jurisdictions will develop and agree on standard definitions and consistent data collections and performance indicators to measure access to rehabilitation, geriatric evaluation and management, psychogeriatric, palliative care and other specialised health services for older people.</w:t>
            </w:r>
          </w:p>
        </w:tc>
      </w:tr>
      <w:tr w:rsidR="00E202B5" w:rsidRPr="00E202B5" w14:paraId="28B34AA2" w14:textId="77777777" w:rsidTr="00A31C49">
        <w:trPr>
          <w:cantSplit/>
          <w:trHeight w:val="255"/>
        </w:trPr>
        <w:tc>
          <w:tcPr>
            <w:tcW w:w="4786" w:type="dxa"/>
          </w:tcPr>
          <w:p w14:paraId="647902F9" w14:textId="77777777" w:rsidR="00E202B5" w:rsidRPr="00E202B5" w:rsidRDefault="00E202B5" w:rsidP="00CA0D72">
            <w:pPr>
              <w:spacing w:before="20" w:after="100"/>
              <w:ind w:right="-3" w:hanging="284"/>
            </w:pPr>
            <w:r w:rsidRPr="00E202B5">
              <w:lastRenderedPageBreak/>
              <w:t xml:space="preserve">4. </w:t>
            </w:r>
            <w:r w:rsidR="006B3EF6">
              <w:tab/>
            </w:r>
            <w:r w:rsidRPr="00E202B5">
              <w:t>State/territory governments and the Australian Government commit to work together to link datasets in order to provide information across service boundaries.</w:t>
            </w:r>
          </w:p>
        </w:tc>
        <w:tc>
          <w:tcPr>
            <w:tcW w:w="4820" w:type="dxa"/>
          </w:tcPr>
          <w:p w14:paraId="1173F60F" w14:textId="1239C912" w:rsidR="00E202B5" w:rsidRPr="00E202B5" w:rsidRDefault="00E202B5" w:rsidP="00CA0D72">
            <w:pPr>
              <w:spacing w:before="20" w:after="100"/>
              <w:ind w:right="-3"/>
            </w:pPr>
            <w:r w:rsidRPr="00E202B5">
              <w:t>State and territory governments and the Australian Government will pursue linkage of national minimum datasets (including those capturing hospital morbidity, residential aged care and community care data) at the jurisdictional level to provide information across service boundaries.</w:t>
            </w:r>
            <w:r w:rsidRPr="00E202B5">
              <w:br/>
            </w:r>
            <w:r w:rsidRPr="00E202B5">
              <w:br/>
              <w:t>All jurisdictions will report annually on progress on linking datasets at the individual jurisdictional level.</w:t>
            </w:r>
          </w:p>
        </w:tc>
      </w:tr>
    </w:tbl>
    <w:p w14:paraId="386D946D" w14:textId="77777777" w:rsidR="005D7ABA" w:rsidRDefault="00E202B5" w:rsidP="00CA0D72">
      <w:pPr>
        <w:pStyle w:val="Heading1"/>
        <w:ind w:right="-3"/>
      </w:pPr>
      <w:r>
        <w:br w:type="page"/>
      </w:r>
      <w:bookmarkStart w:id="118" w:name="_Toc402348964"/>
      <w:r w:rsidR="00733CF1" w:rsidRPr="00E202B5">
        <w:lastRenderedPageBreak/>
        <w:t>Appendix 2</w:t>
      </w:r>
      <w:bookmarkEnd w:id="118"/>
    </w:p>
    <w:p w14:paraId="00165125" w14:textId="5687F277" w:rsidR="00E202B5" w:rsidRPr="00E202B5" w:rsidRDefault="00E202B5" w:rsidP="00CA0D72">
      <w:pPr>
        <w:ind w:right="-3"/>
      </w:pPr>
    </w:p>
    <w:p w14:paraId="77E2E003" w14:textId="77777777" w:rsidR="005D7ABA" w:rsidRDefault="00733CF1" w:rsidP="00CA0D72">
      <w:pPr>
        <w:ind w:right="-3"/>
      </w:pPr>
      <w:r>
        <w:t>The analysis of incremental costs in the ICRS report is based on pre-post estimates of:</w:t>
      </w:r>
    </w:p>
    <w:p w14:paraId="03C7D97E" w14:textId="42B3697E" w:rsidR="005D7ABA" w:rsidRDefault="00733CF1" w:rsidP="00CC4B48">
      <w:pPr>
        <w:numPr>
          <w:ilvl w:val="0"/>
          <w:numId w:val="6"/>
        </w:numPr>
        <w:ind w:left="0" w:right="-3"/>
      </w:pPr>
      <w:r>
        <w:t>Direct costs on number of days and "pilot program derived" costs per day of ICRS Residential Aged Care and ICRS Community Aged Care.</w:t>
      </w:r>
    </w:p>
    <w:p w14:paraId="2E2CFA64" w14:textId="77777777" w:rsidR="005D7ABA" w:rsidRDefault="00733CF1" w:rsidP="00CC4B48">
      <w:pPr>
        <w:numPr>
          <w:ilvl w:val="0"/>
          <w:numId w:val="6"/>
        </w:numPr>
        <w:ind w:left="0" w:right="-3"/>
      </w:pPr>
      <w:r>
        <w:t>Incremental cost offsets for residential aged care use on observed number of days in residential aged care in ICRS less an assumption (rather than evidence from a comparator) based estimate of days in residential aged care without ICRS.</w:t>
      </w:r>
    </w:p>
    <w:p w14:paraId="10E87E1F" w14:textId="55B8D0BE" w:rsidR="005D7ABA" w:rsidRDefault="00733CF1" w:rsidP="00CA0D72">
      <w:pPr>
        <w:ind w:right="-3"/>
      </w:pPr>
      <w:r>
        <w:t>The cost per day in i) averages out to $149.75 per day of ICRS care over 106,601 observed days in ICRS (65.00 = 106601/1640 days/patient), with "pilot derived" program costs of $86 per day for 45,302 days in ICRS in a community-based setting and $236 per day for 61,299 days in ICRS in a residential-based setting.  The $9,733 ($15,962,986/1640) direct costs per person presented in the ICRS report implicitly would increase to an average of $13,901 per person ($22,797,690/1640) if the daily cost was estimated at $213.86 (i.e. twice the 2006/07 flexible care subsidy).</w:t>
      </w:r>
    </w:p>
    <w:p w14:paraId="674460C9" w14:textId="77777777" w:rsidR="005D7ABA" w:rsidRDefault="00733CF1" w:rsidP="00CA0D72">
      <w:pPr>
        <w:ind w:right="-3"/>
      </w:pPr>
      <w:r>
        <w:t>To estimate the incremental residential aged care costs up to three months, the ICRS analysis implicitly assumed that the number of additional days in residential aged care exactly matched the number of additional days of ICRS, with 106,601 additional days saved (106,601 = "48,573 high care" plus "58,028 low care").  That is, it is assumed that up to three months the average 65.00 days of ICRS per person would all have been spent in residential aged care in the absence of ICRS.  However, a high proportion of patients without ICRS end up in the community and there are a proportion of patients who despite ICRS for three months end up in residential aged care.</w:t>
      </w:r>
    </w:p>
    <w:p w14:paraId="10D0B711" w14:textId="5EE3E13A" w:rsidR="005D7ABA" w:rsidRDefault="00733CF1" w:rsidP="00CA0D72">
      <w:pPr>
        <w:ind w:right="-3"/>
      </w:pPr>
      <w:r>
        <w:t>Evidence relative to a real comparator group in our study suggests that while the 65 days of stay in Transition Care per person reported in the ICRS study is reasonable, residential aged care use can be expected to be reduced by only 8.10 days (9.52 vs. 1.42 days) up to three months or approximately one eighth of the 65 days assumed.  Hence with an evidence-based, rather than assumption-based, estimate of the number of days in residential aged care, and the same assumption about the proportion and cost per day of residential days in high and low care, incremental cost savings from reduced residential aged care up to three months are reduced from $10.426 million ($6.654 million in high care and $3.772 million in low care) to $1.299 million.  Brought back to a per person estimate, the cost saving reduce from $6,358 per person to $792 per person.</w:t>
      </w:r>
    </w:p>
    <w:p w14:paraId="05A899FE" w14:textId="77777777" w:rsidR="005D7ABA" w:rsidRDefault="00733CF1" w:rsidP="00CA0D72">
      <w:pPr>
        <w:ind w:right="-3"/>
      </w:pPr>
      <w:r>
        <w:t>However, this may still overestimate of the cost savings, given that the ICRS report did not use the seven distinct Resident Classification Scale (RCS) subsidies but a dichotomy of high/low.  If the difference in payment is estimated using the full spectrum of RCS amounts, then this gives an estimate in cost saving of $467 per person ($587 vs. $120) with the reduction in residential aged care use from 9.52 to 1.42 days.  This equates to a reduction of $0.766 million across 1640 people.  Hence cost offsets to 3 months may be overestimated by $5,891 ($6,358-$467) per person or $9.66 million across 1640 individuals.</w:t>
      </w:r>
    </w:p>
    <w:p w14:paraId="0AB05B85" w14:textId="77777777" w:rsidR="005D7ABA" w:rsidRDefault="00733CF1" w:rsidP="00CA0D72">
      <w:pPr>
        <w:ind w:right="-3"/>
      </w:pPr>
      <w:r>
        <w:t xml:space="preserve">Similar issues arose in the analysis of six months follow-up in the ICRS report.  The modelled assumption-based estimate of cost savings from modelled reduction in use of residential aged care days appear to have been based on an even stronger assumption about the reduction in average residential aged care from three to six months than that up to three months (i.e. greater than 65 days).  An evidence-based, rather than assumption-based, estimate from the current study suggests that at six months residential aged care use is reduced by 15.55 days (24.22 vs. 6.67 days) and $866 per person ($1,437 vs. $571).  Hence, from 3 to 6 months there is estimated to be a reduction in residential days of 7.45 days (15.55-8.10) and $399 per person. Consequently, the </w:t>
      </w:r>
      <w:r>
        <w:lastRenderedPageBreak/>
        <w:t>assumption-based cost saving from reduced residential aged care of $7,750 per person and $12.7 million for 1,640 people from 3 to 6 months is reduced to $399 per person and $0.654 million.</w:t>
      </w:r>
    </w:p>
    <w:p w14:paraId="731F52EC" w14:textId="4541DC61" w:rsidR="005D7ABA" w:rsidRDefault="00733CF1" w:rsidP="00CA0D72">
      <w:pPr>
        <w:ind w:right="-3"/>
      </w:pPr>
      <w:r>
        <w:t>Another important difference between NETCP and ICRS is the follow-up period.  The ICRS reported on interviews at three and six months post discharge from the ICRS program, whereas the follow-up period in the NETCP was three and six months post approval.</w:t>
      </w:r>
    </w:p>
    <w:p w14:paraId="4A39116D" w14:textId="77777777" w:rsidR="005D7ABA" w:rsidRDefault="00733CF1" w:rsidP="00CA0D72">
      <w:pPr>
        <w:ind w:right="-3"/>
      </w:pPr>
      <w:r>
        <w:t>In summary, in the ICRS report the direct costs are possibly underestimated by $6.84 million or $4,168 per person in having an average total cost per patient of $149.75 rather than $213.86 per patient and residential aged care cost offsets are possibly overestimated by $9.66 million in the three month follow-up period and $12.05 million in the six month follow-up period across the population of 1640 individuals, when using evidence rather than assumption based estimates of number of residential aged care days avoided.  Hence the total incremental cost estimate is increased by $28.55 million ($17,410 per person) from that estimated in the ICRS report.</w:t>
      </w:r>
    </w:p>
    <w:p w14:paraId="62E19147" w14:textId="77777777" w:rsidR="005D7ABA" w:rsidRDefault="00F56174" w:rsidP="00CA0D72">
      <w:pPr>
        <w:pStyle w:val="Heading1"/>
        <w:ind w:right="-3"/>
      </w:pPr>
      <w:r>
        <w:br w:type="page"/>
      </w:r>
      <w:bookmarkStart w:id="119" w:name="_Toc402348965"/>
      <w:r>
        <w:lastRenderedPageBreak/>
        <w:t>Appendix 3: Episodes of care definition according to the Meteor data dictionary</w:t>
      </w:r>
      <w:bookmarkEnd w:id="119"/>
    </w:p>
    <w:p w14:paraId="4C239AD7" w14:textId="77777777" w:rsidR="005D7ABA" w:rsidRDefault="00F56174" w:rsidP="00CA0D72">
      <w:pPr>
        <w:pStyle w:val="Heading2"/>
        <w:ind w:right="-3"/>
      </w:pPr>
      <w:bookmarkStart w:id="120" w:name="_Toc402348966"/>
      <w:r>
        <w:t xml:space="preserve">Hospital service-care type, code </w:t>
      </w:r>
      <w:proofErr w:type="gramStart"/>
      <w:r>
        <w:t>N[</w:t>
      </w:r>
      <w:proofErr w:type="gramEnd"/>
      <w:r>
        <w:t>N].N</w:t>
      </w:r>
      <w:bookmarkEnd w:id="120"/>
    </w:p>
    <w:p w14:paraId="1FD67972" w14:textId="77777777" w:rsidR="005D7ABA" w:rsidRDefault="00F56174" w:rsidP="00CA0D72">
      <w:pPr>
        <w:ind w:right="-3"/>
        <w:rPr>
          <w:b/>
        </w:rPr>
      </w:pPr>
      <w:r w:rsidRPr="00F56174">
        <w:rPr>
          <w:b/>
        </w:rPr>
        <w:t>Identifying and definitional attributes</w:t>
      </w:r>
    </w:p>
    <w:p w14:paraId="594EE35C" w14:textId="0CF7F74A" w:rsidR="00D2736F" w:rsidRPr="00A31C49" w:rsidRDefault="00D2736F" w:rsidP="00CA0D72">
      <w:pPr>
        <w:tabs>
          <w:tab w:val="left" w:pos="2268"/>
        </w:tabs>
        <w:spacing w:before="80"/>
        <w:ind w:right="-3"/>
      </w:pPr>
      <w:r w:rsidRPr="00A31C49">
        <w:rPr>
          <w:iCs/>
        </w:rPr>
        <w:t>Metadata item type</w:t>
      </w:r>
      <w:r w:rsidRPr="00A31C49">
        <w:rPr>
          <w:iCs/>
        </w:rPr>
        <w:tab/>
      </w:r>
      <w:r w:rsidRPr="00A31C49">
        <w:t>Data Element</w:t>
      </w:r>
    </w:p>
    <w:p w14:paraId="42751E88" w14:textId="77777777" w:rsidR="00D2736F" w:rsidRPr="00A31C49" w:rsidRDefault="00D2736F" w:rsidP="00CA0D72">
      <w:pPr>
        <w:tabs>
          <w:tab w:val="left" w:pos="2268"/>
        </w:tabs>
        <w:spacing w:before="80"/>
        <w:ind w:right="-3"/>
      </w:pPr>
      <w:r w:rsidRPr="00A31C49">
        <w:rPr>
          <w:iCs/>
        </w:rPr>
        <w:t xml:space="preserve">Short name: </w:t>
      </w:r>
      <w:r w:rsidRPr="00A31C49">
        <w:rPr>
          <w:iCs/>
        </w:rPr>
        <w:tab/>
      </w:r>
      <w:r w:rsidRPr="00A31C49">
        <w:t>Care type</w:t>
      </w:r>
    </w:p>
    <w:p w14:paraId="222126A4" w14:textId="77777777" w:rsidR="00D2736F" w:rsidRPr="00A31C49" w:rsidRDefault="00D2736F" w:rsidP="00CA0D72">
      <w:pPr>
        <w:tabs>
          <w:tab w:val="left" w:pos="2268"/>
        </w:tabs>
        <w:spacing w:before="80"/>
        <w:ind w:right="-3"/>
      </w:pPr>
      <w:proofErr w:type="spellStart"/>
      <w:r w:rsidRPr="00A31C49">
        <w:rPr>
          <w:iCs/>
        </w:rPr>
        <w:t>METeOR</w:t>
      </w:r>
      <w:proofErr w:type="spellEnd"/>
      <w:r w:rsidRPr="00A31C49">
        <w:rPr>
          <w:iCs/>
        </w:rPr>
        <w:t xml:space="preserve"> identifier: </w:t>
      </w:r>
      <w:r w:rsidRPr="00A31C49">
        <w:rPr>
          <w:iCs/>
        </w:rPr>
        <w:tab/>
      </w:r>
      <w:r w:rsidRPr="00A31C49">
        <w:t>270174</w:t>
      </w:r>
    </w:p>
    <w:p w14:paraId="6CD4363F" w14:textId="77777777" w:rsidR="00D2736F" w:rsidRPr="00A31C49" w:rsidRDefault="00D2736F" w:rsidP="00CA0D72">
      <w:pPr>
        <w:tabs>
          <w:tab w:val="left" w:pos="2268"/>
        </w:tabs>
        <w:spacing w:before="80"/>
        <w:ind w:right="-3"/>
      </w:pPr>
      <w:r w:rsidRPr="00A31C49">
        <w:rPr>
          <w:iCs/>
        </w:rPr>
        <w:t xml:space="preserve">Registration status: </w:t>
      </w:r>
      <w:r w:rsidRPr="00A31C49">
        <w:rPr>
          <w:iCs/>
        </w:rPr>
        <w:tab/>
      </w:r>
      <w:r w:rsidRPr="00A31C49">
        <w:t>Health, Standard 01/03/2005</w:t>
      </w:r>
    </w:p>
    <w:p w14:paraId="2431F278" w14:textId="77777777" w:rsidR="00D2736F" w:rsidRPr="00A31C49" w:rsidRDefault="00D2736F" w:rsidP="00CA0D72">
      <w:pPr>
        <w:tabs>
          <w:tab w:val="left" w:pos="2268"/>
        </w:tabs>
        <w:spacing w:before="80"/>
        <w:ind w:right="-3"/>
      </w:pPr>
      <w:r w:rsidRPr="00A31C49">
        <w:rPr>
          <w:iCs/>
        </w:rPr>
        <w:t xml:space="preserve">Definition: </w:t>
      </w:r>
      <w:r w:rsidRPr="00A31C49">
        <w:rPr>
          <w:iCs/>
        </w:rPr>
        <w:tab/>
      </w:r>
      <w:r w:rsidRPr="00A31C49">
        <w:t xml:space="preserve">The overall nature of a clinical service provided to an admitted patient </w:t>
      </w:r>
      <w:r w:rsidRPr="00A31C49">
        <w:tab/>
        <w:t xml:space="preserve">during an episode of care (admitted care), or the type of service provided </w:t>
      </w:r>
      <w:r w:rsidRPr="00A31C49">
        <w:tab/>
        <w:t xml:space="preserve">by the hospital for boarders or </w:t>
      </w:r>
      <w:r w:rsidRPr="00A31C49">
        <w:rPr>
          <w:b/>
          <w:bCs/>
        </w:rPr>
        <w:t xml:space="preserve">posthumous organ procurement </w:t>
      </w:r>
      <w:r w:rsidRPr="00A31C49">
        <w:t xml:space="preserve">(other </w:t>
      </w:r>
      <w:r w:rsidRPr="00A31C49">
        <w:tab/>
        <w:t>care), as represented by a code.</w:t>
      </w:r>
    </w:p>
    <w:p w14:paraId="2B2FA882" w14:textId="77777777" w:rsidR="00F56174" w:rsidRPr="00A31C49" w:rsidRDefault="00D2736F" w:rsidP="00CA0D72">
      <w:pPr>
        <w:tabs>
          <w:tab w:val="left" w:pos="2268"/>
        </w:tabs>
        <w:spacing w:before="80"/>
        <w:ind w:right="-3"/>
      </w:pPr>
      <w:r w:rsidRPr="00A31C49">
        <w:t>Data Element Concept:</w:t>
      </w:r>
      <w:r w:rsidRPr="00A31C49">
        <w:tab/>
        <w:t>Hospital service—care type</w:t>
      </w:r>
    </w:p>
    <w:p w14:paraId="03A0697F" w14:textId="77777777" w:rsidR="005D7ABA" w:rsidRDefault="00F56174" w:rsidP="00CA0D72">
      <w:pPr>
        <w:pStyle w:val="Heading2"/>
        <w:ind w:right="-3"/>
      </w:pPr>
      <w:bookmarkStart w:id="121" w:name="_Toc402348967"/>
      <w:r w:rsidRPr="00A31C49">
        <w:t>Value domain attributes</w:t>
      </w:r>
      <w:bookmarkEnd w:id="121"/>
    </w:p>
    <w:p w14:paraId="49B98623" w14:textId="77777777" w:rsidR="005D7ABA" w:rsidRDefault="00F56174" w:rsidP="00CA0D72">
      <w:pPr>
        <w:ind w:right="-3"/>
        <w:rPr>
          <w:b/>
        </w:rPr>
      </w:pPr>
      <w:r w:rsidRPr="00A31C49">
        <w:rPr>
          <w:b/>
        </w:rPr>
        <w:t>Representational attributes</w:t>
      </w:r>
    </w:p>
    <w:p w14:paraId="72958182" w14:textId="77777777" w:rsidR="005D7ABA" w:rsidRDefault="00F56174" w:rsidP="00CA0D72">
      <w:pPr>
        <w:tabs>
          <w:tab w:val="left" w:pos="2127"/>
        </w:tabs>
        <w:spacing w:before="80"/>
        <w:ind w:right="-3"/>
      </w:pPr>
      <w:r w:rsidRPr="00A31C49">
        <w:t xml:space="preserve">Representation class: </w:t>
      </w:r>
      <w:r w:rsidR="00D2736F" w:rsidRPr="00A31C49">
        <w:tab/>
      </w:r>
      <w:r w:rsidRPr="00A31C49">
        <w:t>Code</w:t>
      </w:r>
    </w:p>
    <w:p w14:paraId="5DA05328" w14:textId="77777777" w:rsidR="005D7ABA" w:rsidRDefault="00F56174" w:rsidP="00CA0D72">
      <w:pPr>
        <w:tabs>
          <w:tab w:val="left" w:pos="2127"/>
        </w:tabs>
        <w:spacing w:before="80"/>
        <w:ind w:right="-3"/>
      </w:pPr>
      <w:r w:rsidRPr="00A31C49">
        <w:t xml:space="preserve">Data type: </w:t>
      </w:r>
      <w:r w:rsidR="00D2736F" w:rsidRPr="00A31C49">
        <w:tab/>
      </w:r>
      <w:r w:rsidR="00D2736F" w:rsidRPr="00A31C49">
        <w:tab/>
      </w:r>
      <w:r w:rsidRPr="00A31C49">
        <w:t>Number</w:t>
      </w:r>
    </w:p>
    <w:p w14:paraId="0C259A6D" w14:textId="77777777" w:rsidR="005D7ABA" w:rsidRDefault="00F56174" w:rsidP="00CA0D72">
      <w:pPr>
        <w:tabs>
          <w:tab w:val="left" w:pos="2127"/>
        </w:tabs>
        <w:spacing w:before="80"/>
        <w:ind w:right="-3"/>
      </w:pPr>
      <w:r w:rsidRPr="00A31C49">
        <w:t xml:space="preserve">Format: </w:t>
      </w:r>
      <w:r w:rsidR="00D2736F" w:rsidRPr="00A31C49">
        <w:tab/>
      </w:r>
      <w:r w:rsidR="00D2736F" w:rsidRPr="00A31C49">
        <w:tab/>
      </w:r>
      <w:proofErr w:type="gramStart"/>
      <w:r w:rsidRPr="00A31C49">
        <w:t>N[</w:t>
      </w:r>
      <w:proofErr w:type="gramEnd"/>
      <w:r w:rsidRPr="00A31C49">
        <w:t>N].N</w:t>
      </w:r>
    </w:p>
    <w:p w14:paraId="76A29424" w14:textId="77777777" w:rsidR="005D7ABA" w:rsidRDefault="00F56174" w:rsidP="00CA0D72">
      <w:pPr>
        <w:tabs>
          <w:tab w:val="left" w:pos="2127"/>
        </w:tabs>
        <w:spacing w:before="80"/>
        <w:ind w:right="-3"/>
      </w:pPr>
      <w:r w:rsidRPr="00A31C49">
        <w:t>Maximum character length: 3</w:t>
      </w:r>
    </w:p>
    <w:p w14:paraId="41AC2390" w14:textId="77777777" w:rsidR="005D7ABA" w:rsidRDefault="00F56174" w:rsidP="00CA0D72">
      <w:pPr>
        <w:tabs>
          <w:tab w:val="left" w:pos="2127"/>
        </w:tabs>
        <w:spacing w:before="80"/>
        <w:ind w:right="-3"/>
      </w:pPr>
      <w:r w:rsidRPr="00A31C49">
        <w:t xml:space="preserve">Permissible values: </w:t>
      </w:r>
      <w:r w:rsidRPr="00A31C49">
        <w:tab/>
        <w:t xml:space="preserve">Value </w:t>
      </w:r>
      <w:r w:rsidRPr="00A31C49">
        <w:tab/>
        <w:t>Meaning</w:t>
      </w:r>
    </w:p>
    <w:p w14:paraId="55AABD8E" w14:textId="77777777" w:rsidR="005D7ABA" w:rsidRDefault="00F56174" w:rsidP="00CA0D72">
      <w:pPr>
        <w:spacing w:before="20" w:after="40"/>
        <w:ind w:right="-3" w:firstLine="720"/>
      </w:pPr>
      <w:r w:rsidRPr="00A31C49">
        <w:t xml:space="preserve">1.0 </w:t>
      </w:r>
      <w:r w:rsidRPr="00A31C49">
        <w:tab/>
        <w:t>Acute care (Admitted care)</w:t>
      </w:r>
    </w:p>
    <w:p w14:paraId="5C67D91A" w14:textId="77777777" w:rsidR="005D7ABA" w:rsidRDefault="00F56174" w:rsidP="00CA0D72">
      <w:pPr>
        <w:spacing w:before="20" w:after="40"/>
        <w:ind w:right="-3" w:firstLine="720"/>
      </w:pPr>
      <w:r w:rsidRPr="00A31C49">
        <w:t xml:space="preserve">2.0 </w:t>
      </w:r>
      <w:r w:rsidRPr="00A31C49">
        <w:tab/>
        <w:t>Rehabilitation care (Admitted care)</w:t>
      </w:r>
    </w:p>
    <w:p w14:paraId="0F7E8114" w14:textId="77777777" w:rsidR="005D7ABA" w:rsidRDefault="00F56174" w:rsidP="00CA0D72">
      <w:pPr>
        <w:spacing w:before="20" w:after="40"/>
        <w:ind w:right="-3" w:firstLine="720"/>
      </w:pPr>
      <w:r w:rsidRPr="00A31C49">
        <w:t xml:space="preserve">2.1 </w:t>
      </w:r>
      <w:r w:rsidRPr="00A31C49">
        <w:tab/>
        <w:t>Rehabilitation care delivered in a designated unit (optional)</w:t>
      </w:r>
    </w:p>
    <w:p w14:paraId="13C21339" w14:textId="77777777" w:rsidR="005D7ABA" w:rsidRDefault="00F56174" w:rsidP="00CA0D72">
      <w:pPr>
        <w:spacing w:before="20" w:after="40"/>
        <w:ind w:right="-3" w:firstLine="720"/>
      </w:pPr>
      <w:r w:rsidRPr="00A31C49">
        <w:t xml:space="preserve">2.2 </w:t>
      </w:r>
      <w:r w:rsidRPr="00A31C49">
        <w:tab/>
        <w:t>Rehabilitation care according to a designated program (optional)</w:t>
      </w:r>
    </w:p>
    <w:p w14:paraId="130DF1BE" w14:textId="77777777" w:rsidR="005D7ABA" w:rsidRDefault="00F56174" w:rsidP="00CA0D72">
      <w:pPr>
        <w:spacing w:before="20" w:after="40"/>
        <w:ind w:right="-3" w:firstLine="720"/>
      </w:pPr>
      <w:r w:rsidRPr="00A31C49">
        <w:t>2.3</w:t>
      </w:r>
      <w:r w:rsidRPr="00A31C49">
        <w:tab/>
        <w:t>Rehabilitation care is the principal clinical intent (optional)</w:t>
      </w:r>
    </w:p>
    <w:p w14:paraId="2542B7C3" w14:textId="77777777" w:rsidR="005D7ABA" w:rsidRDefault="00F56174" w:rsidP="00CA0D72">
      <w:pPr>
        <w:spacing w:before="20" w:after="40"/>
        <w:ind w:right="-3" w:firstLine="720"/>
      </w:pPr>
      <w:r w:rsidRPr="00A31C49">
        <w:t xml:space="preserve">3.0 </w:t>
      </w:r>
      <w:r w:rsidRPr="00A31C49">
        <w:tab/>
        <w:t>Palliative care</w:t>
      </w:r>
    </w:p>
    <w:p w14:paraId="3EA1970C" w14:textId="77777777" w:rsidR="005D7ABA" w:rsidRDefault="00F56174" w:rsidP="00CA0D72">
      <w:pPr>
        <w:spacing w:before="20" w:after="40"/>
        <w:ind w:right="-3" w:firstLine="720"/>
      </w:pPr>
      <w:r w:rsidRPr="00A31C49">
        <w:t xml:space="preserve">3.1 </w:t>
      </w:r>
      <w:r w:rsidRPr="00A31C49">
        <w:tab/>
        <w:t>Palliative care delivered in a designated unit (optional)</w:t>
      </w:r>
    </w:p>
    <w:p w14:paraId="3B577660" w14:textId="77777777" w:rsidR="005D7ABA" w:rsidRDefault="00F56174" w:rsidP="00CA0D72">
      <w:pPr>
        <w:spacing w:before="20" w:after="40"/>
        <w:ind w:right="-3" w:firstLine="720"/>
      </w:pPr>
      <w:r w:rsidRPr="00A31C49">
        <w:t xml:space="preserve">3.2 </w:t>
      </w:r>
      <w:r w:rsidRPr="00A31C49">
        <w:tab/>
        <w:t>Palliative care according to a designated program (optional)</w:t>
      </w:r>
    </w:p>
    <w:p w14:paraId="33EF6272" w14:textId="77777777" w:rsidR="005D7ABA" w:rsidRDefault="00F56174" w:rsidP="00CA0D72">
      <w:pPr>
        <w:spacing w:before="20" w:after="40"/>
        <w:ind w:right="-3" w:firstLine="720"/>
      </w:pPr>
      <w:r w:rsidRPr="00A31C49">
        <w:t xml:space="preserve">3.3 </w:t>
      </w:r>
      <w:r w:rsidRPr="00A31C49">
        <w:tab/>
        <w:t>Palliative care is the principal clinical intent (optional)</w:t>
      </w:r>
    </w:p>
    <w:p w14:paraId="0473EEAC" w14:textId="77777777" w:rsidR="005D7ABA" w:rsidRDefault="00F56174" w:rsidP="00CA0D72">
      <w:pPr>
        <w:spacing w:before="20" w:after="40"/>
        <w:ind w:right="-3"/>
      </w:pPr>
      <w:r w:rsidRPr="00A31C49">
        <w:t>4.0</w:t>
      </w:r>
      <w:r w:rsidRPr="00A31C49">
        <w:tab/>
        <w:t>Geriatric evaluation and management</w:t>
      </w:r>
    </w:p>
    <w:p w14:paraId="554DD401" w14:textId="77777777" w:rsidR="005D7ABA" w:rsidRDefault="00F56174" w:rsidP="00CA0D72">
      <w:pPr>
        <w:spacing w:before="20" w:after="40"/>
        <w:ind w:right="-3" w:firstLine="720"/>
      </w:pPr>
      <w:r w:rsidRPr="00A31C49">
        <w:t xml:space="preserve">5.0 </w:t>
      </w:r>
      <w:r w:rsidRPr="00A31C49">
        <w:tab/>
        <w:t>Psychogeriatric care</w:t>
      </w:r>
    </w:p>
    <w:p w14:paraId="7CB15F6A" w14:textId="77777777" w:rsidR="005D7ABA" w:rsidRDefault="00F56174" w:rsidP="00CA0D72">
      <w:pPr>
        <w:spacing w:before="20" w:after="40"/>
        <w:ind w:right="-3" w:firstLine="720"/>
      </w:pPr>
      <w:r w:rsidRPr="00A31C49">
        <w:t xml:space="preserve">6.0 </w:t>
      </w:r>
      <w:r w:rsidRPr="00A31C49">
        <w:tab/>
        <w:t>Maintenance care</w:t>
      </w:r>
    </w:p>
    <w:p w14:paraId="7A8FFDBD" w14:textId="77777777" w:rsidR="005D7ABA" w:rsidRDefault="00F56174" w:rsidP="00CA0D72">
      <w:pPr>
        <w:spacing w:before="20" w:after="40"/>
        <w:ind w:right="-3" w:firstLine="720"/>
      </w:pPr>
      <w:r w:rsidRPr="00A31C49">
        <w:t xml:space="preserve">7.0 </w:t>
      </w:r>
      <w:r w:rsidRPr="00A31C49">
        <w:tab/>
        <w:t>Newborn care</w:t>
      </w:r>
    </w:p>
    <w:p w14:paraId="66CEC37B" w14:textId="77777777" w:rsidR="005D7ABA" w:rsidRDefault="00F56174" w:rsidP="00CA0D72">
      <w:pPr>
        <w:spacing w:before="20" w:after="40"/>
        <w:ind w:right="-3" w:firstLine="720"/>
      </w:pPr>
      <w:r w:rsidRPr="00A31C49">
        <w:t xml:space="preserve">8.0 </w:t>
      </w:r>
      <w:r w:rsidRPr="00A31C49">
        <w:tab/>
        <w:t>Other admitted patient care</w:t>
      </w:r>
    </w:p>
    <w:p w14:paraId="79C92348" w14:textId="77777777" w:rsidR="005D7ABA" w:rsidRDefault="00F56174" w:rsidP="00CA0D72">
      <w:pPr>
        <w:spacing w:before="20" w:after="40"/>
        <w:ind w:right="-3" w:firstLine="720"/>
      </w:pPr>
      <w:r w:rsidRPr="00A31C49">
        <w:t xml:space="preserve">9.0 </w:t>
      </w:r>
      <w:r w:rsidRPr="00A31C49">
        <w:tab/>
        <w:t>Organ procurement - posthumous (Other care)</w:t>
      </w:r>
    </w:p>
    <w:p w14:paraId="3367D039" w14:textId="77777777" w:rsidR="005D7ABA" w:rsidRDefault="00F56174" w:rsidP="00CA0D72">
      <w:pPr>
        <w:spacing w:before="20" w:after="40"/>
        <w:ind w:right="-3" w:firstLine="720"/>
      </w:pPr>
      <w:r w:rsidRPr="00A31C49">
        <w:t>10.0</w:t>
      </w:r>
      <w:r w:rsidRPr="00A31C49">
        <w:tab/>
        <w:t>Hospital boarder (Other care)</w:t>
      </w:r>
    </w:p>
    <w:p w14:paraId="2979CE01" w14:textId="345B736C" w:rsidR="00F56174" w:rsidRPr="00A31C49" w:rsidRDefault="00F56174" w:rsidP="00CA0D72">
      <w:pPr>
        <w:spacing w:before="20" w:after="40"/>
        <w:ind w:right="-3" w:firstLine="720"/>
      </w:pPr>
    </w:p>
    <w:sectPr w:rsidR="00F56174" w:rsidRPr="00A31C49" w:rsidSect="00CA0D72">
      <w:pgSz w:w="11904" w:h="17340"/>
      <w:pgMar w:top="1134" w:right="1272"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8FA"/>
    <w:multiLevelType w:val="hybridMultilevel"/>
    <w:tmpl w:val="7696D49E"/>
    <w:lvl w:ilvl="0" w:tplc="A9C80C70">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B2E0235"/>
    <w:multiLevelType w:val="hybridMultilevel"/>
    <w:tmpl w:val="9F9A6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4AA6D2A"/>
    <w:multiLevelType w:val="hybridMultilevel"/>
    <w:tmpl w:val="4AECD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8BF036A"/>
    <w:multiLevelType w:val="hybridMultilevel"/>
    <w:tmpl w:val="3EA468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DB448C2"/>
    <w:multiLevelType w:val="hybridMultilevel"/>
    <w:tmpl w:val="DCAEC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0510E64"/>
    <w:multiLevelType w:val="hybridMultilevel"/>
    <w:tmpl w:val="7D26A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3193AA1"/>
    <w:multiLevelType w:val="hybridMultilevel"/>
    <w:tmpl w:val="F5B0E99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7">
    <w:nsid w:val="249934E6"/>
    <w:multiLevelType w:val="hybridMultilevel"/>
    <w:tmpl w:val="28C46B2E"/>
    <w:lvl w:ilvl="0" w:tplc="0C09001B">
      <w:start w:val="1"/>
      <w:numFmt w:val="lowerRoman"/>
      <w:lvlText w:val="%1."/>
      <w:lvlJc w:val="righ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0921C8A"/>
    <w:multiLevelType w:val="hybridMultilevel"/>
    <w:tmpl w:val="16BA4AE8"/>
    <w:lvl w:ilvl="0" w:tplc="0C09001B">
      <w:start w:val="1"/>
      <w:numFmt w:val="lowerRoman"/>
      <w:lvlText w:val="%1."/>
      <w:lvlJc w:val="right"/>
      <w:pPr>
        <w:tabs>
          <w:tab w:val="num" w:pos="709"/>
        </w:tabs>
        <w:ind w:left="709" w:hanging="720"/>
      </w:pPr>
      <w:rPr>
        <w:rFonts w:hint="default"/>
      </w:rPr>
    </w:lvl>
    <w:lvl w:ilvl="1" w:tplc="0C090019" w:tentative="1">
      <w:start w:val="1"/>
      <w:numFmt w:val="lowerLetter"/>
      <w:lvlText w:val="%2."/>
      <w:lvlJc w:val="left"/>
      <w:pPr>
        <w:tabs>
          <w:tab w:val="num" w:pos="1069"/>
        </w:tabs>
        <w:ind w:left="1069" w:hanging="360"/>
      </w:pPr>
    </w:lvl>
    <w:lvl w:ilvl="2" w:tplc="0C09001B" w:tentative="1">
      <w:start w:val="1"/>
      <w:numFmt w:val="lowerRoman"/>
      <w:lvlText w:val="%3."/>
      <w:lvlJc w:val="right"/>
      <w:pPr>
        <w:tabs>
          <w:tab w:val="num" w:pos="1789"/>
        </w:tabs>
        <w:ind w:left="1789" w:hanging="180"/>
      </w:pPr>
    </w:lvl>
    <w:lvl w:ilvl="3" w:tplc="0C09000F" w:tentative="1">
      <w:start w:val="1"/>
      <w:numFmt w:val="decimal"/>
      <w:lvlText w:val="%4."/>
      <w:lvlJc w:val="left"/>
      <w:pPr>
        <w:tabs>
          <w:tab w:val="num" w:pos="2509"/>
        </w:tabs>
        <w:ind w:left="2509" w:hanging="360"/>
      </w:pPr>
    </w:lvl>
    <w:lvl w:ilvl="4" w:tplc="0C090019" w:tentative="1">
      <w:start w:val="1"/>
      <w:numFmt w:val="lowerLetter"/>
      <w:lvlText w:val="%5."/>
      <w:lvlJc w:val="left"/>
      <w:pPr>
        <w:tabs>
          <w:tab w:val="num" w:pos="3229"/>
        </w:tabs>
        <w:ind w:left="3229" w:hanging="360"/>
      </w:pPr>
    </w:lvl>
    <w:lvl w:ilvl="5" w:tplc="0C09001B" w:tentative="1">
      <w:start w:val="1"/>
      <w:numFmt w:val="lowerRoman"/>
      <w:lvlText w:val="%6."/>
      <w:lvlJc w:val="right"/>
      <w:pPr>
        <w:tabs>
          <w:tab w:val="num" w:pos="3949"/>
        </w:tabs>
        <w:ind w:left="3949" w:hanging="180"/>
      </w:pPr>
    </w:lvl>
    <w:lvl w:ilvl="6" w:tplc="0C09000F" w:tentative="1">
      <w:start w:val="1"/>
      <w:numFmt w:val="decimal"/>
      <w:lvlText w:val="%7."/>
      <w:lvlJc w:val="left"/>
      <w:pPr>
        <w:tabs>
          <w:tab w:val="num" w:pos="4669"/>
        </w:tabs>
        <w:ind w:left="4669" w:hanging="360"/>
      </w:pPr>
    </w:lvl>
    <w:lvl w:ilvl="7" w:tplc="0C090019" w:tentative="1">
      <w:start w:val="1"/>
      <w:numFmt w:val="lowerLetter"/>
      <w:lvlText w:val="%8."/>
      <w:lvlJc w:val="left"/>
      <w:pPr>
        <w:tabs>
          <w:tab w:val="num" w:pos="5389"/>
        </w:tabs>
        <w:ind w:left="5389" w:hanging="360"/>
      </w:pPr>
    </w:lvl>
    <w:lvl w:ilvl="8" w:tplc="0C09001B" w:tentative="1">
      <w:start w:val="1"/>
      <w:numFmt w:val="lowerRoman"/>
      <w:lvlText w:val="%9."/>
      <w:lvlJc w:val="right"/>
      <w:pPr>
        <w:tabs>
          <w:tab w:val="num" w:pos="6109"/>
        </w:tabs>
        <w:ind w:left="6109" w:hanging="180"/>
      </w:pPr>
    </w:lvl>
  </w:abstractNum>
  <w:abstractNum w:abstractNumId="9">
    <w:nsid w:val="35B805D8"/>
    <w:multiLevelType w:val="hybridMultilevel"/>
    <w:tmpl w:val="D89EB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EC415F1"/>
    <w:multiLevelType w:val="hybridMultilevel"/>
    <w:tmpl w:val="F93AB7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08279B6"/>
    <w:multiLevelType w:val="hybridMultilevel"/>
    <w:tmpl w:val="16AAD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2625ED8"/>
    <w:multiLevelType w:val="hybridMultilevel"/>
    <w:tmpl w:val="951E1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73C0C36"/>
    <w:multiLevelType w:val="hybridMultilevel"/>
    <w:tmpl w:val="429A66B6"/>
    <w:lvl w:ilvl="0" w:tplc="19E252EC">
      <w:start w:val="1"/>
      <w:numFmt w:val="decimal"/>
      <w:lvlText w:val="%1."/>
      <w:lvlJc w:val="left"/>
      <w:pPr>
        <w:tabs>
          <w:tab w:val="num" w:pos="1080"/>
        </w:tabs>
        <w:ind w:left="1080" w:hanging="720"/>
      </w:pPr>
      <w:rPr>
        <w:rFonts w:cs="Times New Roman" w:hint="default"/>
      </w:rPr>
    </w:lvl>
    <w:lvl w:ilvl="1" w:tplc="C2B06486">
      <w:start w:val="1"/>
      <w:numFmt w:val="bullet"/>
      <w:pStyle w:val="Normal-Do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47F25F4B"/>
    <w:multiLevelType w:val="hybridMultilevel"/>
    <w:tmpl w:val="F1F4B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9795C81"/>
    <w:multiLevelType w:val="hybridMultilevel"/>
    <w:tmpl w:val="200E39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C325B84"/>
    <w:multiLevelType w:val="hybridMultilevel"/>
    <w:tmpl w:val="28767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A786B47"/>
    <w:multiLevelType w:val="hybridMultilevel"/>
    <w:tmpl w:val="8266F77C"/>
    <w:lvl w:ilvl="0" w:tplc="7FD21FF4">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CD360CC"/>
    <w:multiLevelType w:val="hybridMultilevel"/>
    <w:tmpl w:val="58504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7FE48B3"/>
    <w:multiLevelType w:val="hybridMultilevel"/>
    <w:tmpl w:val="83CA5BD0"/>
    <w:lvl w:ilvl="0" w:tplc="0C09000F">
      <w:start w:val="1"/>
      <w:numFmt w:val="decimal"/>
      <w:lvlText w:val="%1."/>
      <w:lvlJc w:val="left"/>
      <w:pPr>
        <w:ind w:left="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0">
    <w:nsid w:val="6EC54A67"/>
    <w:multiLevelType w:val="hybridMultilevel"/>
    <w:tmpl w:val="4A4A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FBB1A21"/>
    <w:multiLevelType w:val="hybridMultilevel"/>
    <w:tmpl w:val="2DD01208"/>
    <w:lvl w:ilvl="0" w:tplc="7B4EE42C">
      <w:start w:val="1"/>
      <w:numFmt w:val="lowerRoman"/>
      <w:lvlText w:val="%1)"/>
      <w:lvlJc w:val="left"/>
      <w:pPr>
        <w:tabs>
          <w:tab w:val="num" w:pos="709"/>
        </w:tabs>
        <w:ind w:left="709" w:hanging="720"/>
      </w:pPr>
      <w:rPr>
        <w:rFonts w:hint="default"/>
      </w:rPr>
    </w:lvl>
    <w:lvl w:ilvl="1" w:tplc="0C090019" w:tentative="1">
      <w:start w:val="1"/>
      <w:numFmt w:val="lowerLetter"/>
      <w:lvlText w:val="%2."/>
      <w:lvlJc w:val="left"/>
      <w:pPr>
        <w:tabs>
          <w:tab w:val="num" w:pos="1069"/>
        </w:tabs>
        <w:ind w:left="1069" w:hanging="360"/>
      </w:pPr>
    </w:lvl>
    <w:lvl w:ilvl="2" w:tplc="0C09001B" w:tentative="1">
      <w:start w:val="1"/>
      <w:numFmt w:val="lowerRoman"/>
      <w:lvlText w:val="%3."/>
      <w:lvlJc w:val="right"/>
      <w:pPr>
        <w:tabs>
          <w:tab w:val="num" w:pos="1789"/>
        </w:tabs>
        <w:ind w:left="1789" w:hanging="180"/>
      </w:pPr>
    </w:lvl>
    <w:lvl w:ilvl="3" w:tplc="0C09000F" w:tentative="1">
      <w:start w:val="1"/>
      <w:numFmt w:val="decimal"/>
      <w:lvlText w:val="%4."/>
      <w:lvlJc w:val="left"/>
      <w:pPr>
        <w:tabs>
          <w:tab w:val="num" w:pos="2509"/>
        </w:tabs>
        <w:ind w:left="2509" w:hanging="360"/>
      </w:pPr>
    </w:lvl>
    <w:lvl w:ilvl="4" w:tplc="0C090019" w:tentative="1">
      <w:start w:val="1"/>
      <w:numFmt w:val="lowerLetter"/>
      <w:lvlText w:val="%5."/>
      <w:lvlJc w:val="left"/>
      <w:pPr>
        <w:tabs>
          <w:tab w:val="num" w:pos="3229"/>
        </w:tabs>
        <w:ind w:left="3229" w:hanging="360"/>
      </w:pPr>
    </w:lvl>
    <w:lvl w:ilvl="5" w:tplc="0C09001B" w:tentative="1">
      <w:start w:val="1"/>
      <w:numFmt w:val="lowerRoman"/>
      <w:lvlText w:val="%6."/>
      <w:lvlJc w:val="right"/>
      <w:pPr>
        <w:tabs>
          <w:tab w:val="num" w:pos="3949"/>
        </w:tabs>
        <w:ind w:left="3949" w:hanging="180"/>
      </w:pPr>
    </w:lvl>
    <w:lvl w:ilvl="6" w:tplc="0C09000F" w:tentative="1">
      <w:start w:val="1"/>
      <w:numFmt w:val="decimal"/>
      <w:lvlText w:val="%7."/>
      <w:lvlJc w:val="left"/>
      <w:pPr>
        <w:tabs>
          <w:tab w:val="num" w:pos="4669"/>
        </w:tabs>
        <w:ind w:left="4669" w:hanging="360"/>
      </w:pPr>
    </w:lvl>
    <w:lvl w:ilvl="7" w:tplc="0C090019" w:tentative="1">
      <w:start w:val="1"/>
      <w:numFmt w:val="lowerLetter"/>
      <w:lvlText w:val="%8."/>
      <w:lvlJc w:val="left"/>
      <w:pPr>
        <w:tabs>
          <w:tab w:val="num" w:pos="5389"/>
        </w:tabs>
        <w:ind w:left="5389" w:hanging="360"/>
      </w:pPr>
    </w:lvl>
    <w:lvl w:ilvl="8" w:tplc="0C09001B" w:tentative="1">
      <w:start w:val="1"/>
      <w:numFmt w:val="lowerRoman"/>
      <w:lvlText w:val="%9."/>
      <w:lvlJc w:val="right"/>
      <w:pPr>
        <w:tabs>
          <w:tab w:val="num" w:pos="6109"/>
        </w:tabs>
        <w:ind w:left="6109" w:hanging="180"/>
      </w:pPr>
    </w:lvl>
  </w:abstractNum>
  <w:abstractNum w:abstractNumId="22">
    <w:nsid w:val="70B774BC"/>
    <w:multiLevelType w:val="hybridMultilevel"/>
    <w:tmpl w:val="05E69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0F7724E"/>
    <w:multiLevelType w:val="hybridMultilevel"/>
    <w:tmpl w:val="CAA2526E"/>
    <w:lvl w:ilvl="0" w:tplc="0C09001B">
      <w:start w:val="1"/>
      <w:numFmt w:val="lowerRoman"/>
      <w:lvlText w:val="%1."/>
      <w:lvlJc w:val="righ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75DF489D"/>
    <w:multiLevelType w:val="hybridMultilevel"/>
    <w:tmpl w:val="4B766EC2"/>
    <w:lvl w:ilvl="0" w:tplc="7FD21FF4">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79201590"/>
    <w:multiLevelType w:val="hybridMultilevel"/>
    <w:tmpl w:val="589263F6"/>
    <w:lvl w:ilvl="0" w:tplc="7FD21FF4">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21"/>
  </w:num>
  <w:num w:numId="4">
    <w:abstractNumId w:val="25"/>
  </w:num>
  <w:num w:numId="5">
    <w:abstractNumId w:val="24"/>
  </w:num>
  <w:num w:numId="6">
    <w:abstractNumId w:val="17"/>
  </w:num>
  <w:num w:numId="7">
    <w:abstractNumId w:val="22"/>
  </w:num>
  <w:num w:numId="8">
    <w:abstractNumId w:val="6"/>
  </w:num>
  <w:num w:numId="9">
    <w:abstractNumId w:val="3"/>
  </w:num>
  <w:num w:numId="10">
    <w:abstractNumId w:val="10"/>
  </w:num>
  <w:num w:numId="11">
    <w:abstractNumId w:val="4"/>
  </w:num>
  <w:num w:numId="12">
    <w:abstractNumId w:val="19"/>
  </w:num>
  <w:num w:numId="13">
    <w:abstractNumId w:val="5"/>
  </w:num>
  <w:num w:numId="14">
    <w:abstractNumId w:val="12"/>
  </w:num>
  <w:num w:numId="15">
    <w:abstractNumId w:val="16"/>
  </w:num>
  <w:num w:numId="16">
    <w:abstractNumId w:val="15"/>
  </w:num>
  <w:num w:numId="17">
    <w:abstractNumId w:val="20"/>
  </w:num>
  <w:num w:numId="18">
    <w:abstractNumId w:val="23"/>
  </w:num>
  <w:num w:numId="19">
    <w:abstractNumId w:val="18"/>
  </w:num>
  <w:num w:numId="20">
    <w:abstractNumId w:val="2"/>
  </w:num>
  <w:num w:numId="21">
    <w:abstractNumId w:val="8"/>
  </w:num>
  <w:num w:numId="22">
    <w:abstractNumId w:val="14"/>
  </w:num>
  <w:num w:numId="23">
    <w:abstractNumId w:val="11"/>
  </w:num>
  <w:num w:numId="24">
    <w:abstractNumId w:val="1"/>
  </w:num>
  <w:num w:numId="25">
    <w:abstractNumId w:val="9"/>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22"/>
    <w:rsid w:val="00051F2F"/>
    <w:rsid w:val="000A4ADB"/>
    <w:rsid w:val="000C03DC"/>
    <w:rsid w:val="000D26F0"/>
    <w:rsid w:val="000D38DA"/>
    <w:rsid w:val="000D6836"/>
    <w:rsid w:val="000F142E"/>
    <w:rsid w:val="0015675E"/>
    <w:rsid w:val="00162DC9"/>
    <w:rsid w:val="00171F72"/>
    <w:rsid w:val="001C757F"/>
    <w:rsid w:val="001F5D28"/>
    <w:rsid w:val="00227642"/>
    <w:rsid w:val="002B5D08"/>
    <w:rsid w:val="002E039D"/>
    <w:rsid w:val="002E4E26"/>
    <w:rsid w:val="00304AC8"/>
    <w:rsid w:val="00311ACE"/>
    <w:rsid w:val="00324380"/>
    <w:rsid w:val="00341B34"/>
    <w:rsid w:val="00342208"/>
    <w:rsid w:val="00373317"/>
    <w:rsid w:val="0038099B"/>
    <w:rsid w:val="00384C54"/>
    <w:rsid w:val="00394F64"/>
    <w:rsid w:val="003970B7"/>
    <w:rsid w:val="003A0CBE"/>
    <w:rsid w:val="003A2250"/>
    <w:rsid w:val="003E5056"/>
    <w:rsid w:val="00410CD4"/>
    <w:rsid w:val="00412F75"/>
    <w:rsid w:val="00422555"/>
    <w:rsid w:val="004466A8"/>
    <w:rsid w:val="0045283F"/>
    <w:rsid w:val="00464643"/>
    <w:rsid w:val="00491593"/>
    <w:rsid w:val="004B41DC"/>
    <w:rsid w:val="004F197C"/>
    <w:rsid w:val="00533847"/>
    <w:rsid w:val="00553DB4"/>
    <w:rsid w:val="00572313"/>
    <w:rsid w:val="005A456D"/>
    <w:rsid w:val="005D7ABA"/>
    <w:rsid w:val="005E6355"/>
    <w:rsid w:val="006077F0"/>
    <w:rsid w:val="006148EC"/>
    <w:rsid w:val="00624120"/>
    <w:rsid w:val="0062746D"/>
    <w:rsid w:val="0063652D"/>
    <w:rsid w:val="00640717"/>
    <w:rsid w:val="0069635A"/>
    <w:rsid w:val="006A143A"/>
    <w:rsid w:val="006A3BA0"/>
    <w:rsid w:val="006A53DE"/>
    <w:rsid w:val="006B3EF6"/>
    <w:rsid w:val="006F0F97"/>
    <w:rsid w:val="00731E92"/>
    <w:rsid w:val="00733CF1"/>
    <w:rsid w:val="00744C00"/>
    <w:rsid w:val="00754AA7"/>
    <w:rsid w:val="00764D23"/>
    <w:rsid w:val="00783380"/>
    <w:rsid w:val="00797896"/>
    <w:rsid w:val="007E5706"/>
    <w:rsid w:val="007F1E5B"/>
    <w:rsid w:val="00800FF5"/>
    <w:rsid w:val="008469B1"/>
    <w:rsid w:val="00846CDA"/>
    <w:rsid w:val="00861FD3"/>
    <w:rsid w:val="00891276"/>
    <w:rsid w:val="008A6475"/>
    <w:rsid w:val="008B0470"/>
    <w:rsid w:val="008B5B94"/>
    <w:rsid w:val="008D12D0"/>
    <w:rsid w:val="00991060"/>
    <w:rsid w:val="009B5F9A"/>
    <w:rsid w:val="009F2D50"/>
    <w:rsid w:val="009F5B1A"/>
    <w:rsid w:val="00A15E37"/>
    <w:rsid w:val="00A202B7"/>
    <w:rsid w:val="00A31C49"/>
    <w:rsid w:val="00A36622"/>
    <w:rsid w:val="00A37DF9"/>
    <w:rsid w:val="00A46A8A"/>
    <w:rsid w:val="00A52004"/>
    <w:rsid w:val="00A67F55"/>
    <w:rsid w:val="00AA59FF"/>
    <w:rsid w:val="00AB06CD"/>
    <w:rsid w:val="00AB2002"/>
    <w:rsid w:val="00AB6CFF"/>
    <w:rsid w:val="00AC0343"/>
    <w:rsid w:val="00AD2A80"/>
    <w:rsid w:val="00AE5ADF"/>
    <w:rsid w:val="00AF4752"/>
    <w:rsid w:val="00B03418"/>
    <w:rsid w:val="00B069C6"/>
    <w:rsid w:val="00B45032"/>
    <w:rsid w:val="00B74664"/>
    <w:rsid w:val="00BA04E5"/>
    <w:rsid w:val="00BB21A6"/>
    <w:rsid w:val="00BC0ABE"/>
    <w:rsid w:val="00BF774F"/>
    <w:rsid w:val="00C2421C"/>
    <w:rsid w:val="00C335A5"/>
    <w:rsid w:val="00C914D6"/>
    <w:rsid w:val="00CA03AB"/>
    <w:rsid w:val="00CA0D72"/>
    <w:rsid w:val="00CC28CD"/>
    <w:rsid w:val="00CC4B48"/>
    <w:rsid w:val="00CF167B"/>
    <w:rsid w:val="00CF653B"/>
    <w:rsid w:val="00D005EC"/>
    <w:rsid w:val="00D2736F"/>
    <w:rsid w:val="00D3160F"/>
    <w:rsid w:val="00D7103E"/>
    <w:rsid w:val="00D83B72"/>
    <w:rsid w:val="00D92642"/>
    <w:rsid w:val="00DB36A0"/>
    <w:rsid w:val="00DB3964"/>
    <w:rsid w:val="00DF32BF"/>
    <w:rsid w:val="00E021E5"/>
    <w:rsid w:val="00E202B5"/>
    <w:rsid w:val="00E272A9"/>
    <w:rsid w:val="00E34971"/>
    <w:rsid w:val="00E53B6B"/>
    <w:rsid w:val="00E63450"/>
    <w:rsid w:val="00E719F3"/>
    <w:rsid w:val="00E770C4"/>
    <w:rsid w:val="00E83542"/>
    <w:rsid w:val="00E93BC1"/>
    <w:rsid w:val="00EA03B3"/>
    <w:rsid w:val="00EC0D64"/>
    <w:rsid w:val="00ED1C92"/>
    <w:rsid w:val="00F07A2D"/>
    <w:rsid w:val="00F53196"/>
    <w:rsid w:val="00F56174"/>
    <w:rsid w:val="00F6268C"/>
    <w:rsid w:val="00F80D1F"/>
    <w:rsid w:val="00F81A2E"/>
    <w:rsid w:val="00F92550"/>
    <w:rsid w:val="00FA44C0"/>
    <w:rsid w:val="00FB5BE1"/>
    <w:rsid w:val="00FC3D01"/>
    <w:rsid w:val="00FE2D3B"/>
    <w:rsid w:val="00FE7DD1"/>
    <w:rsid w:val="00FF05A3"/>
    <w:rsid w:val="00FF7979"/>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2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717"/>
    <w:pPr>
      <w:spacing w:before="120" w:after="120"/>
    </w:pPr>
    <w:rPr>
      <w:sz w:val="24"/>
      <w:szCs w:val="24"/>
    </w:rPr>
  </w:style>
  <w:style w:type="paragraph" w:styleId="Heading1">
    <w:name w:val="heading 1"/>
    <w:basedOn w:val="Normal"/>
    <w:next w:val="Normal"/>
    <w:link w:val="Heading1Char"/>
    <w:qFormat/>
    <w:rsid w:val="00412F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F75"/>
    <w:pPr>
      <w:keepNext/>
      <w:spacing w:before="360" w:after="60"/>
      <w:outlineLvl w:val="1"/>
    </w:pPr>
    <w:rPr>
      <w:rFonts w:ascii="Arial" w:hAnsi="Arial" w:cs="Arial"/>
      <w:b/>
      <w:bCs/>
      <w:iCs/>
      <w:sz w:val="28"/>
      <w:szCs w:val="28"/>
    </w:rPr>
  </w:style>
  <w:style w:type="paragraph" w:styleId="Heading3">
    <w:name w:val="heading 3"/>
    <w:basedOn w:val="Normal"/>
    <w:next w:val="Normal"/>
    <w:link w:val="Heading3Char"/>
    <w:qFormat/>
    <w:rsid w:val="00412F75"/>
    <w:pPr>
      <w:keepNext/>
      <w:spacing w:before="240" w:after="60"/>
      <w:outlineLvl w:val="2"/>
    </w:pPr>
    <w:rPr>
      <w:rFonts w:ascii="Arial" w:hAnsi="Arial" w:cs="Arial"/>
      <w:b/>
      <w:bCs/>
    </w:rPr>
  </w:style>
  <w:style w:type="paragraph" w:styleId="Heading4">
    <w:name w:val="heading 4"/>
    <w:basedOn w:val="Normal"/>
    <w:next w:val="Normal"/>
    <w:link w:val="Heading4Char"/>
    <w:unhideWhenUsed/>
    <w:qFormat/>
    <w:rsid w:val="009F2D50"/>
    <w:pPr>
      <w:ind w:right="-3"/>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691"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rPr>
      <w:color w:val="auto"/>
    </w:rPr>
  </w:style>
  <w:style w:type="paragraph" w:customStyle="1" w:styleId="CM2">
    <w:name w:val="CM2"/>
    <w:basedOn w:val="Default"/>
    <w:next w:val="Default"/>
    <w:rPr>
      <w:color w:val="auto"/>
    </w:rPr>
  </w:style>
  <w:style w:type="paragraph" w:customStyle="1" w:styleId="CM80">
    <w:name w:val="CM80"/>
    <w:basedOn w:val="Default"/>
    <w:next w:val="Default"/>
    <w:rPr>
      <w:color w:val="auto"/>
    </w:rPr>
  </w:style>
  <w:style w:type="paragraph" w:customStyle="1" w:styleId="CM3">
    <w:name w:val="CM3"/>
    <w:basedOn w:val="Default"/>
    <w:next w:val="Default"/>
    <w:pPr>
      <w:spacing w:line="346" w:lineRule="atLeast"/>
    </w:pPr>
    <w:rPr>
      <w:color w:val="auto"/>
    </w:rPr>
  </w:style>
  <w:style w:type="paragraph" w:customStyle="1" w:styleId="CM6">
    <w:name w:val="CM6"/>
    <w:basedOn w:val="Default"/>
    <w:next w:val="Default"/>
    <w:pPr>
      <w:spacing w:line="346" w:lineRule="atLeast"/>
    </w:pPr>
    <w:rPr>
      <w:color w:val="auto"/>
    </w:rPr>
  </w:style>
  <w:style w:type="paragraph" w:customStyle="1" w:styleId="CM7">
    <w:name w:val="CM7"/>
    <w:basedOn w:val="Default"/>
    <w:next w:val="Default"/>
    <w:pPr>
      <w:spacing w:line="346" w:lineRule="atLeast"/>
    </w:pPr>
    <w:rPr>
      <w:color w:val="auto"/>
    </w:rPr>
  </w:style>
  <w:style w:type="paragraph" w:customStyle="1" w:styleId="CM8">
    <w:name w:val="CM8"/>
    <w:basedOn w:val="Default"/>
    <w:next w:val="Default"/>
    <w:pPr>
      <w:spacing w:line="346" w:lineRule="atLeast"/>
    </w:pPr>
    <w:rPr>
      <w:color w:val="auto"/>
    </w:rPr>
  </w:style>
  <w:style w:type="paragraph" w:customStyle="1" w:styleId="CM81">
    <w:name w:val="CM81"/>
    <w:basedOn w:val="Default"/>
    <w:next w:val="Default"/>
    <w:rPr>
      <w:color w:val="auto"/>
    </w:rPr>
  </w:style>
  <w:style w:type="paragraph" w:customStyle="1" w:styleId="CM9">
    <w:name w:val="CM9"/>
    <w:basedOn w:val="Default"/>
    <w:next w:val="Default"/>
    <w:rPr>
      <w:color w:val="auto"/>
    </w:rPr>
  </w:style>
  <w:style w:type="paragraph" w:customStyle="1" w:styleId="CM14">
    <w:name w:val="CM14"/>
    <w:basedOn w:val="Default"/>
    <w:next w:val="Default"/>
    <w:rPr>
      <w:color w:val="auto"/>
    </w:rPr>
  </w:style>
  <w:style w:type="paragraph" w:customStyle="1" w:styleId="CM15">
    <w:name w:val="CM15"/>
    <w:basedOn w:val="Default"/>
    <w:next w:val="Default"/>
    <w:pPr>
      <w:spacing w:line="346" w:lineRule="atLeast"/>
    </w:pPr>
    <w:rPr>
      <w:color w:val="auto"/>
    </w:rPr>
  </w:style>
  <w:style w:type="paragraph" w:customStyle="1" w:styleId="CM84">
    <w:name w:val="CM84"/>
    <w:basedOn w:val="Default"/>
    <w:next w:val="Default"/>
    <w:rPr>
      <w:color w:val="auto"/>
    </w:rPr>
  </w:style>
  <w:style w:type="paragraph" w:customStyle="1" w:styleId="CM16">
    <w:name w:val="CM16"/>
    <w:basedOn w:val="Default"/>
    <w:next w:val="Default"/>
    <w:pPr>
      <w:spacing w:line="348" w:lineRule="atLeast"/>
    </w:pPr>
    <w:rPr>
      <w:color w:val="auto"/>
    </w:rPr>
  </w:style>
  <w:style w:type="paragraph" w:customStyle="1" w:styleId="CM85">
    <w:name w:val="CM85"/>
    <w:basedOn w:val="Default"/>
    <w:next w:val="Default"/>
    <w:rPr>
      <w:color w:val="auto"/>
    </w:rPr>
  </w:style>
  <w:style w:type="paragraph" w:customStyle="1" w:styleId="CM17">
    <w:name w:val="CM17"/>
    <w:basedOn w:val="Default"/>
    <w:next w:val="Default"/>
    <w:pPr>
      <w:spacing w:line="346" w:lineRule="atLeast"/>
    </w:pPr>
    <w:rPr>
      <w:color w:val="auto"/>
    </w:rPr>
  </w:style>
  <w:style w:type="paragraph" w:customStyle="1" w:styleId="CM83">
    <w:name w:val="CM83"/>
    <w:basedOn w:val="Default"/>
    <w:next w:val="Default"/>
    <w:rPr>
      <w:color w:val="auto"/>
    </w:rPr>
  </w:style>
  <w:style w:type="paragraph" w:customStyle="1" w:styleId="CM87">
    <w:name w:val="CM87"/>
    <w:basedOn w:val="Default"/>
    <w:next w:val="Default"/>
    <w:rPr>
      <w:color w:val="auto"/>
    </w:rPr>
  </w:style>
  <w:style w:type="paragraph" w:customStyle="1" w:styleId="CM82">
    <w:name w:val="CM82"/>
    <w:basedOn w:val="Default"/>
    <w:next w:val="Default"/>
    <w:rPr>
      <w:color w:val="auto"/>
    </w:rPr>
  </w:style>
  <w:style w:type="paragraph" w:customStyle="1" w:styleId="CM88">
    <w:name w:val="CM88"/>
    <w:basedOn w:val="Default"/>
    <w:next w:val="Default"/>
    <w:rPr>
      <w:color w:val="auto"/>
    </w:rPr>
  </w:style>
  <w:style w:type="paragraph" w:customStyle="1" w:styleId="CM18">
    <w:name w:val="CM18"/>
    <w:basedOn w:val="Default"/>
    <w:next w:val="Default"/>
    <w:pPr>
      <w:spacing w:line="346" w:lineRule="atLeast"/>
    </w:pPr>
    <w:rPr>
      <w:color w:val="auto"/>
    </w:rPr>
  </w:style>
  <w:style w:type="paragraph" w:customStyle="1" w:styleId="CM19">
    <w:name w:val="CM19"/>
    <w:basedOn w:val="Default"/>
    <w:next w:val="Default"/>
    <w:pPr>
      <w:spacing w:line="346" w:lineRule="atLeast"/>
    </w:pPr>
    <w:rPr>
      <w:color w:val="auto"/>
    </w:rPr>
  </w:style>
  <w:style w:type="paragraph" w:customStyle="1" w:styleId="CM20">
    <w:name w:val="CM20"/>
    <w:basedOn w:val="Default"/>
    <w:next w:val="Default"/>
    <w:pPr>
      <w:spacing w:line="346" w:lineRule="atLeast"/>
    </w:pPr>
    <w:rPr>
      <w:color w:val="auto"/>
    </w:rPr>
  </w:style>
  <w:style w:type="paragraph" w:customStyle="1" w:styleId="CM21">
    <w:name w:val="CM21"/>
    <w:basedOn w:val="Default"/>
    <w:next w:val="Default"/>
    <w:pPr>
      <w:spacing w:line="346" w:lineRule="atLeast"/>
    </w:pPr>
    <w:rPr>
      <w:color w:val="auto"/>
    </w:rPr>
  </w:style>
  <w:style w:type="paragraph" w:customStyle="1" w:styleId="CM22">
    <w:name w:val="CM22"/>
    <w:basedOn w:val="Default"/>
    <w:next w:val="Default"/>
    <w:rPr>
      <w:color w:val="auto"/>
    </w:rPr>
  </w:style>
  <w:style w:type="paragraph" w:customStyle="1" w:styleId="CM24">
    <w:name w:val="CM24"/>
    <w:basedOn w:val="Default"/>
    <w:next w:val="Default"/>
    <w:pPr>
      <w:spacing w:line="346" w:lineRule="atLeast"/>
    </w:pPr>
    <w:rPr>
      <w:color w:val="auto"/>
    </w:rPr>
  </w:style>
  <w:style w:type="paragraph" w:customStyle="1" w:styleId="CM26">
    <w:name w:val="CM26"/>
    <w:basedOn w:val="Default"/>
    <w:next w:val="Default"/>
    <w:pPr>
      <w:spacing w:line="346" w:lineRule="atLeast"/>
    </w:pPr>
    <w:rPr>
      <w:color w:val="auto"/>
    </w:rPr>
  </w:style>
  <w:style w:type="paragraph" w:customStyle="1" w:styleId="CM89">
    <w:name w:val="CM89"/>
    <w:basedOn w:val="Default"/>
    <w:next w:val="Default"/>
    <w:rPr>
      <w:color w:val="auto"/>
    </w:rPr>
  </w:style>
  <w:style w:type="paragraph" w:customStyle="1" w:styleId="CM90">
    <w:name w:val="CM90"/>
    <w:basedOn w:val="Default"/>
    <w:next w:val="Default"/>
    <w:rPr>
      <w:color w:val="auto"/>
    </w:rPr>
  </w:style>
  <w:style w:type="paragraph" w:customStyle="1" w:styleId="CM91">
    <w:name w:val="CM91"/>
    <w:basedOn w:val="Default"/>
    <w:next w:val="Default"/>
    <w:rPr>
      <w:color w:val="auto"/>
    </w:rPr>
  </w:style>
  <w:style w:type="paragraph" w:customStyle="1" w:styleId="CM27">
    <w:name w:val="CM27"/>
    <w:basedOn w:val="Default"/>
    <w:next w:val="Default"/>
    <w:rPr>
      <w:color w:val="auto"/>
    </w:rPr>
  </w:style>
  <w:style w:type="paragraph" w:customStyle="1" w:styleId="CM92">
    <w:name w:val="CM92"/>
    <w:basedOn w:val="Default"/>
    <w:next w:val="Default"/>
    <w:rPr>
      <w:color w:val="auto"/>
    </w:rPr>
  </w:style>
  <w:style w:type="paragraph" w:customStyle="1" w:styleId="CM28">
    <w:name w:val="CM28"/>
    <w:basedOn w:val="Default"/>
    <w:next w:val="Default"/>
    <w:pPr>
      <w:spacing w:line="346" w:lineRule="atLeast"/>
    </w:pPr>
    <w:rPr>
      <w:color w:val="auto"/>
    </w:rPr>
  </w:style>
  <w:style w:type="paragraph" w:customStyle="1" w:styleId="CM93">
    <w:name w:val="CM93"/>
    <w:basedOn w:val="Default"/>
    <w:next w:val="Default"/>
    <w:rPr>
      <w:color w:val="auto"/>
    </w:rPr>
  </w:style>
  <w:style w:type="paragraph" w:customStyle="1" w:styleId="CM30">
    <w:name w:val="CM30"/>
    <w:basedOn w:val="Default"/>
    <w:next w:val="Default"/>
    <w:pPr>
      <w:spacing w:line="483" w:lineRule="atLeast"/>
    </w:pPr>
    <w:rPr>
      <w:color w:val="auto"/>
    </w:rPr>
  </w:style>
  <w:style w:type="paragraph" w:customStyle="1" w:styleId="CM31">
    <w:name w:val="CM31"/>
    <w:basedOn w:val="Default"/>
    <w:next w:val="Default"/>
    <w:pPr>
      <w:spacing w:line="346" w:lineRule="atLeast"/>
    </w:pPr>
    <w:rPr>
      <w:color w:val="auto"/>
    </w:rPr>
  </w:style>
  <w:style w:type="paragraph" w:customStyle="1" w:styleId="CM33">
    <w:name w:val="CM33"/>
    <w:basedOn w:val="Default"/>
    <w:next w:val="Default"/>
    <w:pPr>
      <w:spacing w:line="346" w:lineRule="atLeast"/>
    </w:pPr>
    <w:rPr>
      <w:color w:val="auto"/>
    </w:rPr>
  </w:style>
  <w:style w:type="paragraph" w:customStyle="1" w:styleId="CM34">
    <w:name w:val="CM34"/>
    <w:basedOn w:val="Default"/>
    <w:next w:val="Default"/>
    <w:rPr>
      <w:color w:val="auto"/>
    </w:rPr>
  </w:style>
  <w:style w:type="paragraph" w:customStyle="1" w:styleId="CM35">
    <w:name w:val="CM35"/>
    <w:basedOn w:val="Default"/>
    <w:next w:val="Default"/>
    <w:rPr>
      <w:color w:val="auto"/>
    </w:rPr>
  </w:style>
  <w:style w:type="paragraph" w:customStyle="1" w:styleId="CM36">
    <w:name w:val="CM36"/>
    <w:basedOn w:val="Default"/>
    <w:next w:val="Default"/>
    <w:pPr>
      <w:spacing w:line="278" w:lineRule="atLeast"/>
    </w:pPr>
    <w:rPr>
      <w:color w:val="auto"/>
    </w:rPr>
  </w:style>
  <w:style w:type="paragraph" w:customStyle="1" w:styleId="CM37">
    <w:name w:val="CM37"/>
    <w:basedOn w:val="Default"/>
    <w:next w:val="Default"/>
    <w:pPr>
      <w:spacing w:line="278" w:lineRule="atLeast"/>
    </w:pPr>
    <w:rPr>
      <w:color w:val="auto"/>
    </w:rPr>
  </w:style>
  <w:style w:type="paragraph" w:customStyle="1" w:styleId="CM38">
    <w:name w:val="CM38"/>
    <w:basedOn w:val="Default"/>
    <w:next w:val="Default"/>
    <w:rPr>
      <w:color w:val="auto"/>
    </w:rPr>
  </w:style>
  <w:style w:type="paragraph" w:customStyle="1" w:styleId="CM39">
    <w:name w:val="CM39"/>
    <w:basedOn w:val="Default"/>
    <w:next w:val="Default"/>
    <w:rPr>
      <w:color w:val="auto"/>
    </w:rPr>
  </w:style>
  <w:style w:type="paragraph" w:customStyle="1" w:styleId="CM40">
    <w:name w:val="CM40"/>
    <w:basedOn w:val="Default"/>
    <w:next w:val="Default"/>
    <w:rPr>
      <w:color w:val="auto"/>
    </w:rPr>
  </w:style>
  <w:style w:type="paragraph" w:customStyle="1" w:styleId="CM41">
    <w:name w:val="CM41"/>
    <w:basedOn w:val="Default"/>
    <w:next w:val="Default"/>
    <w:rPr>
      <w:color w:val="auto"/>
    </w:rPr>
  </w:style>
  <w:style w:type="paragraph" w:customStyle="1" w:styleId="CM94">
    <w:name w:val="CM94"/>
    <w:basedOn w:val="Default"/>
    <w:next w:val="Default"/>
    <w:rPr>
      <w:color w:val="auto"/>
    </w:rPr>
  </w:style>
  <w:style w:type="paragraph" w:customStyle="1" w:styleId="CM42">
    <w:name w:val="CM42"/>
    <w:basedOn w:val="Default"/>
    <w:next w:val="Default"/>
    <w:rPr>
      <w:color w:val="auto"/>
    </w:rPr>
  </w:style>
  <w:style w:type="paragraph" w:customStyle="1" w:styleId="CM43">
    <w:name w:val="CM43"/>
    <w:basedOn w:val="Default"/>
    <w:next w:val="Default"/>
    <w:pPr>
      <w:spacing w:line="553" w:lineRule="atLeast"/>
    </w:pPr>
    <w:rPr>
      <w:color w:val="auto"/>
    </w:rPr>
  </w:style>
  <w:style w:type="paragraph" w:customStyle="1" w:styleId="CM45">
    <w:name w:val="CM45"/>
    <w:basedOn w:val="Default"/>
    <w:next w:val="Default"/>
    <w:pPr>
      <w:spacing w:line="346" w:lineRule="atLeast"/>
    </w:pPr>
    <w:rPr>
      <w:color w:val="auto"/>
    </w:rPr>
  </w:style>
  <w:style w:type="paragraph" w:customStyle="1" w:styleId="CM95">
    <w:name w:val="CM95"/>
    <w:basedOn w:val="Default"/>
    <w:next w:val="Default"/>
    <w:rPr>
      <w:color w:val="auto"/>
    </w:rPr>
  </w:style>
  <w:style w:type="paragraph" w:customStyle="1" w:styleId="CM96">
    <w:name w:val="CM96"/>
    <w:basedOn w:val="Default"/>
    <w:next w:val="Default"/>
    <w:rPr>
      <w:color w:val="auto"/>
    </w:rPr>
  </w:style>
  <w:style w:type="paragraph" w:customStyle="1" w:styleId="CM48">
    <w:name w:val="CM48"/>
    <w:basedOn w:val="Default"/>
    <w:next w:val="Default"/>
    <w:pPr>
      <w:spacing w:line="346" w:lineRule="atLeast"/>
    </w:pPr>
    <w:rPr>
      <w:color w:val="auto"/>
    </w:rPr>
  </w:style>
  <w:style w:type="paragraph" w:customStyle="1" w:styleId="CM97">
    <w:name w:val="CM97"/>
    <w:basedOn w:val="Default"/>
    <w:next w:val="Default"/>
    <w:rPr>
      <w:color w:val="auto"/>
    </w:rPr>
  </w:style>
  <w:style w:type="paragraph" w:customStyle="1" w:styleId="CM98">
    <w:name w:val="CM98"/>
    <w:basedOn w:val="Default"/>
    <w:next w:val="Default"/>
    <w:rPr>
      <w:color w:val="auto"/>
    </w:rPr>
  </w:style>
  <w:style w:type="paragraph" w:customStyle="1" w:styleId="CM50">
    <w:name w:val="CM50"/>
    <w:basedOn w:val="Default"/>
    <w:next w:val="Default"/>
    <w:pPr>
      <w:spacing w:line="311" w:lineRule="atLeast"/>
    </w:pPr>
    <w:rPr>
      <w:color w:val="auto"/>
    </w:rPr>
  </w:style>
  <w:style w:type="paragraph" w:customStyle="1" w:styleId="CM5">
    <w:name w:val="CM5"/>
    <w:basedOn w:val="Default"/>
    <w:next w:val="Default"/>
    <w:pPr>
      <w:spacing w:line="346" w:lineRule="atLeast"/>
    </w:pPr>
    <w:rPr>
      <w:color w:val="auto"/>
    </w:rPr>
  </w:style>
  <w:style w:type="paragraph" w:customStyle="1" w:styleId="CM99">
    <w:name w:val="CM99"/>
    <w:basedOn w:val="Default"/>
    <w:next w:val="Default"/>
    <w:rPr>
      <w:color w:val="auto"/>
    </w:rPr>
  </w:style>
  <w:style w:type="paragraph" w:customStyle="1" w:styleId="CM100">
    <w:name w:val="CM100"/>
    <w:basedOn w:val="Default"/>
    <w:next w:val="Default"/>
    <w:rPr>
      <w:color w:val="auto"/>
    </w:rPr>
  </w:style>
  <w:style w:type="paragraph" w:customStyle="1" w:styleId="CM32">
    <w:name w:val="CM32"/>
    <w:basedOn w:val="Default"/>
    <w:next w:val="Default"/>
    <w:pPr>
      <w:spacing w:line="346" w:lineRule="atLeast"/>
    </w:pPr>
    <w:rPr>
      <w:color w:val="auto"/>
    </w:rPr>
  </w:style>
  <w:style w:type="paragraph" w:customStyle="1" w:styleId="CM51">
    <w:name w:val="CM51"/>
    <w:basedOn w:val="Default"/>
    <w:next w:val="Default"/>
    <w:rPr>
      <w:color w:val="auto"/>
    </w:rPr>
  </w:style>
  <w:style w:type="paragraph" w:customStyle="1" w:styleId="CM52">
    <w:name w:val="CM52"/>
    <w:basedOn w:val="Default"/>
    <w:next w:val="Default"/>
    <w:rPr>
      <w:color w:val="auto"/>
    </w:rPr>
  </w:style>
  <w:style w:type="paragraph" w:customStyle="1" w:styleId="CM53">
    <w:name w:val="CM53"/>
    <w:basedOn w:val="Default"/>
    <w:next w:val="Default"/>
    <w:rPr>
      <w:color w:val="auto"/>
    </w:rPr>
  </w:style>
  <w:style w:type="paragraph" w:customStyle="1" w:styleId="CM101">
    <w:name w:val="CM101"/>
    <w:basedOn w:val="Default"/>
    <w:next w:val="Default"/>
    <w:rPr>
      <w:color w:val="auto"/>
    </w:rPr>
  </w:style>
  <w:style w:type="paragraph" w:customStyle="1" w:styleId="CM54">
    <w:name w:val="CM54"/>
    <w:basedOn w:val="Default"/>
    <w:next w:val="Default"/>
    <w:rPr>
      <w:color w:val="auto"/>
    </w:rPr>
  </w:style>
  <w:style w:type="paragraph" w:customStyle="1" w:styleId="CM55">
    <w:name w:val="CM55"/>
    <w:basedOn w:val="Default"/>
    <w:next w:val="Default"/>
    <w:rPr>
      <w:color w:val="auto"/>
    </w:rPr>
  </w:style>
  <w:style w:type="paragraph" w:customStyle="1" w:styleId="CM102">
    <w:name w:val="CM102"/>
    <w:basedOn w:val="Default"/>
    <w:next w:val="Default"/>
    <w:rPr>
      <w:color w:val="auto"/>
    </w:rPr>
  </w:style>
  <w:style w:type="paragraph" w:customStyle="1" w:styleId="CM25">
    <w:name w:val="CM25"/>
    <w:basedOn w:val="Default"/>
    <w:next w:val="Default"/>
    <w:pPr>
      <w:spacing w:line="346" w:lineRule="atLeast"/>
    </w:pPr>
    <w:rPr>
      <w:color w:val="auto"/>
    </w:rPr>
  </w:style>
  <w:style w:type="paragraph" w:customStyle="1" w:styleId="CM56">
    <w:name w:val="CM56"/>
    <w:basedOn w:val="Default"/>
    <w:next w:val="Default"/>
    <w:pPr>
      <w:spacing w:line="346" w:lineRule="atLeast"/>
    </w:pPr>
    <w:rPr>
      <w:color w:val="auto"/>
    </w:rPr>
  </w:style>
  <w:style w:type="paragraph" w:customStyle="1" w:styleId="CM49">
    <w:name w:val="CM49"/>
    <w:basedOn w:val="Default"/>
    <w:next w:val="Default"/>
    <w:pPr>
      <w:spacing w:line="346" w:lineRule="atLeast"/>
    </w:pPr>
    <w:rPr>
      <w:color w:val="auto"/>
    </w:rPr>
  </w:style>
  <w:style w:type="paragraph" w:customStyle="1" w:styleId="CM104">
    <w:name w:val="CM104"/>
    <w:basedOn w:val="Default"/>
    <w:next w:val="Default"/>
    <w:rPr>
      <w:color w:val="auto"/>
    </w:rPr>
  </w:style>
  <w:style w:type="paragraph" w:customStyle="1" w:styleId="CM105">
    <w:name w:val="CM105"/>
    <w:basedOn w:val="Default"/>
    <w:next w:val="Default"/>
    <w:rPr>
      <w:color w:val="auto"/>
    </w:rPr>
  </w:style>
  <w:style w:type="paragraph" w:customStyle="1" w:styleId="CM106">
    <w:name w:val="CM106"/>
    <w:basedOn w:val="Default"/>
    <w:next w:val="Default"/>
    <w:rPr>
      <w:color w:val="auto"/>
    </w:rPr>
  </w:style>
  <w:style w:type="paragraph" w:customStyle="1" w:styleId="CM57">
    <w:name w:val="CM57"/>
    <w:basedOn w:val="Default"/>
    <w:next w:val="Default"/>
    <w:rPr>
      <w:color w:val="auto"/>
    </w:rPr>
  </w:style>
  <w:style w:type="paragraph" w:customStyle="1" w:styleId="CM58">
    <w:name w:val="CM58"/>
    <w:basedOn w:val="Default"/>
    <w:next w:val="Default"/>
    <w:rPr>
      <w:color w:val="auto"/>
    </w:rPr>
  </w:style>
  <w:style w:type="paragraph" w:customStyle="1" w:styleId="CM59">
    <w:name w:val="CM59"/>
    <w:basedOn w:val="Default"/>
    <w:next w:val="Default"/>
    <w:pPr>
      <w:spacing w:line="346" w:lineRule="atLeast"/>
    </w:pPr>
    <w:rPr>
      <w:color w:val="auto"/>
    </w:rPr>
  </w:style>
  <w:style w:type="paragraph" w:customStyle="1" w:styleId="CM60">
    <w:name w:val="CM60"/>
    <w:basedOn w:val="Default"/>
    <w:next w:val="Default"/>
    <w:rPr>
      <w:color w:val="auto"/>
    </w:rPr>
  </w:style>
  <w:style w:type="paragraph" w:customStyle="1" w:styleId="CM61">
    <w:name w:val="CM61"/>
    <w:basedOn w:val="Default"/>
    <w:next w:val="Default"/>
    <w:pPr>
      <w:spacing w:line="348" w:lineRule="atLeast"/>
    </w:pPr>
    <w:rPr>
      <w:color w:val="auto"/>
    </w:rPr>
  </w:style>
  <w:style w:type="paragraph" w:customStyle="1" w:styleId="CM107">
    <w:name w:val="CM107"/>
    <w:basedOn w:val="Default"/>
    <w:next w:val="Default"/>
    <w:rPr>
      <w:color w:val="auto"/>
    </w:rPr>
  </w:style>
  <w:style w:type="paragraph" w:customStyle="1" w:styleId="CM62">
    <w:name w:val="CM62"/>
    <w:basedOn w:val="Default"/>
    <w:next w:val="Default"/>
    <w:rPr>
      <w:color w:val="auto"/>
    </w:rPr>
  </w:style>
  <w:style w:type="paragraph" w:customStyle="1" w:styleId="CM103">
    <w:name w:val="CM103"/>
    <w:basedOn w:val="Default"/>
    <w:next w:val="Default"/>
    <w:rPr>
      <w:color w:val="auto"/>
    </w:rPr>
  </w:style>
  <w:style w:type="paragraph" w:customStyle="1" w:styleId="CM63">
    <w:name w:val="CM63"/>
    <w:basedOn w:val="Default"/>
    <w:next w:val="Default"/>
    <w:pPr>
      <w:spacing w:line="346" w:lineRule="atLeast"/>
    </w:pPr>
    <w:rPr>
      <w:color w:val="auto"/>
    </w:rPr>
  </w:style>
  <w:style w:type="paragraph" w:customStyle="1" w:styleId="CM64">
    <w:name w:val="CM64"/>
    <w:basedOn w:val="Default"/>
    <w:next w:val="Default"/>
    <w:pPr>
      <w:spacing w:line="346" w:lineRule="atLeast"/>
    </w:pPr>
    <w:rPr>
      <w:color w:val="auto"/>
    </w:rPr>
  </w:style>
  <w:style w:type="paragraph" w:customStyle="1" w:styleId="CM65">
    <w:name w:val="CM65"/>
    <w:basedOn w:val="Default"/>
    <w:next w:val="Default"/>
    <w:pPr>
      <w:spacing w:line="346" w:lineRule="atLeast"/>
    </w:pPr>
    <w:rPr>
      <w:color w:val="auto"/>
    </w:rPr>
  </w:style>
  <w:style w:type="paragraph" w:customStyle="1" w:styleId="CM13">
    <w:name w:val="CM13"/>
    <w:basedOn w:val="Default"/>
    <w:next w:val="Default"/>
    <w:pPr>
      <w:spacing w:line="346" w:lineRule="atLeast"/>
    </w:pPr>
    <w:rPr>
      <w:color w:val="auto"/>
    </w:rPr>
  </w:style>
  <w:style w:type="paragraph" w:customStyle="1" w:styleId="CM66">
    <w:name w:val="CM66"/>
    <w:basedOn w:val="Default"/>
    <w:next w:val="Default"/>
    <w:pPr>
      <w:spacing w:line="346" w:lineRule="atLeast"/>
    </w:pPr>
    <w:rPr>
      <w:color w:val="auto"/>
    </w:rPr>
  </w:style>
  <w:style w:type="paragraph" w:customStyle="1" w:styleId="CM67">
    <w:name w:val="CM67"/>
    <w:basedOn w:val="Default"/>
    <w:next w:val="Default"/>
    <w:pPr>
      <w:spacing w:line="346" w:lineRule="atLeast"/>
    </w:pPr>
    <w:rPr>
      <w:color w:val="auto"/>
    </w:rPr>
  </w:style>
  <w:style w:type="paragraph" w:customStyle="1" w:styleId="CM68">
    <w:name w:val="CM68"/>
    <w:basedOn w:val="Default"/>
    <w:next w:val="Default"/>
    <w:pPr>
      <w:spacing w:line="346" w:lineRule="atLeast"/>
    </w:pPr>
    <w:rPr>
      <w:color w:val="auto"/>
    </w:rPr>
  </w:style>
  <w:style w:type="paragraph" w:customStyle="1" w:styleId="CM69">
    <w:name w:val="CM69"/>
    <w:basedOn w:val="Default"/>
    <w:next w:val="Default"/>
    <w:pPr>
      <w:spacing w:line="346" w:lineRule="atLeast"/>
    </w:pPr>
    <w:rPr>
      <w:color w:val="auto"/>
    </w:rPr>
  </w:style>
  <w:style w:type="paragraph" w:customStyle="1" w:styleId="CM70">
    <w:name w:val="CM70"/>
    <w:basedOn w:val="Default"/>
    <w:next w:val="Default"/>
    <w:pPr>
      <w:spacing w:line="346" w:lineRule="atLeast"/>
    </w:pPr>
    <w:rPr>
      <w:color w:val="auto"/>
    </w:rPr>
  </w:style>
  <w:style w:type="paragraph" w:customStyle="1" w:styleId="CM71">
    <w:name w:val="CM71"/>
    <w:basedOn w:val="Default"/>
    <w:next w:val="Default"/>
    <w:pPr>
      <w:spacing w:line="346" w:lineRule="atLeast"/>
    </w:pPr>
    <w:rPr>
      <w:color w:val="auto"/>
    </w:rPr>
  </w:style>
  <w:style w:type="paragraph" w:customStyle="1" w:styleId="CM72">
    <w:name w:val="CM72"/>
    <w:basedOn w:val="Default"/>
    <w:next w:val="Default"/>
    <w:pPr>
      <w:spacing w:line="346" w:lineRule="atLeast"/>
    </w:pPr>
    <w:rPr>
      <w:color w:val="auto"/>
    </w:rPr>
  </w:style>
  <w:style w:type="paragraph" w:customStyle="1" w:styleId="CM74">
    <w:name w:val="CM74"/>
    <w:basedOn w:val="Default"/>
    <w:next w:val="Default"/>
    <w:pPr>
      <w:spacing w:line="346" w:lineRule="atLeast"/>
    </w:pPr>
    <w:rPr>
      <w:color w:val="auto"/>
    </w:rPr>
  </w:style>
  <w:style w:type="paragraph" w:customStyle="1" w:styleId="CM75">
    <w:name w:val="CM75"/>
    <w:basedOn w:val="Default"/>
    <w:next w:val="Default"/>
    <w:pPr>
      <w:spacing w:line="346" w:lineRule="atLeast"/>
    </w:pPr>
    <w:rPr>
      <w:color w:val="auto"/>
    </w:rPr>
  </w:style>
  <w:style w:type="paragraph" w:customStyle="1" w:styleId="CM76">
    <w:name w:val="CM76"/>
    <w:basedOn w:val="Default"/>
    <w:next w:val="Default"/>
    <w:pPr>
      <w:spacing w:line="346" w:lineRule="atLeast"/>
    </w:pPr>
    <w:rPr>
      <w:color w:val="auto"/>
    </w:rPr>
  </w:style>
  <w:style w:type="paragraph" w:customStyle="1" w:styleId="CM73">
    <w:name w:val="CM73"/>
    <w:basedOn w:val="Default"/>
    <w:next w:val="Default"/>
    <w:pPr>
      <w:spacing w:line="346" w:lineRule="atLeast"/>
    </w:pPr>
    <w:rPr>
      <w:color w:val="auto"/>
    </w:rPr>
  </w:style>
  <w:style w:type="paragraph" w:customStyle="1" w:styleId="CM86">
    <w:name w:val="CM86"/>
    <w:basedOn w:val="Default"/>
    <w:next w:val="Default"/>
    <w:rPr>
      <w:color w:val="auto"/>
    </w:rPr>
  </w:style>
  <w:style w:type="paragraph" w:customStyle="1" w:styleId="CM77">
    <w:name w:val="CM77"/>
    <w:basedOn w:val="Default"/>
    <w:next w:val="Default"/>
    <w:pPr>
      <w:spacing w:line="346" w:lineRule="atLeast"/>
    </w:pPr>
    <w:rPr>
      <w:color w:val="auto"/>
    </w:rPr>
  </w:style>
  <w:style w:type="paragraph" w:customStyle="1" w:styleId="NormalItalic">
    <w:name w:val="Normal+Italic"/>
    <w:basedOn w:val="CM83"/>
    <w:rsid w:val="00640717"/>
    <w:pPr>
      <w:spacing w:before="40" w:after="40" w:line="360" w:lineRule="auto"/>
    </w:pPr>
    <w:rPr>
      <w:i/>
      <w:iCs/>
      <w:sz w:val="20"/>
      <w:szCs w:val="20"/>
    </w:rPr>
  </w:style>
  <w:style w:type="paragraph" w:customStyle="1" w:styleId="Normal-Dot">
    <w:name w:val="Normal - Dot"/>
    <w:basedOn w:val="Normal"/>
    <w:rsid w:val="00AB06CD"/>
    <w:pPr>
      <w:numPr>
        <w:ilvl w:val="1"/>
        <w:numId w:val="1"/>
      </w:numPr>
      <w:tabs>
        <w:tab w:val="clear" w:pos="1440"/>
      </w:tabs>
      <w:ind w:left="426"/>
    </w:pPr>
  </w:style>
  <w:style w:type="paragraph" w:customStyle="1" w:styleId="StyleNormal-Dot10pt">
    <w:name w:val="Style Normal - Dot + 10 pt"/>
    <w:basedOn w:val="Normal-Dot"/>
    <w:rsid w:val="00640717"/>
  </w:style>
  <w:style w:type="paragraph" w:customStyle="1" w:styleId="Note">
    <w:name w:val="Note"/>
    <w:basedOn w:val="Normal"/>
    <w:rsid w:val="001F5D28"/>
    <w:pPr>
      <w:spacing w:before="0" w:after="0"/>
    </w:pPr>
    <w:rPr>
      <w:sz w:val="20"/>
      <w:szCs w:val="20"/>
    </w:rPr>
  </w:style>
  <w:style w:type="paragraph" w:customStyle="1" w:styleId="Table">
    <w:name w:val="Table"/>
    <w:basedOn w:val="Normal"/>
    <w:rsid w:val="00BA04E5"/>
    <w:pPr>
      <w:tabs>
        <w:tab w:val="left" w:pos="1418"/>
        <w:tab w:val="left" w:pos="3969"/>
        <w:tab w:val="left" w:pos="6946"/>
      </w:tabs>
      <w:spacing w:before="20" w:after="40"/>
    </w:pPr>
  </w:style>
  <w:style w:type="character" w:styleId="CommentReference">
    <w:name w:val="annotation reference"/>
    <w:basedOn w:val="DefaultParagraphFont"/>
    <w:semiHidden/>
    <w:rsid w:val="003A0CBE"/>
    <w:rPr>
      <w:sz w:val="16"/>
      <w:szCs w:val="16"/>
    </w:rPr>
  </w:style>
  <w:style w:type="paragraph" w:styleId="CommentText">
    <w:name w:val="annotation text"/>
    <w:basedOn w:val="Normal"/>
    <w:semiHidden/>
    <w:rsid w:val="003A0CBE"/>
    <w:rPr>
      <w:sz w:val="20"/>
      <w:szCs w:val="20"/>
    </w:rPr>
  </w:style>
  <w:style w:type="paragraph" w:styleId="CommentSubject">
    <w:name w:val="annotation subject"/>
    <w:basedOn w:val="CommentText"/>
    <w:next w:val="CommentText"/>
    <w:semiHidden/>
    <w:rsid w:val="003A0CBE"/>
    <w:rPr>
      <w:b/>
      <w:bCs/>
    </w:rPr>
  </w:style>
  <w:style w:type="paragraph" w:styleId="BalloonText">
    <w:name w:val="Balloon Text"/>
    <w:basedOn w:val="Normal"/>
    <w:semiHidden/>
    <w:rsid w:val="003A0CBE"/>
    <w:rPr>
      <w:rFonts w:ascii="Tahoma" w:hAnsi="Tahoma" w:cs="Tahoma"/>
      <w:sz w:val="16"/>
      <w:szCs w:val="16"/>
    </w:rPr>
  </w:style>
  <w:style w:type="table" w:styleId="TableGrid">
    <w:name w:val="Table Grid"/>
    <w:basedOn w:val="TableNormal"/>
    <w:rsid w:val="00E53B6B"/>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F81A2E"/>
  </w:style>
  <w:style w:type="character" w:styleId="Hyperlink">
    <w:name w:val="Hyperlink"/>
    <w:basedOn w:val="DefaultParagraphFont"/>
    <w:uiPriority w:val="99"/>
    <w:rsid w:val="00F81A2E"/>
    <w:rPr>
      <w:color w:val="0000FF"/>
      <w:u w:val="single"/>
    </w:rPr>
  </w:style>
  <w:style w:type="character" w:styleId="FollowedHyperlink">
    <w:name w:val="FollowedHyperlink"/>
    <w:basedOn w:val="DefaultParagraphFont"/>
    <w:rsid w:val="00F81A2E"/>
    <w:rPr>
      <w:color w:val="800080"/>
      <w:u w:val="single"/>
    </w:rPr>
  </w:style>
  <w:style w:type="paragraph" w:customStyle="1" w:styleId="xl22">
    <w:name w:val="xl22"/>
    <w:basedOn w:val="Normal"/>
    <w:rsid w:val="00F81A2E"/>
    <w:pPr>
      <w:pBdr>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23">
    <w:name w:val="xl23"/>
    <w:basedOn w:val="Normal"/>
    <w:rsid w:val="00F81A2E"/>
    <w:pPr>
      <w:pBdr>
        <w:bottom w:val="single" w:sz="8" w:space="0" w:color="auto"/>
        <w:right w:val="single" w:sz="8" w:space="0" w:color="auto"/>
      </w:pBdr>
      <w:spacing w:before="100" w:beforeAutospacing="1" w:after="100" w:afterAutospacing="1"/>
      <w:textAlignment w:val="top"/>
    </w:pPr>
    <w:rPr>
      <w:sz w:val="22"/>
      <w:szCs w:val="22"/>
    </w:rPr>
  </w:style>
  <w:style w:type="paragraph" w:customStyle="1" w:styleId="xl24">
    <w:name w:val="xl24"/>
    <w:basedOn w:val="Normal"/>
    <w:rsid w:val="00F81A2E"/>
    <w:pPr>
      <w:pBdr>
        <w:bottom w:val="single" w:sz="8" w:space="0" w:color="auto"/>
        <w:right w:val="single" w:sz="8" w:space="0" w:color="auto"/>
      </w:pBdr>
      <w:spacing w:before="100" w:beforeAutospacing="1" w:after="100" w:afterAutospacing="1"/>
      <w:textAlignment w:val="top"/>
    </w:pPr>
    <w:rPr>
      <w:sz w:val="22"/>
      <w:szCs w:val="22"/>
    </w:rPr>
  </w:style>
  <w:style w:type="paragraph" w:customStyle="1" w:styleId="xl25">
    <w:name w:val="xl25"/>
    <w:basedOn w:val="Normal"/>
    <w:rsid w:val="00F81A2E"/>
    <w:pPr>
      <w:pBdr>
        <w:bottom w:val="single" w:sz="8" w:space="0" w:color="auto"/>
        <w:right w:val="single" w:sz="8" w:space="0" w:color="auto"/>
      </w:pBdr>
      <w:spacing w:before="100" w:beforeAutospacing="1" w:after="100" w:afterAutospacing="1"/>
      <w:textAlignment w:val="top"/>
    </w:pPr>
    <w:rPr>
      <w:b/>
      <w:bCs/>
      <w:sz w:val="22"/>
      <w:szCs w:val="22"/>
    </w:rPr>
  </w:style>
  <w:style w:type="paragraph" w:customStyle="1" w:styleId="xl26">
    <w:name w:val="xl26"/>
    <w:basedOn w:val="Normal"/>
    <w:rsid w:val="00F81A2E"/>
    <w:pPr>
      <w:pBdr>
        <w:top w:val="single" w:sz="8" w:space="0" w:color="auto"/>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27">
    <w:name w:val="xl27"/>
    <w:basedOn w:val="Normal"/>
    <w:rsid w:val="00F81A2E"/>
    <w:pPr>
      <w:pBdr>
        <w:top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28">
    <w:name w:val="xl28"/>
    <w:basedOn w:val="Normal"/>
    <w:rsid w:val="00F81A2E"/>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29">
    <w:name w:val="xl29"/>
    <w:basedOn w:val="Normal"/>
    <w:rsid w:val="00F81A2E"/>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30">
    <w:name w:val="xl30"/>
    <w:basedOn w:val="Normal"/>
    <w:rsid w:val="00F81A2E"/>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character" w:customStyle="1" w:styleId="Heading3Char">
    <w:name w:val="Heading 3 Char"/>
    <w:basedOn w:val="DefaultParagraphFont"/>
    <w:link w:val="Heading3"/>
    <w:rsid w:val="00412F75"/>
    <w:rPr>
      <w:rFonts w:ascii="Arial" w:hAnsi="Arial" w:cs="Arial"/>
      <w:b/>
      <w:bCs/>
      <w:sz w:val="24"/>
      <w:szCs w:val="24"/>
    </w:rPr>
  </w:style>
  <w:style w:type="character" w:customStyle="1" w:styleId="Heading1Char">
    <w:name w:val="Heading 1 Char"/>
    <w:basedOn w:val="DefaultParagraphFont"/>
    <w:link w:val="Heading1"/>
    <w:rsid w:val="00412F75"/>
    <w:rPr>
      <w:rFonts w:ascii="Arial" w:hAnsi="Arial" w:cs="Arial"/>
      <w:b/>
      <w:bCs/>
      <w:kern w:val="32"/>
      <w:sz w:val="32"/>
      <w:szCs w:val="32"/>
    </w:rPr>
  </w:style>
  <w:style w:type="paragraph" w:styleId="Title">
    <w:name w:val="Title"/>
    <w:basedOn w:val="Default"/>
    <w:next w:val="Normal"/>
    <w:link w:val="TitleChar"/>
    <w:qFormat/>
    <w:rsid w:val="00FF7979"/>
    <w:pPr>
      <w:spacing w:before="2040"/>
      <w:ind w:right="-6"/>
      <w:jc w:val="center"/>
    </w:pPr>
    <w:rPr>
      <w:b/>
      <w:bCs/>
      <w:sz w:val="40"/>
      <w:szCs w:val="40"/>
    </w:rPr>
  </w:style>
  <w:style w:type="character" w:customStyle="1" w:styleId="TitleChar">
    <w:name w:val="Title Char"/>
    <w:basedOn w:val="DefaultParagraphFont"/>
    <w:link w:val="Title"/>
    <w:rsid w:val="00FF7979"/>
    <w:rPr>
      <w:rFonts w:ascii="Arial" w:hAnsi="Arial" w:cs="Arial"/>
      <w:b/>
      <w:bCs/>
      <w:color w:val="000000"/>
      <w:sz w:val="40"/>
      <w:szCs w:val="40"/>
    </w:rPr>
  </w:style>
  <w:style w:type="paragraph" w:styleId="TOCHeading">
    <w:name w:val="TOC Heading"/>
    <w:basedOn w:val="Heading1"/>
    <w:next w:val="Normal"/>
    <w:uiPriority w:val="39"/>
    <w:semiHidden/>
    <w:unhideWhenUsed/>
    <w:qFormat/>
    <w:rsid w:val="00FF797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rsid w:val="00FF7979"/>
    <w:pPr>
      <w:spacing w:after="100"/>
      <w:ind w:left="240"/>
    </w:pPr>
  </w:style>
  <w:style w:type="paragraph" w:styleId="TOC1">
    <w:name w:val="toc 1"/>
    <w:basedOn w:val="Normal"/>
    <w:next w:val="Normal"/>
    <w:autoRedefine/>
    <w:uiPriority w:val="39"/>
    <w:rsid w:val="00FF7979"/>
    <w:pPr>
      <w:spacing w:after="100"/>
    </w:pPr>
  </w:style>
  <w:style w:type="paragraph" w:styleId="TOC3">
    <w:name w:val="toc 3"/>
    <w:basedOn w:val="Normal"/>
    <w:next w:val="Normal"/>
    <w:autoRedefine/>
    <w:uiPriority w:val="39"/>
    <w:rsid w:val="00FF7979"/>
    <w:pPr>
      <w:spacing w:after="100"/>
      <w:ind w:left="480"/>
    </w:pPr>
  </w:style>
  <w:style w:type="paragraph" w:styleId="TOC4">
    <w:name w:val="toc 4"/>
    <w:basedOn w:val="Normal"/>
    <w:next w:val="Normal"/>
    <w:autoRedefine/>
    <w:uiPriority w:val="39"/>
    <w:unhideWhenUsed/>
    <w:rsid w:val="00FF7979"/>
    <w:pPr>
      <w:spacing w:before="0"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F7979"/>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F7979"/>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F7979"/>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F7979"/>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F7979"/>
    <w:pPr>
      <w:spacing w:before="0"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412F75"/>
    <w:pPr>
      <w:ind w:left="720"/>
      <w:contextualSpacing/>
    </w:pPr>
  </w:style>
  <w:style w:type="paragraph" w:customStyle="1" w:styleId="H4">
    <w:name w:val="H4"/>
    <w:basedOn w:val="Normal"/>
    <w:rsid w:val="009F2D50"/>
    <w:pPr>
      <w:ind w:right="-3"/>
    </w:pPr>
    <w:rPr>
      <w:b/>
    </w:rPr>
  </w:style>
  <w:style w:type="character" w:customStyle="1" w:styleId="Heading4Char">
    <w:name w:val="Heading 4 Char"/>
    <w:basedOn w:val="DefaultParagraphFont"/>
    <w:link w:val="Heading4"/>
    <w:rsid w:val="009F2D50"/>
    <w:rPr>
      <w:b/>
      <w:sz w:val="24"/>
      <w:szCs w:val="24"/>
    </w:rPr>
  </w:style>
  <w:style w:type="character" w:styleId="BookTitle">
    <w:name w:val="Book Title"/>
    <w:uiPriority w:val="33"/>
    <w:qFormat/>
    <w:rsid w:val="005D7ABA"/>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717"/>
    <w:pPr>
      <w:spacing w:before="120" w:after="120"/>
    </w:pPr>
    <w:rPr>
      <w:sz w:val="24"/>
      <w:szCs w:val="24"/>
    </w:rPr>
  </w:style>
  <w:style w:type="paragraph" w:styleId="Heading1">
    <w:name w:val="heading 1"/>
    <w:basedOn w:val="Normal"/>
    <w:next w:val="Normal"/>
    <w:link w:val="Heading1Char"/>
    <w:qFormat/>
    <w:rsid w:val="00412F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F75"/>
    <w:pPr>
      <w:keepNext/>
      <w:spacing w:before="360" w:after="60"/>
      <w:outlineLvl w:val="1"/>
    </w:pPr>
    <w:rPr>
      <w:rFonts w:ascii="Arial" w:hAnsi="Arial" w:cs="Arial"/>
      <w:b/>
      <w:bCs/>
      <w:iCs/>
      <w:sz w:val="28"/>
      <w:szCs w:val="28"/>
    </w:rPr>
  </w:style>
  <w:style w:type="paragraph" w:styleId="Heading3">
    <w:name w:val="heading 3"/>
    <w:basedOn w:val="Normal"/>
    <w:next w:val="Normal"/>
    <w:link w:val="Heading3Char"/>
    <w:qFormat/>
    <w:rsid w:val="00412F75"/>
    <w:pPr>
      <w:keepNext/>
      <w:spacing w:before="240" w:after="60"/>
      <w:outlineLvl w:val="2"/>
    </w:pPr>
    <w:rPr>
      <w:rFonts w:ascii="Arial" w:hAnsi="Arial" w:cs="Arial"/>
      <w:b/>
      <w:bCs/>
    </w:rPr>
  </w:style>
  <w:style w:type="paragraph" w:styleId="Heading4">
    <w:name w:val="heading 4"/>
    <w:basedOn w:val="Normal"/>
    <w:next w:val="Normal"/>
    <w:link w:val="Heading4Char"/>
    <w:unhideWhenUsed/>
    <w:qFormat/>
    <w:rsid w:val="009F2D50"/>
    <w:pPr>
      <w:ind w:right="-3"/>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691"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rPr>
      <w:color w:val="auto"/>
    </w:rPr>
  </w:style>
  <w:style w:type="paragraph" w:customStyle="1" w:styleId="CM2">
    <w:name w:val="CM2"/>
    <w:basedOn w:val="Default"/>
    <w:next w:val="Default"/>
    <w:rPr>
      <w:color w:val="auto"/>
    </w:rPr>
  </w:style>
  <w:style w:type="paragraph" w:customStyle="1" w:styleId="CM80">
    <w:name w:val="CM80"/>
    <w:basedOn w:val="Default"/>
    <w:next w:val="Default"/>
    <w:rPr>
      <w:color w:val="auto"/>
    </w:rPr>
  </w:style>
  <w:style w:type="paragraph" w:customStyle="1" w:styleId="CM3">
    <w:name w:val="CM3"/>
    <w:basedOn w:val="Default"/>
    <w:next w:val="Default"/>
    <w:pPr>
      <w:spacing w:line="346" w:lineRule="atLeast"/>
    </w:pPr>
    <w:rPr>
      <w:color w:val="auto"/>
    </w:rPr>
  </w:style>
  <w:style w:type="paragraph" w:customStyle="1" w:styleId="CM6">
    <w:name w:val="CM6"/>
    <w:basedOn w:val="Default"/>
    <w:next w:val="Default"/>
    <w:pPr>
      <w:spacing w:line="346" w:lineRule="atLeast"/>
    </w:pPr>
    <w:rPr>
      <w:color w:val="auto"/>
    </w:rPr>
  </w:style>
  <w:style w:type="paragraph" w:customStyle="1" w:styleId="CM7">
    <w:name w:val="CM7"/>
    <w:basedOn w:val="Default"/>
    <w:next w:val="Default"/>
    <w:pPr>
      <w:spacing w:line="346" w:lineRule="atLeast"/>
    </w:pPr>
    <w:rPr>
      <w:color w:val="auto"/>
    </w:rPr>
  </w:style>
  <w:style w:type="paragraph" w:customStyle="1" w:styleId="CM8">
    <w:name w:val="CM8"/>
    <w:basedOn w:val="Default"/>
    <w:next w:val="Default"/>
    <w:pPr>
      <w:spacing w:line="346" w:lineRule="atLeast"/>
    </w:pPr>
    <w:rPr>
      <w:color w:val="auto"/>
    </w:rPr>
  </w:style>
  <w:style w:type="paragraph" w:customStyle="1" w:styleId="CM81">
    <w:name w:val="CM81"/>
    <w:basedOn w:val="Default"/>
    <w:next w:val="Default"/>
    <w:rPr>
      <w:color w:val="auto"/>
    </w:rPr>
  </w:style>
  <w:style w:type="paragraph" w:customStyle="1" w:styleId="CM9">
    <w:name w:val="CM9"/>
    <w:basedOn w:val="Default"/>
    <w:next w:val="Default"/>
    <w:rPr>
      <w:color w:val="auto"/>
    </w:rPr>
  </w:style>
  <w:style w:type="paragraph" w:customStyle="1" w:styleId="CM14">
    <w:name w:val="CM14"/>
    <w:basedOn w:val="Default"/>
    <w:next w:val="Default"/>
    <w:rPr>
      <w:color w:val="auto"/>
    </w:rPr>
  </w:style>
  <w:style w:type="paragraph" w:customStyle="1" w:styleId="CM15">
    <w:name w:val="CM15"/>
    <w:basedOn w:val="Default"/>
    <w:next w:val="Default"/>
    <w:pPr>
      <w:spacing w:line="346" w:lineRule="atLeast"/>
    </w:pPr>
    <w:rPr>
      <w:color w:val="auto"/>
    </w:rPr>
  </w:style>
  <w:style w:type="paragraph" w:customStyle="1" w:styleId="CM84">
    <w:name w:val="CM84"/>
    <w:basedOn w:val="Default"/>
    <w:next w:val="Default"/>
    <w:rPr>
      <w:color w:val="auto"/>
    </w:rPr>
  </w:style>
  <w:style w:type="paragraph" w:customStyle="1" w:styleId="CM16">
    <w:name w:val="CM16"/>
    <w:basedOn w:val="Default"/>
    <w:next w:val="Default"/>
    <w:pPr>
      <w:spacing w:line="348" w:lineRule="atLeast"/>
    </w:pPr>
    <w:rPr>
      <w:color w:val="auto"/>
    </w:rPr>
  </w:style>
  <w:style w:type="paragraph" w:customStyle="1" w:styleId="CM85">
    <w:name w:val="CM85"/>
    <w:basedOn w:val="Default"/>
    <w:next w:val="Default"/>
    <w:rPr>
      <w:color w:val="auto"/>
    </w:rPr>
  </w:style>
  <w:style w:type="paragraph" w:customStyle="1" w:styleId="CM17">
    <w:name w:val="CM17"/>
    <w:basedOn w:val="Default"/>
    <w:next w:val="Default"/>
    <w:pPr>
      <w:spacing w:line="346" w:lineRule="atLeast"/>
    </w:pPr>
    <w:rPr>
      <w:color w:val="auto"/>
    </w:rPr>
  </w:style>
  <w:style w:type="paragraph" w:customStyle="1" w:styleId="CM83">
    <w:name w:val="CM83"/>
    <w:basedOn w:val="Default"/>
    <w:next w:val="Default"/>
    <w:rPr>
      <w:color w:val="auto"/>
    </w:rPr>
  </w:style>
  <w:style w:type="paragraph" w:customStyle="1" w:styleId="CM87">
    <w:name w:val="CM87"/>
    <w:basedOn w:val="Default"/>
    <w:next w:val="Default"/>
    <w:rPr>
      <w:color w:val="auto"/>
    </w:rPr>
  </w:style>
  <w:style w:type="paragraph" w:customStyle="1" w:styleId="CM82">
    <w:name w:val="CM82"/>
    <w:basedOn w:val="Default"/>
    <w:next w:val="Default"/>
    <w:rPr>
      <w:color w:val="auto"/>
    </w:rPr>
  </w:style>
  <w:style w:type="paragraph" w:customStyle="1" w:styleId="CM88">
    <w:name w:val="CM88"/>
    <w:basedOn w:val="Default"/>
    <w:next w:val="Default"/>
    <w:rPr>
      <w:color w:val="auto"/>
    </w:rPr>
  </w:style>
  <w:style w:type="paragraph" w:customStyle="1" w:styleId="CM18">
    <w:name w:val="CM18"/>
    <w:basedOn w:val="Default"/>
    <w:next w:val="Default"/>
    <w:pPr>
      <w:spacing w:line="346" w:lineRule="atLeast"/>
    </w:pPr>
    <w:rPr>
      <w:color w:val="auto"/>
    </w:rPr>
  </w:style>
  <w:style w:type="paragraph" w:customStyle="1" w:styleId="CM19">
    <w:name w:val="CM19"/>
    <w:basedOn w:val="Default"/>
    <w:next w:val="Default"/>
    <w:pPr>
      <w:spacing w:line="346" w:lineRule="atLeast"/>
    </w:pPr>
    <w:rPr>
      <w:color w:val="auto"/>
    </w:rPr>
  </w:style>
  <w:style w:type="paragraph" w:customStyle="1" w:styleId="CM20">
    <w:name w:val="CM20"/>
    <w:basedOn w:val="Default"/>
    <w:next w:val="Default"/>
    <w:pPr>
      <w:spacing w:line="346" w:lineRule="atLeast"/>
    </w:pPr>
    <w:rPr>
      <w:color w:val="auto"/>
    </w:rPr>
  </w:style>
  <w:style w:type="paragraph" w:customStyle="1" w:styleId="CM21">
    <w:name w:val="CM21"/>
    <w:basedOn w:val="Default"/>
    <w:next w:val="Default"/>
    <w:pPr>
      <w:spacing w:line="346" w:lineRule="atLeast"/>
    </w:pPr>
    <w:rPr>
      <w:color w:val="auto"/>
    </w:rPr>
  </w:style>
  <w:style w:type="paragraph" w:customStyle="1" w:styleId="CM22">
    <w:name w:val="CM22"/>
    <w:basedOn w:val="Default"/>
    <w:next w:val="Default"/>
    <w:rPr>
      <w:color w:val="auto"/>
    </w:rPr>
  </w:style>
  <w:style w:type="paragraph" w:customStyle="1" w:styleId="CM24">
    <w:name w:val="CM24"/>
    <w:basedOn w:val="Default"/>
    <w:next w:val="Default"/>
    <w:pPr>
      <w:spacing w:line="346" w:lineRule="atLeast"/>
    </w:pPr>
    <w:rPr>
      <w:color w:val="auto"/>
    </w:rPr>
  </w:style>
  <w:style w:type="paragraph" w:customStyle="1" w:styleId="CM26">
    <w:name w:val="CM26"/>
    <w:basedOn w:val="Default"/>
    <w:next w:val="Default"/>
    <w:pPr>
      <w:spacing w:line="346" w:lineRule="atLeast"/>
    </w:pPr>
    <w:rPr>
      <w:color w:val="auto"/>
    </w:rPr>
  </w:style>
  <w:style w:type="paragraph" w:customStyle="1" w:styleId="CM89">
    <w:name w:val="CM89"/>
    <w:basedOn w:val="Default"/>
    <w:next w:val="Default"/>
    <w:rPr>
      <w:color w:val="auto"/>
    </w:rPr>
  </w:style>
  <w:style w:type="paragraph" w:customStyle="1" w:styleId="CM90">
    <w:name w:val="CM90"/>
    <w:basedOn w:val="Default"/>
    <w:next w:val="Default"/>
    <w:rPr>
      <w:color w:val="auto"/>
    </w:rPr>
  </w:style>
  <w:style w:type="paragraph" w:customStyle="1" w:styleId="CM91">
    <w:name w:val="CM91"/>
    <w:basedOn w:val="Default"/>
    <w:next w:val="Default"/>
    <w:rPr>
      <w:color w:val="auto"/>
    </w:rPr>
  </w:style>
  <w:style w:type="paragraph" w:customStyle="1" w:styleId="CM27">
    <w:name w:val="CM27"/>
    <w:basedOn w:val="Default"/>
    <w:next w:val="Default"/>
    <w:rPr>
      <w:color w:val="auto"/>
    </w:rPr>
  </w:style>
  <w:style w:type="paragraph" w:customStyle="1" w:styleId="CM92">
    <w:name w:val="CM92"/>
    <w:basedOn w:val="Default"/>
    <w:next w:val="Default"/>
    <w:rPr>
      <w:color w:val="auto"/>
    </w:rPr>
  </w:style>
  <w:style w:type="paragraph" w:customStyle="1" w:styleId="CM28">
    <w:name w:val="CM28"/>
    <w:basedOn w:val="Default"/>
    <w:next w:val="Default"/>
    <w:pPr>
      <w:spacing w:line="346" w:lineRule="atLeast"/>
    </w:pPr>
    <w:rPr>
      <w:color w:val="auto"/>
    </w:rPr>
  </w:style>
  <w:style w:type="paragraph" w:customStyle="1" w:styleId="CM93">
    <w:name w:val="CM93"/>
    <w:basedOn w:val="Default"/>
    <w:next w:val="Default"/>
    <w:rPr>
      <w:color w:val="auto"/>
    </w:rPr>
  </w:style>
  <w:style w:type="paragraph" w:customStyle="1" w:styleId="CM30">
    <w:name w:val="CM30"/>
    <w:basedOn w:val="Default"/>
    <w:next w:val="Default"/>
    <w:pPr>
      <w:spacing w:line="483" w:lineRule="atLeast"/>
    </w:pPr>
    <w:rPr>
      <w:color w:val="auto"/>
    </w:rPr>
  </w:style>
  <w:style w:type="paragraph" w:customStyle="1" w:styleId="CM31">
    <w:name w:val="CM31"/>
    <w:basedOn w:val="Default"/>
    <w:next w:val="Default"/>
    <w:pPr>
      <w:spacing w:line="346" w:lineRule="atLeast"/>
    </w:pPr>
    <w:rPr>
      <w:color w:val="auto"/>
    </w:rPr>
  </w:style>
  <w:style w:type="paragraph" w:customStyle="1" w:styleId="CM33">
    <w:name w:val="CM33"/>
    <w:basedOn w:val="Default"/>
    <w:next w:val="Default"/>
    <w:pPr>
      <w:spacing w:line="346" w:lineRule="atLeast"/>
    </w:pPr>
    <w:rPr>
      <w:color w:val="auto"/>
    </w:rPr>
  </w:style>
  <w:style w:type="paragraph" w:customStyle="1" w:styleId="CM34">
    <w:name w:val="CM34"/>
    <w:basedOn w:val="Default"/>
    <w:next w:val="Default"/>
    <w:rPr>
      <w:color w:val="auto"/>
    </w:rPr>
  </w:style>
  <w:style w:type="paragraph" w:customStyle="1" w:styleId="CM35">
    <w:name w:val="CM35"/>
    <w:basedOn w:val="Default"/>
    <w:next w:val="Default"/>
    <w:rPr>
      <w:color w:val="auto"/>
    </w:rPr>
  </w:style>
  <w:style w:type="paragraph" w:customStyle="1" w:styleId="CM36">
    <w:name w:val="CM36"/>
    <w:basedOn w:val="Default"/>
    <w:next w:val="Default"/>
    <w:pPr>
      <w:spacing w:line="278" w:lineRule="atLeast"/>
    </w:pPr>
    <w:rPr>
      <w:color w:val="auto"/>
    </w:rPr>
  </w:style>
  <w:style w:type="paragraph" w:customStyle="1" w:styleId="CM37">
    <w:name w:val="CM37"/>
    <w:basedOn w:val="Default"/>
    <w:next w:val="Default"/>
    <w:pPr>
      <w:spacing w:line="278" w:lineRule="atLeast"/>
    </w:pPr>
    <w:rPr>
      <w:color w:val="auto"/>
    </w:rPr>
  </w:style>
  <w:style w:type="paragraph" w:customStyle="1" w:styleId="CM38">
    <w:name w:val="CM38"/>
    <w:basedOn w:val="Default"/>
    <w:next w:val="Default"/>
    <w:rPr>
      <w:color w:val="auto"/>
    </w:rPr>
  </w:style>
  <w:style w:type="paragraph" w:customStyle="1" w:styleId="CM39">
    <w:name w:val="CM39"/>
    <w:basedOn w:val="Default"/>
    <w:next w:val="Default"/>
    <w:rPr>
      <w:color w:val="auto"/>
    </w:rPr>
  </w:style>
  <w:style w:type="paragraph" w:customStyle="1" w:styleId="CM40">
    <w:name w:val="CM40"/>
    <w:basedOn w:val="Default"/>
    <w:next w:val="Default"/>
    <w:rPr>
      <w:color w:val="auto"/>
    </w:rPr>
  </w:style>
  <w:style w:type="paragraph" w:customStyle="1" w:styleId="CM41">
    <w:name w:val="CM41"/>
    <w:basedOn w:val="Default"/>
    <w:next w:val="Default"/>
    <w:rPr>
      <w:color w:val="auto"/>
    </w:rPr>
  </w:style>
  <w:style w:type="paragraph" w:customStyle="1" w:styleId="CM94">
    <w:name w:val="CM94"/>
    <w:basedOn w:val="Default"/>
    <w:next w:val="Default"/>
    <w:rPr>
      <w:color w:val="auto"/>
    </w:rPr>
  </w:style>
  <w:style w:type="paragraph" w:customStyle="1" w:styleId="CM42">
    <w:name w:val="CM42"/>
    <w:basedOn w:val="Default"/>
    <w:next w:val="Default"/>
    <w:rPr>
      <w:color w:val="auto"/>
    </w:rPr>
  </w:style>
  <w:style w:type="paragraph" w:customStyle="1" w:styleId="CM43">
    <w:name w:val="CM43"/>
    <w:basedOn w:val="Default"/>
    <w:next w:val="Default"/>
    <w:pPr>
      <w:spacing w:line="553" w:lineRule="atLeast"/>
    </w:pPr>
    <w:rPr>
      <w:color w:val="auto"/>
    </w:rPr>
  </w:style>
  <w:style w:type="paragraph" w:customStyle="1" w:styleId="CM45">
    <w:name w:val="CM45"/>
    <w:basedOn w:val="Default"/>
    <w:next w:val="Default"/>
    <w:pPr>
      <w:spacing w:line="346" w:lineRule="atLeast"/>
    </w:pPr>
    <w:rPr>
      <w:color w:val="auto"/>
    </w:rPr>
  </w:style>
  <w:style w:type="paragraph" w:customStyle="1" w:styleId="CM95">
    <w:name w:val="CM95"/>
    <w:basedOn w:val="Default"/>
    <w:next w:val="Default"/>
    <w:rPr>
      <w:color w:val="auto"/>
    </w:rPr>
  </w:style>
  <w:style w:type="paragraph" w:customStyle="1" w:styleId="CM96">
    <w:name w:val="CM96"/>
    <w:basedOn w:val="Default"/>
    <w:next w:val="Default"/>
    <w:rPr>
      <w:color w:val="auto"/>
    </w:rPr>
  </w:style>
  <w:style w:type="paragraph" w:customStyle="1" w:styleId="CM48">
    <w:name w:val="CM48"/>
    <w:basedOn w:val="Default"/>
    <w:next w:val="Default"/>
    <w:pPr>
      <w:spacing w:line="346" w:lineRule="atLeast"/>
    </w:pPr>
    <w:rPr>
      <w:color w:val="auto"/>
    </w:rPr>
  </w:style>
  <w:style w:type="paragraph" w:customStyle="1" w:styleId="CM97">
    <w:name w:val="CM97"/>
    <w:basedOn w:val="Default"/>
    <w:next w:val="Default"/>
    <w:rPr>
      <w:color w:val="auto"/>
    </w:rPr>
  </w:style>
  <w:style w:type="paragraph" w:customStyle="1" w:styleId="CM98">
    <w:name w:val="CM98"/>
    <w:basedOn w:val="Default"/>
    <w:next w:val="Default"/>
    <w:rPr>
      <w:color w:val="auto"/>
    </w:rPr>
  </w:style>
  <w:style w:type="paragraph" w:customStyle="1" w:styleId="CM50">
    <w:name w:val="CM50"/>
    <w:basedOn w:val="Default"/>
    <w:next w:val="Default"/>
    <w:pPr>
      <w:spacing w:line="311" w:lineRule="atLeast"/>
    </w:pPr>
    <w:rPr>
      <w:color w:val="auto"/>
    </w:rPr>
  </w:style>
  <w:style w:type="paragraph" w:customStyle="1" w:styleId="CM5">
    <w:name w:val="CM5"/>
    <w:basedOn w:val="Default"/>
    <w:next w:val="Default"/>
    <w:pPr>
      <w:spacing w:line="346" w:lineRule="atLeast"/>
    </w:pPr>
    <w:rPr>
      <w:color w:val="auto"/>
    </w:rPr>
  </w:style>
  <w:style w:type="paragraph" w:customStyle="1" w:styleId="CM99">
    <w:name w:val="CM99"/>
    <w:basedOn w:val="Default"/>
    <w:next w:val="Default"/>
    <w:rPr>
      <w:color w:val="auto"/>
    </w:rPr>
  </w:style>
  <w:style w:type="paragraph" w:customStyle="1" w:styleId="CM100">
    <w:name w:val="CM100"/>
    <w:basedOn w:val="Default"/>
    <w:next w:val="Default"/>
    <w:rPr>
      <w:color w:val="auto"/>
    </w:rPr>
  </w:style>
  <w:style w:type="paragraph" w:customStyle="1" w:styleId="CM32">
    <w:name w:val="CM32"/>
    <w:basedOn w:val="Default"/>
    <w:next w:val="Default"/>
    <w:pPr>
      <w:spacing w:line="346" w:lineRule="atLeast"/>
    </w:pPr>
    <w:rPr>
      <w:color w:val="auto"/>
    </w:rPr>
  </w:style>
  <w:style w:type="paragraph" w:customStyle="1" w:styleId="CM51">
    <w:name w:val="CM51"/>
    <w:basedOn w:val="Default"/>
    <w:next w:val="Default"/>
    <w:rPr>
      <w:color w:val="auto"/>
    </w:rPr>
  </w:style>
  <w:style w:type="paragraph" w:customStyle="1" w:styleId="CM52">
    <w:name w:val="CM52"/>
    <w:basedOn w:val="Default"/>
    <w:next w:val="Default"/>
    <w:rPr>
      <w:color w:val="auto"/>
    </w:rPr>
  </w:style>
  <w:style w:type="paragraph" w:customStyle="1" w:styleId="CM53">
    <w:name w:val="CM53"/>
    <w:basedOn w:val="Default"/>
    <w:next w:val="Default"/>
    <w:rPr>
      <w:color w:val="auto"/>
    </w:rPr>
  </w:style>
  <w:style w:type="paragraph" w:customStyle="1" w:styleId="CM101">
    <w:name w:val="CM101"/>
    <w:basedOn w:val="Default"/>
    <w:next w:val="Default"/>
    <w:rPr>
      <w:color w:val="auto"/>
    </w:rPr>
  </w:style>
  <w:style w:type="paragraph" w:customStyle="1" w:styleId="CM54">
    <w:name w:val="CM54"/>
    <w:basedOn w:val="Default"/>
    <w:next w:val="Default"/>
    <w:rPr>
      <w:color w:val="auto"/>
    </w:rPr>
  </w:style>
  <w:style w:type="paragraph" w:customStyle="1" w:styleId="CM55">
    <w:name w:val="CM55"/>
    <w:basedOn w:val="Default"/>
    <w:next w:val="Default"/>
    <w:rPr>
      <w:color w:val="auto"/>
    </w:rPr>
  </w:style>
  <w:style w:type="paragraph" w:customStyle="1" w:styleId="CM102">
    <w:name w:val="CM102"/>
    <w:basedOn w:val="Default"/>
    <w:next w:val="Default"/>
    <w:rPr>
      <w:color w:val="auto"/>
    </w:rPr>
  </w:style>
  <w:style w:type="paragraph" w:customStyle="1" w:styleId="CM25">
    <w:name w:val="CM25"/>
    <w:basedOn w:val="Default"/>
    <w:next w:val="Default"/>
    <w:pPr>
      <w:spacing w:line="346" w:lineRule="atLeast"/>
    </w:pPr>
    <w:rPr>
      <w:color w:val="auto"/>
    </w:rPr>
  </w:style>
  <w:style w:type="paragraph" w:customStyle="1" w:styleId="CM56">
    <w:name w:val="CM56"/>
    <w:basedOn w:val="Default"/>
    <w:next w:val="Default"/>
    <w:pPr>
      <w:spacing w:line="346" w:lineRule="atLeast"/>
    </w:pPr>
    <w:rPr>
      <w:color w:val="auto"/>
    </w:rPr>
  </w:style>
  <w:style w:type="paragraph" w:customStyle="1" w:styleId="CM49">
    <w:name w:val="CM49"/>
    <w:basedOn w:val="Default"/>
    <w:next w:val="Default"/>
    <w:pPr>
      <w:spacing w:line="346" w:lineRule="atLeast"/>
    </w:pPr>
    <w:rPr>
      <w:color w:val="auto"/>
    </w:rPr>
  </w:style>
  <w:style w:type="paragraph" w:customStyle="1" w:styleId="CM104">
    <w:name w:val="CM104"/>
    <w:basedOn w:val="Default"/>
    <w:next w:val="Default"/>
    <w:rPr>
      <w:color w:val="auto"/>
    </w:rPr>
  </w:style>
  <w:style w:type="paragraph" w:customStyle="1" w:styleId="CM105">
    <w:name w:val="CM105"/>
    <w:basedOn w:val="Default"/>
    <w:next w:val="Default"/>
    <w:rPr>
      <w:color w:val="auto"/>
    </w:rPr>
  </w:style>
  <w:style w:type="paragraph" w:customStyle="1" w:styleId="CM106">
    <w:name w:val="CM106"/>
    <w:basedOn w:val="Default"/>
    <w:next w:val="Default"/>
    <w:rPr>
      <w:color w:val="auto"/>
    </w:rPr>
  </w:style>
  <w:style w:type="paragraph" w:customStyle="1" w:styleId="CM57">
    <w:name w:val="CM57"/>
    <w:basedOn w:val="Default"/>
    <w:next w:val="Default"/>
    <w:rPr>
      <w:color w:val="auto"/>
    </w:rPr>
  </w:style>
  <w:style w:type="paragraph" w:customStyle="1" w:styleId="CM58">
    <w:name w:val="CM58"/>
    <w:basedOn w:val="Default"/>
    <w:next w:val="Default"/>
    <w:rPr>
      <w:color w:val="auto"/>
    </w:rPr>
  </w:style>
  <w:style w:type="paragraph" w:customStyle="1" w:styleId="CM59">
    <w:name w:val="CM59"/>
    <w:basedOn w:val="Default"/>
    <w:next w:val="Default"/>
    <w:pPr>
      <w:spacing w:line="346" w:lineRule="atLeast"/>
    </w:pPr>
    <w:rPr>
      <w:color w:val="auto"/>
    </w:rPr>
  </w:style>
  <w:style w:type="paragraph" w:customStyle="1" w:styleId="CM60">
    <w:name w:val="CM60"/>
    <w:basedOn w:val="Default"/>
    <w:next w:val="Default"/>
    <w:rPr>
      <w:color w:val="auto"/>
    </w:rPr>
  </w:style>
  <w:style w:type="paragraph" w:customStyle="1" w:styleId="CM61">
    <w:name w:val="CM61"/>
    <w:basedOn w:val="Default"/>
    <w:next w:val="Default"/>
    <w:pPr>
      <w:spacing w:line="348" w:lineRule="atLeast"/>
    </w:pPr>
    <w:rPr>
      <w:color w:val="auto"/>
    </w:rPr>
  </w:style>
  <w:style w:type="paragraph" w:customStyle="1" w:styleId="CM107">
    <w:name w:val="CM107"/>
    <w:basedOn w:val="Default"/>
    <w:next w:val="Default"/>
    <w:rPr>
      <w:color w:val="auto"/>
    </w:rPr>
  </w:style>
  <w:style w:type="paragraph" w:customStyle="1" w:styleId="CM62">
    <w:name w:val="CM62"/>
    <w:basedOn w:val="Default"/>
    <w:next w:val="Default"/>
    <w:rPr>
      <w:color w:val="auto"/>
    </w:rPr>
  </w:style>
  <w:style w:type="paragraph" w:customStyle="1" w:styleId="CM103">
    <w:name w:val="CM103"/>
    <w:basedOn w:val="Default"/>
    <w:next w:val="Default"/>
    <w:rPr>
      <w:color w:val="auto"/>
    </w:rPr>
  </w:style>
  <w:style w:type="paragraph" w:customStyle="1" w:styleId="CM63">
    <w:name w:val="CM63"/>
    <w:basedOn w:val="Default"/>
    <w:next w:val="Default"/>
    <w:pPr>
      <w:spacing w:line="346" w:lineRule="atLeast"/>
    </w:pPr>
    <w:rPr>
      <w:color w:val="auto"/>
    </w:rPr>
  </w:style>
  <w:style w:type="paragraph" w:customStyle="1" w:styleId="CM64">
    <w:name w:val="CM64"/>
    <w:basedOn w:val="Default"/>
    <w:next w:val="Default"/>
    <w:pPr>
      <w:spacing w:line="346" w:lineRule="atLeast"/>
    </w:pPr>
    <w:rPr>
      <w:color w:val="auto"/>
    </w:rPr>
  </w:style>
  <w:style w:type="paragraph" w:customStyle="1" w:styleId="CM65">
    <w:name w:val="CM65"/>
    <w:basedOn w:val="Default"/>
    <w:next w:val="Default"/>
    <w:pPr>
      <w:spacing w:line="346" w:lineRule="atLeast"/>
    </w:pPr>
    <w:rPr>
      <w:color w:val="auto"/>
    </w:rPr>
  </w:style>
  <w:style w:type="paragraph" w:customStyle="1" w:styleId="CM13">
    <w:name w:val="CM13"/>
    <w:basedOn w:val="Default"/>
    <w:next w:val="Default"/>
    <w:pPr>
      <w:spacing w:line="346" w:lineRule="atLeast"/>
    </w:pPr>
    <w:rPr>
      <w:color w:val="auto"/>
    </w:rPr>
  </w:style>
  <w:style w:type="paragraph" w:customStyle="1" w:styleId="CM66">
    <w:name w:val="CM66"/>
    <w:basedOn w:val="Default"/>
    <w:next w:val="Default"/>
    <w:pPr>
      <w:spacing w:line="346" w:lineRule="atLeast"/>
    </w:pPr>
    <w:rPr>
      <w:color w:val="auto"/>
    </w:rPr>
  </w:style>
  <w:style w:type="paragraph" w:customStyle="1" w:styleId="CM67">
    <w:name w:val="CM67"/>
    <w:basedOn w:val="Default"/>
    <w:next w:val="Default"/>
    <w:pPr>
      <w:spacing w:line="346" w:lineRule="atLeast"/>
    </w:pPr>
    <w:rPr>
      <w:color w:val="auto"/>
    </w:rPr>
  </w:style>
  <w:style w:type="paragraph" w:customStyle="1" w:styleId="CM68">
    <w:name w:val="CM68"/>
    <w:basedOn w:val="Default"/>
    <w:next w:val="Default"/>
    <w:pPr>
      <w:spacing w:line="346" w:lineRule="atLeast"/>
    </w:pPr>
    <w:rPr>
      <w:color w:val="auto"/>
    </w:rPr>
  </w:style>
  <w:style w:type="paragraph" w:customStyle="1" w:styleId="CM69">
    <w:name w:val="CM69"/>
    <w:basedOn w:val="Default"/>
    <w:next w:val="Default"/>
    <w:pPr>
      <w:spacing w:line="346" w:lineRule="atLeast"/>
    </w:pPr>
    <w:rPr>
      <w:color w:val="auto"/>
    </w:rPr>
  </w:style>
  <w:style w:type="paragraph" w:customStyle="1" w:styleId="CM70">
    <w:name w:val="CM70"/>
    <w:basedOn w:val="Default"/>
    <w:next w:val="Default"/>
    <w:pPr>
      <w:spacing w:line="346" w:lineRule="atLeast"/>
    </w:pPr>
    <w:rPr>
      <w:color w:val="auto"/>
    </w:rPr>
  </w:style>
  <w:style w:type="paragraph" w:customStyle="1" w:styleId="CM71">
    <w:name w:val="CM71"/>
    <w:basedOn w:val="Default"/>
    <w:next w:val="Default"/>
    <w:pPr>
      <w:spacing w:line="346" w:lineRule="atLeast"/>
    </w:pPr>
    <w:rPr>
      <w:color w:val="auto"/>
    </w:rPr>
  </w:style>
  <w:style w:type="paragraph" w:customStyle="1" w:styleId="CM72">
    <w:name w:val="CM72"/>
    <w:basedOn w:val="Default"/>
    <w:next w:val="Default"/>
    <w:pPr>
      <w:spacing w:line="346" w:lineRule="atLeast"/>
    </w:pPr>
    <w:rPr>
      <w:color w:val="auto"/>
    </w:rPr>
  </w:style>
  <w:style w:type="paragraph" w:customStyle="1" w:styleId="CM74">
    <w:name w:val="CM74"/>
    <w:basedOn w:val="Default"/>
    <w:next w:val="Default"/>
    <w:pPr>
      <w:spacing w:line="346" w:lineRule="atLeast"/>
    </w:pPr>
    <w:rPr>
      <w:color w:val="auto"/>
    </w:rPr>
  </w:style>
  <w:style w:type="paragraph" w:customStyle="1" w:styleId="CM75">
    <w:name w:val="CM75"/>
    <w:basedOn w:val="Default"/>
    <w:next w:val="Default"/>
    <w:pPr>
      <w:spacing w:line="346" w:lineRule="atLeast"/>
    </w:pPr>
    <w:rPr>
      <w:color w:val="auto"/>
    </w:rPr>
  </w:style>
  <w:style w:type="paragraph" w:customStyle="1" w:styleId="CM76">
    <w:name w:val="CM76"/>
    <w:basedOn w:val="Default"/>
    <w:next w:val="Default"/>
    <w:pPr>
      <w:spacing w:line="346" w:lineRule="atLeast"/>
    </w:pPr>
    <w:rPr>
      <w:color w:val="auto"/>
    </w:rPr>
  </w:style>
  <w:style w:type="paragraph" w:customStyle="1" w:styleId="CM73">
    <w:name w:val="CM73"/>
    <w:basedOn w:val="Default"/>
    <w:next w:val="Default"/>
    <w:pPr>
      <w:spacing w:line="346" w:lineRule="atLeast"/>
    </w:pPr>
    <w:rPr>
      <w:color w:val="auto"/>
    </w:rPr>
  </w:style>
  <w:style w:type="paragraph" w:customStyle="1" w:styleId="CM86">
    <w:name w:val="CM86"/>
    <w:basedOn w:val="Default"/>
    <w:next w:val="Default"/>
    <w:rPr>
      <w:color w:val="auto"/>
    </w:rPr>
  </w:style>
  <w:style w:type="paragraph" w:customStyle="1" w:styleId="CM77">
    <w:name w:val="CM77"/>
    <w:basedOn w:val="Default"/>
    <w:next w:val="Default"/>
    <w:pPr>
      <w:spacing w:line="346" w:lineRule="atLeast"/>
    </w:pPr>
    <w:rPr>
      <w:color w:val="auto"/>
    </w:rPr>
  </w:style>
  <w:style w:type="paragraph" w:customStyle="1" w:styleId="NormalItalic">
    <w:name w:val="Normal+Italic"/>
    <w:basedOn w:val="CM83"/>
    <w:rsid w:val="00640717"/>
    <w:pPr>
      <w:spacing w:before="40" w:after="40" w:line="360" w:lineRule="auto"/>
    </w:pPr>
    <w:rPr>
      <w:i/>
      <w:iCs/>
      <w:sz w:val="20"/>
      <w:szCs w:val="20"/>
    </w:rPr>
  </w:style>
  <w:style w:type="paragraph" w:customStyle="1" w:styleId="Normal-Dot">
    <w:name w:val="Normal - Dot"/>
    <w:basedOn w:val="Normal"/>
    <w:rsid w:val="00AB06CD"/>
    <w:pPr>
      <w:numPr>
        <w:ilvl w:val="1"/>
        <w:numId w:val="1"/>
      </w:numPr>
      <w:tabs>
        <w:tab w:val="clear" w:pos="1440"/>
      </w:tabs>
      <w:ind w:left="426"/>
    </w:pPr>
  </w:style>
  <w:style w:type="paragraph" w:customStyle="1" w:styleId="StyleNormal-Dot10pt">
    <w:name w:val="Style Normal - Dot + 10 pt"/>
    <w:basedOn w:val="Normal-Dot"/>
    <w:rsid w:val="00640717"/>
  </w:style>
  <w:style w:type="paragraph" w:customStyle="1" w:styleId="Note">
    <w:name w:val="Note"/>
    <w:basedOn w:val="Normal"/>
    <w:rsid w:val="001F5D28"/>
    <w:pPr>
      <w:spacing w:before="0" w:after="0"/>
    </w:pPr>
    <w:rPr>
      <w:sz w:val="20"/>
      <w:szCs w:val="20"/>
    </w:rPr>
  </w:style>
  <w:style w:type="paragraph" w:customStyle="1" w:styleId="Table">
    <w:name w:val="Table"/>
    <w:basedOn w:val="Normal"/>
    <w:rsid w:val="00BA04E5"/>
    <w:pPr>
      <w:tabs>
        <w:tab w:val="left" w:pos="1418"/>
        <w:tab w:val="left" w:pos="3969"/>
        <w:tab w:val="left" w:pos="6946"/>
      </w:tabs>
      <w:spacing w:before="20" w:after="40"/>
    </w:pPr>
  </w:style>
  <w:style w:type="character" w:styleId="CommentReference">
    <w:name w:val="annotation reference"/>
    <w:basedOn w:val="DefaultParagraphFont"/>
    <w:semiHidden/>
    <w:rsid w:val="003A0CBE"/>
    <w:rPr>
      <w:sz w:val="16"/>
      <w:szCs w:val="16"/>
    </w:rPr>
  </w:style>
  <w:style w:type="paragraph" w:styleId="CommentText">
    <w:name w:val="annotation text"/>
    <w:basedOn w:val="Normal"/>
    <w:semiHidden/>
    <w:rsid w:val="003A0CBE"/>
    <w:rPr>
      <w:sz w:val="20"/>
      <w:szCs w:val="20"/>
    </w:rPr>
  </w:style>
  <w:style w:type="paragraph" w:styleId="CommentSubject">
    <w:name w:val="annotation subject"/>
    <w:basedOn w:val="CommentText"/>
    <w:next w:val="CommentText"/>
    <w:semiHidden/>
    <w:rsid w:val="003A0CBE"/>
    <w:rPr>
      <w:b/>
      <w:bCs/>
    </w:rPr>
  </w:style>
  <w:style w:type="paragraph" w:styleId="BalloonText">
    <w:name w:val="Balloon Text"/>
    <w:basedOn w:val="Normal"/>
    <w:semiHidden/>
    <w:rsid w:val="003A0CBE"/>
    <w:rPr>
      <w:rFonts w:ascii="Tahoma" w:hAnsi="Tahoma" w:cs="Tahoma"/>
      <w:sz w:val="16"/>
      <w:szCs w:val="16"/>
    </w:rPr>
  </w:style>
  <w:style w:type="table" w:styleId="TableGrid">
    <w:name w:val="Table Grid"/>
    <w:basedOn w:val="TableNormal"/>
    <w:rsid w:val="00E53B6B"/>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F81A2E"/>
  </w:style>
  <w:style w:type="character" w:styleId="Hyperlink">
    <w:name w:val="Hyperlink"/>
    <w:basedOn w:val="DefaultParagraphFont"/>
    <w:uiPriority w:val="99"/>
    <w:rsid w:val="00F81A2E"/>
    <w:rPr>
      <w:color w:val="0000FF"/>
      <w:u w:val="single"/>
    </w:rPr>
  </w:style>
  <w:style w:type="character" w:styleId="FollowedHyperlink">
    <w:name w:val="FollowedHyperlink"/>
    <w:basedOn w:val="DefaultParagraphFont"/>
    <w:rsid w:val="00F81A2E"/>
    <w:rPr>
      <w:color w:val="800080"/>
      <w:u w:val="single"/>
    </w:rPr>
  </w:style>
  <w:style w:type="paragraph" w:customStyle="1" w:styleId="xl22">
    <w:name w:val="xl22"/>
    <w:basedOn w:val="Normal"/>
    <w:rsid w:val="00F81A2E"/>
    <w:pPr>
      <w:pBdr>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23">
    <w:name w:val="xl23"/>
    <w:basedOn w:val="Normal"/>
    <w:rsid w:val="00F81A2E"/>
    <w:pPr>
      <w:pBdr>
        <w:bottom w:val="single" w:sz="8" w:space="0" w:color="auto"/>
        <w:right w:val="single" w:sz="8" w:space="0" w:color="auto"/>
      </w:pBdr>
      <w:spacing w:before="100" w:beforeAutospacing="1" w:after="100" w:afterAutospacing="1"/>
      <w:textAlignment w:val="top"/>
    </w:pPr>
    <w:rPr>
      <w:sz w:val="22"/>
      <w:szCs w:val="22"/>
    </w:rPr>
  </w:style>
  <w:style w:type="paragraph" w:customStyle="1" w:styleId="xl24">
    <w:name w:val="xl24"/>
    <w:basedOn w:val="Normal"/>
    <w:rsid w:val="00F81A2E"/>
    <w:pPr>
      <w:pBdr>
        <w:bottom w:val="single" w:sz="8" w:space="0" w:color="auto"/>
        <w:right w:val="single" w:sz="8" w:space="0" w:color="auto"/>
      </w:pBdr>
      <w:spacing w:before="100" w:beforeAutospacing="1" w:after="100" w:afterAutospacing="1"/>
      <w:textAlignment w:val="top"/>
    </w:pPr>
    <w:rPr>
      <w:sz w:val="22"/>
      <w:szCs w:val="22"/>
    </w:rPr>
  </w:style>
  <w:style w:type="paragraph" w:customStyle="1" w:styleId="xl25">
    <w:name w:val="xl25"/>
    <w:basedOn w:val="Normal"/>
    <w:rsid w:val="00F81A2E"/>
    <w:pPr>
      <w:pBdr>
        <w:bottom w:val="single" w:sz="8" w:space="0" w:color="auto"/>
        <w:right w:val="single" w:sz="8" w:space="0" w:color="auto"/>
      </w:pBdr>
      <w:spacing w:before="100" w:beforeAutospacing="1" w:after="100" w:afterAutospacing="1"/>
      <w:textAlignment w:val="top"/>
    </w:pPr>
    <w:rPr>
      <w:b/>
      <w:bCs/>
      <w:sz w:val="22"/>
      <w:szCs w:val="22"/>
    </w:rPr>
  </w:style>
  <w:style w:type="paragraph" w:customStyle="1" w:styleId="xl26">
    <w:name w:val="xl26"/>
    <w:basedOn w:val="Normal"/>
    <w:rsid w:val="00F81A2E"/>
    <w:pPr>
      <w:pBdr>
        <w:top w:val="single" w:sz="8" w:space="0" w:color="auto"/>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27">
    <w:name w:val="xl27"/>
    <w:basedOn w:val="Normal"/>
    <w:rsid w:val="00F81A2E"/>
    <w:pPr>
      <w:pBdr>
        <w:top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28">
    <w:name w:val="xl28"/>
    <w:basedOn w:val="Normal"/>
    <w:rsid w:val="00F81A2E"/>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29">
    <w:name w:val="xl29"/>
    <w:basedOn w:val="Normal"/>
    <w:rsid w:val="00F81A2E"/>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30">
    <w:name w:val="xl30"/>
    <w:basedOn w:val="Normal"/>
    <w:rsid w:val="00F81A2E"/>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character" w:customStyle="1" w:styleId="Heading3Char">
    <w:name w:val="Heading 3 Char"/>
    <w:basedOn w:val="DefaultParagraphFont"/>
    <w:link w:val="Heading3"/>
    <w:rsid w:val="00412F75"/>
    <w:rPr>
      <w:rFonts w:ascii="Arial" w:hAnsi="Arial" w:cs="Arial"/>
      <w:b/>
      <w:bCs/>
      <w:sz w:val="24"/>
      <w:szCs w:val="24"/>
    </w:rPr>
  </w:style>
  <w:style w:type="character" w:customStyle="1" w:styleId="Heading1Char">
    <w:name w:val="Heading 1 Char"/>
    <w:basedOn w:val="DefaultParagraphFont"/>
    <w:link w:val="Heading1"/>
    <w:rsid w:val="00412F75"/>
    <w:rPr>
      <w:rFonts w:ascii="Arial" w:hAnsi="Arial" w:cs="Arial"/>
      <w:b/>
      <w:bCs/>
      <w:kern w:val="32"/>
      <w:sz w:val="32"/>
      <w:szCs w:val="32"/>
    </w:rPr>
  </w:style>
  <w:style w:type="paragraph" w:styleId="Title">
    <w:name w:val="Title"/>
    <w:basedOn w:val="Default"/>
    <w:next w:val="Normal"/>
    <w:link w:val="TitleChar"/>
    <w:qFormat/>
    <w:rsid w:val="00FF7979"/>
    <w:pPr>
      <w:spacing w:before="2040"/>
      <w:ind w:right="-6"/>
      <w:jc w:val="center"/>
    </w:pPr>
    <w:rPr>
      <w:b/>
      <w:bCs/>
      <w:sz w:val="40"/>
      <w:szCs w:val="40"/>
    </w:rPr>
  </w:style>
  <w:style w:type="character" w:customStyle="1" w:styleId="TitleChar">
    <w:name w:val="Title Char"/>
    <w:basedOn w:val="DefaultParagraphFont"/>
    <w:link w:val="Title"/>
    <w:rsid w:val="00FF7979"/>
    <w:rPr>
      <w:rFonts w:ascii="Arial" w:hAnsi="Arial" w:cs="Arial"/>
      <w:b/>
      <w:bCs/>
      <w:color w:val="000000"/>
      <w:sz w:val="40"/>
      <w:szCs w:val="40"/>
    </w:rPr>
  </w:style>
  <w:style w:type="paragraph" w:styleId="TOCHeading">
    <w:name w:val="TOC Heading"/>
    <w:basedOn w:val="Heading1"/>
    <w:next w:val="Normal"/>
    <w:uiPriority w:val="39"/>
    <w:semiHidden/>
    <w:unhideWhenUsed/>
    <w:qFormat/>
    <w:rsid w:val="00FF797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rsid w:val="00FF7979"/>
    <w:pPr>
      <w:spacing w:after="100"/>
      <w:ind w:left="240"/>
    </w:pPr>
  </w:style>
  <w:style w:type="paragraph" w:styleId="TOC1">
    <w:name w:val="toc 1"/>
    <w:basedOn w:val="Normal"/>
    <w:next w:val="Normal"/>
    <w:autoRedefine/>
    <w:uiPriority w:val="39"/>
    <w:rsid w:val="00FF7979"/>
    <w:pPr>
      <w:spacing w:after="100"/>
    </w:pPr>
  </w:style>
  <w:style w:type="paragraph" w:styleId="TOC3">
    <w:name w:val="toc 3"/>
    <w:basedOn w:val="Normal"/>
    <w:next w:val="Normal"/>
    <w:autoRedefine/>
    <w:uiPriority w:val="39"/>
    <w:rsid w:val="00FF7979"/>
    <w:pPr>
      <w:spacing w:after="100"/>
      <w:ind w:left="480"/>
    </w:pPr>
  </w:style>
  <w:style w:type="paragraph" w:styleId="TOC4">
    <w:name w:val="toc 4"/>
    <w:basedOn w:val="Normal"/>
    <w:next w:val="Normal"/>
    <w:autoRedefine/>
    <w:uiPriority w:val="39"/>
    <w:unhideWhenUsed/>
    <w:rsid w:val="00FF7979"/>
    <w:pPr>
      <w:spacing w:before="0"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F7979"/>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F7979"/>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F7979"/>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F7979"/>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F7979"/>
    <w:pPr>
      <w:spacing w:before="0"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412F75"/>
    <w:pPr>
      <w:ind w:left="720"/>
      <w:contextualSpacing/>
    </w:pPr>
  </w:style>
  <w:style w:type="paragraph" w:customStyle="1" w:styleId="H4">
    <w:name w:val="H4"/>
    <w:basedOn w:val="Normal"/>
    <w:rsid w:val="009F2D50"/>
    <w:pPr>
      <w:ind w:right="-3"/>
    </w:pPr>
    <w:rPr>
      <w:b/>
    </w:rPr>
  </w:style>
  <w:style w:type="character" w:customStyle="1" w:styleId="Heading4Char">
    <w:name w:val="Heading 4 Char"/>
    <w:basedOn w:val="DefaultParagraphFont"/>
    <w:link w:val="Heading4"/>
    <w:rsid w:val="009F2D50"/>
    <w:rPr>
      <w:b/>
      <w:sz w:val="24"/>
      <w:szCs w:val="24"/>
    </w:rPr>
  </w:style>
  <w:style w:type="character" w:styleId="BookTitle">
    <w:name w:val="Book Title"/>
    <w:uiPriority w:val="33"/>
    <w:qFormat/>
    <w:rsid w:val="005D7ABA"/>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929">
      <w:bodyDiv w:val="1"/>
      <w:marLeft w:val="0"/>
      <w:marRight w:val="0"/>
      <w:marTop w:val="0"/>
      <w:marBottom w:val="0"/>
      <w:divBdr>
        <w:top w:val="none" w:sz="0" w:space="0" w:color="auto"/>
        <w:left w:val="none" w:sz="0" w:space="0" w:color="auto"/>
        <w:bottom w:val="none" w:sz="0" w:space="0" w:color="auto"/>
        <w:right w:val="none" w:sz="0" w:space="0" w:color="auto"/>
      </w:divBdr>
    </w:div>
    <w:div w:id="229273751">
      <w:bodyDiv w:val="1"/>
      <w:marLeft w:val="0"/>
      <w:marRight w:val="0"/>
      <w:marTop w:val="0"/>
      <w:marBottom w:val="0"/>
      <w:divBdr>
        <w:top w:val="none" w:sz="0" w:space="0" w:color="auto"/>
        <w:left w:val="none" w:sz="0" w:space="0" w:color="auto"/>
        <w:bottom w:val="none" w:sz="0" w:space="0" w:color="auto"/>
        <w:right w:val="none" w:sz="0" w:space="0" w:color="auto"/>
      </w:divBdr>
    </w:div>
    <w:div w:id="266541623">
      <w:bodyDiv w:val="1"/>
      <w:marLeft w:val="0"/>
      <w:marRight w:val="0"/>
      <w:marTop w:val="0"/>
      <w:marBottom w:val="0"/>
      <w:divBdr>
        <w:top w:val="none" w:sz="0" w:space="0" w:color="auto"/>
        <w:left w:val="none" w:sz="0" w:space="0" w:color="auto"/>
        <w:bottom w:val="none" w:sz="0" w:space="0" w:color="auto"/>
        <w:right w:val="none" w:sz="0" w:space="0" w:color="auto"/>
      </w:divBdr>
    </w:div>
    <w:div w:id="269970076">
      <w:bodyDiv w:val="1"/>
      <w:marLeft w:val="0"/>
      <w:marRight w:val="0"/>
      <w:marTop w:val="0"/>
      <w:marBottom w:val="0"/>
      <w:divBdr>
        <w:top w:val="none" w:sz="0" w:space="0" w:color="auto"/>
        <w:left w:val="none" w:sz="0" w:space="0" w:color="auto"/>
        <w:bottom w:val="none" w:sz="0" w:space="0" w:color="auto"/>
        <w:right w:val="none" w:sz="0" w:space="0" w:color="auto"/>
      </w:divBdr>
    </w:div>
    <w:div w:id="314573334">
      <w:bodyDiv w:val="1"/>
      <w:marLeft w:val="0"/>
      <w:marRight w:val="0"/>
      <w:marTop w:val="0"/>
      <w:marBottom w:val="0"/>
      <w:divBdr>
        <w:top w:val="none" w:sz="0" w:space="0" w:color="auto"/>
        <w:left w:val="none" w:sz="0" w:space="0" w:color="auto"/>
        <w:bottom w:val="none" w:sz="0" w:space="0" w:color="auto"/>
        <w:right w:val="none" w:sz="0" w:space="0" w:color="auto"/>
      </w:divBdr>
    </w:div>
    <w:div w:id="358431017">
      <w:bodyDiv w:val="1"/>
      <w:marLeft w:val="0"/>
      <w:marRight w:val="0"/>
      <w:marTop w:val="0"/>
      <w:marBottom w:val="0"/>
      <w:divBdr>
        <w:top w:val="none" w:sz="0" w:space="0" w:color="auto"/>
        <w:left w:val="none" w:sz="0" w:space="0" w:color="auto"/>
        <w:bottom w:val="none" w:sz="0" w:space="0" w:color="auto"/>
        <w:right w:val="none" w:sz="0" w:space="0" w:color="auto"/>
      </w:divBdr>
      <w:divsChild>
        <w:div w:id="496773183">
          <w:marLeft w:val="0"/>
          <w:marRight w:val="0"/>
          <w:marTop w:val="0"/>
          <w:marBottom w:val="0"/>
          <w:divBdr>
            <w:top w:val="none" w:sz="0" w:space="0" w:color="auto"/>
            <w:left w:val="none" w:sz="0" w:space="0" w:color="auto"/>
            <w:bottom w:val="none" w:sz="0" w:space="0" w:color="auto"/>
            <w:right w:val="none" w:sz="0" w:space="0" w:color="auto"/>
          </w:divBdr>
          <w:divsChild>
            <w:div w:id="1283226947">
              <w:marLeft w:val="0"/>
              <w:marRight w:val="0"/>
              <w:marTop w:val="0"/>
              <w:marBottom w:val="0"/>
              <w:divBdr>
                <w:top w:val="none" w:sz="0" w:space="0" w:color="auto"/>
                <w:left w:val="none" w:sz="0" w:space="0" w:color="auto"/>
                <w:bottom w:val="none" w:sz="0" w:space="0" w:color="auto"/>
                <w:right w:val="none" w:sz="0" w:space="0" w:color="auto"/>
              </w:divBdr>
              <w:divsChild>
                <w:div w:id="19495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8469">
      <w:bodyDiv w:val="1"/>
      <w:marLeft w:val="0"/>
      <w:marRight w:val="0"/>
      <w:marTop w:val="0"/>
      <w:marBottom w:val="0"/>
      <w:divBdr>
        <w:top w:val="none" w:sz="0" w:space="0" w:color="auto"/>
        <w:left w:val="none" w:sz="0" w:space="0" w:color="auto"/>
        <w:bottom w:val="none" w:sz="0" w:space="0" w:color="auto"/>
        <w:right w:val="none" w:sz="0" w:space="0" w:color="auto"/>
      </w:divBdr>
    </w:div>
    <w:div w:id="488987838">
      <w:bodyDiv w:val="1"/>
      <w:marLeft w:val="0"/>
      <w:marRight w:val="0"/>
      <w:marTop w:val="0"/>
      <w:marBottom w:val="0"/>
      <w:divBdr>
        <w:top w:val="none" w:sz="0" w:space="0" w:color="auto"/>
        <w:left w:val="none" w:sz="0" w:space="0" w:color="auto"/>
        <w:bottom w:val="none" w:sz="0" w:space="0" w:color="auto"/>
        <w:right w:val="none" w:sz="0" w:space="0" w:color="auto"/>
      </w:divBdr>
    </w:div>
    <w:div w:id="516575916">
      <w:bodyDiv w:val="1"/>
      <w:marLeft w:val="0"/>
      <w:marRight w:val="0"/>
      <w:marTop w:val="0"/>
      <w:marBottom w:val="0"/>
      <w:divBdr>
        <w:top w:val="none" w:sz="0" w:space="0" w:color="auto"/>
        <w:left w:val="none" w:sz="0" w:space="0" w:color="auto"/>
        <w:bottom w:val="none" w:sz="0" w:space="0" w:color="auto"/>
        <w:right w:val="none" w:sz="0" w:space="0" w:color="auto"/>
      </w:divBdr>
    </w:div>
    <w:div w:id="581258717">
      <w:bodyDiv w:val="1"/>
      <w:marLeft w:val="0"/>
      <w:marRight w:val="0"/>
      <w:marTop w:val="0"/>
      <w:marBottom w:val="0"/>
      <w:divBdr>
        <w:top w:val="none" w:sz="0" w:space="0" w:color="auto"/>
        <w:left w:val="none" w:sz="0" w:space="0" w:color="auto"/>
        <w:bottom w:val="none" w:sz="0" w:space="0" w:color="auto"/>
        <w:right w:val="none" w:sz="0" w:space="0" w:color="auto"/>
      </w:divBdr>
    </w:div>
    <w:div w:id="586038028">
      <w:bodyDiv w:val="1"/>
      <w:marLeft w:val="0"/>
      <w:marRight w:val="0"/>
      <w:marTop w:val="0"/>
      <w:marBottom w:val="0"/>
      <w:divBdr>
        <w:top w:val="none" w:sz="0" w:space="0" w:color="auto"/>
        <w:left w:val="none" w:sz="0" w:space="0" w:color="auto"/>
        <w:bottom w:val="none" w:sz="0" w:space="0" w:color="auto"/>
        <w:right w:val="none" w:sz="0" w:space="0" w:color="auto"/>
      </w:divBdr>
    </w:div>
    <w:div w:id="633950626">
      <w:bodyDiv w:val="1"/>
      <w:marLeft w:val="0"/>
      <w:marRight w:val="0"/>
      <w:marTop w:val="0"/>
      <w:marBottom w:val="0"/>
      <w:divBdr>
        <w:top w:val="none" w:sz="0" w:space="0" w:color="auto"/>
        <w:left w:val="none" w:sz="0" w:space="0" w:color="auto"/>
        <w:bottom w:val="none" w:sz="0" w:space="0" w:color="auto"/>
        <w:right w:val="none" w:sz="0" w:space="0" w:color="auto"/>
      </w:divBdr>
    </w:div>
    <w:div w:id="670647915">
      <w:bodyDiv w:val="1"/>
      <w:marLeft w:val="0"/>
      <w:marRight w:val="0"/>
      <w:marTop w:val="0"/>
      <w:marBottom w:val="0"/>
      <w:divBdr>
        <w:top w:val="none" w:sz="0" w:space="0" w:color="auto"/>
        <w:left w:val="none" w:sz="0" w:space="0" w:color="auto"/>
        <w:bottom w:val="none" w:sz="0" w:space="0" w:color="auto"/>
        <w:right w:val="none" w:sz="0" w:space="0" w:color="auto"/>
      </w:divBdr>
    </w:div>
    <w:div w:id="721908090">
      <w:bodyDiv w:val="1"/>
      <w:marLeft w:val="0"/>
      <w:marRight w:val="0"/>
      <w:marTop w:val="0"/>
      <w:marBottom w:val="0"/>
      <w:divBdr>
        <w:top w:val="none" w:sz="0" w:space="0" w:color="auto"/>
        <w:left w:val="none" w:sz="0" w:space="0" w:color="auto"/>
        <w:bottom w:val="none" w:sz="0" w:space="0" w:color="auto"/>
        <w:right w:val="none" w:sz="0" w:space="0" w:color="auto"/>
      </w:divBdr>
    </w:div>
    <w:div w:id="732891186">
      <w:bodyDiv w:val="1"/>
      <w:marLeft w:val="0"/>
      <w:marRight w:val="0"/>
      <w:marTop w:val="0"/>
      <w:marBottom w:val="0"/>
      <w:divBdr>
        <w:top w:val="none" w:sz="0" w:space="0" w:color="auto"/>
        <w:left w:val="none" w:sz="0" w:space="0" w:color="auto"/>
        <w:bottom w:val="none" w:sz="0" w:space="0" w:color="auto"/>
        <w:right w:val="none" w:sz="0" w:space="0" w:color="auto"/>
      </w:divBdr>
    </w:div>
    <w:div w:id="743913814">
      <w:bodyDiv w:val="1"/>
      <w:marLeft w:val="0"/>
      <w:marRight w:val="0"/>
      <w:marTop w:val="0"/>
      <w:marBottom w:val="0"/>
      <w:divBdr>
        <w:top w:val="none" w:sz="0" w:space="0" w:color="auto"/>
        <w:left w:val="none" w:sz="0" w:space="0" w:color="auto"/>
        <w:bottom w:val="none" w:sz="0" w:space="0" w:color="auto"/>
        <w:right w:val="none" w:sz="0" w:space="0" w:color="auto"/>
      </w:divBdr>
    </w:div>
    <w:div w:id="818813711">
      <w:bodyDiv w:val="1"/>
      <w:marLeft w:val="0"/>
      <w:marRight w:val="0"/>
      <w:marTop w:val="0"/>
      <w:marBottom w:val="0"/>
      <w:divBdr>
        <w:top w:val="none" w:sz="0" w:space="0" w:color="auto"/>
        <w:left w:val="none" w:sz="0" w:space="0" w:color="auto"/>
        <w:bottom w:val="none" w:sz="0" w:space="0" w:color="auto"/>
        <w:right w:val="none" w:sz="0" w:space="0" w:color="auto"/>
      </w:divBdr>
    </w:div>
    <w:div w:id="888230122">
      <w:bodyDiv w:val="1"/>
      <w:marLeft w:val="0"/>
      <w:marRight w:val="0"/>
      <w:marTop w:val="0"/>
      <w:marBottom w:val="0"/>
      <w:divBdr>
        <w:top w:val="none" w:sz="0" w:space="0" w:color="auto"/>
        <w:left w:val="none" w:sz="0" w:space="0" w:color="auto"/>
        <w:bottom w:val="none" w:sz="0" w:space="0" w:color="auto"/>
        <w:right w:val="none" w:sz="0" w:space="0" w:color="auto"/>
      </w:divBdr>
    </w:div>
    <w:div w:id="963123381">
      <w:bodyDiv w:val="1"/>
      <w:marLeft w:val="0"/>
      <w:marRight w:val="0"/>
      <w:marTop w:val="0"/>
      <w:marBottom w:val="0"/>
      <w:divBdr>
        <w:top w:val="none" w:sz="0" w:space="0" w:color="auto"/>
        <w:left w:val="none" w:sz="0" w:space="0" w:color="auto"/>
        <w:bottom w:val="none" w:sz="0" w:space="0" w:color="auto"/>
        <w:right w:val="none" w:sz="0" w:space="0" w:color="auto"/>
      </w:divBdr>
      <w:divsChild>
        <w:div w:id="649137334">
          <w:marLeft w:val="0"/>
          <w:marRight w:val="0"/>
          <w:marTop w:val="0"/>
          <w:marBottom w:val="0"/>
          <w:divBdr>
            <w:top w:val="none" w:sz="0" w:space="0" w:color="auto"/>
            <w:left w:val="none" w:sz="0" w:space="0" w:color="auto"/>
            <w:bottom w:val="none" w:sz="0" w:space="0" w:color="auto"/>
            <w:right w:val="none" w:sz="0" w:space="0" w:color="auto"/>
          </w:divBdr>
          <w:divsChild>
            <w:div w:id="1897160078">
              <w:marLeft w:val="0"/>
              <w:marRight w:val="0"/>
              <w:marTop w:val="0"/>
              <w:marBottom w:val="0"/>
              <w:divBdr>
                <w:top w:val="none" w:sz="0" w:space="0" w:color="auto"/>
                <w:left w:val="none" w:sz="0" w:space="0" w:color="auto"/>
                <w:bottom w:val="none" w:sz="0" w:space="0" w:color="auto"/>
                <w:right w:val="none" w:sz="0" w:space="0" w:color="auto"/>
              </w:divBdr>
              <w:divsChild>
                <w:div w:id="19259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6564">
      <w:bodyDiv w:val="1"/>
      <w:marLeft w:val="0"/>
      <w:marRight w:val="0"/>
      <w:marTop w:val="0"/>
      <w:marBottom w:val="0"/>
      <w:divBdr>
        <w:top w:val="none" w:sz="0" w:space="0" w:color="auto"/>
        <w:left w:val="none" w:sz="0" w:space="0" w:color="auto"/>
        <w:bottom w:val="none" w:sz="0" w:space="0" w:color="auto"/>
        <w:right w:val="none" w:sz="0" w:space="0" w:color="auto"/>
      </w:divBdr>
    </w:div>
    <w:div w:id="1316300372">
      <w:bodyDiv w:val="1"/>
      <w:marLeft w:val="0"/>
      <w:marRight w:val="0"/>
      <w:marTop w:val="0"/>
      <w:marBottom w:val="0"/>
      <w:divBdr>
        <w:top w:val="none" w:sz="0" w:space="0" w:color="auto"/>
        <w:left w:val="none" w:sz="0" w:space="0" w:color="auto"/>
        <w:bottom w:val="none" w:sz="0" w:space="0" w:color="auto"/>
        <w:right w:val="none" w:sz="0" w:space="0" w:color="auto"/>
      </w:divBdr>
    </w:div>
    <w:div w:id="1328823057">
      <w:bodyDiv w:val="1"/>
      <w:marLeft w:val="0"/>
      <w:marRight w:val="0"/>
      <w:marTop w:val="0"/>
      <w:marBottom w:val="0"/>
      <w:divBdr>
        <w:top w:val="none" w:sz="0" w:space="0" w:color="auto"/>
        <w:left w:val="none" w:sz="0" w:space="0" w:color="auto"/>
        <w:bottom w:val="none" w:sz="0" w:space="0" w:color="auto"/>
        <w:right w:val="none" w:sz="0" w:space="0" w:color="auto"/>
      </w:divBdr>
    </w:div>
    <w:div w:id="1459497122">
      <w:bodyDiv w:val="1"/>
      <w:marLeft w:val="0"/>
      <w:marRight w:val="0"/>
      <w:marTop w:val="0"/>
      <w:marBottom w:val="0"/>
      <w:divBdr>
        <w:top w:val="none" w:sz="0" w:space="0" w:color="auto"/>
        <w:left w:val="none" w:sz="0" w:space="0" w:color="auto"/>
        <w:bottom w:val="none" w:sz="0" w:space="0" w:color="auto"/>
        <w:right w:val="none" w:sz="0" w:space="0" w:color="auto"/>
      </w:divBdr>
    </w:div>
    <w:div w:id="1518083762">
      <w:bodyDiv w:val="1"/>
      <w:marLeft w:val="0"/>
      <w:marRight w:val="0"/>
      <w:marTop w:val="0"/>
      <w:marBottom w:val="0"/>
      <w:divBdr>
        <w:top w:val="none" w:sz="0" w:space="0" w:color="auto"/>
        <w:left w:val="none" w:sz="0" w:space="0" w:color="auto"/>
        <w:bottom w:val="none" w:sz="0" w:space="0" w:color="auto"/>
        <w:right w:val="none" w:sz="0" w:space="0" w:color="auto"/>
      </w:divBdr>
    </w:div>
    <w:div w:id="1550993793">
      <w:bodyDiv w:val="1"/>
      <w:marLeft w:val="0"/>
      <w:marRight w:val="0"/>
      <w:marTop w:val="0"/>
      <w:marBottom w:val="0"/>
      <w:divBdr>
        <w:top w:val="none" w:sz="0" w:space="0" w:color="auto"/>
        <w:left w:val="none" w:sz="0" w:space="0" w:color="auto"/>
        <w:bottom w:val="none" w:sz="0" w:space="0" w:color="auto"/>
        <w:right w:val="none" w:sz="0" w:space="0" w:color="auto"/>
      </w:divBdr>
    </w:div>
    <w:div w:id="1565986456">
      <w:bodyDiv w:val="1"/>
      <w:marLeft w:val="0"/>
      <w:marRight w:val="0"/>
      <w:marTop w:val="0"/>
      <w:marBottom w:val="0"/>
      <w:divBdr>
        <w:top w:val="none" w:sz="0" w:space="0" w:color="auto"/>
        <w:left w:val="none" w:sz="0" w:space="0" w:color="auto"/>
        <w:bottom w:val="none" w:sz="0" w:space="0" w:color="auto"/>
        <w:right w:val="none" w:sz="0" w:space="0" w:color="auto"/>
      </w:divBdr>
    </w:div>
    <w:div w:id="1603222320">
      <w:bodyDiv w:val="1"/>
      <w:marLeft w:val="0"/>
      <w:marRight w:val="0"/>
      <w:marTop w:val="0"/>
      <w:marBottom w:val="0"/>
      <w:divBdr>
        <w:top w:val="none" w:sz="0" w:space="0" w:color="auto"/>
        <w:left w:val="none" w:sz="0" w:space="0" w:color="auto"/>
        <w:bottom w:val="none" w:sz="0" w:space="0" w:color="auto"/>
        <w:right w:val="none" w:sz="0" w:space="0" w:color="auto"/>
      </w:divBdr>
    </w:div>
    <w:div w:id="1862474462">
      <w:bodyDiv w:val="1"/>
      <w:marLeft w:val="0"/>
      <w:marRight w:val="0"/>
      <w:marTop w:val="0"/>
      <w:marBottom w:val="0"/>
      <w:divBdr>
        <w:top w:val="none" w:sz="0" w:space="0" w:color="auto"/>
        <w:left w:val="none" w:sz="0" w:space="0" w:color="auto"/>
        <w:bottom w:val="none" w:sz="0" w:space="0" w:color="auto"/>
        <w:right w:val="none" w:sz="0" w:space="0" w:color="auto"/>
      </w:divBdr>
    </w:div>
    <w:div w:id="1889681685">
      <w:bodyDiv w:val="1"/>
      <w:marLeft w:val="0"/>
      <w:marRight w:val="0"/>
      <w:marTop w:val="0"/>
      <w:marBottom w:val="0"/>
      <w:divBdr>
        <w:top w:val="none" w:sz="0" w:space="0" w:color="auto"/>
        <w:left w:val="none" w:sz="0" w:space="0" w:color="auto"/>
        <w:bottom w:val="none" w:sz="0" w:space="0" w:color="auto"/>
        <w:right w:val="none" w:sz="0" w:space="0" w:color="auto"/>
      </w:divBdr>
    </w:div>
    <w:div w:id="193174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846C-C8A1-4CBC-9BDF-DB533C9D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104</Pages>
  <Words>43368</Words>
  <Characters>235356</Characters>
  <Application>Microsoft Office Word</Application>
  <DocSecurity>0</DocSecurity>
  <Lines>1961</Lines>
  <Paragraphs>556</Paragraphs>
  <ScaleCrop>false</ScaleCrop>
  <HeadingPairs>
    <vt:vector size="2" baseType="variant">
      <vt:variant>
        <vt:lpstr>Title</vt:lpstr>
      </vt:variant>
      <vt:variant>
        <vt:i4>1</vt:i4>
      </vt:variant>
    </vt:vector>
  </HeadingPairs>
  <TitlesOfParts>
    <vt:vector size="1" baseType="lpstr">
      <vt:lpstr>National Evaluation of the Transition Care Program</vt:lpstr>
    </vt:vector>
  </TitlesOfParts>
  <Company>DHA</Company>
  <LinksUpToDate>false</LinksUpToDate>
  <CharactersWithSpaces>278168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Evaluation of the Transition Care Program</dc:title>
  <dc:creator>sstepjm</dc:creator>
  <cp:lastModifiedBy>WHITER, Shaun</cp:lastModifiedBy>
  <cp:revision>8</cp:revision>
  <dcterms:created xsi:type="dcterms:W3CDTF">2014-10-28T02:53:00Z</dcterms:created>
  <dcterms:modified xsi:type="dcterms:W3CDTF">2014-10-29T01:24:00Z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