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5CF" w:rsidRPr="00B74347" w:rsidRDefault="0092374A" w:rsidP="00B74347">
      <w:pPr>
        <w:spacing w:before="1400"/>
        <w:ind w:left="1134"/>
        <w:jc w:val="both"/>
      </w:pPr>
      <w:bookmarkStart w:id="0" w:name="_GoBack"/>
      <w:bookmarkEnd w:id="0"/>
      <w:r w:rsidRPr="00B74347">
        <w:rPr>
          <w:noProof/>
          <w:lang w:val="en-AU" w:eastAsia="en-AU"/>
        </w:rPr>
        <w:drawing>
          <wp:anchor distT="0" distB="0" distL="114300" distR="114300" simplePos="0" relativeHeight="251657728" behindDoc="1" locked="0" layoutInCell="1" allowOverlap="1" wp14:anchorId="4B7A7C25" wp14:editId="34F96B70">
            <wp:simplePos x="0" y="0"/>
            <wp:positionH relativeFrom="column">
              <wp:posOffset>495935</wp:posOffset>
            </wp:positionH>
            <wp:positionV relativeFrom="paragraph">
              <wp:posOffset>-73660</wp:posOffset>
            </wp:positionV>
            <wp:extent cx="2262505" cy="1058545"/>
            <wp:effectExtent l="0" t="0" r="0" b="8255"/>
            <wp:wrapNone/>
            <wp:docPr id="3" name="Picture 11" descr="Description: USY_MB1_RGB_1_Colour_Standa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USY_MB1_RGB_1_Colour_Standard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2505"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67C" w:rsidRPr="00B74347" w:rsidRDefault="00C4267C" w:rsidP="00B74347">
      <w:pPr>
        <w:pStyle w:val="Title"/>
        <w:spacing w:before="200"/>
        <w:jc w:val="both"/>
      </w:pPr>
      <w:r w:rsidRPr="00B74347">
        <w:t>National Disability Insurance Scheme: Commonwealth Financial Arrangements Up To 2019-20</w:t>
      </w:r>
    </w:p>
    <w:p w:rsidR="00C4267C" w:rsidRPr="00B74347" w:rsidRDefault="00C4267C" w:rsidP="00B74347">
      <w:pPr>
        <w:pStyle w:val="Title"/>
        <w:spacing w:before="200"/>
        <w:jc w:val="both"/>
        <w:rPr>
          <w:b w:val="0"/>
          <w:color w:val="auto"/>
          <w:sz w:val="40"/>
          <w:szCs w:val="40"/>
        </w:rPr>
      </w:pPr>
      <w:r w:rsidRPr="00B74347">
        <w:rPr>
          <w:b w:val="0"/>
          <w:color w:val="auto"/>
          <w:sz w:val="40"/>
          <w:szCs w:val="40"/>
        </w:rPr>
        <w:t>Policy Bulletin 5, November 2015</w:t>
      </w:r>
    </w:p>
    <w:p w:rsidR="00C4267C" w:rsidRPr="00B74347" w:rsidRDefault="00C4267C" w:rsidP="00E24F93">
      <w:pPr>
        <w:spacing w:before="17" w:line="240" w:lineRule="exact"/>
        <w:ind w:left="450"/>
        <w:jc w:val="both"/>
        <w:rPr>
          <w:sz w:val="24"/>
        </w:rPr>
      </w:pPr>
    </w:p>
    <w:p w:rsidR="00C4267C" w:rsidRPr="00B74347" w:rsidRDefault="00B74347" w:rsidP="00B74347">
      <w:pPr>
        <w:ind w:left="864" w:firstLine="270"/>
        <w:jc w:val="both"/>
        <w:rPr>
          <w:rFonts w:eastAsia="Arial"/>
          <w:sz w:val="24"/>
        </w:rPr>
      </w:pPr>
      <w:r w:rsidRPr="00B74347">
        <w:rPr>
          <w:rFonts w:eastAsia="Arial"/>
          <w:sz w:val="24"/>
        </w:rPr>
        <w:t xml:space="preserve">Richard Madden </w:t>
      </w:r>
      <w:r w:rsidRPr="00B74347">
        <w:rPr>
          <w:rFonts w:eastAsia="Arial"/>
          <w:sz w:val="24"/>
        </w:rPr>
        <w:tab/>
      </w:r>
      <w:r w:rsidRPr="00B74347">
        <w:rPr>
          <w:rFonts w:eastAsia="Arial"/>
          <w:sz w:val="24"/>
        </w:rPr>
        <w:tab/>
      </w:r>
      <w:r w:rsidR="00C4267C" w:rsidRPr="00B74347">
        <w:rPr>
          <w:rFonts w:eastAsia="Replica Std Light"/>
          <w:spacing w:val="3"/>
          <w:sz w:val="24"/>
        </w:rPr>
        <w:t>I</w:t>
      </w:r>
      <w:r w:rsidR="00C4267C" w:rsidRPr="00B74347">
        <w:rPr>
          <w:rFonts w:eastAsia="Replica Std Light"/>
          <w:spacing w:val="4"/>
          <w:sz w:val="24"/>
        </w:rPr>
        <w:t>SS</w:t>
      </w:r>
      <w:r w:rsidR="00C4267C" w:rsidRPr="00B74347">
        <w:rPr>
          <w:rFonts w:eastAsia="Replica Std Light"/>
          <w:spacing w:val="-1"/>
          <w:sz w:val="24"/>
        </w:rPr>
        <w:t>N</w:t>
      </w:r>
      <w:r w:rsidR="00C4267C" w:rsidRPr="00B74347">
        <w:rPr>
          <w:rFonts w:eastAsia="Replica Std Light"/>
          <w:sz w:val="24"/>
        </w:rPr>
        <w:t>:</w:t>
      </w:r>
      <w:r w:rsidR="00C4267C" w:rsidRPr="00B74347">
        <w:rPr>
          <w:rFonts w:eastAsia="Replica Std Light"/>
          <w:spacing w:val="11"/>
          <w:sz w:val="24"/>
        </w:rPr>
        <w:t xml:space="preserve"> </w:t>
      </w:r>
      <w:r w:rsidR="00C4267C" w:rsidRPr="00B74347">
        <w:rPr>
          <w:sz w:val="24"/>
        </w:rPr>
        <w:t>2201-7488</w:t>
      </w:r>
    </w:p>
    <w:p w:rsidR="00C4267C" w:rsidRPr="00B74347" w:rsidRDefault="00B74347" w:rsidP="00E24F93">
      <w:pPr>
        <w:ind w:left="450" w:right="-20"/>
        <w:jc w:val="both"/>
        <w:rPr>
          <w:sz w:val="24"/>
        </w:rPr>
      </w:pPr>
      <w:r w:rsidRPr="00B74347">
        <w:rPr>
          <w:b/>
          <w:noProof/>
          <w:sz w:val="40"/>
          <w:szCs w:val="40"/>
          <w:lang w:val="en-AU" w:eastAsia="en-AU"/>
        </w:rPr>
        <w:drawing>
          <wp:anchor distT="0" distB="0" distL="114300" distR="114300" simplePos="0" relativeHeight="251659776" behindDoc="0" locked="0" layoutInCell="1" allowOverlap="1" wp14:anchorId="74A59326" wp14:editId="0F0B0741">
            <wp:simplePos x="0" y="0"/>
            <wp:positionH relativeFrom="column">
              <wp:posOffset>735330</wp:posOffset>
            </wp:positionH>
            <wp:positionV relativeFrom="paragraph">
              <wp:posOffset>87630</wp:posOffset>
            </wp:positionV>
            <wp:extent cx="4995545" cy="5738495"/>
            <wp:effectExtent l="0" t="0" r="0" b="0"/>
            <wp:wrapSquare wrapText="bothSides"/>
            <wp:docPr id="2" name="Picture 2" descr="Z:\Research Groups\Centre for Disability Research and Policy\Sunshine Images\Art Images\Sunshine Image\Helen_Coo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search Groups\Centre for Disability Research and Policy\Sunshine Images\Art Images\Sunshine Image\Helen_Cooke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46" t="4743" r="-1" b="18972"/>
                    <a:stretch/>
                  </pic:blipFill>
                  <pic:spPr bwMode="auto">
                    <a:xfrm>
                      <a:off x="0" y="0"/>
                      <a:ext cx="4995545" cy="5738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347" w:rsidRPr="00B74347" w:rsidRDefault="00B74347" w:rsidP="00E24F93">
      <w:pPr>
        <w:pStyle w:val="Title"/>
        <w:jc w:val="both"/>
        <w:rPr>
          <w:b w:val="0"/>
          <w:noProof/>
          <w:sz w:val="40"/>
          <w:szCs w:val="40"/>
        </w:rPr>
      </w:pPr>
    </w:p>
    <w:p w:rsidR="00011BAF" w:rsidRPr="00B74347" w:rsidRDefault="00F304DE" w:rsidP="00E24F93">
      <w:pPr>
        <w:pStyle w:val="Title"/>
        <w:jc w:val="both"/>
        <w:rPr>
          <w:b w:val="0"/>
          <w:sz w:val="40"/>
          <w:szCs w:val="40"/>
        </w:rPr>
      </w:pPr>
      <w:r w:rsidRPr="00366B84">
        <w:rPr>
          <w:b w:val="0"/>
          <w:noProof/>
          <w:sz w:val="40"/>
          <w:szCs w:val="40"/>
          <w:lang w:val="en-AU" w:eastAsia="en-AU"/>
        </w:rPr>
        <mc:AlternateContent>
          <mc:Choice Requires="wps">
            <w:drawing>
              <wp:anchor distT="0" distB="0" distL="114300" distR="114300" simplePos="0" relativeHeight="251661824" behindDoc="0" locked="0" layoutInCell="1" allowOverlap="1" wp14:anchorId="1A183FFB" wp14:editId="2F5B3250">
                <wp:simplePos x="0" y="0"/>
                <wp:positionH relativeFrom="column">
                  <wp:posOffset>744220</wp:posOffset>
                </wp:positionH>
                <wp:positionV relativeFrom="paragraph">
                  <wp:posOffset>3451860</wp:posOffset>
                </wp:positionV>
                <wp:extent cx="333946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1403985"/>
                        </a:xfrm>
                        <a:prstGeom prst="rect">
                          <a:avLst/>
                        </a:prstGeom>
                        <a:noFill/>
                        <a:ln w="9525">
                          <a:noFill/>
                          <a:miter lim="800000"/>
                          <a:headEnd/>
                          <a:tailEnd/>
                        </a:ln>
                      </wps:spPr>
                      <wps:txbx>
                        <w:txbxContent>
                          <w:p w:rsidR="00F304DE" w:rsidRPr="00366B84" w:rsidRDefault="00F304DE" w:rsidP="00F304DE">
                            <w:pPr>
                              <w:rPr>
                                <w:rFonts w:ascii="Calibri" w:hAnsi="Calibri"/>
                                <w:b/>
                                <w:color w:val="FFFFFF" w:themeColor="background1"/>
                                <w:sz w:val="56"/>
                                <w:szCs w:val="56"/>
                              </w:rPr>
                            </w:pPr>
                            <w:r w:rsidRPr="00366B84">
                              <w:rPr>
                                <w:rFonts w:ascii="Calibri" w:hAnsi="Calibri"/>
                                <w:b/>
                                <w:color w:val="FFFFFF" w:themeColor="background1"/>
                                <w:sz w:val="56"/>
                                <w:szCs w:val="56"/>
                              </w:rPr>
                              <w:t>Centre for Disability Research and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8.6pt;margin-top:271.8pt;width:262.9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" filled="f" stroked="f">
                <v:textbox style="mso-fit-shape-to-text:t">
                  <w:txbxContent>
                    <w:p w:rsidR="00F304DE" w:rsidRPr="00366B84" w:rsidRDefault="00F304DE" w:rsidP="00F304DE">
                      <w:pPr>
                        <w:rPr>
                          <w:rFonts w:ascii="Calibri" w:hAnsi="Calibri"/>
                          <w:b/>
                          <w:color w:val="FFFFFF" w:themeColor="background1"/>
                          <w:sz w:val="56"/>
                          <w:szCs w:val="56"/>
                        </w:rPr>
                      </w:pPr>
                      <w:r w:rsidRPr="00366B84">
                        <w:rPr>
                          <w:rFonts w:ascii="Calibri" w:hAnsi="Calibri"/>
                          <w:b/>
                          <w:color w:val="FFFFFF" w:themeColor="background1"/>
                          <w:sz w:val="56"/>
                          <w:szCs w:val="56"/>
                        </w:rPr>
                        <w:t>Centre for Disability Research and Policy</w:t>
                      </w:r>
                    </w:p>
                  </w:txbxContent>
                </v:textbox>
              </v:shape>
            </w:pict>
          </mc:Fallback>
        </mc:AlternateContent>
      </w:r>
      <w:r w:rsidR="00011BAF" w:rsidRPr="00B74347">
        <w:rPr>
          <w:b w:val="0"/>
          <w:sz w:val="40"/>
          <w:szCs w:val="40"/>
        </w:rPr>
        <w:br w:type="page"/>
      </w:r>
    </w:p>
    <w:p w:rsidR="00C4267C" w:rsidRPr="00B74347" w:rsidRDefault="00C4267C" w:rsidP="00E24F93">
      <w:pPr>
        <w:pStyle w:val="Heading2"/>
        <w:jc w:val="both"/>
      </w:pPr>
      <w:r w:rsidRPr="00B74347">
        <w:lastRenderedPageBreak/>
        <w:t>Abstract</w:t>
      </w:r>
    </w:p>
    <w:p w:rsidR="00C4267C" w:rsidRPr="00B74347" w:rsidRDefault="00C4267C" w:rsidP="00E24F93">
      <w:pPr>
        <w:jc w:val="both"/>
      </w:pPr>
      <w:r w:rsidRPr="00B74347">
        <w:t xml:space="preserve">The financial arrangements for the National Disability Insurance Scheme (NDIS) are crucial to the successful implementation of the Scheme. The NDIS is jointly funded by the Commonwealth and the States and Territories. The </w:t>
      </w:r>
      <w:proofErr w:type="spellStart"/>
      <w:r w:rsidRPr="00B74347">
        <w:t>DisabilityCare</w:t>
      </w:r>
      <w:proofErr w:type="spellEnd"/>
      <w:r w:rsidRPr="00B74347">
        <w:t xml:space="preserve"> Australia (DCA) levy (0.5% of income) was introduced on 1 July 2014, when the NDIS itself was only being introduced at trial sites. Consequently, most of the levy is being accumulated in the early years of the NDIS to meet future commitments of the Commonwealth and the States and Territories. How long will the accumulated balances of the levy survive if they are used to fund NDIS expenses as they increase? This paper attempts to answer this key question for the Commonwealth Government portion of the NDIS’ finances.</w:t>
      </w:r>
    </w:p>
    <w:p w:rsidR="00C4267C" w:rsidRPr="00B74347" w:rsidRDefault="00C4267C" w:rsidP="00E24F93">
      <w:pPr>
        <w:jc w:val="both"/>
      </w:pPr>
    </w:p>
    <w:p w:rsidR="00C4267C" w:rsidRPr="00B74347" w:rsidRDefault="00C4267C" w:rsidP="00E24F93">
      <w:pPr>
        <w:jc w:val="both"/>
      </w:pPr>
      <w:r w:rsidRPr="00B74347">
        <w:t>Information sources are patchy, but the Commonwealth Budget Papers for various years provide base information. The estimates are complicated by impacts on a range of existing Commonwealth programs to support State and Territory disability support services and also services supported by the Commonwealth itself. Assumptions are unavoidable, and are fully set out with the rationale; the accuracy of the estimates depends on the assumptions. But the assumptions do not affect the overall picture that emerges.</w:t>
      </w:r>
    </w:p>
    <w:p w:rsidR="00C4267C" w:rsidRPr="00B74347" w:rsidRDefault="00C4267C" w:rsidP="00E24F93">
      <w:pPr>
        <w:jc w:val="both"/>
      </w:pPr>
    </w:p>
    <w:p w:rsidR="00C4267C" w:rsidRPr="00B74347" w:rsidRDefault="00C4267C" w:rsidP="00E24F93">
      <w:pPr>
        <w:jc w:val="both"/>
      </w:pPr>
      <w:r w:rsidRPr="00B74347">
        <w:t>The estimates show that the Commonwealth will have no net financing requirement in the years up to and including 2018-19. In these years, the balances from the Commonwealth’s share of the DCA levy will be substantial, reaching an estimated $6,568 million in 2016-17.</w:t>
      </w:r>
    </w:p>
    <w:p w:rsidR="00C4267C" w:rsidRPr="00B74347" w:rsidRDefault="00C4267C" w:rsidP="00E24F93">
      <w:pPr>
        <w:jc w:val="both"/>
      </w:pPr>
    </w:p>
    <w:p w:rsidR="00DC1CB8" w:rsidRPr="00B74347" w:rsidRDefault="00C4267C" w:rsidP="00DC1CB8">
      <w:pPr>
        <w:jc w:val="both"/>
      </w:pPr>
      <w:r w:rsidRPr="00B74347">
        <w:t>It is estimated that the Commonwealth will have a net financing requirem</w:t>
      </w:r>
      <w:r w:rsidR="00CF433F" w:rsidRPr="00B74347">
        <w:t>e</w:t>
      </w:r>
      <w:r w:rsidRPr="00B74347">
        <w:t>nt in 2019-20, the first year in which the NDIS will be fully rolled out. In that year, the requirement is estimated to be $2,023 million, and the Commonwealth share of the DCA Fund will be exhausted. In later years, based on annual overall NDIS expenses of $22 billion, the net Commonwealth financing requirement is estimated at $4,073 million</w:t>
      </w:r>
      <w:r w:rsidR="00DC1CB8" w:rsidRPr="00B74347">
        <w:t xml:space="preserve">, which represents 37% of the Commonwealth’s share of total NDIS expenses. </w:t>
      </w:r>
    </w:p>
    <w:p w:rsidR="00DC1CB8" w:rsidRPr="00B74347" w:rsidRDefault="00DC1CB8" w:rsidP="00DC1CB8"/>
    <w:p w:rsidR="00DC1CB8" w:rsidRPr="00B74347" w:rsidRDefault="00DC1CB8" w:rsidP="00DC1CB8">
      <w:pPr>
        <w:jc w:val="both"/>
      </w:pPr>
      <w:r w:rsidRPr="00B74347">
        <w:t>There has been discussion in the media about whether the expenses may exceed the estimates now being used. Rather than reacting to such possibilities long before there is any hard evidence during the rollout, it would be best to focus on effective planning to provide NDIS participants the reasonable and necessary supports they need as efficiently as possible, and provide full information on emerging costs as the experience is gathered. There is a substantial window to learn during the rollout, and to adjust policy and administrative settings in the interim.</w:t>
      </w:r>
    </w:p>
    <w:p w:rsidR="00DC1CB8" w:rsidRPr="00B74347" w:rsidRDefault="00DC1CB8" w:rsidP="00DC1CB8">
      <w:pPr>
        <w:jc w:val="both"/>
      </w:pPr>
      <w:r w:rsidRPr="00B74347">
        <w:t xml:space="preserve"> </w:t>
      </w:r>
    </w:p>
    <w:p w:rsidR="00DC1CB8" w:rsidRPr="00B74347" w:rsidRDefault="00DC1CB8" w:rsidP="00E24F93">
      <w:pPr>
        <w:pStyle w:val="Heading2"/>
        <w:jc w:val="both"/>
      </w:pPr>
      <w:r w:rsidRPr="00B74347">
        <w:br w:type="page"/>
      </w:r>
    </w:p>
    <w:p w:rsidR="00C4267C" w:rsidRPr="00B74347" w:rsidRDefault="00C4267C" w:rsidP="00E24F93">
      <w:pPr>
        <w:pStyle w:val="Heading2"/>
        <w:jc w:val="both"/>
      </w:pPr>
      <w:r w:rsidRPr="00B74347">
        <w:lastRenderedPageBreak/>
        <w:t>Introduction</w:t>
      </w:r>
    </w:p>
    <w:p w:rsidR="00C4267C" w:rsidRPr="00B74347" w:rsidRDefault="00C4267C" w:rsidP="00E24F93">
      <w:pPr>
        <w:jc w:val="both"/>
        <w:rPr>
          <w:b/>
        </w:rPr>
      </w:pPr>
    </w:p>
    <w:p w:rsidR="00C4267C" w:rsidRPr="00B74347" w:rsidRDefault="00C4267C" w:rsidP="00E24F93">
      <w:pPr>
        <w:jc w:val="both"/>
      </w:pPr>
      <w:r w:rsidRPr="00B74347">
        <w:t>The National Disability Insurance Scheme (NDIS) was passed into law in early 2013 and pilot projects commenced on 1 July 2013, with full rollout to begin on 1</w:t>
      </w:r>
      <w:r w:rsidR="00E51320" w:rsidRPr="00B74347">
        <w:t xml:space="preserve"> </w:t>
      </w:r>
      <w:r w:rsidRPr="00B74347">
        <w:t xml:space="preserve">July 2016. The arrangements for financing the NDIS are complex and have not been brought together in the 2015-16 Commonwealth Budget papers (1) or those of earlier years. </w:t>
      </w:r>
    </w:p>
    <w:p w:rsidR="00247E3B" w:rsidRPr="00B74347" w:rsidRDefault="00247E3B" w:rsidP="00E24F93">
      <w:pPr>
        <w:jc w:val="both"/>
      </w:pPr>
    </w:p>
    <w:p w:rsidR="00C4267C" w:rsidRPr="00B74347" w:rsidRDefault="00C4267C" w:rsidP="00E24F93">
      <w:pPr>
        <w:jc w:val="both"/>
      </w:pPr>
      <w:r w:rsidRPr="00B74347">
        <w:t xml:space="preserve">This Bulletin collects and connects available information on the Commonwealth Government’s NDIS financing arrangements up to and including the 2015-16 Budget, and the September 2015 Bilateral Agreements between the Commonwealth and NSW and Victoria. It builds on and updates information contained in an earlier paper (2). </w:t>
      </w:r>
    </w:p>
    <w:p w:rsidR="00247E3B" w:rsidRPr="00B74347" w:rsidRDefault="00247E3B" w:rsidP="00E24F93">
      <w:pPr>
        <w:jc w:val="both"/>
      </w:pPr>
    </w:p>
    <w:p w:rsidR="0013128D" w:rsidRPr="00B74347" w:rsidRDefault="0013128D" w:rsidP="00E24F93">
      <w:pPr>
        <w:jc w:val="both"/>
      </w:pPr>
    </w:p>
    <w:p w:rsidR="0013128D" w:rsidRPr="00B74347" w:rsidRDefault="0013128D" w:rsidP="00E24F93">
      <w:pPr>
        <w:jc w:val="both"/>
      </w:pPr>
    </w:p>
    <w:p w:rsidR="00C4267C" w:rsidRPr="00B74347" w:rsidRDefault="00C4267C" w:rsidP="00E24F93">
      <w:pPr>
        <w:pStyle w:val="Heading2"/>
        <w:jc w:val="both"/>
        <w:rPr>
          <w:sz w:val="38"/>
          <w:szCs w:val="38"/>
        </w:rPr>
      </w:pPr>
      <w:r w:rsidRPr="00B74347">
        <w:rPr>
          <w:sz w:val="38"/>
          <w:szCs w:val="38"/>
        </w:rPr>
        <w:t>Financing Mechanisms for the NDIS and Data Sources</w:t>
      </w:r>
    </w:p>
    <w:p w:rsidR="00C4267C" w:rsidRPr="00B74347" w:rsidRDefault="00C4267C" w:rsidP="00E24F93">
      <w:pPr>
        <w:jc w:val="both"/>
      </w:pPr>
    </w:p>
    <w:p w:rsidR="00C4267C" w:rsidRPr="00B74347" w:rsidRDefault="00C4267C" w:rsidP="00E24F93">
      <w:pPr>
        <w:jc w:val="both"/>
      </w:pPr>
      <w:r w:rsidRPr="00B74347">
        <w:t xml:space="preserve">Substantial financial information is contained in two series of agreements between the Commonwealth and the States and Territories (hereafter collectively referred to as ‘the States’) covering the introduction of the NDIS in a range of trail sites across Australia. These are the Heads of Agreement on the NDIS (3) and the Bilateral Agreements covering the NDIS launch and trial sites (4). Further agreements (5) to roll out the NDIS have been concluded with NSW and Victoria in September 2015, and are imminent in other States. </w:t>
      </w:r>
    </w:p>
    <w:p w:rsidR="00C4267C" w:rsidRPr="00B74347" w:rsidRDefault="00C4267C" w:rsidP="00E24F93">
      <w:pPr>
        <w:jc w:val="both"/>
      </w:pPr>
    </w:p>
    <w:p w:rsidR="00C4267C" w:rsidRPr="00B74347" w:rsidRDefault="00C4267C" w:rsidP="00E24F93">
      <w:pPr>
        <w:jc w:val="both"/>
      </w:pPr>
      <w:r w:rsidRPr="00B74347">
        <w:t>The Commonwealth provides appropriation to meet the bulk of NDIS expenses. In 2014-15, these expenses were low, given the NDIS was being progressively rolled out only at trial sites. These expenses increase in 2015-16, and over following years (Table 1). The States have agreed to make payments to the Commonwealth to meet a proportion of each year’s expenses, rising from 39% in 2014-15 to 53% in 2017-18. State and Commonwealth shares of the NDIS expenses are shown at Table 2A.</w:t>
      </w:r>
    </w:p>
    <w:p w:rsidR="00C4267C" w:rsidRPr="00B74347" w:rsidRDefault="00C4267C" w:rsidP="00E24F93">
      <w:pPr>
        <w:jc w:val="both"/>
      </w:pPr>
    </w:p>
    <w:p w:rsidR="00C4267C" w:rsidRPr="00B74347" w:rsidRDefault="00C4267C" w:rsidP="00E24F93">
      <w:pPr>
        <w:jc w:val="both"/>
      </w:pPr>
      <w:r w:rsidRPr="00B74347">
        <w:t xml:space="preserve">To provide a source of revenue for the NDIS, the Commonwealth has introduced the </w:t>
      </w:r>
      <w:proofErr w:type="spellStart"/>
      <w:r w:rsidRPr="00B74347">
        <w:t>DisabilityCare</w:t>
      </w:r>
      <w:proofErr w:type="spellEnd"/>
      <w:r w:rsidRPr="00B74347">
        <w:t xml:space="preserve"> (DCA) Australia levy from 1 July 2014. This is set at 0.5% of taxable income, and is administratively combined with the long established Medicare levy. A share of the levy is reserved for the States, starting at 23% in 2014-15 and declining to 22% in 2018-19 (Table 3). This State share is not paid immediately to the States, but held by the Commonwealth for later release, subject to conditions (Table 8). </w:t>
      </w:r>
    </w:p>
    <w:p w:rsidR="00C4267C" w:rsidRPr="00B74347" w:rsidRDefault="00C4267C" w:rsidP="00E24F93">
      <w:pPr>
        <w:jc w:val="both"/>
      </w:pPr>
      <w:r w:rsidRPr="00B74347">
        <w:t> </w:t>
      </w:r>
    </w:p>
    <w:p w:rsidR="00C4267C" w:rsidRPr="00B74347" w:rsidRDefault="00C4267C" w:rsidP="00E24F93">
      <w:pPr>
        <w:jc w:val="both"/>
      </w:pPr>
      <w:proofErr w:type="spellStart"/>
      <w:r w:rsidRPr="00B74347">
        <w:t>DisabilityCare</w:t>
      </w:r>
      <w:proofErr w:type="spellEnd"/>
      <w:r w:rsidRPr="00B74347">
        <w:t xml:space="preserve"> Australia levy income far exceeds expenditure from the levy for several years, resulting in a build-up of surpluses to meet future expenses (Table 7 shows the Commonwealth share of surpluses, Table 8 the States’ share). These surpluses are held by the Commonwealth and are invested by the Future Fund Board, with investment income added to the surpluses.</w:t>
      </w:r>
    </w:p>
    <w:p w:rsidR="00C4267C" w:rsidRPr="00B74347" w:rsidRDefault="00C4267C" w:rsidP="00E24F93">
      <w:pPr>
        <w:jc w:val="both"/>
      </w:pPr>
    </w:p>
    <w:p w:rsidR="00C4267C" w:rsidRPr="00B74347" w:rsidRDefault="00C4267C" w:rsidP="00E24F93">
      <w:pPr>
        <w:jc w:val="both"/>
      </w:pPr>
      <w:r w:rsidRPr="00B74347">
        <w:t>Other Commonwealth/State financial arrangements are progressively impacted as the NDIS is rolled out. People who have received assistance funded by other programs (including existing disability services partially financed under the National Disability Agreement) will be supported by the NDIS once they become NDIS participants. The 2015 Commonwealth/State Bilateral agreements for Victoria and NSW include information on a range of offset payments in 2016-17 and 2017-18 (and 2018-19 for Victoria), resulting in payments from the States to the NDIA. The relevant appropriations are to cease once the NDIS is fully rolled out, so offset payments are only transitional arrangements.</w:t>
      </w:r>
    </w:p>
    <w:p w:rsidR="00C4267C" w:rsidRPr="00B74347" w:rsidRDefault="00C4267C" w:rsidP="00E24F93">
      <w:pPr>
        <w:jc w:val="both"/>
      </w:pPr>
    </w:p>
    <w:p w:rsidR="00C4267C" w:rsidRPr="00B74347" w:rsidRDefault="00C4267C" w:rsidP="00E24F93">
      <w:pPr>
        <w:jc w:val="both"/>
      </w:pPr>
      <w:r w:rsidRPr="00B74347">
        <w:t>Some Commonwealth programs also will progressively wind down as the NDIS is rolled out.</w:t>
      </w:r>
    </w:p>
    <w:p w:rsidR="00C4267C" w:rsidRPr="00B74347" w:rsidRDefault="00C4267C" w:rsidP="00E24F93">
      <w:pPr>
        <w:jc w:val="both"/>
      </w:pPr>
    </w:p>
    <w:p w:rsidR="00C4267C" w:rsidRPr="00B74347" w:rsidRDefault="00C4267C" w:rsidP="00E24F93">
      <w:pPr>
        <w:jc w:val="both"/>
      </w:pPr>
      <w:r w:rsidRPr="00B74347">
        <w:lastRenderedPageBreak/>
        <w:t xml:space="preserve">Overall, the analysis shows the significant surpluses that arise up to and including 2017-18. The paper charts the reduction in the Commonwealth share of the DCA fund in 2018-19, and it exhaustion in 2019-20. The net financial impact on the Commonwealth Budget in 2019-20 and later years is then estimated. </w:t>
      </w:r>
    </w:p>
    <w:p w:rsidR="00C4267C" w:rsidRPr="00B74347" w:rsidRDefault="00C4267C" w:rsidP="00E24F93">
      <w:pPr>
        <w:jc w:val="both"/>
      </w:pPr>
    </w:p>
    <w:p w:rsidR="00C4267C" w:rsidRPr="00B74347" w:rsidRDefault="00C4267C" w:rsidP="00E24F93">
      <w:pPr>
        <w:jc w:val="both"/>
      </w:pPr>
      <w:r w:rsidRPr="00B74347">
        <w:t> </w:t>
      </w:r>
    </w:p>
    <w:p w:rsidR="00247E3B" w:rsidRPr="00B74347" w:rsidRDefault="00247E3B" w:rsidP="00E24F93">
      <w:pPr>
        <w:jc w:val="both"/>
        <w:rPr>
          <w:bCs/>
          <w:sz w:val="40"/>
          <w:szCs w:val="26"/>
        </w:rPr>
      </w:pPr>
      <w:r w:rsidRPr="00B74347">
        <w:br w:type="page"/>
      </w:r>
    </w:p>
    <w:p w:rsidR="00C4267C" w:rsidRPr="00B74347" w:rsidRDefault="00C4267C" w:rsidP="00E24F93">
      <w:pPr>
        <w:pStyle w:val="Heading2"/>
        <w:jc w:val="both"/>
      </w:pPr>
      <w:r w:rsidRPr="00B74347">
        <w:lastRenderedPageBreak/>
        <w:t xml:space="preserve">Results: 2014-15 to 2017-18 </w:t>
      </w:r>
    </w:p>
    <w:p w:rsidR="00C4267C" w:rsidRPr="00B74347" w:rsidRDefault="00C4267C" w:rsidP="00E24F93">
      <w:pPr>
        <w:pStyle w:val="Heading3"/>
        <w:jc w:val="both"/>
      </w:pPr>
      <w:r w:rsidRPr="00B74347">
        <w:t>Appropriation for the NDIS</w:t>
      </w:r>
    </w:p>
    <w:p w:rsidR="00C4267C" w:rsidRPr="00B74347" w:rsidRDefault="00C4267C" w:rsidP="00E24F93">
      <w:pPr>
        <w:jc w:val="both"/>
      </w:pPr>
    </w:p>
    <w:p w:rsidR="00C4267C" w:rsidRPr="00B74347" w:rsidRDefault="00C4267C" w:rsidP="00E24F93">
      <w:pPr>
        <w:jc w:val="both"/>
      </w:pPr>
      <w:r w:rsidRPr="00B74347">
        <w:t>The Commonwealth appropriates funding for NDIS expenses, but its net share is reduced by State payments to the Commonwealth each year. Table 1 provides the information available from the 2015 Budget papers showing estimated total expenses for the NDIS from 2014-15 to 2018-19.</w:t>
      </w:r>
    </w:p>
    <w:p w:rsidR="00C4267C" w:rsidRPr="00B74347" w:rsidRDefault="00C4267C" w:rsidP="00E24F93">
      <w:pPr>
        <w:jc w:val="both"/>
      </w:pPr>
    </w:p>
    <w:p w:rsidR="00C4267C" w:rsidRPr="00B74347" w:rsidRDefault="00C4267C" w:rsidP="00E24F93">
      <w:pPr>
        <w:pStyle w:val="Heading4"/>
        <w:jc w:val="both"/>
      </w:pPr>
      <w:r w:rsidRPr="00B74347">
        <w:t>TABLE 1: 2015 Budget: NDIS Expenses</w:t>
      </w:r>
    </w:p>
    <w:p w:rsidR="00EA6BAC" w:rsidRPr="00B74347" w:rsidRDefault="00EA6BAC" w:rsidP="00E24F93">
      <w:pPr>
        <w:jc w:val="both"/>
      </w:pPr>
    </w:p>
    <w:tbl>
      <w:tblPr>
        <w:tblStyle w:val="MediumGrid3-Accent2"/>
        <w:tblW w:w="0" w:type="auto"/>
        <w:tblLook w:val="04A0" w:firstRow="1" w:lastRow="0" w:firstColumn="1" w:lastColumn="0" w:noHBand="0" w:noVBand="1"/>
      </w:tblPr>
      <w:tblGrid>
        <w:gridCol w:w="2130"/>
        <w:gridCol w:w="2131"/>
        <w:gridCol w:w="2131"/>
        <w:gridCol w:w="2131"/>
      </w:tblGrid>
      <w:tr w:rsidR="00B74347" w:rsidRPr="00B74347" w:rsidTr="00B74347">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130" w:type="dxa"/>
          </w:tcPr>
          <w:p w:rsidR="00B74347" w:rsidRPr="00B74347" w:rsidRDefault="00B74347" w:rsidP="00E24F93">
            <w:pPr>
              <w:jc w:val="both"/>
            </w:pPr>
          </w:p>
        </w:tc>
        <w:tc>
          <w:tcPr>
            <w:tcW w:w="2131" w:type="dxa"/>
            <w:vAlign w:val="center"/>
          </w:tcPr>
          <w:p w:rsidR="00B74347" w:rsidRPr="0013128D" w:rsidRDefault="00B74347" w:rsidP="00B74347">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rPr>
            </w:pPr>
            <w:r w:rsidRPr="0013128D">
              <w:rPr>
                <w:rFonts w:eastAsia="Calibri" w:cstheme="majorHAnsi"/>
                <w:szCs w:val="22"/>
              </w:rPr>
              <w:t>NDIS expenses</w:t>
            </w:r>
          </w:p>
          <w:p w:rsidR="00B74347" w:rsidRPr="0013128D" w:rsidRDefault="00B74347" w:rsidP="00B74347">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vertAlign w:val="superscript"/>
              </w:rPr>
            </w:pPr>
            <w:r w:rsidRPr="0013128D">
              <w:rPr>
                <w:rFonts w:eastAsia="Calibri" w:cstheme="majorHAnsi"/>
                <w:szCs w:val="22"/>
              </w:rPr>
              <w:t>$M</w:t>
            </w:r>
          </w:p>
        </w:tc>
        <w:tc>
          <w:tcPr>
            <w:tcW w:w="2131" w:type="dxa"/>
            <w:vAlign w:val="center"/>
          </w:tcPr>
          <w:p w:rsidR="00B74347" w:rsidRPr="0013128D" w:rsidRDefault="00B74347" w:rsidP="00B74347">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vertAlign w:val="superscript"/>
              </w:rPr>
            </w:pPr>
            <w:r w:rsidRPr="0013128D">
              <w:rPr>
                <w:rFonts w:eastAsia="Calibri" w:cstheme="majorHAnsi"/>
                <w:szCs w:val="22"/>
              </w:rPr>
              <w:t>States’ share</w:t>
            </w:r>
          </w:p>
          <w:p w:rsidR="00B74347" w:rsidRPr="0013128D" w:rsidRDefault="00B74347" w:rsidP="00B74347">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b w:val="0"/>
                <w:bCs w:val="0"/>
                <w:color w:val="auto"/>
                <w:szCs w:val="22"/>
              </w:rPr>
            </w:pPr>
            <w:r w:rsidRPr="0013128D">
              <w:rPr>
                <w:rFonts w:eastAsia="Calibri" w:cstheme="majorHAnsi"/>
                <w:szCs w:val="22"/>
              </w:rPr>
              <w:t>$M</w:t>
            </w:r>
          </w:p>
        </w:tc>
        <w:tc>
          <w:tcPr>
            <w:tcW w:w="2131" w:type="dxa"/>
            <w:vAlign w:val="center"/>
          </w:tcPr>
          <w:p w:rsidR="00B74347" w:rsidRPr="0013128D" w:rsidRDefault="00B74347" w:rsidP="00B74347">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rPr>
            </w:pPr>
            <w:proofErr w:type="spellStart"/>
            <w:r w:rsidRPr="0013128D">
              <w:rPr>
                <w:rFonts w:eastAsia="Calibri" w:cstheme="majorHAnsi"/>
                <w:szCs w:val="22"/>
              </w:rPr>
              <w:t>Cwlth</w:t>
            </w:r>
            <w:proofErr w:type="spellEnd"/>
            <w:r w:rsidRPr="0013128D">
              <w:rPr>
                <w:rFonts w:eastAsia="Calibri" w:cstheme="majorHAnsi"/>
                <w:szCs w:val="22"/>
              </w:rPr>
              <w:t xml:space="preserve"> share</w:t>
            </w:r>
          </w:p>
          <w:p w:rsidR="00B74347" w:rsidRPr="0013128D" w:rsidRDefault="00B74347" w:rsidP="00B74347">
            <w:pPr>
              <w:keepNext/>
              <w:keepLines/>
              <w:ind w:left="782"/>
              <w:cnfStyle w:val="100000000000" w:firstRow="1" w:lastRow="0" w:firstColumn="0" w:lastColumn="0" w:oddVBand="0" w:evenVBand="0" w:oddHBand="0" w:evenHBand="0" w:firstRowFirstColumn="0" w:firstRowLastColumn="0" w:lastRowFirstColumn="0" w:lastRowLastColumn="0"/>
              <w:rPr>
                <w:rFonts w:eastAsia="Calibri" w:cstheme="majorHAnsi"/>
                <w:b w:val="0"/>
                <w:bCs w:val="0"/>
                <w:color w:val="auto"/>
                <w:szCs w:val="22"/>
              </w:rPr>
            </w:pPr>
            <w:r w:rsidRPr="0013128D">
              <w:rPr>
                <w:rFonts w:eastAsia="Calibri" w:cstheme="majorHAnsi"/>
                <w:szCs w:val="22"/>
              </w:rPr>
              <w:t>$M</w:t>
            </w:r>
          </w:p>
        </w:tc>
      </w:tr>
      <w:tr w:rsidR="00B74347" w:rsidRPr="00B74347" w:rsidTr="00F304D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13128D" w:rsidRDefault="00B74347" w:rsidP="00F304DE">
            <w:pPr>
              <w:keepNext/>
              <w:keepLines/>
              <w:jc w:val="center"/>
              <w:rPr>
                <w:rFonts w:eastAsia="Calibri" w:cstheme="majorHAnsi"/>
                <w:szCs w:val="22"/>
              </w:rPr>
            </w:pPr>
            <w:r w:rsidRPr="0013128D">
              <w:rPr>
                <w:rFonts w:eastAsia="Calibri" w:cstheme="majorHAnsi"/>
                <w:szCs w:val="22"/>
              </w:rPr>
              <w:t>2014-15</w:t>
            </w:r>
          </w:p>
        </w:tc>
        <w:tc>
          <w:tcPr>
            <w:tcW w:w="2131" w:type="dxa"/>
            <w:vAlign w:val="center"/>
          </w:tcPr>
          <w:p w:rsidR="00B74347" w:rsidRPr="00B74347" w:rsidRDefault="00B7434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629</w:t>
            </w:r>
          </w:p>
        </w:tc>
        <w:tc>
          <w:tcPr>
            <w:tcW w:w="2131" w:type="dxa"/>
          </w:tcPr>
          <w:p w:rsidR="00B74347" w:rsidRPr="00B74347" w:rsidRDefault="00B74347" w:rsidP="0013128D">
            <w:pPr>
              <w:jc w:val="center"/>
              <w:cnfStyle w:val="000000100000" w:firstRow="0" w:lastRow="0" w:firstColumn="0" w:lastColumn="0" w:oddVBand="0" w:evenVBand="0" w:oddHBand="1" w:evenHBand="0" w:firstRowFirstColumn="0" w:firstRowLastColumn="0" w:lastRowFirstColumn="0" w:lastRowLastColumn="0"/>
            </w:pPr>
          </w:p>
        </w:tc>
        <w:tc>
          <w:tcPr>
            <w:tcW w:w="2131" w:type="dxa"/>
          </w:tcPr>
          <w:p w:rsidR="00B74347" w:rsidRPr="00B74347" w:rsidRDefault="00B74347" w:rsidP="0013128D">
            <w:pPr>
              <w:jc w:val="center"/>
              <w:cnfStyle w:val="000000100000" w:firstRow="0" w:lastRow="0" w:firstColumn="0" w:lastColumn="0" w:oddVBand="0" w:evenVBand="0" w:oddHBand="1" w:evenHBand="0" w:firstRowFirstColumn="0" w:firstRowLastColumn="0" w:lastRowFirstColumn="0" w:lastRowLastColumn="0"/>
            </w:pPr>
          </w:p>
        </w:tc>
      </w:tr>
      <w:tr w:rsidR="00B74347" w:rsidRPr="00B74347" w:rsidTr="00F304DE">
        <w:trPr>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13128D" w:rsidRDefault="00B74347" w:rsidP="00F304DE">
            <w:pPr>
              <w:keepNext/>
              <w:keepLines/>
              <w:jc w:val="center"/>
              <w:rPr>
                <w:rFonts w:eastAsia="Calibri" w:cstheme="majorHAnsi"/>
                <w:szCs w:val="22"/>
              </w:rPr>
            </w:pPr>
            <w:r w:rsidRPr="0013128D">
              <w:rPr>
                <w:rFonts w:eastAsia="Calibri" w:cstheme="majorHAnsi"/>
                <w:szCs w:val="22"/>
              </w:rPr>
              <w:t>2015-16</w:t>
            </w:r>
          </w:p>
        </w:tc>
        <w:tc>
          <w:tcPr>
            <w:tcW w:w="2131" w:type="dxa"/>
            <w:vAlign w:val="center"/>
          </w:tcPr>
          <w:p w:rsidR="00B74347" w:rsidRPr="00B74347" w:rsidRDefault="00B7434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1,079</w:t>
            </w:r>
          </w:p>
        </w:tc>
        <w:tc>
          <w:tcPr>
            <w:tcW w:w="2131" w:type="dxa"/>
          </w:tcPr>
          <w:p w:rsidR="00B74347" w:rsidRPr="00B74347" w:rsidRDefault="00B74347" w:rsidP="0013128D">
            <w:pPr>
              <w:jc w:val="center"/>
              <w:cnfStyle w:val="000000000000" w:firstRow="0" w:lastRow="0" w:firstColumn="0" w:lastColumn="0" w:oddVBand="0" w:evenVBand="0" w:oddHBand="0" w:evenHBand="0" w:firstRowFirstColumn="0" w:firstRowLastColumn="0" w:lastRowFirstColumn="0" w:lastRowLastColumn="0"/>
            </w:pPr>
          </w:p>
        </w:tc>
        <w:tc>
          <w:tcPr>
            <w:tcW w:w="2131" w:type="dxa"/>
          </w:tcPr>
          <w:p w:rsidR="00B74347" w:rsidRPr="00B74347" w:rsidRDefault="00B74347" w:rsidP="0013128D">
            <w:pPr>
              <w:jc w:val="center"/>
              <w:cnfStyle w:val="000000000000" w:firstRow="0" w:lastRow="0" w:firstColumn="0" w:lastColumn="0" w:oddVBand="0" w:evenVBand="0" w:oddHBand="0" w:evenHBand="0" w:firstRowFirstColumn="0" w:firstRowLastColumn="0" w:lastRowFirstColumn="0" w:lastRowLastColumn="0"/>
            </w:pPr>
          </w:p>
        </w:tc>
      </w:tr>
      <w:tr w:rsidR="00B74347" w:rsidRPr="00B74347" w:rsidTr="00F304D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13128D" w:rsidRDefault="00B74347" w:rsidP="00F304DE">
            <w:pPr>
              <w:keepNext/>
              <w:keepLines/>
              <w:jc w:val="center"/>
              <w:rPr>
                <w:rFonts w:eastAsia="Calibri" w:cstheme="majorHAnsi"/>
                <w:szCs w:val="22"/>
              </w:rPr>
            </w:pPr>
            <w:r w:rsidRPr="0013128D">
              <w:rPr>
                <w:rFonts w:eastAsia="Calibri" w:cstheme="majorHAnsi"/>
                <w:szCs w:val="22"/>
              </w:rPr>
              <w:t>2016-17</w:t>
            </w:r>
          </w:p>
        </w:tc>
        <w:tc>
          <w:tcPr>
            <w:tcW w:w="2131" w:type="dxa"/>
            <w:vAlign w:val="center"/>
          </w:tcPr>
          <w:p w:rsidR="00B74347" w:rsidRPr="00B74347" w:rsidRDefault="00B7434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4,331</w:t>
            </w:r>
          </w:p>
        </w:tc>
        <w:tc>
          <w:tcPr>
            <w:tcW w:w="2131" w:type="dxa"/>
          </w:tcPr>
          <w:p w:rsidR="00B74347" w:rsidRPr="00B74347" w:rsidRDefault="00B74347" w:rsidP="0013128D">
            <w:pPr>
              <w:jc w:val="center"/>
              <w:cnfStyle w:val="000000100000" w:firstRow="0" w:lastRow="0" w:firstColumn="0" w:lastColumn="0" w:oddVBand="0" w:evenVBand="0" w:oddHBand="1" w:evenHBand="0" w:firstRowFirstColumn="0" w:firstRowLastColumn="0" w:lastRowFirstColumn="0" w:lastRowLastColumn="0"/>
            </w:pPr>
          </w:p>
        </w:tc>
        <w:tc>
          <w:tcPr>
            <w:tcW w:w="2131" w:type="dxa"/>
          </w:tcPr>
          <w:p w:rsidR="00B74347" w:rsidRPr="00B74347" w:rsidRDefault="00B74347" w:rsidP="0013128D">
            <w:pPr>
              <w:jc w:val="center"/>
              <w:cnfStyle w:val="000000100000" w:firstRow="0" w:lastRow="0" w:firstColumn="0" w:lastColumn="0" w:oddVBand="0" w:evenVBand="0" w:oddHBand="1" w:evenHBand="0" w:firstRowFirstColumn="0" w:firstRowLastColumn="0" w:lastRowFirstColumn="0" w:lastRowLastColumn="0"/>
            </w:pPr>
          </w:p>
        </w:tc>
      </w:tr>
      <w:tr w:rsidR="00B74347" w:rsidRPr="00B74347" w:rsidTr="00F304DE">
        <w:trPr>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13128D" w:rsidRDefault="00B74347" w:rsidP="00F304DE">
            <w:pPr>
              <w:keepNext/>
              <w:keepLines/>
              <w:jc w:val="center"/>
              <w:rPr>
                <w:rFonts w:eastAsia="Calibri" w:cstheme="majorHAnsi"/>
                <w:szCs w:val="22"/>
              </w:rPr>
            </w:pPr>
            <w:r w:rsidRPr="0013128D">
              <w:rPr>
                <w:rFonts w:eastAsia="Calibri" w:cstheme="majorHAnsi"/>
                <w:szCs w:val="22"/>
              </w:rPr>
              <w:t>2017-18</w:t>
            </w:r>
          </w:p>
        </w:tc>
        <w:tc>
          <w:tcPr>
            <w:tcW w:w="2131" w:type="dxa"/>
            <w:vAlign w:val="center"/>
          </w:tcPr>
          <w:p w:rsidR="00B74347" w:rsidRPr="00B74347" w:rsidRDefault="00B7434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11,785</w:t>
            </w:r>
          </w:p>
        </w:tc>
        <w:tc>
          <w:tcPr>
            <w:tcW w:w="2131" w:type="dxa"/>
          </w:tcPr>
          <w:p w:rsidR="00B74347" w:rsidRPr="00B74347" w:rsidRDefault="00B74347" w:rsidP="0013128D">
            <w:pPr>
              <w:jc w:val="center"/>
              <w:cnfStyle w:val="000000000000" w:firstRow="0" w:lastRow="0" w:firstColumn="0" w:lastColumn="0" w:oddVBand="0" w:evenVBand="0" w:oddHBand="0" w:evenHBand="0" w:firstRowFirstColumn="0" w:firstRowLastColumn="0" w:lastRowFirstColumn="0" w:lastRowLastColumn="0"/>
            </w:pPr>
          </w:p>
        </w:tc>
        <w:tc>
          <w:tcPr>
            <w:tcW w:w="2131" w:type="dxa"/>
          </w:tcPr>
          <w:p w:rsidR="00B74347" w:rsidRPr="00B74347" w:rsidRDefault="00B74347" w:rsidP="0013128D">
            <w:pPr>
              <w:jc w:val="center"/>
              <w:cnfStyle w:val="000000000000" w:firstRow="0" w:lastRow="0" w:firstColumn="0" w:lastColumn="0" w:oddVBand="0" w:evenVBand="0" w:oddHBand="0" w:evenHBand="0" w:firstRowFirstColumn="0" w:firstRowLastColumn="0" w:lastRowFirstColumn="0" w:lastRowLastColumn="0"/>
            </w:pPr>
          </w:p>
        </w:tc>
      </w:tr>
      <w:tr w:rsidR="00B74347" w:rsidRPr="00B74347" w:rsidTr="00F304D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13128D" w:rsidRDefault="00B74347" w:rsidP="00F304DE">
            <w:pPr>
              <w:keepNext/>
              <w:keepLines/>
              <w:jc w:val="center"/>
              <w:rPr>
                <w:rFonts w:eastAsia="Calibri" w:cstheme="majorHAnsi"/>
                <w:szCs w:val="22"/>
              </w:rPr>
            </w:pPr>
            <w:r w:rsidRPr="0013128D">
              <w:rPr>
                <w:rFonts w:eastAsia="Calibri" w:cstheme="majorHAnsi"/>
                <w:szCs w:val="22"/>
              </w:rPr>
              <w:t>2018-19</w:t>
            </w:r>
          </w:p>
        </w:tc>
        <w:tc>
          <w:tcPr>
            <w:tcW w:w="2131" w:type="dxa"/>
            <w:vAlign w:val="center"/>
          </w:tcPr>
          <w:p w:rsidR="00B74347" w:rsidRPr="00B74347" w:rsidRDefault="00B7434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19,202</w:t>
            </w:r>
          </w:p>
        </w:tc>
        <w:tc>
          <w:tcPr>
            <w:tcW w:w="2131" w:type="dxa"/>
          </w:tcPr>
          <w:p w:rsidR="00B74347" w:rsidRPr="00B74347" w:rsidRDefault="00B74347" w:rsidP="0013128D">
            <w:pPr>
              <w:jc w:val="center"/>
              <w:cnfStyle w:val="000000100000" w:firstRow="0" w:lastRow="0" w:firstColumn="0" w:lastColumn="0" w:oddVBand="0" w:evenVBand="0" w:oddHBand="1" w:evenHBand="0" w:firstRowFirstColumn="0" w:firstRowLastColumn="0" w:lastRowFirstColumn="0" w:lastRowLastColumn="0"/>
            </w:pPr>
          </w:p>
        </w:tc>
        <w:tc>
          <w:tcPr>
            <w:tcW w:w="2131" w:type="dxa"/>
          </w:tcPr>
          <w:p w:rsidR="00B74347" w:rsidRPr="00B74347" w:rsidRDefault="00B74347" w:rsidP="0013128D">
            <w:pPr>
              <w:jc w:val="center"/>
              <w:cnfStyle w:val="000000100000" w:firstRow="0" w:lastRow="0" w:firstColumn="0" w:lastColumn="0" w:oddVBand="0" w:evenVBand="0" w:oddHBand="1" w:evenHBand="0" w:firstRowFirstColumn="0" w:firstRowLastColumn="0" w:lastRowFirstColumn="0" w:lastRowLastColumn="0"/>
            </w:pPr>
          </w:p>
        </w:tc>
      </w:tr>
      <w:tr w:rsidR="00B74347" w:rsidRPr="00B74347" w:rsidTr="00F304DE">
        <w:trPr>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13128D" w:rsidRDefault="00B74347" w:rsidP="00F304DE">
            <w:pPr>
              <w:keepNext/>
              <w:keepLines/>
              <w:jc w:val="center"/>
              <w:rPr>
                <w:rFonts w:eastAsia="Calibri" w:cstheme="majorHAnsi"/>
                <w:szCs w:val="22"/>
              </w:rPr>
            </w:pPr>
            <w:r w:rsidRPr="0013128D">
              <w:rPr>
                <w:rFonts w:eastAsia="Calibri" w:cstheme="majorHAnsi"/>
                <w:szCs w:val="22"/>
              </w:rPr>
              <w:t>Sum</w:t>
            </w:r>
          </w:p>
        </w:tc>
        <w:tc>
          <w:tcPr>
            <w:tcW w:w="2131" w:type="dxa"/>
            <w:vAlign w:val="center"/>
          </w:tcPr>
          <w:p w:rsidR="00B74347" w:rsidRPr="00B74347" w:rsidRDefault="00B7434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37,026</w:t>
            </w:r>
          </w:p>
        </w:tc>
        <w:tc>
          <w:tcPr>
            <w:tcW w:w="2131" w:type="dxa"/>
          </w:tcPr>
          <w:p w:rsidR="00B74347" w:rsidRPr="00B74347" w:rsidRDefault="00B74347" w:rsidP="0013128D">
            <w:pPr>
              <w:jc w:val="center"/>
              <w:cnfStyle w:val="000000000000" w:firstRow="0" w:lastRow="0" w:firstColumn="0" w:lastColumn="0" w:oddVBand="0" w:evenVBand="0" w:oddHBand="0" w:evenHBand="0" w:firstRowFirstColumn="0" w:firstRowLastColumn="0" w:lastRowFirstColumn="0" w:lastRowLastColumn="0"/>
            </w:pPr>
          </w:p>
        </w:tc>
        <w:tc>
          <w:tcPr>
            <w:tcW w:w="2131" w:type="dxa"/>
          </w:tcPr>
          <w:p w:rsidR="00B74347" w:rsidRPr="00B74347" w:rsidRDefault="00B74347" w:rsidP="0013128D">
            <w:pPr>
              <w:jc w:val="center"/>
              <w:cnfStyle w:val="000000000000" w:firstRow="0" w:lastRow="0" w:firstColumn="0" w:lastColumn="0" w:oddVBand="0" w:evenVBand="0" w:oddHBand="0" w:evenHBand="0" w:firstRowFirstColumn="0" w:firstRowLastColumn="0" w:lastRowFirstColumn="0" w:lastRowLastColumn="0"/>
            </w:pPr>
          </w:p>
        </w:tc>
      </w:tr>
    </w:tbl>
    <w:p w:rsidR="00EA6BAC" w:rsidRPr="00B74347" w:rsidRDefault="00EA6BAC" w:rsidP="00E24F93">
      <w:pPr>
        <w:jc w:val="both"/>
      </w:pPr>
    </w:p>
    <w:p w:rsidR="00C4267C" w:rsidRPr="00B74347" w:rsidRDefault="00C4267C" w:rsidP="00E24F93">
      <w:pPr>
        <w:jc w:val="both"/>
        <w:rPr>
          <w:i/>
        </w:rPr>
      </w:pPr>
    </w:p>
    <w:p w:rsidR="00C4267C" w:rsidRPr="00B74347" w:rsidRDefault="00C4267C" w:rsidP="00E24F93">
      <w:pPr>
        <w:jc w:val="both"/>
        <w:rPr>
          <w:i/>
        </w:rPr>
      </w:pPr>
      <w:r w:rsidRPr="00B74347">
        <w:rPr>
          <w:i/>
        </w:rPr>
        <w:t>Source:  2015-16 Budget Paper No 1, Statement No 5, Table 9.2, P5-29</w:t>
      </w:r>
    </w:p>
    <w:p w:rsidR="00C4267C" w:rsidRPr="00B74347" w:rsidRDefault="00C4267C" w:rsidP="00E24F93">
      <w:pPr>
        <w:jc w:val="both"/>
      </w:pPr>
    </w:p>
    <w:p w:rsidR="00C4267C" w:rsidRPr="00B74347" w:rsidRDefault="00C4267C" w:rsidP="00E24F93">
      <w:pPr>
        <w:jc w:val="both"/>
      </w:pPr>
      <w:r w:rsidRPr="00B74347">
        <w:t xml:space="preserve">The 2015 Budget papers show only total NDIS expenses whereas the 2014 Budget papers also include the respective State and Commonwealth shares. Table 2 uses the State share figures up to 2017-18 from the 2014 Budget. The Commonwealth shares up to 2017-18 were then obtained by difference. </w:t>
      </w:r>
    </w:p>
    <w:p w:rsidR="00EA6BAC" w:rsidRPr="00B74347" w:rsidRDefault="00EA6BAC" w:rsidP="00E24F93">
      <w:pPr>
        <w:jc w:val="both"/>
      </w:pPr>
    </w:p>
    <w:p w:rsidR="00EA6BAC" w:rsidRPr="00B74347" w:rsidRDefault="00EA6BAC" w:rsidP="00E24F93">
      <w:pPr>
        <w:jc w:val="both"/>
      </w:pPr>
    </w:p>
    <w:p w:rsidR="00EA6BAC" w:rsidRPr="00B74347" w:rsidRDefault="00EA6BAC" w:rsidP="00E24F93">
      <w:pPr>
        <w:jc w:val="both"/>
      </w:pPr>
    </w:p>
    <w:p w:rsidR="00EA6BAC" w:rsidRPr="00B74347" w:rsidRDefault="00EA6BAC" w:rsidP="00E24F93">
      <w:pPr>
        <w:jc w:val="both"/>
      </w:pPr>
    </w:p>
    <w:p w:rsidR="00EA6BAC" w:rsidRPr="00B74347" w:rsidRDefault="00EA6BAC" w:rsidP="00E24F93">
      <w:pPr>
        <w:jc w:val="both"/>
      </w:pPr>
    </w:p>
    <w:p w:rsidR="00EA6BAC" w:rsidRPr="00B74347" w:rsidRDefault="00EA6BAC" w:rsidP="00E24F93">
      <w:pPr>
        <w:jc w:val="both"/>
      </w:pPr>
    </w:p>
    <w:p w:rsidR="00C4267C" w:rsidRPr="00B74347" w:rsidRDefault="00C4267C" w:rsidP="00E24F93">
      <w:pPr>
        <w:jc w:val="both"/>
      </w:pPr>
    </w:p>
    <w:p w:rsidR="00247E3B" w:rsidRPr="00B74347" w:rsidRDefault="00247E3B" w:rsidP="00E24F93">
      <w:pPr>
        <w:jc w:val="both"/>
        <w:rPr>
          <w:b/>
          <w:bCs/>
          <w:iCs/>
        </w:rPr>
      </w:pPr>
      <w:r w:rsidRPr="00B74347">
        <w:br w:type="page"/>
      </w:r>
    </w:p>
    <w:p w:rsidR="00C4267C" w:rsidRPr="00B74347" w:rsidRDefault="00C4267C" w:rsidP="00E24F93">
      <w:pPr>
        <w:pStyle w:val="Heading4"/>
        <w:jc w:val="both"/>
      </w:pPr>
      <w:r w:rsidRPr="00B74347">
        <w:lastRenderedPageBreak/>
        <w:t>TABLE 2: NDIS Expenses: State and Commonwealth shares</w:t>
      </w:r>
    </w:p>
    <w:p w:rsidR="00EA6BAC" w:rsidRPr="00B74347" w:rsidRDefault="00EA6BAC" w:rsidP="00E24F93">
      <w:pPr>
        <w:jc w:val="both"/>
      </w:pPr>
    </w:p>
    <w:tbl>
      <w:tblPr>
        <w:tblStyle w:val="MediumGrid3-Accent21"/>
        <w:tblW w:w="0" w:type="auto"/>
        <w:tblLook w:val="04A0" w:firstRow="1" w:lastRow="0" w:firstColumn="1" w:lastColumn="0" w:noHBand="0" w:noVBand="1"/>
      </w:tblPr>
      <w:tblGrid>
        <w:gridCol w:w="2130"/>
        <w:gridCol w:w="2131"/>
        <w:gridCol w:w="2131"/>
        <w:gridCol w:w="2131"/>
      </w:tblGrid>
      <w:tr w:rsidR="00B74347" w:rsidRPr="00B74347" w:rsidTr="00B74347">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B74347" w:rsidRDefault="00B74347" w:rsidP="00B74347"/>
        </w:tc>
        <w:tc>
          <w:tcPr>
            <w:tcW w:w="2131" w:type="dxa"/>
            <w:vAlign w:val="center"/>
          </w:tcPr>
          <w:p w:rsidR="00B74347" w:rsidRPr="00B74347" w:rsidRDefault="00B74347" w:rsidP="00B74347">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NDIS expenses</w:t>
            </w:r>
          </w:p>
          <w:p w:rsidR="00B74347" w:rsidRPr="00B74347" w:rsidRDefault="00B74347" w:rsidP="00B74347">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vertAlign w:val="superscript"/>
              </w:rPr>
            </w:pPr>
            <w:r w:rsidRPr="00B74347">
              <w:rPr>
                <w:rFonts w:eastAsia="Calibri" w:cstheme="majorHAnsi"/>
                <w:szCs w:val="22"/>
              </w:rPr>
              <w:t>$M</w:t>
            </w:r>
          </w:p>
        </w:tc>
        <w:tc>
          <w:tcPr>
            <w:tcW w:w="2131" w:type="dxa"/>
            <w:vAlign w:val="center"/>
          </w:tcPr>
          <w:p w:rsidR="00B74347" w:rsidRPr="00B74347" w:rsidRDefault="00B74347" w:rsidP="00B74347">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vertAlign w:val="superscript"/>
              </w:rPr>
            </w:pPr>
            <w:r w:rsidRPr="00B74347">
              <w:rPr>
                <w:rFonts w:eastAsia="Calibri" w:cstheme="majorHAnsi"/>
                <w:szCs w:val="22"/>
              </w:rPr>
              <w:t>States’ share</w:t>
            </w:r>
          </w:p>
          <w:p w:rsidR="00B74347" w:rsidRPr="00B74347" w:rsidRDefault="00B74347" w:rsidP="00B74347">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b w:val="0"/>
                <w:bCs w:val="0"/>
                <w:color w:val="auto"/>
                <w:szCs w:val="22"/>
              </w:rPr>
            </w:pPr>
            <w:r w:rsidRPr="00B74347">
              <w:rPr>
                <w:rFonts w:eastAsia="Calibri" w:cstheme="majorHAnsi"/>
                <w:szCs w:val="22"/>
              </w:rPr>
              <w:t>$M</w:t>
            </w:r>
          </w:p>
        </w:tc>
        <w:tc>
          <w:tcPr>
            <w:tcW w:w="2131" w:type="dxa"/>
            <w:vAlign w:val="center"/>
          </w:tcPr>
          <w:p w:rsidR="00B74347" w:rsidRPr="00B74347" w:rsidRDefault="00B74347" w:rsidP="00B74347">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rPr>
            </w:pPr>
            <w:proofErr w:type="spellStart"/>
            <w:r w:rsidRPr="00B74347">
              <w:rPr>
                <w:rFonts w:eastAsia="Calibri" w:cstheme="majorHAnsi"/>
                <w:szCs w:val="22"/>
              </w:rPr>
              <w:t>Cwlth</w:t>
            </w:r>
            <w:proofErr w:type="spellEnd"/>
            <w:r w:rsidRPr="00B74347">
              <w:rPr>
                <w:rFonts w:eastAsia="Calibri" w:cstheme="majorHAnsi"/>
                <w:szCs w:val="22"/>
              </w:rPr>
              <w:t xml:space="preserve"> share</w:t>
            </w:r>
          </w:p>
          <w:p w:rsidR="00B74347" w:rsidRPr="00B74347" w:rsidRDefault="00B74347" w:rsidP="00B74347">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b w:val="0"/>
                <w:bCs w:val="0"/>
                <w:color w:val="auto"/>
                <w:szCs w:val="22"/>
              </w:rPr>
            </w:pPr>
            <w:r w:rsidRPr="00B74347">
              <w:rPr>
                <w:rFonts w:eastAsia="Calibri" w:cstheme="majorHAnsi"/>
                <w:szCs w:val="22"/>
              </w:rPr>
              <w:t>$M</w:t>
            </w:r>
          </w:p>
        </w:tc>
      </w:tr>
      <w:tr w:rsidR="00B74347"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B74347" w:rsidRDefault="00B74347" w:rsidP="00F304DE">
            <w:pPr>
              <w:keepNext/>
              <w:keepLines/>
              <w:jc w:val="center"/>
              <w:rPr>
                <w:rFonts w:eastAsia="Calibri" w:cstheme="majorHAnsi"/>
                <w:szCs w:val="22"/>
              </w:rPr>
            </w:pPr>
            <w:r w:rsidRPr="00B74347">
              <w:rPr>
                <w:rFonts w:eastAsia="Calibri" w:cstheme="majorHAnsi"/>
                <w:szCs w:val="22"/>
              </w:rPr>
              <w:t>2014-15</w:t>
            </w:r>
          </w:p>
        </w:tc>
        <w:tc>
          <w:tcPr>
            <w:tcW w:w="2131" w:type="dxa"/>
            <w:vAlign w:val="center"/>
          </w:tcPr>
          <w:p w:rsidR="00B74347" w:rsidRPr="00B74347" w:rsidRDefault="00B7434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629</w:t>
            </w:r>
          </w:p>
        </w:tc>
        <w:tc>
          <w:tcPr>
            <w:tcW w:w="2131" w:type="dxa"/>
            <w:vAlign w:val="center"/>
          </w:tcPr>
          <w:p w:rsidR="00B74347" w:rsidRPr="00B74347" w:rsidRDefault="00B7434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265</w:t>
            </w:r>
          </w:p>
        </w:tc>
        <w:tc>
          <w:tcPr>
            <w:tcW w:w="2131" w:type="dxa"/>
            <w:vAlign w:val="center"/>
          </w:tcPr>
          <w:p w:rsidR="00B74347" w:rsidRPr="00B74347" w:rsidRDefault="00B7434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364</w:t>
            </w:r>
          </w:p>
        </w:tc>
      </w:tr>
      <w:tr w:rsidR="00B74347"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B74347" w:rsidRDefault="00B74347" w:rsidP="00F304DE">
            <w:pPr>
              <w:keepNext/>
              <w:keepLines/>
              <w:jc w:val="center"/>
              <w:rPr>
                <w:rFonts w:eastAsia="Calibri" w:cstheme="majorHAnsi"/>
                <w:szCs w:val="22"/>
              </w:rPr>
            </w:pPr>
            <w:r w:rsidRPr="00B74347">
              <w:rPr>
                <w:rFonts w:eastAsia="Calibri" w:cstheme="majorHAnsi"/>
                <w:szCs w:val="22"/>
              </w:rPr>
              <w:t>2015-16</w:t>
            </w:r>
          </w:p>
        </w:tc>
        <w:tc>
          <w:tcPr>
            <w:tcW w:w="2131" w:type="dxa"/>
            <w:vAlign w:val="center"/>
          </w:tcPr>
          <w:p w:rsidR="00B74347" w:rsidRPr="00B74347" w:rsidRDefault="00B7434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1,079</w:t>
            </w:r>
          </w:p>
        </w:tc>
        <w:tc>
          <w:tcPr>
            <w:tcW w:w="2131" w:type="dxa"/>
            <w:vAlign w:val="center"/>
          </w:tcPr>
          <w:p w:rsidR="00B74347" w:rsidRPr="00B74347" w:rsidRDefault="00B7434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491</w:t>
            </w:r>
          </w:p>
        </w:tc>
        <w:tc>
          <w:tcPr>
            <w:tcW w:w="2131" w:type="dxa"/>
            <w:vAlign w:val="center"/>
          </w:tcPr>
          <w:p w:rsidR="00B74347" w:rsidRPr="00B74347" w:rsidRDefault="00B7434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588</w:t>
            </w:r>
          </w:p>
        </w:tc>
      </w:tr>
      <w:tr w:rsidR="00B74347"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B74347" w:rsidRDefault="00B74347" w:rsidP="00F304DE">
            <w:pPr>
              <w:keepNext/>
              <w:keepLines/>
              <w:jc w:val="center"/>
              <w:rPr>
                <w:rFonts w:eastAsia="Calibri" w:cstheme="majorHAnsi"/>
                <w:szCs w:val="22"/>
              </w:rPr>
            </w:pPr>
            <w:r w:rsidRPr="00B74347">
              <w:rPr>
                <w:rFonts w:eastAsia="Calibri" w:cstheme="majorHAnsi"/>
                <w:szCs w:val="22"/>
              </w:rPr>
              <w:t>2016-17</w:t>
            </w:r>
          </w:p>
        </w:tc>
        <w:tc>
          <w:tcPr>
            <w:tcW w:w="2131" w:type="dxa"/>
            <w:vAlign w:val="center"/>
          </w:tcPr>
          <w:p w:rsidR="00B74347" w:rsidRPr="00B74347" w:rsidRDefault="00B7434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4,331</w:t>
            </w:r>
          </w:p>
        </w:tc>
        <w:tc>
          <w:tcPr>
            <w:tcW w:w="2131" w:type="dxa"/>
            <w:vAlign w:val="center"/>
          </w:tcPr>
          <w:p w:rsidR="00B74347" w:rsidRPr="00B74347" w:rsidRDefault="00B7434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 w:val="24"/>
                <w:szCs w:val="22"/>
              </w:rPr>
            </w:pPr>
            <w:r w:rsidRPr="00B74347">
              <w:rPr>
                <w:rFonts w:eastAsia="Calibri" w:cstheme="majorHAnsi"/>
                <w:szCs w:val="22"/>
              </w:rPr>
              <w:t>2,096</w:t>
            </w:r>
          </w:p>
        </w:tc>
        <w:tc>
          <w:tcPr>
            <w:tcW w:w="2131" w:type="dxa"/>
            <w:vAlign w:val="center"/>
          </w:tcPr>
          <w:p w:rsidR="00B74347" w:rsidRPr="00B74347" w:rsidRDefault="00B7434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2,235</w:t>
            </w:r>
          </w:p>
        </w:tc>
      </w:tr>
      <w:tr w:rsidR="00B74347"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B74347" w:rsidRDefault="00B74347" w:rsidP="00F304DE">
            <w:pPr>
              <w:keepNext/>
              <w:keepLines/>
              <w:jc w:val="center"/>
              <w:rPr>
                <w:rFonts w:eastAsia="Calibri" w:cstheme="majorHAnsi"/>
                <w:szCs w:val="22"/>
              </w:rPr>
            </w:pPr>
            <w:r w:rsidRPr="00B74347">
              <w:rPr>
                <w:rFonts w:eastAsia="Calibri" w:cstheme="majorHAnsi"/>
                <w:szCs w:val="22"/>
              </w:rPr>
              <w:t>2017-18</w:t>
            </w:r>
          </w:p>
        </w:tc>
        <w:tc>
          <w:tcPr>
            <w:tcW w:w="2131" w:type="dxa"/>
            <w:vAlign w:val="center"/>
          </w:tcPr>
          <w:p w:rsidR="00B74347" w:rsidRPr="00B74347" w:rsidRDefault="00B7434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11,785</w:t>
            </w:r>
          </w:p>
        </w:tc>
        <w:tc>
          <w:tcPr>
            <w:tcW w:w="2131" w:type="dxa"/>
            <w:vAlign w:val="center"/>
          </w:tcPr>
          <w:p w:rsidR="00B74347" w:rsidRPr="00B74347" w:rsidRDefault="00B7434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5,961</w:t>
            </w:r>
          </w:p>
        </w:tc>
        <w:tc>
          <w:tcPr>
            <w:tcW w:w="2131" w:type="dxa"/>
            <w:vAlign w:val="center"/>
          </w:tcPr>
          <w:p w:rsidR="00B74347" w:rsidRPr="00B74347" w:rsidRDefault="00B7434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5,824</w:t>
            </w:r>
          </w:p>
        </w:tc>
      </w:tr>
      <w:tr w:rsidR="00B74347"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B74347" w:rsidRPr="00B74347" w:rsidRDefault="00B74347" w:rsidP="00F304DE">
            <w:pPr>
              <w:keepNext/>
              <w:keepLines/>
              <w:jc w:val="center"/>
              <w:rPr>
                <w:rFonts w:eastAsia="Calibri" w:cstheme="majorHAnsi"/>
                <w:szCs w:val="22"/>
              </w:rPr>
            </w:pPr>
            <w:r w:rsidRPr="00B74347">
              <w:rPr>
                <w:rFonts w:eastAsia="Calibri" w:cstheme="majorHAnsi"/>
                <w:szCs w:val="22"/>
              </w:rPr>
              <w:t>2018-19</w:t>
            </w:r>
          </w:p>
        </w:tc>
        <w:tc>
          <w:tcPr>
            <w:tcW w:w="2131" w:type="dxa"/>
            <w:vAlign w:val="center"/>
          </w:tcPr>
          <w:p w:rsidR="00B74347" w:rsidRPr="00B74347" w:rsidRDefault="00B7434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19,202</w:t>
            </w:r>
          </w:p>
        </w:tc>
        <w:tc>
          <w:tcPr>
            <w:tcW w:w="2131" w:type="dxa"/>
            <w:vAlign w:val="center"/>
          </w:tcPr>
          <w:p w:rsidR="00B74347" w:rsidRPr="00B74347" w:rsidRDefault="00B74347" w:rsidP="00430692">
            <w:pPr>
              <w:jc w:val="right"/>
              <w:cnfStyle w:val="000000100000" w:firstRow="0" w:lastRow="0" w:firstColumn="0" w:lastColumn="0" w:oddVBand="0" w:evenVBand="0" w:oddHBand="1" w:evenHBand="0" w:firstRowFirstColumn="0" w:firstRowLastColumn="0" w:lastRowFirstColumn="0" w:lastRowLastColumn="0"/>
            </w:pPr>
          </w:p>
        </w:tc>
        <w:tc>
          <w:tcPr>
            <w:tcW w:w="2131" w:type="dxa"/>
            <w:vAlign w:val="center"/>
          </w:tcPr>
          <w:p w:rsidR="00B74347" w:rsidRPr="00B74347" w:rsidRDefault="00B74347" w:rsidP="00430692">
            <w:pPr>
              <w:jc w:val="right"/>
              <w:cnfStyle w:val="000000100000" w:firstRow="0" w:lastRow="0" w:firstColumn="0" w:lastColumn="0" w:oddVBand="0" w:evenVBand="0" w:oddHBand="1" w:evenHBand="0" w:firstRowFirstColumn="0" w:firstRowLastColumn="0" w:lastRowFirstColumn="0" w:lastRowLastColumn="0"/>
            </w:pPr>
          </w:p>
        </w:tc>
      </w:tr>
    </w:tbl>
    <w:p w:rsidR="00C4267C" w:rsidRPr="00B74347" w:rsidRDefault="00C4267C" w:rsidP="00E24F93">
      <w:pPr>
        <w:jc w:val="both"/>
      </w:pPr>
    </w:p>
    <w:p w:rsidR="00C4267C" w:rsidRPr="00B74347" w:rsidRDefault="00C4267C" w:rsidP="00E24F93">
      <w:pPr>
        <w:jc w:val="both"/>
      </w:pPr>
      <w:r w:rsidRPr="00B74347">
        <w:t xml:space="preserve">Notes: </w:t>
      </w:r>
      <w:r w:rsidR="00247E3B" w:rsidRPr="00B74347">
        <w:tab/>
      </w:r>
      <w:r w:rsidRPr="00B74347">
        <w:t>1) From Table 1</w:t>
      </w:r>
    </w:p>
    <w:p w:rsidR="00C4267C" w:rsidRPr="00B74347" w:rsidRDefault="00C4267C" w:rsidP="00E24F93">
      <w:pPr>
        <w:ind w:firstLine="720"/>
        <w:jc w:val="both"/>
      </w:pPr>
      <w:r w:rsidRPr="00B74347">
        <w:t>2) 2014-15 to 2017-18: 2014-15 Budget Paper No 1, Statement No 6, P6-27</w:t>
      </w:r>
    </w:p>
    <w:p w:rsidR="00C4267C" w:rsidRPr="00B74347" w:rsidRDefault="00C4267C" w:rsidP="00E24F93">
      <w:pPr>
        <w:ind w:firstLine="720"/>
        <w:jc w:val="both"/>
      </w:pPr>
      <w:r w:rsidRPr="00B74347">
        <w:t>3) 2014-15 to 2017-18: Total expenses – States’ share</w:t>
      </w:r>
    </w:p>
    <w:p w:rsidR="00C4267C" w:rsidRPr="00B74347" w:rsidRDefault="00C4267C" w:rsidP="00E24F93">
      <w:pPr>
        <w:jc w:val="both"/>
      </w:pPr>
    </w:p>
    <w:p w:rsidR="00C4267C" w:rsidRPr="00B74347" w:rsidRDefault="00C4267C" w:rsidP="00E24F93">
      <w:pPr>
        <w:jc w:val="both"/>
      </w:pPr>
      <w:r w:rsidRPr="00B74347">
        <w:t>State and Commonwealth shares for 2018-19 have to be estimated. The 2015 Budget states ‘Of the total $37.0 billion in expenses over the forward estimates, the Commonwealth is contributing funding of $18.9 billion’ (2015 Budget Paper No.1, P5-29). Referring back to Table 1, $37.026 billion is the sum of the figures given for Total Expenses for the five years 2014-15 to 2018-19, not the four years of the Forward Estimates. The five year total is assumed to be correct; the $37,026 million figure has been used as the five year Total Expenses figure for subsequent calculations.</w:t>
      </w:r>
    </w:p>
    <w:p w:rsidR="009E1CA0" w:rsidRPr="00B74347" w:rsidRDefault="009E1CA0" w:rsidP="00E24F93">
      <w:pPr>
        <w:jc w:val="both"/>
      </w:pPr>
    </w:p>
    <w:p w:rsidR="00C4267C" w:rsidRPr="00B74347" w:rsidRDefault="00C4267C" w:rsidP="00E24F93">
      <w:pPr>
        <w:jc w:val="both"/>
      </w:pPr>
      <w:r w:rsidRPr="00B74347">
        <w:t>The sum of the estimated Commonwealth shares up to 2017-18 ($9,011 million) has been subtracted from the total up to 2018-19 quoted above ($18,900 million) to give the estimated Commonwealth share for 2018-19 ($9,889 million). The State share for 2018-19 ($9,313 million) has been estimated by subtracting the Commonwealth share from the NDIS Expenses figure (Table 1).</w:t>
      </w:r>
    </w:p>
    <w:p w:rsidR="009E1CA0" w:rsidRPr="00B74347" w:rsidRDefault="009E1CA0" w:rsidP="00E24F93">
      <w:pPr>
        <w:jc w:val="both"/>
      </w:pPr>
    </w:p>
    <w:p w:rsidR="00C4267C" w:rsidRPr="00B74347" w:rsidRDefault="00C4267C" w:rsidP="00E24F93">
      <w:pPr>
        <w:jc w:val="both"/>
      </w:pPr>
      <w:r w:rsidRPr="00B74347">
        <w:t xml:space="preserve">Table 2A shows the overall estimates for NDIS expenses and State and Commonwealth shares from 2014-15 to 2018-19. </w:t>
      </w:r>
    </w:p>
    <w:p w:rsidR="00C4267C" w:rsidRPr="00B74347" w:rsidRDefault="00C4267C" w:rsidP="00E24F93">
      <w:pPr>
        <w:jc w:val="both"/>
      </w:pPr>
    </w:p>
    <w:p w:rsidR="009E1CA0" w:rsidRPr="00B74347" w:rsidRDefault="009E1CA0" w:rsidP="00E24F93">
      <w:pPr>
        <w:jc w:val="both"/>
      </w:pPr>
      <w:r w:rsidRPr="00B74347">
        <w:br w:type="page"/>
      </w:r>
    </w:p>
    <w:p w:rsidR="00C4267C" w:rsidRPr="00B74347" w:rsidRDefault="00C4267C" w:rsidP="00E24F93">
      <w:pPr>
        <w:pStyle w:val="Heading4"/>
        <w:jc w:val="both"/>
      </w:pPr>
      <w:r w:rsidRPr="00B74347">
        <w:lastRenderedPageBreak/>
        <w:t>TABLE 2A: NDIS Expenses: State and Commonwealth shares</w:t>
      </w:r>
    </w:p>
    <w:tbl>
      <w:tblPr>
        <w:tblStyle w:val="MediumGrid3-Accent2"/>
        <w:tblW w:w="0" w:type="auto"/>
        <w:tblLook w:val="04A0" w:firstRow="1" w:lastRow="0" w:firstColumn="1" w:lastColumn="0" w:noHBand="0" w:noVBand="1"/>
      </w:tblPr>
      <w:tblGrid>
        <w:gridCol w:w="2130"/>
        <w:gridCol w:w="2131"/>
        <w:gridCol w:w="2131"/>
        <w:gridCol w:w="2131"/>
      </w:tblGrid>
      <w:tr w:rsidR="009E1CA0" w:rsidRPr="00B74347" w:rsidTr="00F304DE">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jc w:val="center"/>
            </w:pPr>
          </w:p>
        </w:tc>
        <w:tc>
          <w:tcPr>
            <w:tcW w:w="2131" w:type="dxa"/>
            <w:vAlign w:val="center"/>
          </w:tcPr>
          <w:p w:rsidR="009E1CA0" w:rsidRPr="00B74347" w:rsidRDefault="009E1CA0" w:rsidP="00F304DE">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NDIS expenses</w:t>
            </w:r>
          </w:p>
          <w:p w:rsidR="009E1CA0" w:rsidRPr="00B74347" w:rsidRDefault="009E1CA0" w:rsidP="00F304DE">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vertAlign w:val="superscript"/>
              </w:rPr>
            </w:pPr>
            <w:r w:rsidRPr="00B74347">
              <w:rPr>
                <w:rFonts w:eastAsia="Calibri" w:cstheme="majorHAnsi"/>
                <w:szCs w:val="22"/>
              </w:rPr>
              <w:t>$M</w:t>
            </w:r>
          </w:p>
        </w:tc>
        <w:tc>
          <w:tcPr>
            <w:tcW w:w="2131" w:type="dxa"/>
            <w:vAlign w:val="center"/>
          </w:tcPr>
          <w:p w:rsidR="009E1CA0" w:rsidRPr="00B74347" w:rsidRDefault="009E1CA0" w:rsidP="00F304DE">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vertAlign w:val="superscript"/>
              </w:rPr>
            </w:pPr>
            <w:r w:rsidRPr="00B74347">
              <w:rPr>
                <w:rFonts w:eastAsia="Calibri" w:cstheme="majorHAnsi"/>
                <w:szCs w:val="22"/>
              </w:rPr>
              <w:t>States’ share</w:t>
            </w:r>
          </w:p>
          <w:p w:rsidR="009E1CA0" w:rsidRPr="00B74347" w:rsidRDefault="009E1CA0" w:rsidP="00F304DE">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b w:val="0"/>
                <w:bCs w:val="0"/>
                <w:color w:val="auto"/>
                <w:szCs w:val="22"/>
              </w:rPr>
            </w:pPr>
            <w:r w:rsidRPr="00B74347">
              <w:rPr>
                <w:rFonts w:eastAsia="Calibri" w:cstheme="majorHAnsi"/>
                <w:szCs w:val="22"/>
              </w:rPr>
              <w:t>$M</w:t>
            </w:r>
          </w:p>
        </w:tc>
        <w:tc>
          <w:tcPr>
            <w:tcW w:w="2131" w:type="dxa"/>
            <w:vAlign w:val="center"/>
          </w:tcPr>
          <w:p w:rsidR="009E1CA0" w:rsidRPr="00B74347" w:rsidRDefault="009E1CA0" w:rsidP="00F304DE">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rPr>
            </w:pPr>
            <w:proofErr w:type="spellStart"/>
            <w:r w:rsidRPr="00B74347">
              <w:rPr>
                <w:rFonts w:eastAsia="Calibri" w:cstheme="majorHAnsi"/>
                <w:szCs w:val="22"/>
              </w:rPr>
              <w:t>Cwlth</w:t>
            </w:r>
            <w:proofErr w:type="spellEnd"/>
            <w:r w:rsidRPr="00B74347">
              <w:rPr>
                <w:rFonts w:eastAsia="Calibri" w:cstheme="majorHAnsi"/>
                <w:szCs w:val="22"/>
              </w:rPr>
              <w:t xml:space="preserve"> share</w:t>
            </w:r>
          </w:p>
          <w:p w:rsidR="009E1CA0" w:rsidRPr="00B74347" w:rsidRDefault="009E1CA0" w:rsidP="00F304DE">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b w:val="0"/>
                <w:bCs w:val="0"/>
                <w:color w:val="auto"/>
                <w:szCs w:val="22"/>
              </w:rPr>
            </w:pPr>
            <w:r w:rsidRPr="00B74347">
              <w:rPr>
                <w:rFonts w:eastAsia="Calibri" w:cstheme="majorHAnsi"/>
                <w:szCs w:val="22"/>
              </w:rPr>
              <w:t>$M</w:t>
            </w:r>
          </w:p>
        </w:tc>
      </w:tr>
      <w:tr w:rsidR="009E1CA0"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2014-15</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629</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265</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364</w:t>
            </w:r>
          </w:p>
        </w:tc>
      </w:tr>
      <w:tr w:rsidR="009E1CA0"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2015-16</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1,079</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491</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588</w:t>
            </w:r>
          </w:p>
        </w:tc>
      </w:tr>
      <w:tr w:rsidR="009E1CA0"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2016-17</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4,331</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 w:val="24"/>
                <w:szCs w:val="22"/>
              </w:rPr>
            </w:pPr>
            <w:r w:rsidRPr="00B74347">
              <w:rPr>
                <w:rFonts w:eastAsia="Calibri" w:cstheme="majorHAnsi"/>
                <w:szCs w:val="22"/>
              </w:rPr>
              <w:t>2,096</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2,235</w:t>
            </w:r>
          </w:p>
        </w:tc>
      </w:tr>
      <w:tr w:rsidR="009E1CA0"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2017-18</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11,785</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5,961</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5,824</w:t>
            </w:r>
          </w:p>
        </w:tc>
      </w:tr>
      <w:tr w:rsidR="009E1CA0"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2018-19</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19,202</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9,313</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9,889</w:t>
            </w:r>
          </w:p>
        </w:tc>
      </w:tr>
      <w:tr w:rsidR="009E1CA0"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2014-15 to 2018-19</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37,026</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18,126</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vertAlign w:val="superscript"/>
              </w:rPr>
            </w:pPr>
            <w:r w:rsidRPr="00B74347">
              <w:rPr>
                <w:rFonts w:eastAsia="Calibri" w:cstheme="majorHAnsi"/>
                <w:szCs w:val="22"/>
              </w:rPr>
              <w:t>18,900</w:t>
            </w:r>
          </w:p>
        </w:tc>
      </w:tr>
    </w:tbl>
    <w:p w:rsidR="00C4267C" w:rsidRPr="00B74347" w:rsidRDefault="00C4267C" w:rsidP="00E24F93">
      <w:pPr>
        <w:jc w:val="both"/>
      </w:pPr>
    </w:p>
    <w:p w:rsidR="00C4267C" w:rsidRPr="00B74347" w:rsidRDefault="00C4267C" w:rsidP="00E24F93">
      <w:pPr>
        <w:jc w:val="both"/>
      </w:pPr>
    </w:p>
    <w:p w:rsidR="00C4267C" w:rsidRPr="00B74347" w:rsidRDefault="00C4267C" w:rsidP="00E24F93">
      <w:pPr>
        <w:jc w:val="both"/>
      </w:pPr>
      <w:r w:rsidRPr="00B74347">
        <w:t xml:space="preserve">The </w:t>
      </w:r>
      <w:proofErr w:type="spellStart"/>
      <w:r w:rsidRPr="00B74347">
        <w:t>DisabilityCare</w:t>
      </w:r>
      <w:proofErr w:type="spellEnd"/>
      <w:r w:rsidRPr="00B74347">
        <w:t xml:space="preserve"> Australia (DCA) levy (0.5% of taxable income) came into force on 1 July 2014. Table 3 shows the estimated receipts from the DCA levy from 2014-15 to 2018-19, as well as the fixed amount of the levy receipts that are reserved for the States and Territories and the remainder that is available to the Commonwealth to offset its NDIS expenses.</w:t>
      </w:r>
    </w:p>
    <w:p w:rsidR="00C4267C" w:rsidRPr="00B74347" w:rsidRDefault="00C4267C" w:rsidP="00E24F93">
      <w:pPr>
        <w:jc w:val="both"/>
      </w:pPr>
    </w:p>
    <w:p w:rsidR="009E1CA0" w:rsidRPr="00B74347" w:rsidRDefault="009E1CA0" w:rsidP="00E24F93">
      <w:pPr>
        <w:jc w:val="both"/>
        <w:rPr>
          <w:b/>
          <w:bCs/>
          <w:iCs/>
        </w:rPr>
      </w:pPr>
      <w:r w:rsidRPr="00B74347">
        <w:br w:type="page"/>
      </w:r>
    </w:p>
    <w:p w:rsidR="00C4267C" w:rsidRPr="00B74347" w:rsidRDefault="00C4267C" w:rsidP="00E24F93">
      <w:pPr>
        <w:pStyle w:val="Heading4"/>
        <w:jc w:val="both"/>
      </w:pPr>
      <w:r w:rsidRPr="00B74347">
        <w:lastRenderedPageBreak/>
        <w:t xml:space="preserve">TABLE 3: </w:t>
      </w:r>
      <w:proofErr w:type="spellStart"/>
      <w:r w:rsidRPr="00B74347">
        <w:t>DisabilityCare</w:t>
      </w:r>
      <w:proofErr w:type="spellEnd"/>
      <w:r w:rsidRPr="00B74347">
        <w:t xml:space="preserve"> Australia (DCA) levy</w:t>
      </w:r>
    </w:p>
    <w:p w:rsidR="009E1CA0" w:rsidRPr="00B74347" w:rsidRDefault="009E1CA0" w:rsidP="00E24F93">
      <w:pPr>
        <w:jc w:val="both"/>
      </w:pPr>
    </w:p>
    <w:tbl>
      <w:tblPr>
        <w:tblStyle w:val="MediumGrid3-Accent2"/>
        <w:tblW w:w="0" w:type="auto"/>
        <w:tblLook w:val="04A0" w:firstRow="1" w:lastRow="0" w:firstColumn="1" w:lastColumn="0" w:noHBand="0" w:noVBand="1"/>
      </w:tblPr>
      <w:tblGrid>
        <w:gridCol w:w="2130"/>
        <w:gridCol w:w="2131"/>
        <w:gridCol w:w="2131"/>
        <w:gridCol w:w="2131"/>
      </w:tblGrid>
      <w:tr w:rsidR="009E1CA0" w:rsidRPr="00B74347" w:rsidTr="00F304DE">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p>
        </w:tc>
        <w:tc>
          <w:tcPr>
            <w:tcW w:w="2131" w:type="dxa"/>
            <w:vAlign w:val="center"/>
          </w:tcPr>
          <w:p w:rsidR="009E1CA0" w:rsidRPr="00B74347" w:rsidRDefault="009E1CA0" w:rsidP="00F304DE">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vertAlign w:val="superscript"/>
              </w:rPr>
            </w:pPr>
            <w:r w:rsidRPr="00B74347">
              <w:rPr>
                <w:rFonts w:eastAsia="Calibri" w:cstheme="majorHAnsi"/>
                <w:szCs w:val="22"/>
              </w:rPr>
              <w:t xml:space="preserve">DCA levy Income </w:t>
            </w:r>
            <w:r w:rsidRPr="00B74347">
              <w:rPr>
                <w:rFonts w:eastAsia="Calibri" w:cstheme="majorHAnsi"/>
                <w:szCs w:val="22"/>
                <w:vertAlign w:val="superscript"/>
              </w:rPr>
              <w:t>(1)</w:t>
            </w:r>
          </w:p>
          <w:p w:rsidR="009E1CA0" w:rsidRPr="00B74347" w:rsidRDefault="009E1CA0" w:rsidP="00F304DE">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$M</w:t>
            </w:r>
          </w:p>
        </w:tc>
        <w:tc>
          <w:tcPr>
            <w:tcW w:w="2131" w:type="dxa"/>
            <w:vAlign w:val="center"/>
          </w:tcPr>
          <w:p w:rsidR="009E1CA0" w:rsidRPr="00B74347" w:rsidRDefault="009E1CA0" w:rsidP="00F304DE">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 xml:space="preserve">States’ share </w:t>
            </w:r>
            <w:r w:rsidRPr="00B74347">
              <w:rPr>
                <w:rFonts w:eastAsia="Calibri" w:cstheme="majorHAnsi"/>
                <w:szCs w:val="22"/>
                <w:vertAlign w:val="superscript"/>
              </w:rPr>
              <w:t>(2)</w:t>
            </w:r>
            <w:r w:rsidRPr="00B74347">
              <w:rPr>
                <w:rFonts w:eastAsia="Calibri" w:cstheme="majorHAnsi"/>
                <w:szCs w:val="22"/>
                <w:vertAlign w:val="superscript"/>
              </w:rPr>
              <w:br/>
            </w:r>
            <w:r w:rsidRPr="00B74347">
              <w:rPr>
                <w:rFonts w:eastAsia="Calibri" w:cstheme="majorHAnsi"/>
                <w:szCs w:val="22"/>
              </w:rPr>
              <w:t>$M</w:t>
            </w:r>
          </w:p>
        </w:tc>
        <w:tc>
          <w:tcPr>
            <w:tcW w:w="2131" w:type="dxa"/>
            <w:vAlign w:val="center"/>
          </w:tcPr>
          <w:p w:rsidR="009E1CA0" w:rsidRPr="00B74347" w:rsidRDefault="009E1CA0" w:rsidP="00F304DE">
            <w:pPr>
              <w:keepNext/>
              <w:keepLines/>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Commonwealth share</w:t>
            </w:r>
            <w:r w:rsidRPr="00B74347">
              <w:rPr>
                <w:rFonts w:eastAsia="Calibri" w:cstheme="majorHAnsi"/>
                <w:szCs w:val="22"/>
              </w:rPr>
              <w:br/>
              <w:t>$M</w:t>
            </w:r>
          </w:p>
        </w:tc>
      </w:tr>
      <w:tr w:rsidR="009E1CA0"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2014-15</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3,512</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825</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2,687</w:t>
            </w:r>
          </w:p>
        </w:tc>
      </w:tr>
      <w:tr w:rsidR="009E1CA0"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2015-16</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3,718</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854</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2,864</w:t>
            </w:r>
          </w:p>
        </w:tc>
      </w:tr>
      <w:tr w:rsidR="009E1CA0"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2016-17</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3,892</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884</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3,008</w:t>
            </w:r>
          </w:p>
        </w:tc>
      </w:tr>
      <w:tr w:rsidR="009E1CA0"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2017-18</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4,073</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915</w:t>
            </w:r>
          </w:p>
        </w:tc>
        <w:tc>
          <w:tcPr>
            <w:tcW w:w="2131" w:type="dxa"/>
            <w:vAlign w:val="center"/>
          </w:tcPr>
          <w:p w:rsidR="009E1CA0" w:rsidRPr="00B74347" w:rsidRDefault="009E1CA0"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3,158</w:t>
            </w:r>
          </w:p>
        </w:tc>
      </w:tr>
      <w:tr w:rsidR="009E1CA0"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2018-19</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4,275</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947</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3,328</w:t>
            </w:r>
          </w:p>
        </w:tc>
      </w:tr>
    </w:tbl>
    <w:p w:rsidR="009E1CA0" w:rsidRPr="00B74347" w:rsidRDefault="009E1CA0" w:rsidP="00E24F93">
      <w:pPr>
        <w:jc w:val="both"/>
      </w:pPr>
    </w:p>
    <w:p w:rsidR="00C4267C" w:rsidRPr="00B74347" w:rsidRDefault="00C4267C" w:rsidP="00E24F93">
      <w:pPr>
        <w:ind w:left="720" w:hanging="720"/>
        <w:jc w:val="both"/>
        <w:rPr>
          <w:i/>
        </w:rPr>
      </w:pPr>
      <w:r w:rsidRPr="00B74347">
        <w:rPr>
          <w:i/>
        </w:rPr>
        <w:t>Source:</w:t>
      </w:r>
      <w:r w:rsidR="009E1CA0" w:rsidRPr="00B74347">
        <w:rPr>
          <w:i/>
        </w:rPr>
        <w:t xml:space="preserve"> </w:t>
      </w:r>
      <w:r w:rsidR="009E1CA0" w:rsidRPr="00B74347">
        <w:rPr>
          <w:i/>
        </w:rPr>
        <w:tab/>
      </w:r>
      <w:r w:rsidRPr="00B74347">
        <w:rPr>
          <w:i/>
        </w:rPr>
        <w:t xml:space="preserve">(1) 2015-16 Budget Paper No 1, Statement 4, Table 7, P4-16 (25% of Medicare and </w:t>
      </w:r>
      <w:proofErr w:type="spellStart"/>
      <w:r w:rsidRPr="00B74347">
        <w:rPr>
          <w:i/>
        </w:rPr>
        <w:t>DisabilityCare</w:t>
      </w:r>
      <w:proofErr w:type="spellEnd"/>
      <w:r w:rsidRPr="00B74347">
        <w:rPr>
          <w:i/>
        </w:rPr>
        <w:t xml:space="preserve"> Australia Levy receipts) </w:t>
      </w:r>
    </w:p>
    <w:p w:rsidR="00C4267C" w:rsidRPr="00B74347" w:rsidRDefault="00C4267C" w:rsidP="00E24F93">
      <w:pPr>
        <w:jc w:val="both"/>
      </w:pPr>
      <w:r w:rsidRPr="00B74347">
        <w:rPr>
          <w:i/>
        </w:rPr>
        <w:t xml:space="preserve"> </w:t>
      </w:r>
      <w:r w:rsidRPr="00B74347">
        <w:rPr>
          <w:i/>
        </w:rPr>
        <w:tab/>
        <w:t>(2) 2014-15 Budget Paper No 3, P 52 and 2015-16 Budget Paper No 3, P 44</w:t>
      </w:r>
    </w:p>
    <w:p w:rsidR="006317AD" w:rsidRPr="00B74347" w:rsidRDefault="006317AD" w:rsidP="00E24F93">
      <w:pPr>
        <w:jc w:val="both"/>
      </w:pPr>
    </w:p>
    <w:p w:rsidR="00C4267C" w:rsidRPr="00B74347" w:rsidRDefault="00C4267C" w:rsidP="00E24F93">
      <w:pPr>
        <w:pStyle w:val="Heading3"/>
        <w:jc w:val="both"/>
      </w:pPr>
      <w:r w:rsidRPr="00B74347">
        <w:t>Intergovernmental payments up to 2017-18</w:t>
      </w:r>
    </w:p>
    <w:p w:rsidR="00C4267C" w:rsidRPr="00B74347" w:rsidRDefault="00C4267C" w:rsidP="00E24F93">
      <w:pPr>
        <w:jc w:val="both"/>
      </w:pPr>
    </w:p>
    <w:p w:rsidR="00C4267C" w:rsidRPr="00B74347" w:rsidRDefault="00C4267C" w:rsidP="00E24F93">
      <w:pPr>
        <w:jc w:val="both"/>
      </w:pPr>
      <w:r w:rsidRPr="00B74347">
        <w:t>For 2014-15 and 2015-16, the Commonwealth/State agreements for initiating the NDIS provide for the States to repay a portion of their Specific Purpose Payments (SPPs) received from the Commonwealth in respect of disability, as the NDIS progressively reduces the proportion of services for people with a disability that are financed through the existing arrangements. Amounts for 2014-15 and 2015-16 are contained in the Bilateral Agreements for the NDIS Launch.</w:t>
      </w:r>
    </w:p>
    <w:p w:rsidR="009E1CA0" w:rsidRPr="00B74347" w:rsidRDefault="009E1CA0" w:rsidP="00E24F93">
      <w:pPr>
        <w:jc w:val="both"/>
      </w:pPr>
    </w:p>
    <w:p w:rsidR="00C4267C" w:rsidRPr="00B74347" w:rsidRDefault="00C4267C" w:rsidP="00E24F93">
      <w:pPr>
        <w:jc w:val="both"/>
      </w:pPr>
      <w:r w:rsidRPr="00B74347">
        <w:t>As these arrangements were in place at the time of the 2015-16 Budget, it is assumed that they have been netted off the amount of expenses appropriated, and that the NDIA will have had / will have the appropriation plus the intergovernmental payments available to it.</w:t>
      </w:r>
    </w:p>
    <w:p w:rsidR="009E1CA0" w:rsidRPr="00B74347" w:rsidRDefault="009E1CA0" w:rsidP="00E24F93">
      <w:pPr>
        <w:jc w:val="both"/>
      </w:pPr>
    </w:p>
    <w:p w:rsidR="00C4267C" w:rsidRPr="00B74347" w:rsidRDefault="00C4267C" w:rsidP="00E24F93">
      <w:pPr>
        <w:jc w:val="both"/>
      </w:pPr>
      <w:r w:rsidRPr="00B74347">
        <w:t>For 2016-17 and 2017-18, the NSW and Victorian Bilateral Agreements specify that ‘The parties agree that the intergovernmental payments currently provided by the Commonwealth to NSW / Victoria for the purpose of providing disability services to individuals (who have become NDIS participants) should be paid to the NDIA on behalf of the Commonwealth by NSW / Victoria.’</w:t>
      </w:r>
    </w:p>
    <w:p w:rsidR="009E1CA0" w:rsidRPr="00B74347" w:rsidRDefault="009E1CA0" w:rsidP="00E24F93">
      <w:pPr>
        <w:jc w:val="both"/>
      </w:pPr>
    </w:p>
    <w:p w:rsidR="00C4267C" w:rsidRPr="00B74347" w:rsidRDefault="00C4267C" w:rsidP="00E24F93">
      <w:pPr>
        <w:jc w:val="both"/>
      </w:pPr>
      <w:r w:rsidRPr="00B74347">
        <w:t xml:space="preserve">The 2015 Bilateral Agreements for NSW and Victoria specify amounts for each state for 2016-17 and 2017-18 (and for Victoria in 2018-19), as shown in Table 4. </w:t>
      </w:r>
    </w:p>
    <w:p w:rsidR="00C4267C" w:rsidRPr="00B74347" w:rsidRDefault="00C4267C" w:rsidP="00E24F93">
      <w:pPr>
        <w:jc w:val="both"/>
      </w:pPr>
    </w:p>
    <w:p w:rsidR="009E1CA0" w:rsidRPr="00B74347" w:rsidRDefault="009E1CA0" w:rsidP="00E24F93">
      <w:pPr>
        <w:jc w:val="both"/>
        <w:rPr>
          <w:b/>
          <w:bCs/>
          <w:iCs/>
        </w:rPr>
      </w:pPr>
      <w:r w:rsidRPr="00B74347">
        <w:br w:type="page"/>
      </w:r>
    </w:p>
    <w:p w:rsidR="00C4267C" w:rsidRPr="00B74347" w:rsidRDefault="00C4267C" w:rsidP="00E24F93">
      <w:pPr>
        <w:pStyle w:val="Heading4"/>
        <w:jc w:val="both"/>
      </w:pPr>
      <w:r w:rsidRPr="00B74347">
        <w:lastRenderedPageBreak/>
        <w:t>TABLE 4: Payment of intergovernmental payments by NSW and Victoria to NDIA</w:t>
      </w:r>
    </w:p>
    <w:p w:rsidR="006317AD" w:rsidRPr="00B74347" w:rsidRDefault="006317AD" w:rsidP="00E24F93">
      <w:pPr>
        <w:jc w:val="both"/>
      </w:pPr>
    </w:p>
    <w:tbl>
      <w:tblPr>
        <w:tblStyle w:val="MediumGrid3-Accent2"/>
        <w:tblW w:w="0" w:type="auto"/>
        <w:tblLook w:val="04A0" w:firstRow="1" w:lastRow="0" w:firstColumn="1" w:lastColumn="0" w:noHBand="0" w:noVBand="1"/>
      </w:tblPr>
      <w:tblGrid>
        <w:gridCol w:w="2130"/>
        <w:gridCol w:w="2131"/>
        <w:gridCol w:w="2131"/>
        <w:gridCol w:w="2131"/>
      </w:tblGrid>
      <w:tr w:rsidR="009E1CA0" w:rsidRPr="00B74347" w:rsidTr="00F304DE">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highlight w:val="cyan"/>
                <w:lang w:val="en-AU"/>
              </w:rPr>
            </w:pPr>
          </w:p>
        </w:tc>
        <w:tc>
          <w:tcPr>
            <w:tcW w:w="2131" w:type="dxa"/>
            <w:vAlign w:val="center"/>
          </w:tcPr>
          <w:p w:rsidR="009E1CA0" w:rsidRPr="00B74347" w:rsidRDefault="009E1CA0" w:rsidP="00F304DE">
            <w:pPr>
              <w:jc w:val="center"/>
              <w:cnfStyle w:val="100000000000" w:firstRow="1" w:lastRow="0" w:firstColumn="0" w:lastColumn="0" w:oddVBand="0" w:evenVBand="0" w:oddHBand="0" w:evenHBand="0" w:firstRowFirstColumn="0" w:firstRowLastColumn="0" w:lastRowFirstColumn="0" w:lastRowLastColumn="0"/>
              <w:rPr>
                <w:highlight w:val="cyan"/>
                <w:lang w:val="en-AU"/>
              </w:rPr>
            </w:pPr>
            <w:r w:rsidRPr="00B74347">
              <w:rPr>
                <w:lang w:val="en-AU"/>
              </w:rPr>
              <w:t>2016-17</w:t>
            </w:r>
            <w:r w:rsidRPr="00B74347">
              <w:rPr>
                <w:lang w:val="en-AU"/>
              </w:rPr>
              <w:br/>
              <w:t>$M</w:t>
            </w:r>
          </w:p>
        </w:tc>
        <w:tc>
          <w:tcPr>
            <w:tcW w:w="2131" w:type="dxa"/>
            <w:vAlign w:val="center"/>
          </w:tcPr>
          <w:p w:rsidR="009E1CA0" w:rsidRPr="00B74347" w:rsidRDefault="009E1CA0" w:rsidP="00F304DE">
            <w:pPr>
              <w:jc w:val="center"/>
              <w:cnfStyle w:val="100000000000" w:firstRow="1" w:lastRow="0" w:firstColumn="0" w:lastColumn="0" w:oddVBand="0" w:evenVBand="0" w:oddHBand="0" w:evenHBand="0" w:firstRowFirstColumn="0" w:firstRowLastColumn="0" w:lastRowFirstColumn="0" w:lastRowLastColumn="0"/>
              <w:rPr>
                <w:highlight w:val="cyan"/>
                <w:lang w:val="en-AU"/>
              </w:rPr>
            </w:pPr>
            <w:r w:rsidRPr="00B74347">
              <w:rPr>
                <w:lang w:val="en-AU"/>
              </w:rPr>
              <w:t>2017-18</w:t>
            </w:r>
            <w:r w:rsidRPr="00B74347">
              <w:rPr>
                <w:lang w:val="en-AU"/>
              </w:rPr>
              <w:br/>
              <w:t>$M</w:t>
            </w:r>
          </w:p>
        </w:tc>
        <w:tc>
          <w:tcPr>
            <w:tcW w:w="2131" w:type="dxa"/>
            <w:vAlign w:val="center"/>
          </w:tcPr>
          <w:p w:rsidR="009E1CA0" w:rsidRPr="00B74347" w:rsidRDefault="009E1CA0" w:rsidP="00F304DE">
            <w:pPr>
              <w:jc w:val="center"/>
              <w:cnfStyle w:val="100000000000" w:firstRow="1" w:lastRow="0" w:firstColumn="0" w:lastColumn="0" w:oddVBand="0" w:evenVBand="0" w:oddHBand="0" w:evenHBand="0" w:firstRowFirstColumn="0" w:firstRowLastColumn="0" w:lastRowFirstColumn="0" w:lastRowLastColumn="0"/>
              <w:rPr>
                <w:highlight w:val="cyan"/>
                <w:lang w:val="en-AU"/>
              </w:rPr>
            </w:pPr>
            <w:r w:rsidRPr="00B74347">
              <w:rPr>
                <w:lang w:val="en-AU"/>
              </w:rPr>
              <w:t>2018-19               $M</w:t>
            </w:r>
          </w:p>
        </w:tc>
      </w:tr>
      <w:tr w:rsidR="009E1CA0"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keepNext/>
              <w:keepLines/>
              <w:jc w:val="center"/>
              <w:rPr>
                <w:rFonts w:eastAsia="Calibri" w:cstheme="majorHAnsi"/>
                <w:szCs w:val="22"/>
              </w:rPr>
            </w:pPr>
            <w:r w:rsidRPr="00B74347">
              <w:rPr>
                <w:rFonts w:eastAsia="Calibri" w:cstheme="majorHAnsi"/>
                <w:szCs w:val="22"/>
              </w:rPr>
              <w:t>NSW</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277.2</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499.2</w:t>
            </w:r>
          </w:p>
        </w:tc>
        <w:tc>
          <w:tcPr>
            <w:tcW w:w="2131" w:type="dxa"/>
            <w:vAlign w:val="center"/>
          </w:tcPr>
          <w:p w:rsidR="009E1CA0" w:rsidRPr="00B74347" w:rsidRDefault="009E1CA0"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NA</w:t>
            </w:r>
          </w:p>
        </w:tc>
      </w:tr>
      <w:tr w:rsidR="009E1CA0"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jc w:val="center"/>
              <w:rPr>
                <w:lang w:val="en-AU"/>
              </w:rPr>
            </w:pPr>
            <w:r w:rsidRPr="00B74347">
              <w:rPr>
                <w:lang w:val="en-AU"/>
              </w:rPr>
              <w:t>Victoria</w:t>
            </w:r>
          </w:p>
        </w:tc>
        <w:tc>
          <w:tcPr>
            <w:tcW w:w="2131" w:type="dxa"/>
            <w:vAlign w:val="center"/>
          </w:tcPr>
          <w:p w:rsidR="009E1CA0" w:rsidRPr="00B74347" w:rsidRDefault="009E1CA0" w:rsidP="00430692">
            <w:pPr>
              <w:jc w:val="right"/>
              <w:cnfStyle w:val="000000000000" w:firstRow="0" w:lastRow="0" w:firstColumn="0" w:lastColumn="0" w:oddVBand="0" w:evenVBand="0" w:oddHBand="0" w:evenHBand="0" w:firstRowFirstColumn="0" w:firstRowLastColumn="0" w:lastRowFirstColumn="0" w:lastRowLastColumn="0"/>
              <w:rPr>
                <w:lang w:val="en-AU"/>
              </w:rPr>
            </w:pPr>
            <w:r w:rsidRPr="00B74347">
              <w:rPr>
                <w:lang w:val="en-AU"/>
              </w:rPr>
              <w:t>119.4</w:t>
            </w:r>
          </w:p>
        </w:tc>
        <w:tc>
          <w:tcPr>
            <w:tcW w:w="2131" w:type="dxa"/>
            <w:vAlign w:val="center"/>
          </w:tcPr>
          <w:p w:rsidR="009E1CA0" w:rsidRPr="00B74347" w:rsidRDefault="009E1CA0" w:rsidP="00430692">
            <w:pPr>
              <w:jc w:val="right"/>
              <w:cnfStyle w:val="000000000000" w:firstRow="0" w:lastRow="0" w:firstColumn="0" w:lastColumn="0" w:oddVBand="0" w:evenVBand="0" w:oddHBand="0" w:evenHBand="0" w:firstRowFirstColumn="0" w:firstRowLastColumn="0" w:lastRowFirstColumn="0" w:lastRowLastColumn="0"/>
              <w:rPr>
                <w:lang w:val="en-AU"/>
              </w:rPr>
            </w:pPr>
            <w:r w:rsidRPr="00B74347">
              <w:rPr>
                <w:lang w:val="en-AU"/>
              </w:rPr>
              <w:t>210.3</w:t>
            </w:r>
          </w:p>
        </w:tc>
        <w:tc>
          <w:tcPr>
            <w:tcW w:w="2131" w:type="dxa"/>
            <w:vAlign w:val="center"/>
          </w:tcPr>
          <w:p w:rsidR="009E1CA0" w:rsidRPr="00B74347" w:rsidRDefault="009E1CA0" w:rsidP="00430692">
            <w:pPr>
              <w:jc w:val="right"/>
              <w:cnfStyle w:val="000000000000" w:firstRow="0" w:lastRow="0" w:firstColumn="0" w:lastColumn="0" w:oddVBand="0" w:evenVBand="0" w:oddHBand="0" w:evenHBand="0" w:firstRowFirstColumn="0" w:firstRowLastColumn="0" w:lastRowFirstColumn="0" w:lastRowLastColumn="0"/>
              <w:rPr>
                <w:lang w:val="en-AU"/>
              </w:rPr>
            </w:pPr>
            <w:r w:rsidRPr="00B74347">
              <w:rPr>
                <w:lang w:val="en-AU"/>
              </w:rPr>
              <w:t>378.0</w:t>
            </w:r>
          </w:p>
        </w:tc>
      </w:tr>
      <w:tr w:rsidR="009E1CA0"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vAlign w:val="center"/>
          </w:tcPr>
          <w:p w:rsidR="009E1CA0" w:rsidRPr="00B74347" w:rsidRDefault="009E1CA0" w:rsidP="00F304DE">
            <w:pPr>
              <w:jc w:val="center"/>
              <w:rPr>
                <w:lang w:val="en-AU"/>
              </w:rPr>
            </w:pPr>
            <w:r w:rsidRPr="00B74347">
              <w:rPr>
                <w:lang w:val="en-AU"/>
              </w:rPr>
              <w:t>Total</w:t>
            </w:r>
          </w:p>
        </w:tc>
        <w:tc>
          <w:tcPr>
            <w:tcW w:w="2131" w:type="dxa"/>
            <w:vAlign w:val="center"/>
          </w:tcPr>
          <w:p w:rsidR="009E1CA0" w:rsidRPr="00B74347" w:rsidRDefault="009E1CA0" w:rsidP="00430692">
            <w:pPr>
              <w:jc w:val="right"/>
              <w:cnfStyle w:val="000000100000" w:firstRow="0" w:lastRow="0" w:firstColumn="0" w:lastColumn="0" w:oddVBand="0" w:evenVBand="0" w:oddHBand="1" w:evenHBand="0" w:firstRowFirstColumn="0" w:firstRowLastColumn="0" w:lastRowFirstColumn="0" w:lastRowLastColumn="0"/>
              <w:rPr>
                <w:lang w:val="en-AU"/>
              </w:rPr>
            </w:pPr>
            <w:r w:rsidRPr="00B74347">
              <w:rPr>
                <w:lang w:val="en-AU"/>
              </w:rPr>
              <w:t>396.6</w:t>
            </w:r>
          </w:p>
        </w:tc>
        <w:tc>
          <w:tcPr>
            <w:tcW w:w="2131" w:type="dxa"/>
            <w:vAlign w:val="center"/>
          </w:tcPr>
          <w:p w:rsidR="009E1CA0" w:rsidRPr="00B74347" w:rsidRDefault="009E1CA0" w:rsidP="00430692">
            <w:pPr>
              <w:jc w:val="right"/>
              <w:cnfStyle w:val="000000100000" w:firstRow="0" w:lastRow="0" w:firstColumn="0" w:lastColumn="0" w:oddVBand="0" w:evenVBand="0" w:oddHBand="1" w:evenHBand="0" w:firstRowFirstColumn="0" w:firstRowLastColumn="0" w:lastRowFirstColumn="0" w:lastRowLastColumn="0"/>
              <w:rPr>
                <w:lang w:val="en-AU"/>
              </w:rPr>
            </w:pPr>
            <w:r w:rsidRPr="00B74347">
              <w:rPr>
                <w:lang w:val="en-AU"/>
              </w:rPr>
              <w:t>709.5</w:t>
            </w:r>
          </w:p>
        </w:tc>
        <w:tc>
          <w:tcPr>
            <w:tcW w:w="2131" w:type="dxa"/>
            <w:vAlign w:val="center"/>
          </w:tcPr>
          <w:p w:rsidR="009E1CA0" w:rsidRPr="00B74347" w:rsidRDefault="009E1CA0" w:rsidP="00430692">
            <w:pPr>
              <w:jc w:val="right"/>
              <w:cnfStyle w:val="000000100000" w:firstRow="0" w:lastRow="0" w:firstColumn="0" w:lastColumn="0" w:oddVBand="0" w:evenVBand="0" w:oddHBand="1" w:evenHBand="0" w:firstRowFirstColumn="0" w:firstRowLastColumn="0" w:lastRowFirstColumn="0" w:lastRowLastColumn="0"/>
              <w:rPr>
                <w:lang w:val="en-AU"/>
              </w:rPr>
            </w:pPr>
          </w:p>
        </w:tc>
      </w:tr>
    </w:tbl>
    <w:p w:rsidR="009E1CA0" w:rsidRPr="00B74347" w:rsidRDefault="009E1CA0" w:rsidP="00E24F93">
      <w:pPr>
        <w:jc w:val="both"/>
      </w:pPr>
    </w:p>
    <w:p w:rsidR="00C4267C" w:rsidRPr="00B74347" w:rsidRDefault="00C4267C" w:rsidP="00E24F93">
      <w:pPr>
        <w:jc w:val="both"/>
        <w:rPr>
          <w:i/>
        </w:rPr>
      </w:pPr>
      <w:r w:rsidRPr="00B74347">
        <w:rPr>
          <w:i/>
        </w:rPr>
        <w:t>Source: 2015 Bilateral Agreements NSW &amp; Vic, Schedule B, Table 6</w:t>
      </w:r>
    </w:p>
    <w:p w:rsidR="009E1CA0" w:rsidRPr="00B74347" w:rsidRDefault="009E1CA0" w:rsidP="00E24F93">
      <w:pPr>
        <w:jc w:val="both"/>
      </w:pPr>
    </w:p>
    <w:p w:rsidR="00C4267C" w:rsidRPr="00B74347" w:rsidRDefault="00C4267C" w:rsidP="00E24F93">
      <w:pPr>
        <w:jc w:val="both"/>
      </w:pPr>
      <w:r w:rsidRPr="00B74347">
        <w:t xml:space="preserve">The timing in the initial bilateral agreement (4) in South Australia was similar to that in NSW, and it has been assumed that this State will also complete rollout in 2017-18. The ACT will also complete rollout by 2017-18. It is assumed that intergovernmental payments for these two jurisdictions will be similar per capita to those in NSW for 2016-17 and 2017-18. NSW represents 32% of the Australian population, SA 7.2% and ACT 1.6% (6). </w:t>
      </w:r>
    </w:p>
    <w:p w:rsidR="006317AD" w:rsidRPr="00B74347" w:rsidRDefault="006317AD" w:rsidP="00E24F93">
      <w:pPr>
        <w:jc w:val="both"/>
      </w:pPr>
    </w:p>
    <w:p w:rsidR="00C4267C" w:rsidRPr="00B74347" w:rsidRDefault="00C4267C" w:rsidP="00E24F93">
      <w:pPr>
        <w:jc w:val="both"/>
      </w:pPr>
      <w:r w:rsidRPr="00B74347">
        <w:t xml:space="preserve">Other States are assumed to complete rollout in 2018-19, with intergovernmental payments assumed to be at the same level per capita as for Victoria. Based on the Victorian population representing 25% of Australia, other jurisdictions (Queensland, WA, Tasmania and NT) represent 34.2% of Australia (6). </w:t>
      </w:r>
    </w:p>
    <w:p w:rsidR="006317AD" w:rsidRPr="00B74347" w:rsidRDefault="006317AD" w:rsidP="00E24F93">
      <w:pPr>
        <w:jc w:val="both"/>
      </w:pPr>
    </w:p>
    <w:p w:rsidR="00C4267C" w:rsidRPr="00B74347" w:rsidRDefault="00C4267C" w:rsidP="00E24F93">
      <w:pPr>
        <w:jc w:val="both"/>
      </w:pPr>
      <w:r w:rsidRPr="00B74347">
        <w:t>National estimates of intergovernmental payments for 2016-17 and 2017-18 are calculated by adding the estimates for NSW, SA and ACT to those for the other jurisdictions.</w:t>
      </w:r>
    </w:p>
    <w:p w:rsidR="00E51320" w:rsidRPr="00B74347" w:rsidRDefault="00E51320" w:rsidP="00E24F93">
      <w:pPr>
        <w:jc w:val="both"/>
      </w:pPr>
    </w:p>
    <w:p w:rsidR="00C4267C" w:rsidRPr="00B74347" w:rsidRDefault="00C4267C" w:rsidP="00E24F93">
      <w:pPr>
        <w:jc w:val="both"/>
      </w:pPr>
      <w:r w:rsidRPr="00B74347">
        <w:t>The NSW and Victorian Bilateral Agreements were concluded in September 2015, after the 2015-16 Commonwealth Budget was in place. It is therefore assumed that the appropriation covered the estimated requirements for the NDIS as known in May 2015. The later Intergovernmental Agreements will act to reduce these appropriated amounts, and so the net impact on the Commonwealth.</w:t>
      </w:r>
    </w:p>
    <w:p w:rsidR="006317AD" w:rsidRPr="00B74347" w:rsidRDefault="006317AD" w:rsidP="00E24F93">
      <w:pPr>
        <w:jc w:val="both"/>
      </w:pPr>
    </w:p>
    <w:p w:rsidR="00C4267C" w:rsidRPr="00B74347" w:rsidRDefault="00C4267C" w:rsidP="00E24F93">
      <w:pPr>
        <w:pStyle w:val="Heading4"/>
        <w:jc w:val="both"/>
        <w:rPr>
          <w:b w:val="0"/>
        </w:rPr>
      </w:pPr>
      <w:r w:rsidRPr="00B74347">
        <w:rPr>
          <w:b w:val="0"/>
        </w:rPr>
        <w:t>Table 5 shows the resulting Australian estima</w:t>
      </w:r>
      <w:r w:rsidR="006317AD" w:rsidRPr="00B74347">
        <w:rPr>
          <w:b w:val="0"/>
        </w:rPr>
        <w:t>tes for the years up to 2017-18</w:t>
      </w:r>
    </w:p>
    <w:p w:rsidR="006317AD" w:rsidRPr="00B74347" w:rsidRDefault="006317AD" w:rsidP="00E24F93">
      <w:pPr>
        <w:jc w:val="both"/>
        <w:rPr>
          <w:b/>
        </w:rPr>
      </w:pPr>
    </w:p>
    <w:p w:rsidR="00104BB7" w:rsidRPr="00B74347" w:rsidRDefault="00104BB7" w:rsidP="00E24F93">
      <w:pPr>
        <w:jc w:val="both"/>
      </w:pPr>
    </w:p>
    <w:p w:rsidR="00B06251" w:rsidRPr="00B74347" w:rsidRDefault="00B06251" w:rsidP="00B06251">
      <w:pPr>
        <w:pStyle w:val="Heading4"/>
      </w:pPr>
      <w:r w:rsidRPr="00B74347">
        <w:t>TABLE 5: Payment of intergovernmental payments by States to NDIA</w:t>
      </w:r>
    </w:p>
    <w:p w:rsidR="00B06251" w:rsidRPr="00B74347" w:rsidRDefault="00B06251" w:rsidP="00B06251">
      <w:pPr>
        <w:jc w:val="both"/>
        <w:rPr>
          <w:b/>
        </w:rPr>
      </w:pPr>
    </w:p>
    <w:tbl>
      <w:tblPr>
        <w:tblStyle w:val="MediumGrid3-Accent2"/>
        <w:tblpPr w:leftFromText="180" w:rightFromText="180" w:vertAnchor="text" w:tblpY="1"/>
        <w:tblOverlap w:val="never"/>
        <w:tblW w:w="0" w:type="auto"/>
        <w:tblLook w:val="04A0" w:firstRow="1" w:lastRow="0" w:firstColumn="1" w:lastColumn="0" w:noHBand="0" w:noVBand="1"/>
      </w:tblPr>
      <w:tblGrid>
        <w:gridCol w:w="1871"/>
        <w:gridCol w:w="2126"/>
      </w:tblGrid>
      <w:tr w:rsidR="00104BB7" w:rsidRPr="00B74347" w:rsidTr="009A5DEA">
        <w:trPr>
          <w:cnfStyle w:val="100000000000" w:firstRow="1" w:lastRow="0" w:firstColumn="0" w:lastColumn="0" w:oddVBand="0" w:evenVBand="0" w:oddHBand="0"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871" w:type="dxa"/>
            <w:vAlign w:val="center"/>
          </w:tcPr>
          <w:p w:rsidR="00104BB7" w:rsidRPr="00B74347" w:rsidRDefault="00104BB7" w:rsidP="00F304DE">
            <w:pPr>
              <w:keepNext/>
              <w:keepLines/>
              <w:jc w:val="center"/>
            </w:pPr>
          </w:p>
          <w:p w:rsidR="00104BB7" w:rsidRPr="00B74347" w:rsidRDefault="00104BB7" w:rsidP="00F304DE">
            <w:pPr>
              <w:keepNext/>
              <w:keepLines/>
              <w:jc w:val="center"/>
            </w:pPr>
            <w:r w:rsidRPr="00B74347">
              <w:t>Year</w:t>
            </w:r>
          </w:p>
        </w:tc>
        <w:tc>
          <w:tcPr>
            <w:tcW w:w="2126" w:type="dxa"/>
            <w:vAlign w:val="center"/>
          </w:tcPr>
          <w:p w:rsidR="00104BB7" w:rsidRPr="00B74347" w:rsidRDefault="00104BB7" w:rsidP="00F304DE">
            <w:pPr>
              <w:keepNext/>
              <w:keepLines/>
              <w:jc w:val="center"/>
              <w:cnfStyle w:val="100000000000" w:firstRow="1" w:lastRow="0" w:firstColumn="0" w:lastColumn="0" w:oddVBand="0" w:evenVBand="0" w:oddHBand="0" w:evenHBand="0" w:firstRowFirstColumn="0" w:firstRowLastColumn="0" w:lastRowFirstColumn="0" w:lastRowLastColumn="0"/>
            </w:pPr>
            <w:r w:rsidRPr="00B74347">
              <w:t>Repayments</w:t>
            </w:r>
          </w:p>
          <w:p w:rsidR="00104BB7" w:rsidRPr="00B74347" w:rsidRDefault="00104BB7" w:rsidP="00F304DE">
            <w:pPr>
              <w:keepNext/>
              <w:keepLines/>
              <w:jc w:val="center"/>
              <w:cnfStyle w:val="100000000000" w:firstRow="1" w:lastRow="0" w:firstColumn="0" w:lastColumn="0" w:oddVBand="0" w:evenVBand="0" w:oddHBand="0" w:evenHBand="0" w:firstRowFirstColumn="0" w:firstRowLastColumn="0" w:lastRowFirstColumn="0" w:lastRowLastColumn="0"/>
            </w:pPr>
            <w:r w:rsidRPr="00B74347">
              <w:t>$M</w:t>
            </w:r>
          </w:p>
        </w:tc>
      </w:tr>
      <w:tr w:rsidR="00104BB7" w:rsidRPr="00430692" w:rsidTr="009A5DEA">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871" w:type="dxa"/>
            <w:vAlign w:val="center"/>
          </w:tcPr>
          <w:p w:rsidR="00104BB7" w:rsidRPr="00430692" w:rsidRDefault="00104BB7" w:rsidP="00F304DE">
            <w:pPr>
              <w:keepNext/>
              <w:keepLines/>
              <w:jc w:val="center"/>
              <w:rPr>
                <w:b w:val="0"/>
              </w:rPr>
            </w:pPr>
            <w:r w:rsidRPr="00430692">
              <w:rPr>
                <w:b w:val="0"/>
              </w:rPr>
              <w:t>2014-15</w:t>
            </w:r>
          </w:p>
        </w:tc>
        <w:tc>
          <w:tcPr>
            <w:tcW w:w="2126" w:type="dxa"/>
            <w:vAlign w:val="center"/>
          </w:tcPr>
          <w:p w:rsidR="00104BB7" w:rsidRPr="00430692" w:rsidRDefault="00104BB7" w:rsidP="00430692">
            <w:pPr>
              <w:keepNext/>
              <w:keepLines/>
              <w:jc w:val="right"/>
              <w:cnfStyle w:val="000000100000" w:firstRow="0" w:lastRow="0" w:firstColumn="0" w:lastColumn="0" w:oddVBand="0" w:evenVBand="0" w:oddHBand="1" w:evenHBand="0" w:firstRowFirstColumn="0" w:firstRowLastColumn="0" w:lastRowFirstColumn="0" w:lastRowLastColumn="0"/>
              <w:rPr>
                <w:vertAlign w:val="superscript"/>
              </w:rPr>
            </w:pPr>
            <w:r w:rsidRPr="00430692">
              <w:t>21</w:t>
            </w:r>
            <w:r w:rsidRPr="00430692">
              <w:rPr>
                <w:vertAlign w:val="superscript"/>
              </w:rPr>
              <w:t>(1)</w:t>
            </w:r>
          </w:p>
        </w:tc>
      </w:tr>
      <w:tr w:rsidR="00104BB7" w:rsidRPr="00430692" w:rsidTr="009A5DEA">
        <w:trPr>
          <w:trHeight w:val="572"/>
        </w:trPr>
        <w:tc>
          <w:tcPr>
            <w:cnfStyle w:val="001000000000" w:firstRow="0" w:lastRow="0" w:firstColumn="1" w:lastColumn="0" w:oddVBand="0" w:evenVBand="0" w:oddHBand="0" w:evenHBand="0" w:firstRowFirstColumn="0" w:firstRowLastColumn="0" w:lastRowFirstColumn="0" w:lastRowLastColumn="0"/>
            <w:tcW w:w="1871" w:type="dxa"/>
            <w:vAlign w:val="center"/>
          </w:tcPr>
          <w:p w:rsidR="00104BB7" w:rsidRPr="00430692" w:rsidRDefault="00104BB7" w:rsidP="00F304DE">
            <w:pPr>
              <w:keepNext/>
              <w:keepLines/>
              <w:jc w:val="center"/>
              <w:rPr>
                <w:b w:val="0"/>
              </w:rPr>
            </w:pPr>
            <w:r w:rsidRPr="00430692">
              <w:rPr>
                <w:b w:val="0"/>
              </w:rPr>
              <w:t>2015-16</w:t>
            </w:r>
          </w:p>
        </w:tc>
        <w:tc>
          <w:tcPr>
            <w:tcW w:w="2126" w:type="dxa"/>
            <w:vAlign w:val="center"/>
          </w:tcPr>
          <w:p w:rsidR="00104BB7" w:rsidRPr="00430692" w:rsidRDefault="00104BB7" w:rsidP="00430692">
            <w:pPr>
              <w:keepNext/>
              <w:keepLines/>
              <w:jc w:val="right"/>
              <w:cnfStyle w:val="000000000000" w:firstRow="0" w:lastRow="0" w:firstColumn="0" w:lastColumn="0" w:oddVBand="0" w:evenVBand="0" w:oddHBand="0" w:evenHBand="0" w:firstRowFirstColumn="0" w:firstRowLastColumn="0" w:lastRowFirstColumn="0" w:lastRowLastColumn="0"/>
              <w:rPr>
                <w:vertAlign w:val="superscript"/>
              </w:rPr>
            </w:pPr>
            <w:r w:rsidRPr="00430692">
              <w:t>61</w:t>
            </w:r>
            <w:r w:rsidRPr="00430692">
              <w:rPr>
                <w:vertAlign w:val="superscript"/>
              </w:rPr>
              <w:t>(1)</w:t>
            </w:r>
          </w:p>
        </w:tc>
      </w:tr>
      <w:tr w:rsidR="00104BB7" w:rsidRPr="00430692" w:rsidTr="009A5DEA">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871" w:type="dxa"/>
            <w:vAlign w:val="center"/>
          </w:tcPr>
          <w:p w:rsidR="00104BB7" w:rsidRPr="00430692" w:rsidRDefault="00104BB7" w:rsidP="00F304DE">
            <w:pPr>
              <w:keepNext/>
              <w:keepLines/>
              <w:jc w:val="center"/>
              <w:rPr>
                <w:b w:val="0"/>
              </w:rPr>
            </w:pPr>
            <w:r w:rsidRPr="00430692">
              <w:rPr>
                <w:b w:val="0"/>
              </w:rPr>
              <w:t>2016-17</w:t>
            </w:r>
          </w:p>
        </w:tc>
        <w:tc>
          <w:tcPr>
            <w:tcW w:w="2126" w:type="dxa"/>
            <w:vAlign w:val="center"/>
          </w:tcPr>
          <w:p w:rsidR="00104BB7" w:rsidRPr="00430692" w:rsidRDefault="00104BB7" w:rsidP="00430692">
            <w:pPr>
              <w:keepNext/>
              <w:keepLines/>
              <w:jc w:val="right"/>
              <w:cnfStyle w:val="000000100000" w:firstRow="0" w:lastRow="0" w:firstColumn="0" w:lastColumn="0" w:oddVBand="0" w:evenVBand="0" w:oddHBand="1" w:evenHBand="0" w:firstRowFirstColumn="0" w:firstRowLastColumn="0" w:lastRowFirstColumn="0" w:lastRowLastColumn="0"/>
              <w:rPr>
                <w:vertAlign w:val="superscript"/>
              </w:rPr>
            </w:pPr>
            <w:r w:rsidRPr="00430692">
              <w:t>684</w:t>
            </w:r>
            <w:r w:rsidRPr="00430692">
              <w:rPr>
                <w:vertAlign w:val="superscript"/>
              </w:rPr>
              <w:t>(2)</w:t>
            </w:r>
          </w:p>
        </w:tc>
      </w:tr>
      <w:tr w:rsidR="00104BB7" w:rsidRPr="00430692" w:rsidTr="009A5DEA">
        <w:trPr>
          <w:trHeight w:val="572"/>
        </w:trPr>
        <w:tc>
          <w:tcPr>
            <w:cnfStyle w:val="001000000000" w:firstRow="0" w:lastRow="0" w:firstColumn="1" w:lastColumn="0" w:oddVBand="0" w:evenVBand="0" w:oddHBand="0" w:evenHBand="0" w:firstRowFirstColumn="0" w:firstRowLastColumn="0" w:lastRowFirstColumn="0" w:lastRowLastColumn="0"/>
            <w:tcW w:w="1871" w:type="dxa"/>
            <w:vAlign w:val="center"/>
          </w:tcPr>
          <w:p w:rsidR="00104BB7" w:rsidRPr="00430692" w:rsidRDefault="00104BB7" w:rsidP="00F304DE">
            <w:pPr>
              <w:keepNext/>
              <w:keepLines/>
              <w:jc w:val="center"/>
              <w:rPr>
                <w:b w:val="0"/>
              </w:rPr>
            </w:pPr>
            <w:r w:rsidRPr="00430692">
              <w:rPr>
                <w:b w:val="0"/>
              </w:rPr>
              <w:t>2017-18</w:t>
            </w:r>
          </w:p>
        </w:tc>
        <w:tc>
          <w:tcPr>
            <w:tcW w:w="2126" w:type="dxa"/>
            <w:vAlign w:val="center"/>
          </w:tcPr>
          <w:p w:rsidR="00104BB7" w:rsidRPr="00430692" w:rsidRDefault="00104BB7" w:rsidP="00430692">
            <w:pPr>
              <w:keepNext/>
              <w:keepLines/>
              <w:jc w:val="right"/>
              <w:cnfStyle w:val="000000000000" w:firstRow="0" w:lastRow="0" w:firstColumn="0" w:lastColumn="0" w:oddVBand="0" w:evenVBand="0" w:oddHBand="0" w:evenHBand="0" w:firstRowFirstColumn="0" w:firstRowLastColumn="0" w:lastRowFirstColumn="0" w:lastRowLastColumn="0"/>
              <w:rPr>
                <w:vertAlign w:val="superscript"/>
              </w:rPr>
            </w:pPr>
            <w:r w:rsidRPr="00430692">
              <w:t>1,219</w:t>
            </w:r>
            <w:r w:rsidRPr="00430692">
              <w:rPr>
                <w:vertAlign w:val="superscript"/>
              </w:rPr>
              <w:t>(2)</w:t>
            </w:r>
          </w:p>
        </w:tc>
      </w:tr>
    </w:tbl>
    <w:p w:rsidR="00104BB7" w:rsidRPr="00430692" w:rsidRDefault="00F304DE" w:rsidP="00E24F93">
      <w:pPr>
        <w:jc w:val="both"/>
      </w:pPr>
      <w:r w:rsidRPr="00430692">
        <w:br w:type="textWrapping" w:clear="all"/>
      </w:r>
    </w:p>
    <w:p w:rsidR="00104BB7" w:rsidRPr="00B74347" w:rsidRDefault="00104BB7" w:rsidP="00E24F93">
      <w:pPr>
        <w:jc w:val="both"/>
      </w:pPr>
    </w:p>
    <w:p w:rsidR="00104BB7" w:rsidRPr="00B74347" w:rsidRDefault="00104BB7" w:rsidP="00104BB7">
      <w:pPr>
        <w:jc w:val="both"/>
        <w:rPr>
          <w:i/>
        </w:rPr>
      </w:pPr>
      <w:r w:rsidRPr="00B74347">
        <w:rPr>
          <w:i/>
        </w:rPr>
        <w:t xml:space="preserve">Source: </w:t>
      </w:r>
      <w:r w:rsidRPr="00B74347">
        <w:rPr>
          <w:i/>
        </w:rPr>
        <w:tab/>
        <w:t>(1) Bilateral agreements for NDIS Launch</w:t>
      </w:r>
    </w:p>
    <w:p w:rsidR="00104BB7" w:rsidRPr="00B74347" w:rsidRDefault="00104BB7" w:rsidP="00104BB7">
      <w:pPr>
        <w:jc w:val="both"/>
        <w:rPr>
          <w:i/>
        </w:rPr>
      </w:pPr>
      <w:r w:rsidRPr="00B74347">
        <w:rPr>
          <w:i/>
        </w:rPr>
        <w:t xml:space="preserve">            (2) NSW, SA and ACT estimates added to those of other jurisdictions</w:t>
      </w:r>
    </w:p>
    <w:p w:rsidR="00104BB7" w:rsidRPr="00B74347" w:rsidRDefault="00104BB7" w:rsidP="00104BB7">
      <w:pPr>
        <w:jc w:val="both"/>
      </w:pPr>
    </w:p>
    <w:p w:rsidR="00104BB7" w:rsidRPr="00B74347" w:rsidRDefault="00104BB7" w:rsidP="00104BB7">
      <w:pPr>
        <w:jc w:val="both"/>
      </w:pPr>
      <w:r w:rsidRPr="00B74347">
        <w:t>Table 6 shows the net Commonwealth financing requirement, after allowing for the impact of Intergovernmental payments in 2016-17 and 2017-18.</w:t>
      </w:r>
    </w:p>
    <w:p w:rsidR="00104BB7" w:rsidRPr="00B74347" w:rsidRDefault="00104BB7" w:rsidP="00E24F93">
      <w:pPr>
        <w:jc w:val="both"/>
      </w:pPr>
    </w:p>
    <w:p w:rsidR="00B06251" w:rsidRPr="00B74347" w:rsidRDefault="00B06251" w:rsidP="00B06251">
      <w:pPr>
        <w:pStyle w:val="Heading4"/>
      </w:pPr>
      <w:r w:rsidRPr="00B74347">
        <w:t>TABLE 6: Net Commonwealth financing requirement after intergovernmental payments by States to NDIA</w:t>
      </w:r>
    </w:p>
    <w:p w:rsidR="00104BB7" w:rsidRPr="00B74347" w:rsidRDefault="00104BB7" w:rsidP="00E24F93">
      <w:pPr>
        <w:jc w:val="both"/>
      </w:pPr>
    </w:p>
    <w:tbl>
      <w:tblPr>
        <w:tblStyle w:val="MediumGrid3-Accent2"/>
        <w:tblW w:w="0" w:type="auto"/>
        <w:tblLook w:val="04A0" w:firstRow="1" w:lastRow="0" w:firstColumn="1" w:lastColumn="0" w:noHBand="0" w:noVBand="1"/>
      </w:tblPr>
      <w:tblGrid>
        <w:gridCol w:w="1724"/>
        <w:gridCol w:w="2098"/>
        <w:gridCol w:w="2098"/>
        <w:gridCol w:w="2603"/>
      </w:tblGrid>
      <w:tr w:rsidR="00104BB7" w:rsidRPr="00B74347" w:rsidTr="00F304DE">
        <w:trPr>
          <w:cnfStyle w:val="100000000000" w:firstRow="1" w:lastRow="0" w:firstColumn="0" w:lastColumn="0" w:oddVBand="0" w:evenVBand="0" w:oddHBand="0"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724" w:type="dxa"/>
            <w:vAlign w:val="center"/>
          </w:tcPr>
          <w:p w:rsidR="00104BB7" w:rsidRPr="00B74347" w:rsidRDefault="00104BB7" w:rsidP="00F304DE">
            <w:pPr>
              <w:spacing w:line="276" w:lineRule="auto"/>
              <w:jc w:val="center"/>
            </w:pPr>
          </w:p>
          <w:p w:rsidR="00104BB7" w:rsidRPr="00B74347" w:rsidRDefault="00104BB7" w:rsidP="00F304DE">
            <w:pPr>
              <w:spacing w:line="276" w:lineRule="auto"/>
              <w:jc w:val="center"/>
            </w:pPr>
            <w:r w:rsidRPr="00B74347">
              <w:t>Year</w:t>
            </w:r>
          </w:p>
        </w:tc>
        <w:tc>
          <w:tcPr>
            <w:tcW w:w="2098" w:type="dxa"/>
            <w:vAlign w:val="center"/>
          </w:tcPr>
          <w:p w:rsidR="00104BB7" w:rsidRPr="00B74347" w:rsidRDefault="00104BB7" w:rsidP="00F304DE">
            <w:pPr>
              <w:spacing w:line="276" w:lineRule="auto"/>
              <w:jc w:val="center"/>
              <w:cnfStyle w:val="100000000000" w:firstRow="1" w:lastRow="0" w:firstColumn="0" w:lastColumn="0" w:oddVBand="0" w:evenVBand="0" w:oddHBand="0" w:evenHBand="0" w:firstRowFirstColumn="0" w:firstRowLastColumn="0" w:lastRowFirstColumn="0" w:lastRowLastColumn="0"/>
            </w:pPr>
            <w:r w:rsidRPr="00B74347">
              <w:t>NDIS Expenses Commonwealth share</w:t>
            </w:r>
            <w:r w:rsidRPr="00B74347">
              <w:rPr>
                <w:vertAlign w:val="superscript"/>
              </w:rPr>
              <w:t>(1)</w:t>
            </w:r>
            <w:r w:rsidRPr="00B74347">
              <w:t xml:space="preserve"> $M</w:t>
            </w:r>
          </w:p>
        </w:tc>
        <w:tc>
          <w:tcPr>
            <w:tcW w:w="2098" w:type="dxa"/>
            <w:vAlign w:val="center"/>
          </w:tcPr>
          <w:p w:rsidR="00104BB7" w:rsidRPr="00B74347" w:rsidRDefault="00104BB7" w:rsidP="00F304DE">
            <w:pPr>
              <w:spacing w:line="276" w:lineRule="auto"/>
              <w:jc w:val="center"/>
              <w:cnfStyle w:val="100000000000" w:firstRow="1" w:lastRow="0" w:firstColumn="0" w:lastColumn="0" w:oddVBand="0" w:evenVBand="0" w:oddHBand="0" w:evenHBand="0" w:firstRowFirstColumn="0" w:firstRowLastColumn="0" w:lastRowFirstColumn="0" w:lastRowLastColumn="0"/>
            </w:pPr>
            <w:r w:rsidRPr="00B74347">
              <w:t>Intergovernmental payments</w:t>
            </w:r>
            <w:r w:rsidRPr="00B74347">
              <w:rPr>
                <w:vertAlign w:val="superscript"/>
              </w:rPr>
              <w:t>(2)</w:t>
            </w:r>
            <w:r w:rsidRPr="00B74347">
              <w:t xml:space="preserve">          $M</w:t>
            </w:r>
          </w:p>
        </w:tc>
        <w:tc>
          <w:tcPr>
            <w:tcW w:w="2603" w:type="dxa"/>
            <w:vAlign w:val="center"/>
          </w:tcPr>
          <w:p w:rsidR="00104BB7" w:rsidRPr="00B74347" w:rsidRDefault="00104BB7" w:rsidP="00F304DE">
            <w:pPr>
              <w:spacing w:line="276" w:lineRule="auto"/>
              <w:jc w:val="center"/>
              <w:cnfStyle w:val="100000000000" w:firstRow="1" w:lastRow="0" w:firstColumn="0" w:lastColumn="0" w:oddVBand="0" w:evenVBand="0" w:oddHBand="0" w:evenHBand="0" w:firstRowFirstColumn="0" w:firstRowLastColumn="0" w:lastRowFirstColumn="0" w:lastRowLastColumn="0"/>
            </w:pPr>
            <w:r w:rsidRPr="00B74347">
              <w:t>Net Commonwealth financing requirement</w:t>
            </w:r>
            <w:r w:rsidRPr="00B74347">
              <w:br/>
              <w:t>$M</w:t>
            </w:r>
          </w:p>
        </w:tc>
      </w:tr>
      <w:tr w:rsidR="00104BB7" w:rsidRPr="00B74347" w:rsidTr="00430692">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724" w:type="dxa"/>
            <w:vAlign w:val="bottom"/>
          </w:tcPr>
          <w:p w:rsidR="00104BB7" w:rsidRPr="00B74347" w:rsidRDefault="00104BB7" w:rsidP="00F304DE">
            <w:pPr>
              <w:spacing w:line="480" w:lineRule="auto"/>
              <w:jc w:val="center"/>
              <w:rPr>
                <w:b w:val="0"/>
              </w:rPr>
            </w:pPr>
            <w:r w:rsidRPr="00B74347">
              <w:rPr>
                <w:b w:val="0"/>
              </w:rPr>
              <w:t>2016-17</w:t>
            </w:r>
          </w:p>
        </w:tc>
        <w:tc>
          <w:tcPr>
            <w:tcW w:w="2098" w:type="dxa"/>
            <w:vAlign w:val="bottom"/>
          </w:tcPr>
          <w:p w:rsidR="00104BB7" w:rsidRPr="00B74347" w:rsidRDefault="00104BB7" w:rsidP="00430692">
            <w:pPr>
              <w:spacing w:line="480" w:lineRule="auto"/>
              <w:jc w:val="right"/>
              <w:cnfStyle w:val="000000100000" w:firstRow="0" w:lastRow="0" w:firstColumn="0" w:lastColumn="0" w:oddVBand="0" w:evenVBand="0" w:oddHBand="1" w:evenHBand="0" w:firstRowFirstColumn="0" w:firstRowLastColumn="0" w:lastRowFirstColumn="0" w:lastRowLastColumn="0"/>
            </w:pPr>
            <w:r w:rsidRPr="00B74347">
              <w:t>2,235</w:t>
            </w:r>
          </w:p>
        </w:tc>
        <w:tc>
          <w:tcPr>
            <w:tcW w:w="2098" w:type="dxa"/>
            <w:vAlign w:val="bottom"/>
          </w:tcPr>
          <w:p w:rsidR="00104BB7" w:rsidRPr="00B74347" w:rsidRDefault="00104BB7" w:rsidP="00430692">
            <w:pPr>
              <w:spacing w:line="480" w:lineRule="auto"/>
              <w:jc w:val="right"/>
              <w:cnfStyle w:val="000000100000" w:firstRow="0" w:lastRow="0" w:firstColumn="0" w:lastColumn="0" w:oddVBand="0" w:evenVBand="0" w:oddHBand="1" w:evenHBand="0" w:firstRowFirstColumn="0" w:firstRowLastColumn="0" w:lastRowFirstColumn="0" w:lastRowLastColumn="0"/>
            </w:pPr>
            <w:r w:rsidRPr="00B74347">
              <w:t>684</w:t>
            </w:r>
          </w:p>
        </w:tc>
        <w:tc>
          <w:tcPr>
            <w:tcW w:w="2603" w:type="dxa"/>
            <w:vAlign w:val="bottom"/>
          </w:tcPr>
          <w:p w:rsidR="00104BB7" w:rsidRPr="00B74347" w:rsidRDefault="00104BB7" w:rsidP="00430692">
            <w:pPr>
              <w:spacing w:line="480" w:lineRule="auto"/>
              <w:jc w:val="right"/>
              <w:cnfStyle w:val="000000100000" w:firstRow="0" w:lastRow="0" w:firstColumn="0" w:lastColumn="0" w:oddVBand="0" w:evenVBand="0" w:oddHBand="1" w:evenHBand="0" w:firstRowFirstColumn="0" w:firstRowLastColumn="0" w:lastRowFirstColumn="0" w:lastRowLastColumn="0"/>
            </w:pPr>
            <w:r w:rsidRPr="00B74347">
              <w:t>1,551</w:t>
            </w:r>
          </w:p>
        </w:tc>
      </w:tr>
      <w:tr w:rsidR="00104BB7" w:rsidRPr="00B74347" w:rsidTr="00430692">
        <w:trPr>
          <w:trHeight w:val="572"/>
        </w:trPr>
        <w:tc>
          <w:tcPr>
            <w:cnfStyle w:val="001000000000" w:firstRow="0" w:lastRow="0" w:firstColumn="1" w:lastColumn="0" w:oddVBand="0" w:evenVBand="0" w:oddHBand="0" w:evenHBand="0" w:firstRowFirstColumn="0" w:firstRowLastColumn="0" w:lastRowFirstColumn="0" w:lastRowLastColumn="0"/>
            <w:tcW w:w="1724" w:type="dxa"/>
            <w:vAlign w:val="bottom"/>
          </w:tcPr>
          <w:p w:rsidR="00104BB7" w:rsidRPr="00B74347" w:rsidRDefault="00104BB7" w:rsidP="00F304DE">
            <w:pPr>
              <w:spacing w:line="480" w:lineRule="auto"/>
              <w:jc w:val="center"/>
              <w:rPr>
                <w:b w:val="0"/>
              </w:rPr>
            </w:pPr>
            <w:r w:rsidRPr="00B74347">
              <w:rPr>
                <w:b w:val="0"/>
              </w:rPr>
              <w:t>2017-18</w:t>
            </w:r>
          </w:p>
        </w:tc>
        <w:tc>
          <w:tcPr>
            <w:tcW w:w="2098" w:type="dxa"/>
            <w:vAlign w:val="bottom"/>
          </w:tcPr>
          <w:p w:rsidR="00104BB7" w:rsidRPr="00B74347" w:rsidRDefault="00104BB7" w:rsidP="00430692">
            <w:pPr>
              <w:spacing w:line="480" w:lineRule="auto"/>
              <w:jc w:val="right"/>
              <w:cnfStyle w:val="000000000000" w:firstRow="0" w:lastRow="0" w:firstColumn="0" w:lastColumn="0" w:oddVBand="0" w:evenVBand="0" w:oddHBand="0" w:evenHBand="0" w:firstRowFirstColumn="0" w:firstRowLastColumn="0" w:lastRowFirstColumn="0" w:lastRowLastColumn="0"/>
            </w:pPr>
            <w:r w:rsidRPr="00B74347">
              <w:t>5,824</w:t>
            </w:r>
          </w:p>
        </w:tc>
        <w:tc>
          <w:tcPr>
            <w:tcW w:w="2098" w:type="dxa"/>
            <w:vAlign w:val="bottom"/>
          </w:tcPr>
          <w:p w:rsidR="00104BB7" w:rsidRPr="00B74347" w:rsidRDefault="00104BB7" w:rsidP="00430692">
            <w:pPr>
              <w:spacing w:line="480" w:lineRule="auto"/>
              <w:jc w:val="right"/>
              <w:cnfStyle w:val="000000000000" w:firstRow="0" w:lastRow="0" w:firstColumn="0" w:lastColumn="0" w:oddVBand="0" w:evenVBand="0" w:oddHBand="0" w:evenHBand="0" w:firstRowFirstColumn="0" w:firstRowLastColumn="0" w:lastRowFirstColumn="0" w:lastRowLastColumn="0"/>
            </w:pPr>
            <w:r w:rsidRPr="00B74347">
              <w:t>1,219</w:t>
            </w:r>
          </w:p>
        </w:tc>
        <w:tc>
          <w:tcPr>
            <w:tcW w:w="2603" w:type="dxa"/>
            <w:vAlign w:val="bottom"/>
          </w:tcPr>
          <w:p w:rsidR="00104BB7" w:rsidRPr="00B74347" w:rsidRDefault="00104BB7" w:rsidP="00430692">
            <w:pPr>
              <w:spacing w:line="480" w:lineRule="auto"/>
              <w:jc w:val="right"/>
              <w:cnfStyle w:val="000000000000" w:firstRow="0" w:lastRow="0" w:firstColumn="0" w:lastColumn="0" w:oddVBand="0" w:evenVBand="0" w:oddHBand="0" w:evenHBand="0" w:firstRowFirstColumn="0" w:firstRowLastColumn="0" w:lastRowFirstColumn="0" w:lastRowLastColumn="0"/>
            </w:pPr>
            <w:r w:rsidRPr="00B74347">
              <w:t>4,605</w:t>
            </w:r>
          </w:p>
        </w:tc>
      </w:tr>
    </w:tbl>
    <w:p w:rsidR="00104BB7" w:rsidRPr="00B74347" w:rsidRDefault="00104BB7" w:rsidP="00E24F93">
      <w:pPr>
        <w:jc w:val="both"/>
      </w:pPr>
    </w:p>
    <w:p w:rsidR="00104BB7" w:rsidRPr="00B74347" w:rsidRDefault="00104BB7" w:rsidP="00E24F93">
      <w:pPr>
        <w:jc w:val="both"/>
      </w:pPr>
    </w:p>
    <w:p w:rsidR="00524783" w:rsidRPr="00B74347" w:rsidRDefault="00C4267C" w:rsidP="00E24F93">
      <w:pPr>
        <w:jc w:val="both"/>
      </w:pPr>
      <w:r w:rsidRPr="00B74347">
        <w:t xml:space="preserve">Notes: </w:t>
      </w:r>
      <w:r w:rsidR="00247E3B" w:rsidRPr="00B74347">
        <w:tab/>
      </w:r>
      <w:r w:rsidR="00524783" w:rsidRPr="00B74347">
        <w:t>(1) From Table 2A</w:t>
      </w:r>
    </w:p>
    <w:p w:rsidR="00C4267C" w:rsidRPr="00B74347" w:rsidRDefault="00C4267C" w:rsidP="00524783">
      <w:pPr>
        <w:ind w:firstLine="720"/>
        <w:jc w:val="both"/>
      </w:pPr>
      <w:r w:rsidRPr="00B74347">
        <w:t>(2) From Table 5</w:t>
      </w:r>
    </w:p>
    <w:p w:rsidR="006317AD" w:rsidRPr="00B74347" w:rsidRDefault="006317AD" w:rsidP="00E24F93">
      <w:pPr>
        <w:jc w:val="both"/>
      </w:pPr>
    </w:p>
    <w:p w:rsidR="00C4267C" w:rsidRPr="00B74347" w:rsidRDefault="00C4267C" w:rsidP="00E24F93">
      <w:pPr>
        <w:jc w:val="both"/>
      </w:pPr>
      <w:r w:rsidRPr="00B74347">
        <w:t xml:space="preserve">Table 7 shows the build-up of surpluses in the DCA Fund that arise from the Commonwealth’s portion of the DCA levy receipts less the net Commonwealth financing requirement for NDIS expenses each year, plus the Commonwealth share of the earnings on the accumulated balances in the DCA Fund (accumulated balances are held by the Commonwealth and invested by the Future Fund Board; investment earnings are assumed to be 5% per annum). </w:t>
      </w:r>
    </w:p>
    <w:p w:rsidR="00C4267C" w:rsidRPr="00B74347" w:rsidRDefault="00C4267C" w:rsidP="00E24F93">
      <w:pPr>
        <w:jc w:val="both"/>
      </w:pPr>
    </w:p>
    <w:p w:rsidR="00247E3B" w:rsidRPr="00B74347" w:rsidRDefault="00247E3B" w:rsidP="00E24F93">
      <w:pPr>
        <w:jc w:val="both"/>
        <w:rPr>
          <w:b/>
          <w:bCs/>
          <w:iCs/>
        </w:rPr>
      </w:pPr>
      <w:r w:rsidRPr="00B74347">
        <w:br w:type="page"/>
      </w:r>
    </w:p>
    <w:p w:rsidR="00C4267C" w:rsidRPr="00B74347" w:rsidRDefault="00C4267C" w:rsidP="00E24F93">
      <w:pPr>
        <w:pStyle w:val="Heading4"/>
        <w:jc w:val="both"/>
      </w:pPr>
      <w:r w:rsidRPr="00B74347">
        <w:lastRenderedPageBreak/>
        <w:t>TABLE 7: DCA Fund: Commonwealth share</w:t>
      </w:r>
    </w:p>
    <w:p w:rsidR="006317AD" w:rsidRPr="00B74347" w:rsidRDefault="006317AD" w:rsidP="00E24F93">
      <w:pPr>
        <w:jc w:val="both"/>
      </w:pPr>
    </w:p>
    <w:tbl>
      <w:tblPr>
        <w:tblStyle w:val="MediumGrid3-Accent2"/>
        <w:tblW w:w="0" w:type="auto"/>
        <w:tblLook w:val="04A0" w:firstRow="1" w:lastRow="0" w:firstColumn="1" w:lastColumn="0" w:noHBand="0" w:noVBand="1"/>
      </w:tblPr>
      <w:tblGrid>
        <w:gridCol w:w="1662"/>
        <w:gridCol w:w="1705"/>
        <w:gridCol w:w="1870"/>
        <w:gridCol w:w="1482"/>
        <w:gridCol w:w="1804"/>
      </w:tblGrid>
      <w:tr w:rsidR="00987C27" w:rsidRPr="00B74347" w:rsidTr="00F304DE">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662" w:type="dxa"/>
            <w:vAlign w:val="center"/>
          </w:tcPr>
          <w:p w:rsidR="00987C27" w:rsidRPr="00B74347" w:rsidRDefault="00987C27" w:rsidP="00F304DE">
            <w:pPr>
              <w:keepNext/>
              <w:keepLines/>
              <w:jc w:val="center"/>
            </w:pPr>
          </w:p>
        </w:tc>
        <w:tc>
          <w:tcPr>
            <w:tcW w:w="1705" w:type="dxa"/>
            <w:vAlign w:val="center"/>
          </w:tcPr>
          <w:p w:rsidR="00987C27" w:rsidRPr="00B74347" w:rsidRDefault="00987C27" w:rsidP="00F304DE">
            <w:pPr>
              <w:keepNext/>
              <w:keepLines/>
              <w:jc w:val="center"/>
              <w:cnfStyle w:val="100000000000" w:firstRow="1" w:lastRow="0" w:firstColumn="0" w:lastColumn="0" w:oddVBand="0" w:evenVBand="0" w:oddHBand="0" w:evenHBand="0" w:firstRowFirstColumn="0" w:firstRowLastColumn="0" w:lastRowFirstColumn="0" w:lastRowLastColumn="0"/>
            </w:pPr>
            <w:r w:rsidRPr="00B74347">
              <w:t>DCA levy</w:t>
            </w:r>
            <w:r w:rsidRPr="00B74347">
              <w:br/>
            </w:r>
            <w:proofErr w:type="spellStart"/>
            <w:r w:rsidRPr="00B74347">
              <w:t>Cwlth</w:t>
            </w:r>
            <w:proofErr w:type="spellEnd"/>
            <w:r w:rsidRPr="00B74347">
              <w:t xml:space="preserve"> share</w:t>
            </w:r>
            <w:r w:rsidRPr="00B74347">
              <w:rPr>
                <w:vertAlign w:val="superscript"/>
              </w:rPr>
              <w:t>(1)</w:t>
            </w:r>
            <w:r w:rsidRPr="00B74347">
              <w:br/>
              <w:t>$M</w:t>
            </w:r>
          </w:p>
        </w:tc>
        <w:tc>
          <w:tcPr>
            <w:tcW w:w="1870" w:type="dxa"/>
            <w:vAlign w:val="center"/>
          </w:tcPr>
          <w:p w:rsidR="00987C27" w:rsidRPr="00B74347" w:rsidRDefault="00987C27" w:rsidP="00F304DE">
            <w:pPr>
              <w:keepNext/>
              <w:keepLines/>
              <w:jc w:val="center"/>
              <w:cnfStyle w:val="100000000000" w:firstRow="1" w:lastRow="0" w:firstColumn="0" w:lastColumn="0" w:oddVBand="0" w:evenVBand="0" w:oddHBand="0" w:evenHBand="0" w:firstRowFirstColumn="0" w:firstRowLastColumn="0" w:lastRowFirstColumn="0" w:lastRowLastColumn="0"/>
            </w:pPr>
            <w:r w:rsidRPr="00B74347">
              <w:t xml:space="preserve">Net </w:t>
            </w:r>
            <w:proofErr w:type="spellStart"/>
            <w:r w:rsidRPr="00B74347">
              <w:t>Cwlth</w:t>
            </w:r>
            <w:proofErr w:type="spellEnd"/>
            <w:r w:rsidRPr="00B74347">
              <w:t xml:space="preserve"> financing </w:t>
            </w:r>
            <w:proofErr w:type="spellStart"/>
            <w:r w:rsidRPr="00B74347">
              <w:t>requiremnt</w:t>
            </w:r>
            <w:proofErr w:type="spellEnd"/>
            <w:r w:rsidRPr="00B74347">
              <w:rPr>
                <w:vertAlign w:val="superscript"/>
              </w:rPr>
              <w:t>(2)</w:t>
            </w:r>
            <w:r w:rsidRPr="00B74347">
              <w:br/>
              <w:t>$M</w:t>
            </w:r>
          </w:p>
        </w:tc>
        <w:tc>
          <w:tcPr>
            <w:tcW w:w="1482" w:type="dxa"/>
            <w:vAlign w:val="center"/>
          </w:tcPr>
          <w:p w:rsidR="00987C27" w:rsidRPr="00B74347" w:rsidRDefault="00987C27" w:rsidP="00F304DE">
            <w:pPr>
              <w:keepNext/>
              <w:keepLines/>
              <w:jc w:val="center"/>
              <w:cnfStyle w:val="100000000000" w:firstRow="1" w:lastRow="0" w:firstColumn="0" w:lastColumn="0" w:oddVBand="0" w:evenVBand="0" w:oddHBand="0" w:evenHBand="0" w:firstRowFirstColumn="0" w:firstRowLastColumn="0" w:lastRowFirstColumn="0" w:lastRowLastColumn="0"/>
            </w:pPr>
            <w:r w:rsidRPr="00B74347">
              <w:t xml:space="preserve">DCA Fund </w:t>
            </w:r>
            <w:r w:rsidRPr="00B74347">
              <w:br/>
              <w:t>Earnings</w:t>
            </w:r>
            <w:r w:rsidRPr="00B74347">
              <w:rPr>
                <w:vertAlign w:val="superscript"/>
              </w:rPr>
              <w:t>(3)</w:t>
            </w:r>
          </w:p>
          <w:p w:rsidR="00987C27" w:rsidRPr="00B74347" w:rsidRDefault="00987C27" w:rsidP="00F304DE">
            <w:pPr>
              <w:keepNext/>
              <w:keepLines/>
              <w:jc w:val="center"/>
              <w:cnfStyle w:val="100000000000" w:firstRow="1" w:lastRow="0" w:firstColumn="0" w:lastColumn="0" w:oddVBand="0" w:evenVBand="0" w:oddHBand="0" w:evenHBand="0" w:firstRowFirstColumn="0" w:firstRowLastColumn="0" w:lastRowFirstColumn="0" w:lastRowLastColumn="0"/>
            </w:pPr>
            <w:r w:rsidRPr="00B74347">
              <w:t>$M</w:t>
            </w:r>
          </w:p>
        </w:tc>
        <w:tc>
          <w:tcPr>
            <w:tcW w:w="1804" w:type="dxa"/>
            <w:vAlign w:val="center"/>
          </w:tcPr>
          <w:p w:rsidR="00987C27" w:rsidRPr="00B74347" w:rsidRDefault="00987C27" w:rsidP="00F304DE">
            <w:pPr>
              <w:keepNext/>
              <w:keepLines/>
              <w:jc w:val="center"/>
              <w:cnfStyle w:val="100000000000" w:firstRow="1" w:lastRow="0" w:firstColumn="0" w:lastColumn="0" w:oddVBand="0" w:evenVBand="0" w:oddHBand="0" w:evenHBand="0" w:firstRowFirstColumn="0" w:firstRowLastColumn="0" w:lastRowFirstColumn="0" w:lastRowLastColumn="0"/>
            </w:pPr>
            <w:r w:rsidRPr="00B74347">
              <w:t>DCA Fund</w:t>
            </w:r>
            <w:r w:rsidRPr="00B74347">
              <w:br/>
            </w:r>
            <w:proofErr w:type="spellStart"/>
            <w:r w:rsidRPr="00B74347">
              <w:t>Cwlth</w:t>
            </w:r>
            <w:proofErr w:type="spellEnd"/>
            <w:r w:rsidRPr="00B74347">
              <w:t xml:space="preserve"> </w:t>
            </w:r>
            <w:proofErr w:type="spellStart"/>
            <w:r w:rsidRPr="00B74347">
              <w:t>accum</w:t>
            </w:r>
            <w:proofErr w:type="spellEnd"/>
            <w:r w:rsidRPr="00B74347">
              <w:t xml:space="preserve"> balance</w:t>
            </w:r>
            <w:r w:rsidRPr="00B74347">
              <w:br/>
              <w:t>$M</w:t>
            </w:r>
          </w:p>
        </w:tc>
      </w:tr>
      <w:tr w:rsidR="00987C27"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62" w:type="dxa"/>
            <w:vAlign w:val="center"/>
          </w:tcPr>
          <w:p w:rsidR="00987C27" w:rsidRPr="00B74347" w:rsidRDefault="00987C27" w:rsidP="00F304DE">
            <w:pPr>
              <w:keepNext/>
              <w:keepLines/>
              <w:jc w:val="center"/>
            </w:pPr>
            <w:r w:rsidRPr="00B74347">
              <w:t>2014-15</w:t>
            </w:r>
          </w:p>
        </w:tc>
        <w:tc>
          <w:tcPr>
            <w:tcW w:w="1705"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2,687</w:t>
            </w:r>
          </w:p>
        </w:tc>
        <w:tc>
          <w:tcPr>
            <w:tcW w:w="1870"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364</w:t>
            </w:r>
          </w:p>
        </w:tc>
        <w:tc>
          <w:tcPr>
            <w:tcW w:w="1482"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58</w:t>
            </w:r>
          </w:p>
        </w:tc>
        <w:tc>
          <w:tcPr>
            <w:tcW w:w="1804"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2,381</w:t>
            </w:r>
          </w:p>
        </w:tc>
      </w:tr>
      <w:tr w:rsidR="00987C27"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1662" w:type="dxa"/>
            <w:vAlign w:val="center"/>
          </w:tcPr>
          <w:p w:rsidR="00987C27" w:rsidRPr="00B74347" w:rsidRDefault="00987C27" w:rsidP="00F304DE">
            <w:pPr>
              <w:keepNext/>
              <w:keepLines/>
              <w:jc w:val="center"/>
            </w:pPr>
            <w:r w:rsidRPr="00B74347">
              <w:t>2015-16</w:t>
            </w:r>
          </w:p>
        </w:tc>
        <w:tc>
          <w:tcPr>
            <w:tcW w:w="1705"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2,864</w:t>
            </w:r>
          </w:p>
        </w:tc>
        <w:tc>
          <w:tcPr>
            <w:tcW w:w="1870"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588</w:t>
            </w:r>
          </w:p>
        </w:tc>
        <w:tc>
          <w:tcPr>
            <w:tcW w:w="1482"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176</w:t>
            </w:r>
          </w:p>
        </w:tc>
        <w:tc>
          <w:tcPr>
            <w:tcW w:w="1804"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4,833</w:t>
            </w:r>
          </w:p>
        </w:tc>
      </w:tr>
      <w:tr w:rsidR="00987C27"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62" w:type="dxa"/>
            <w:vAlign w:val="center"/>
          </w:tcPr>
          <w:p w:rsidR="00987C27" w:rsidRPr="00B74347" w:rsidRDefault="00987C27" w:rsidP="00F304DE">
            <w:pPr>
              <w:keepNext/>
              <w:keepLines/>
              <w:jc w:val="center"/>
            </w:pPr>
            <w:r w:rsidRPr="00B74347">
              <w:t>2016-17</w:t>
            </w:r>
          </w:p>
        </w:tc>
        <w:tc>
          <w:tcPr>
            <w:tcW w:w="1705"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3,008</w:t>
            </w:r>
          </w:p>
        </w:tc>
        <w:tc>
          <w:tcPr>
            <w:tcW w:w="1870"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rPr>
                <w:rFonts w:eastAsia="Calibri" w:cstheme="majorHAnsi"/>
                <w:szCs w:val="22"/>
              </w:rPr>
            </w:pPr>
            <w:r w:rsidRPr="00B74347">
              <w:rPr>
                <w:rFonts w:eastAsia="Calibri" w:cstheme="majorHAnsi"/>
                <w:szCs w:val="22"/>
              </w:rPr>
              <w:t>1,551</w:t>
            </w:r>
          </w:p>
        </w:tc>
        <w:tc>
          <w:tcPr>
            <w:tcW w:w="1482"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278</w:t>
            </w:r>
          </w:p>
        </w:tc>
        <w:tc>
          <w:tcPr>
            <w:tcW w:w="1804"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6,568</w:t>
            </w:r>
          </w:p>
        </w:tc>
      </w:tr>
      <w:tr w:rsidR="00987C27"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1662" w:type="dxa"/>
            <w:vAlign w:val="center"/>
          </w:tcPr>
          <w:p w:rsidR="00987C27" w:rsidRPr="00B74347" w:rsidRDefault="00987C27" w:rsidP="00F304DE">
            <w:pPr>
              <w:keepNext/>
              <w:keepLines/>
              <w:jc w:val="center"/>
            </w:pPr>
            <w:r w:rsidRPr="00B74347">
              <w:t>2017-18</w:t>
            </w:r>
          </w:p>
        </w:tc>
        <w:tc>
          <w:tcPr>
            <w:tcW w:w="1705"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3,158</w:t>
            </w:r>
          </w:p>
        </w:tc>
        <w:tc>
          <w:tcPr>
            <w:tcW w:w="1870"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rPr>
                <w:rFonts w:eastAsia="Calibri" w:cstheme="majorHAnsi"/>
                <w:szCs w:val="22"/>
              </w:rPr>
            </w:pPr>
            <w:r w:rsidRPr="00B74347">
              <w:rPr>
                <w:rFonts w:eastAsia="Calibri" w:cstheme="majorHAnsi"/>
                <w:szCs w:val="22"/>
              </w:rPr>
              <w:t>4,605</w:t>
            </w:r>
          </w:p>
        </w:tc>
        <w:tc>
          <w:tcPr>
            <w:tcW w:w="1482"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293</w:t>
            </w:r>
          </w:p>
        </w:tc>
        <w:tc>
          <w:tcPr>
            <w:tcW w:w="1804"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5,414</w:t>
            </w:r>
          </w:p>
        </w:tc>
      </w:tr>
    </w:tbl>
    <w:p w:rsidR="00C4267C" w:rsidRPr="00B74347" w:rsidRDefault="00C4267C" w:rsidP="00E24F93">
      <w:pPr>
        <w:jc w:val="both"/>
      </w:pPr>
    </w:p>
    <w:p w:rsidR="00C4267C" w:rsidRPr="00B74347" w:rsidRDefault="00C4267C" w:rsidP="00E24F93">
      <w:pPr>
        <w:jc w:val="both"/>
      </w:pPr>
      <w:r w:rsidRPr="00B74347">
        <w:t>Notes:   (1) From Table 3</w:t>
      </w:r>
    </w:p>
    <w:p w:rsidR="00C4267C" w:rsidRPr="00B74347" w:rsidRDefault="00C4267C" w:rsidP="00E24F93">
      <w:pPr>
        <w:ind w:firstLine="720"/>
        <w:jc w:val="both"/>
      </w:pPr>
      <w:r w:rsidRPr="00B74347">
        <w:t>(2) From Table 2A for 2014-15 and 2015-16, Table 6 for 2016-17 and 2018-19</w:t>
      </w:r>
    </w:p>
    <w:p w:rsidR="00C4267C" w:rsidRPr="00B74347" w:rsidRDefault="00C4267C" w:rsidP="00524783">
      <w:pPr>
        <w:ind w:left="720"/>
        <w:jc w:val="both"/>
      </w:pPr>
      <w:r w:rsidRPr="00B74347">
        <w:t xml:space="preserve">(3) </w:t>
      </w:r>
      <w:proofErr w:type="spellStart"/>
      <w:r w:rsidRPr="00B74347">
        <w:t>DisabilityCare</w:t>
      </w:r>
      <w:proofErr w:type="spellEnd"/>
      <w:r w:rsidRPr="00B74347">
        <w:t xml:space="preserve"> Australia Fund earnings assumed at 5% pa; 6 months earnings assumed in year of collection on levy minus net financing requirement</w:t>
      </w:r>
    </w:p>
    <w:p w:rsidR="00C4267C" w:rsidRPr="00B74347" w:rsidRDefault="00C4267C" w:rsidP="00E24F93">
      <w:pPr>
        <w:jc w:val="both"/>
      </w:pPr>
    </w:p>
    <w:p w:rsidR="006317AD" w:rsidRPr="00B74347" w:rsidRDefault="006317AD" w:rsidP="00E24F93">
      <w:pPr>
        <w:jc w:val="both"/>
      </w:pPr>
    </w:p>
    <w:p w:rsidR="00C4267C" w:rsidRPr="00B74347" w:rsidRDefault="00C4267C" w:rsidP="00E24F93">
      <w:pPr>
        <w:jc w:val="both"/>
      </w:pPr>
      <w:r w:rsidRPr="00B74347">
        <w:t>Table 8 shows the build-up of surpluses in the DCA Fund that arise from the States’ share of the DCA levy less the payments made to the States from the DCA Fund, plus the States’ share of the earnings on the accumulated balances in the DCA Fund. The surplus is held by the Commonwealth.</w:t>
      </w:r>
    </w:p>
    <w:p w:rsidR="006317AD" w:rsidRPr="00B74347" w:rsidRDefault="006317AD" w:rsidP="00E24F93">
      <w:pPr>
        <w:jc w:val="both"/>
      </w:pPr>
    </w:p>
    <w:p w:rsidR="00C4267C" w:rsidRPr="00B74347" w:rsidRDefault="00C4267C" w:rsidP="00E24F93">
      <w:pPr>
        <w:pStyle w:val="Heading4"/>
        <w:jc w:val="both"/>
      </w:pPr>
      <w:r w:rsidRPr="00B74347">
        <w:t>TABLE 8: DCA Fund: States’ share</w:t>
      </w:r>
    </w:p>
    <w:p w:rsidR="006317AD" w:rsidRPr="00B74347" w:rsidRDefault="006317AD" w:rsidP="00E24F93">
      <w:pPr>
        <w:jc w:val="both"/>
      </w:pPr>
    </w:p>
    <w:tbl>
      <w:tblPr>
        <w:tblStyle w:val="MediumGrid3-Accent2"/>
        <w:tblW w:w="0" w:type="auto"/>
        <w:tblLook w:val="04A0" w:firstRow="1" w:lastRow="0" w:firstColumn="1" w:lastColumn="0" w:noHBand="0" w:noVBand="1"/>
      </w:tblPr>
      <w:tblGrid>
        <w:gridCol w:w="1679"/>
        <w:gridCol w:w="1722"/>
        <w:gridCol w:w="1798"/>
        <w:gridCol w:w="1507"/>
        <w:gridCol w:w="1817"/>
      </w:tblGrid>
      <w:tr w:rsidR="00987C27" w:rsidRPr="00B74347" w:rsidTr="00F304DE">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679" w:type="dxa"/>
            <w:vAlign w:val="center"/>
          </w:tcPr>
          <w:p w:rsidR="00987C27" w:rsidRPr="00B74347" w:rsidRDefault="00987C27" w:rsidP="00F304DE">
            <w:pPr>
              <w:keepNext/>
              <w:keepLines/>
              <w:jc w:val="center"/>
            </w:pPr>
          </w:p>
        </w:tc>
        <w:tc>
          <w:tcPr>
            <w:tcW w:w="1722" w:type="dxa"/>
            <w:vAlign w:val="center"/>
          </w:tcPr>
          <w:p w:rsidR="00987C27" w:rsidRPr="00B74347" w:rsidRDefault="00987C27" w:rsidP="00F304DE">
            <w:pPr>
              <w:keepNext/>
              <w:keepLines/>
              <w:jc w:val="center"/>
              <w:cnfStyle w:val="100000000000" w:firstRow="1" w:lastRow="0" w:firstColumn="0" w:lastColumn="0" w:oddVBand="0" w:evenVBand="0" w:oddHBand="0" w:evenHBand="0" w:firstRowFirstColumn="0" w:firstRowLastColumn="0" w:lastRowFirstColumn="0" w:lastRowLastColumn="0"/>
            </w:pPr>
            <w:r w:rsidRPr="00B74347">
              <w:t xml:space="preserve">DCA levy </w:t>
            </w:r>
            <w:r w:rsidRPr="00B74347">
              <w:br/>
              <w:t>States’ share</w:t>
            </w:r>
            <w:r w:rsidRPr="00B74347">
              <w:rPr>
                <w:vertAlign w:val="superscript"/>
              </w:rPr>
              <w:t>(1)</w:t>
            </w:r>
            <w:r w:rsidRPr="00B74347">
              <w:br/>
              <w:t>$M</w:t>
            </w:r>
          </w:p>
        </w:tc>
        <w:tc>
          <w:tcPr>
            <w:tcW w:w="1798" w:type="dxa"/>
            <w:vAlign w:val="center"/>
          </w:tcPr>
          <w:p w:rsidR="00987C27" w:rsidRPr="00B74347" w:rsidRDefault="00987C27" w:rsidP="00F304DE">
            <w:pPr>
              <w:keepNext/>
              <w:keepLines/>
              <w:jc w:val="center"/>
              <w:cnfStyle w:val="100000000000" w:firstRow="1" w:lastRow="0" w:firstColumn="0" w:lastColumn="0" w:oddVBand="0" w:evenVBand="0" w:oddHBand="0" w:evenHBand="0" w:firstRowFirstColumn="0" w:firstRowLastColumn="0" w:lastRowFirstColumn="0" w:lastRowLastColumn="0"/>
            </w:pPr>
            <w:r w:rsidRPr="00B74347">
              <w:t>Payments</w:t>
            </w:r>
            <w:r w:rsidRPr="00B74347">
              <w:br/>
              <w:t>to  States</w:t>
            </w:r>
            <w:r w:rsidRPr="00B74347">
              <w:rPr>
                <w:vertAlign w:val="superscript"/>
              </w:rPr>
              <w:t>(2)</w:t>
            </w:r>
            <w:r w:rsidRPr="00B74347">
              <w:rPr>
                <w:vertAlign w:val="superscript"/>
              </w:rPr>
              <w:br/>
            </w:r>
            <w:r w:rsidRPr="00B74347">
              <w:t>$M</w:t>
            </w:r>
          </w:p>
        </w:tc>
        <w:tc>
          <w:tcPr>
            <w:tcW w:w="1507" w:type="dxa"/>
            <w:vAlign w:val="center"/>
          </w:tcPr>
          <w:p w:rsidR="00987C27" w:rsidRPr="00B74347" w:rsidRDefault="00987C27" w:rsidP="00F304DE">
            <w:pPr>
              <w:keepNext/>
              <w:keepLines/>
              <w:jc w:val="center"/>
              <w:cnfStyle w:val="100000000000" w:firstRow="1" w:lastRow="0" w:firstColumn="0" w:lastColumn="0" w:oddVBand="0" w:evenVBand="0" w:oddHBand="0" w:evenHBand="0" w:firstRowFirstColumn="0" w:firstRowLastColumn="0" w:lastRowFirstColumn="0" w:lastRowLastColumn="0"/>
            </w:pPr>
            <w:r w:rsidRPr="00B74347">
              <w:t xml:space="preserve">DCA Fund </w:t>
            </w:r>
            <w:r w:rsidRPr="00B74347">
              <w:br/>
              <w:t>Earnings</w:t>
            </w:r>
            <w:r w:rsidRPr="00B74347">
              <w:rPr>
                <w:vertAlign w:val="superscript"/>
              </w:rPr>
              <w:t>(3)</w:t>
            </w:r>
            <w:r w:rsidRPr="00B74347">
              <w:rPr>
                <w:vertAlign w:val="superscript"/>
              </w:rPr>
              <w:br/>
            </w:r>
            <w:r w:rsidRPr="00B74347">
              <w:t>$M</w:t>
            </w:r>
          </w:p>
        </w:tc>
        <w:tc>
          <w:tcPr>
            <w:tcW w:w="1817" w:type="dxa"/>
            <w:vAlign w:val="center"/>
          </w:tcPr>
          <w:p w:rsidR="00987C27" w:rsidRPr="00B74347" w:rsidRDefault="00987C27" w:rsidP="00F304DE">
            <w:pPr>
              <w:keepNext/>
              <w:keepLines/>
              <w:jc w:val="center"/>
              <w:cnfStyle w:val="100000000000" w:firstRow="1" w:lastRow="0" w:firstColumn="0" w:lastColumn="0" w:oddVBand="0" w:evenVBand="0" w:oddHBand="0" w:evenHBand="0" w:firstRowFirstColumn="0" w:firstRowLastColumn="0" w:lastRowFirstColumn="0" w:lastRowLastColumn="0"/>
            </w:pPr>
            <w:r w:rsidRPr="00B74347">
              <w:t>DCA Fund</w:t>
            </w:r>
            <w:r w:rsidRPr="00B74347">
              <w:rPr>
                <w:color w:val="FF0000"/>
              </w:rPr>
              <w:br/>
            </w:r>
            <w:r w:rsidRPr="00B74347">
              <w:t xml:space="preserve">States’ </w:t>
            </w:r>
            <w:proofErr w:type="spellStart"/>
            <w:r w:rsidRPr="00B74347">
              <w:t>accum</w:t>
            </w:r>
            <w:proofErr w:type="spellEnd"/>
            <w:r w:rsidRPr="00B74347">
              <w:t xml:space="preserve"> balance</w:t>
            </w:r>
            <w:r w:rsidRPr="00B74347">
              <w:rPr>
                <w:vertAlign w:val="superscript"/>
              </w:rPr>
              <w:t>(4)</w:t>
            </w:r>
            <w:r w:rsidRPr="00B74347">
              <w:rPr>
                <w:vertAlign w:val="superscript"/>
              </w:rPr>
              <w:br/>
            </w:r>
            <w:r w:rsidRPr="00B74347">
              <w:t>$M</w:t>
            </w:r>
          </w:p>
        </w:tc>
      </w:tr>
      <w:tr w:rsidR="00987C27"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79" w:type="dxa"/>
            <w:vAlign w:val="center"/>
          </w:tcPr>
          <w:p w:rsidR="00987C27" w:rsidRPr="00B74347" w:rsidRDefault="00987C27" w:rsidP="00F304DE">
            <w:pPr>
              <w:keepNext/>
              <w:keepLines/>
              <w:jc w:val="center"/>
            </w:pPr>
            <w:r w:rsidRPr="00B74347">
              <w:t>2014-15</w:t>
            </w:r>
          </w:p>
        </w:tc>
        <w:tc>
          <w:tcPr>
            <w:tcW w:w="1722"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825</w:t>
            </w:r>
          </w:p>
        </w:tc>
        <w:tc>
          <w:tcPr>
            <w:tcW w:w="1798"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0</w:t>
            </w:r>
          </w:p>
        </w:tc>
        <w:tc>
          <w:tcPr>
            <w:tcW w:w="1507"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21</w:t>
            </w:r>
          </w:p>
        </w:tc>
        <w:tc>
          <w:tcPr>
            <w:tcW w:w="1817"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846</w:t>
            </w:r>
          </w:p>
        </w:tc>
      </w:tr>
      <w:tr w:rsidR="00987C27"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1679" w:type="dxa"/>
            <w:vAlign w:val="center"/>
          </w:tcPr>
          <w:p w:rsidR="00987C27" w:rsidRPr="00B74347" w:rsidRDefault="00987C27" w:rsidP="00F304DE">
            <w:pPr>
              <w:keepNext/>
              <w:keepLines/>
              <w:jc w:val="center"/>
            </w:pPr>
            <w:r w:rsidRPr="00B74347">
              <w:t>2015-16</w:t>
            </w:r>
          </w:p>
        </w:tc>
        <w:tc>
          <w:tcPr>
            <w:tcW w:w="1722"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854</w:t>
            </w:r>
          </w:p>
        </w:tc>
        <w:tc>
          <w:tcPr>
            <w:tcW w:w="1798"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68</w:t>
            </w:r>
          </w:p>
        </w:tc>
        <w:tc>
          <w:tcPr>
            <w:tcW w:w="1507"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62</w:t>
            </w:r>
          </w:p>
        </w:tc>
        <w:tc>
          <w:tcPr>
            <w:tcW w:w="1817"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1,694</w:t>
            </w:r>
          </w:p>
        </w:tc>
      </w:tr>
      <w:tr w:rsidR="00987C27"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79" w:type="dxa"/>
            <w:vAlign w:val="center"/>
          </w:tcPr>
          <w:p w:rsidR="00987C27" w:rsidRPr="00B74347" w:rsidRDefault="00987C27" w:rsidP="00F304DE">
            <w:pPr>
              <w:keepNext/>
              <w:keepLines/>
              <w:jc w:val="center"/>
            </w:pPr>
            <w:r w:rsidRPr="00B74347">
              <w:t>2016-17</w:t>
            </w:r>
          </w:p>
        </w:tc>
        <w:tc>
          <w:tcPr>
            <w:tcW w:w="1722"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884</w:t>
            </w:r>
          </w:p>
        </w:tc>
        <w:tc>
          <w:tcPr>
            <w:tcW w:w="1798"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186</w:t>
            </w:r>
          </w:p>
        </w:tc>
        <w:tc>
          <w:tcPr>
            <w:tcW w:w="1507"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102</w:t>
            </w:r>
          </w:p>
        </w:tc>
        <w:tc>
          <w:tcPr>
            <w:tcW w:w="1817"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2,494</w:t>
            </w:r>
          </w:p>
        </w:tc>
      </w:tr>
      <w:tr w:rsidR="00987C27" w:rsidRPr="00B74347" w:rsidTr="00430692">
        <w:trPr>
          <w:trHeight w:val="567"/>
        </w:trPr>
        <w:tc>
          <w:tcPr>
            <w:cnfStyle w:val="001000000000" w:firstRow="0" w:lastRow="0" w:firstColumn="1" w:lastColumn="0" w:oddVBand="0" w:evenVBand="0" w:oddHBand="0" w:evenHBand="0" w:firstRowFirstColumn="0" w:firstRowLastColumn="0" w:lastRowFirstColumn="0" w:lastRowLastColumn="0"/>
            <w:tcW w:w="1679" w:type="dxa"/>
            <w:vAlign w:val="center"/>
          </w:tcPr>
          <w:p w:rsidR="00987C27" w:rsidRPr="00B74347" w:rsidRDefault="00987C27" w:rsidP="00F304DE">
            <w:pPr>
              <w:keepNext/>
              <w:keepLines/>
              <w:jc w:val="center"/>
            </w:pPr>
            <w:r w:rsidRPr="00B74347">
              <w:t>2017-18</w:t>
            </w:r>
          </w:p>
        </w:tc>
        <w:tc>
          <w:tcPr>
            <w:tcW w:w="1722"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915</w:t>
            </w:r>
          </w:p>
        </w:tc>
        <w:tc>
          <w:tcPr>
            <w:tcW w:w="1798"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321</w:t>
            </w:r>
          </w:p>
        </w:tc>
        <w:tc>
          <w:tcPr>
            <w:tcW w:w="1507"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140</w:t>
            </w:r>
          </w:p>
        </w:tc>
        <w:tc>
          <w:tcPr>
            <w:tcW w:w="1817" w:type="dxa"/>
            <w:vAlign w:val="center"/>
          </w:tcPr>
          <w:p w:rsidR="00987C27" w:rsidRPr="00B74347" w:rsidRDefault="00987C27" w:rsidP="00430692">
            <w:pPr>
              <w:keepNext/>
              <w:keepLines/>
              <w:jc w:val="right"/>
              <w:cnfStyle w:val="000000000000" w:firstRow="0" w:lastRow="0" w:firstColumn="0" w:lastColumn="0" w:oddVBand="0" w:evenVBand="0" w:oddHBand="0" w:evenHBand="0" w:firstRowFirstColumn="0" w:firstRowLastColumn="0" w:lastRowFirstColumn="0" w:lastRowLastColumn="0"/>
            </w:pPr>
            <w:r w:rsidRPr="00B74347">
              <w:t>3,228</w:t>
            </w:r>
          </w:p>
        </w:tc>
      </w:tr>
      <w:tr w:rsidR="00987C27" w:rsidRPr="00B74347" w:rsidTr="004306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79" w:type="dxa"/>
            <w:vAlign w:val="center"/>
          </w:tcPr>
          <w:p w:rsidR="00987C27" w:rsidRPr="00B74347" w:rsidRDefault="00987C27" w:rsidP="00F304DE">
            <w:pPr>
              <w:keepNext/>
              <w:keepLines/>
              <w:jc w:val="center"/>
              <w:rPr>
                <w:color w:val="FF0000"/>
              </w:rPr>
            </w:pPr>
            <w:r w:rsidRPr="00B74347">
              <w:t>2018-19</w:t>
            </w:r>
          </w:p>
        </w:tc>
        <w:tc>
          <w:tcPr>
            <w:tcW w:w="1722"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947</w:t>
            </w:r>
          </w:p>
        </w:tc>
        <w:tc>
          <w:tcPr>
            <w:tcW w:w="1798"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1,813</w:t>
            </w:r>
          </w:p>
        </w:tc>
        <w:tc>
          <w:tcPr>
            <w:tcW w:w="1507"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140</w:t>
            </w:r>
          </w:p>
        </w:tc>
        <w:tc>
          <w:tcPr>
            <w:tcW w:w="1817" w:type="dxa"/>
            <w:vAlign w:val="center"/>
          </w:tcPr>
          <w:p w:rsidR="00987C27" w:rsidRPr="00B74347" w:rsidRDefault="00987C27" w:rsidP="00430692">
            <w:pPr>
              <w:keepNext/>
              <w:keepLines/>
              <w:jc w:val="right"/>
              <w:cnfStyle w:val="000000100000" w:firstRow="0" w:lastRow="0" w:firstColumn="0" w:lastColumn="0" w:oddVBand="0" w:evenVBand="0" w:oddHBand="1" w:evenHBand="0" w:firstRowFirstColumn="0" w:firstRowLastColumn="0" w:lastRowFirstColumn="0" w:lastRowLastColumn="0"/>
            </w:pPr>
            <w:r w:rsidRPr="00B74347">
              <w:t>2,502</w:t>
            </w:r>
          </w:p>
        </w:tc>
      </w:tr>
    </w:tbl>
    <w:p w:rsidR="00247E3B" w:rsidRPr="00B74347" w:rsidRDefault="00247E3B" w:rsidP="00E24F93">
      <w:pPr>
        <w:jc w:val="both"/>
      </w:pPr>
    </w:p>
    <w:p w:rsidR="00C4267C" w:rsidRPr="00B74347" w:rsidRDefault="00C4267C" w:rsidP="00E24F93">
      <w:pPr>
        <w:jc w:val="both"/>
      </w:pPr>
      <w:r w:rsidRPr="00B74347">
        <w:t>Notes:   (1) From Table 3</w:t>
      </w:r>
    </w:p>
    <w:p w:rsidR="00C4267C" w:rsidRPr="00B74347" w:rsidRDefault="00C4267C" w:rsidP="00E24F93">
      <w:pPr>
        <w:ind w:firstLine="720"/>
        <w:jc w:val="both"/>
      </w:pPr>
      <w:r w:rsidRPr="00B74347">
        <w:t xml:space="preserve">(2) 2015-16 </w:t>
      </w:r>
      <w:proofErr w:type="gramStart"/>
      <w:r w:rsidRPr="00B74347">
        <w:t>Budget  Paper</w:t>
      </w:r>
      <w:proofErr w:type="gramEnd"/>
      <w:r w:rsidRPr="00B74347">
        <w:t xml:space="preserve"> No 3, Table 2.7, P 39</w:t>
      </w:r>
    </w:p>
    <w:p w:rsidR="000D5804" w:rsidRPr="00B74347" w:rsidRDefault="00C4267C" w:rsidP="00E24F93">
      <w:pPr>
        <w:ind w:left="720"/>
        <w:jc w:val="both"/>
      </w:pPr>
      <w:r w:rsidRPr="00B74347">
        <w:t xml:space="preserve">(3) </w:t>
      </w:r>
      <w:proofErr w:type="spellStart"/>
      <w:r w:rsidRPr="00B74347">
        <w:t>DisabilityCare</w:t>
      </w:r>
      <w:proofErr w:type="spellEnd"/>
      <w:r w:rsidRPr="00B74347">
        <w:t xml:space="preserve"> Australia Fund earnings assumed at 5% pa; 6 months earnings in year of collection</w:t>
      </w:r>
    </w:p>
    <w:p w:rsidR="00C4267C" w:rsidRPr="00B74347" w:rsidRDefault="00C4267C" w:rsidP="00E24F93">
      <w:pPr>
        <w:ind w:firstLine="720"/>
        <w:jc w:val="both"/>
      </w:pPr>
      <w:r w:rsidRPr="00B74347">
        <w:t>(4) Notional States’ share, but held by Commonwealth</w:t>
      </w:r>
    </w:p>
    <w:p w:rsidR="00C4267C" w:rsidRPr="00B74347" w:rsidRDefault="00C4267C" w:rsidP="00E24F93">
      <w:pPr>
        <w:jc w:val="both"/>
      </w:pPr>
    </w:p>
    <w:p w:rsidR="003E40E5" w:rsidRPr="00B74347" w:rsidRDefault="003E40E5" w:rsidP="00E24F93">
      <w:pPr>
        <w:jc w:val="both"/>
        <w:rPr>
          <w:b/>
          <w:bCs/>
          <w:color w:val="E64626"/>
          <w:sz w:val="26"/>
        </w:rPr>
      </w:pPr>
      <w:r w:rsidRPr="00B74347">
        <w:br w:type="page"/>
      </w:r>
    </w:p>
    <w:p w:rsidR="00C4267C" w:rsidRPr="00B74347" w:rsidRDefault="00C4267C" w:rsidP="00E24F93">
      <w:pPr>
        <w:pStyle w:val="Heading3"/>
        <w:jc w:val="both"/>
      </w:pPr>
      <w:r w:rsidRPr="00B74347">
        <w:lastRenderedPageBreak/>
        <w:t>NDIS related reductions in other appropriations up to 2017-18</w:t>
      </w:r>
    </w:p>
    <w:p w:rsidR="00C4267C" w:rsidRPr="00B74347" w:rsidRDefault="00C4267C" w:rsidP="00E24F93">
      <w:pPr>
        <w:jc w:val="both"/>
      </w:pPr>
    </w:p>
    <w:p w:rsidR="00C4267C" w:rsidRPr="00B74347" w:rsidRDefault="00C4267C" w:rsidP="00E24F93">
      <w:pPr>
        <w:jc w:val="both"/>
      </w:pPr>
      <w:r w:rsidRPr="00B74347">
        <w:t>The Australian Government Actuary’s report (7) lists the following existing Commonwealth appropriations that would be impacted by the NDIS:</w:t>
      </w:r>
    </w:p>
    <w:p w:rsidR="003E40E5" w:rsidRPr="00B74347" w:rsidRDefault="003E40E5" w:rsidP="00E24F93">
      <w:pPr>
        <w:jc w:val="both"/>
      </w:pPr>
    </w:p>
    <w:p w:rsidR="00C4267C" w:rsidRPr="00B74347" w:rsidRDefault="00C4267C" w:rsidP="00E24F93">
      <w:pPr>
        <w:ind w:left="720"/>
        <w:jc w:val="both"/>
      </w:pPr>
      <w:r w:rsidRPr="00B74347">
        <w:t xml:space="preserve">HACC </w:t>
      </w:r>
    </w:p>
    <w:p w:rsidR="00C4267C" w:rsidRPr="00B74347" w:rsidRDefault="00C4267C" w:rsidP="00E24F93">
      <w:pPr>
        <w:ind w:left="720"/>
        <w:jc w:val="both"/>
      </w:pPr>
      <w:r w:rsidRPr="00B74347">
        <w:t>Residential aged care</w:t>
      </w:r>
    </w:p>
    <w:p w:rsidR="00C4267C" w:rsidRPr="00B74347" w:rsidRDefault="00C4267C" w:rsidP="00E24F93">
      <w:pPr>
        <w:ind w:left="720"/>
        <w:jc w:val="both"/>
      </w:pPr>
      <w:r w:rsidRPr="00B74347">
        <w:t>Community aged care</w:t>
      </w:r>
    </w:p>
    <w:p w:rsidR="00C4267C" w:rsidRPr="00B74347" w:rsidRDefault="00C4267C" w:rsidP="00E24F93">
      <w:pPr>
        <w:ind w:left="720"/>
        <w:jc w:val="both"/>
      </w:pPr>
      <w:r w:rsidRPr="00B74347">
        <w:t xml:space="preserve">Autism early intervention </w:t>
      </w:r>
    </w:p>
    <w:p w:rsidR="00C4267C" w:rsidRPr="00B74347" w:rsidRDefault="00C4267C" w:rsidP="00E24F93">
      <w:pPr>
        <w:ind w:left="720"/>
        <w:jc w:val="both"/>
      </w:pPr>
      <w:r w:rsidRPr="00B74347">
        <w:t>Psychiatric disability</w:t>
      </w:r>
    </w:p>
    <w:p w:rsidR="00C4267C" w:rsidRPr="00B74347" w:rsidRDefault="00C4267C" w:rsidP="00E24F93">
      <w:pPr>
        <w:ind w:left="720"/>
        <w:jc w:val="both"/>
      </w:pPr>
      <w:r w:rsidRPr="00B74347">
        <w:t>Australian Disability Enterprises</w:t>
      </w:r>
    </w:p>
    <w:p w:rsidR="00C4267C" w:rsidRPr="00B74347" w:rsidRDefault="00C4267C" w:rsidP="00E24F93">
      <w:pPr>
        <w:jc w:val="both"/>
      </w:pPr>
    </w:p>
    <w:p w:rsidR="00C4267C" w:rsidRPr="00B74347" w:rsidRDefault="00C4267C" w:rsidP="00E24F93">
      <w:pPr>
        <w:jc w:val="both"/>
      </w:pPr>
      <w:r w:rsidRPr="00B74347">
        <w:t xml:space="preserve">The intergovernmental payment arrangements described above cover the first three of these. </w:t>
      </w:r>
    </w:p>
    <w:p w:rsidR="003E40E5" w:rsidRPr="00B74347" w:rsidRDefault="003E40E5" w:rsidP="00E24F93">
      <w:pPr>
        <w:jc w:val="both"/>
      </w:pPr>
    </w:p>
    <w:p w:rsidR="00C4267C" w:rsidRPr="00B74347" w:rsidRDefault="00C4267C" w:rsidP="00E24F93">
      <w:pPr>
        <w:jc w:val="both"/>
      </w:pPr>
      <w:r w:rsidRPr="00B74347">
        <w:t>The others are not readily identifiable in the 2015-16 Budget Papers. The items within the Assistance to People with Disabilities sub-function are different in each of 2013-14, 2014-15 and 2015-16. Table 9.3 in 2013-14 and Table 9.2 in 2014-15 and 2015-16 Budget Paper No 1 are the relevant tables.</w:t>
      </w:r>
    </w:p>
    <w:p w:rsidR="003E40E5" w:rsidRPr="00B74347" w:rsidRDefault="003E40E5" w:rsidP="00E24F93">
      <w:pPr>
        <w:jc w:val="both"/>
      </w:pPr>
    </w:p>
    <w:p w:rsidR="00C4267C" w:rsidRPr="00B74347" w:rsidRDefault="00C4267C" w:rsidP="00E24F93">
      <w:pPr>
        <w:jc w:val="both"/>
      </w:pPr>
      <w:r w:rsidRPr="00B74347">
        <w:t>In 2013-14, the following relevant headings are included:</w:t>
      </w:r>
    </w:p>
    <w:p w:rsidR="00C4267C" w:rsidRPr="00B74347" w:rsidRDefault="00C4267C" w:rsidP="00E24F93">
      <w:pPr>
        <w:pStyle w:val="ListParagraph"/>
        <w:numPr>
          <w:ilvl w:val="0"/>
          <w:numId w:val="13"/>
        </w:numPr>
        <w:jc w:val="both"/>
      </w:pPr>
      <w:r w:rsidRPr="00B74347">
        <w:t>Disability employment services</w:t>
      </w:r>
    </w:p>
    <w:p w:rsidR="00C4267C" w:rsidRPr="00B74347" w:rsidRDefault="00C4267C" w:rsidP="00E24F93">
      <w:pPr>
        <w:pStyle w:val="ListParagraph"/>
        <w:numPr>
          <w:ilvl w:val="0"/>
          <w:numId w:val="13"/>
        </w:numPr>
        <w:jc w:val="both"/>
      </w:pPr>
      <w:r w:rsidRPr="00B74347">
        <w:t xml:space="preserve">Services and support for people with a disability  </w:t>
      </w:r>
    </w:p>
    <w:p w:rsidR="00C4267C" w:rsidRPr="00B74347" w:rsidRDefault="00C4267C" w:rsidP="00E24F93">
      <w:pPr>
        <w:pStyle w:val="ListParagraph"/>
        <w:numPr>
          <w:ilvl w:val="0"/>
          <w:numId w:val="13"/>
        </w:numPr>
        <w:jc w:val="both"/>
      </w:pPr>
      <w:r w:rsidRPr="00B74347">
        <w:t>Other</w:t>
      </w:r>
    </w:p>
    <w:p w:rsidR="003E40E5" w:rsidRPr="00B74347" w:rsidRDefault="003E40E5" w:rsidP="00E24F93">
      <w:pPr>
        <w:jc w:val="both"/>
      </w:pPr>
    </w:p>
    <w:p w:rsidR="00C4267C" w:rsidRPr="00B74347" w:rsidRDefault="00C4267C" w:rsidP="00E24F93">
      <w:pPr>
        <w:jc w:val="both"/>
      </w:pPr>
      <w:r w:rsidRPr="00B74347">
        <w:t>Total estimate for all three items for 2015-16 is $1,720 million.</w:t>
      </w:r>
    </w:p>
    <w:p w:rsidR="003E40E5" w:rsidRPr="00B74347" w:rsidRDefault="003E40E5" w:rsidP="00E24F93">
      <w:pPr>
        <w:jc w:val="both"/>
      </w:pPr>
    </w:p>
    <w:p w:rsidR="00C4267C" w:rsidRPr="00B74347" w:rsidRDefault="00C4267C" w:rsidP="00E24F93">
      <w:pPr>
        <w:jc w:val="both"/>
      </w:pPr>
      <w:r w:rsidRPr="00B74347">
        <w:t xml:space="preserve">In 2014-15, these are changed to </w:t>
      </w:r>
    </w:p>
    <w:p w:rsidR="00C4267C" w:rsidRPr="00B74347" w:rsidRDefault="00C4267C" w:rsidP="00E24F93">
      <w:pPr>
        <w:pStyle w:val="ListParagraph"/>
        <w:numPr>
          <w:ilvl w:val="0"/>
          <w:numId w:val="15"/>
        </w:numPr>
        <w:jc w:val="both"/>
      </w:pPr>
      <w:r w:rsidRPr="00B74347">
        <w:t>Disability and Carers</w:t>
      </w:r>
    </w:p>
    <w:p w:rsidR="00C4267C" w:rsidRPr="00B74347" w:rsidRDefault="00C4267C" w:rsidP="00E24F93">
      <w:pPr>
        <w:pStyle w:val="ListParagraph"/>
        <w:numPr>
          <w:ilvl w:val="0"/>
          <w:numId w:val="15"/>
        </w:numPr>
        <w:jc w:val="both"/>
      </w:pPr>
      <w:r w:rsidRPr="00B74347">
        <w:t>Other</w:t>
      </w:r>
    </w:p>
    <w:p w:rsidR="003E40E5" w:rsidRPr="00B74347" w:rsidRDefault="003E40E5" w:rsidP="00E24F93">
      <w:pPr>
        <w:jc w:val="both"/>
      </w:pPr>
    </w:p>
    <w:p w:rsidR="00C4267C" w:rsidRPr="00B74347" w:rsidRDefault="00C4267C" w:rsidP="00E24F93">
      <w:pPr>
        <w:jc w:val="both"/>
      </w:pPr>
      <w:r w:rsidRPr="00B74347">
        <w:t>Disability and Carers is footnoted as follows: ‘The Services and Suppo</w:t>
      </w:r>
      <w:r w:rsidR="003E40E5" w:rsidRPr="00B74347">
        <w:t xml:space="preserve">rt for People with a Disability </w:t>
      </w:r>
      <w:r w:rsidRPr="00B74347">
        <w:t xml:space="preserve">and Disability Employment Services programmes are now being reported under the Disability and Carers programme’. </w:t>
      </w:r>
    </w:p>
    <w:p w:rsidR="00C4267C" w:rsidRPr="00B74347" w:rsidRDefault="00C4267C" w:rsidP="00E24F93">
      <w:pPr>
        <w:jc w:val="both"/>
      </w:pPr>
    </w:p>
    <w:p w:rsidR="00C4267C" w:rsidRPr="00B74347" w:rsidRDefault="00C4267C" w:rsidP="00E24F93">
      <w:pPr>
        <w:jc w:val="both"/>
      </w:pPr>
      <w:r w:rsidRPr="00B74347">
        <w:t>Total estimate for the two items for 2015-16 is $1,504 million.</w:t>
      </w:r>
    </w:p>
    <w:p w:rsidR="00C4267C" w:rsidRPr="00B74347" w:rsidRDefault="00C4267C" w:rsidP="00E24F93">
      <w:pPr>
        <w:jc w:val="both"/>
      </w:pPr>
    </w:p>
    <w:p w:rsidR="00C4267C" w:rsidRPr="00B74347" w:rsidRDefault="00C4267C" w:rsidP="00E24F93">
      <w:pPr>
        <w:jc w:val="both"/>
      </w:pPr>
      <w:r w:rsidRPr="00B74347">
        <w:t xml:space="preserve">In 2015-16, the only relevant item is </w:t>
      </w:r>
    </w:p>
    <w:p w:rsidR="00C4267C" w:rsidRPr="00B74347" w:rsidRDefault="00C4267C" w:rsidP="00E24F93">
      <w:pPr>
        <w:jc w:val="both"/>
      </w:pPr>
    </w:p>
    <w:p w:rsidR="00C4267C" w:rsidRPr="00B74347" w:rsidRDefault="00C4267C" w:rsidP="00E24F93">
      <w:pPr>
        <w:pStyle w:val="ListParagraph"/>
        <w:numPr>
          <w:ilvl w:val="0"/>
          <w:numId w:val="16"/>
        </w:numPr>
        <w:jc w:val="both"/>
      </w:pPr>
      <w:r w:rsidRPr="00B74347">
        <w:t>Disability and Carers</w:t>
      </w:r>
    </w:p>
    <w:p w:rsidR="00C4267C" w:rsidRPr="00B74347" w:rsidRDefault="00C4267C" w:rsidP="00E24F93">
      <w:pPr>
        <w:jc w:val="both"/>
      </w:pPr>
    </w:p>
    <w:p w:rsidR="00C4267C" w:rsidRPr="00B74347" w:rsidRDefault="00C4267C" w:rsidP="00E24F93">
      <w:pPr>
        <w:jc w:val="both"/>
      </w:pPr>
      <w:r w:rsidRPr="00B74347">
        <w:t>The estimate for this item for 2015-16 is $1,152 million.</w:t>
      </w:r>
    </w:p>
    <w:p w:rsidR="00C4267C" w:rsidRPr="00B74347" w:rsidRDefault="00C4267C" w:rsidP="00E24F93">
      <w:pPr>
        <w:jc w:val="both"/>
      </w:pPr>
    </w:p>
    <w:p w:rsidR="00C4267C" w:rsidRPr="00B74347" w:rsidRDefault="00C4267C" w:rsidP="00E24F93">
      <w:pPr>
        <w:jc w:val="both"/>
      </w:pPr>
      <w:r w:rsidRPr="00B74347">
        <w:t>However, a new item is included in 2015-16</w:t>
      </w:r>
    </w:p>
    <w:p w:rsidR="00C4267C" w:rsidRPr="00B74347" w:rsidRDefault="00C4267C" w:rsidP="00E24F93">
      <w:pPr>
        <w:jc w:val="both"/>
      </w:pPr>
    </w:p>
    <w:p w:rsidR="00C4267C" w:rsidRPr="00B74347" w:rsidRDefault="00C4267C" w:rsidP="00E24F93">
      <w:pPr>
        <w:pStyle w:val="ListParagraph"/>
        <w:numPr>
          <w:ilvl w:val="0"/>
          <w:numId w:val="16"/>
        </w:numPr>
        <w:jc w:val="both"/>
      </w:pPr>
      <w:r w:rsidRPr="00B74347">
        <w:t>National Disability Insurance Scheme Transition Programme</w:t>
      </w:r>
    </w:p>
    <w:p w:rsidR="00C4267C" w:rsidRPr="00B74347" w:rsidRDefault="00C4267C" w:rsidP="00E24F93">
      <w:pPr>
        <w:jc w:val="both"/>
      </w:pPr>
    </w:p>
    <w:p w:rsidR="00C4267C" w:rsidRPr="00B74347" w:rsidRDefault="00C4267C" w:rsidP="00E24F93">
      <w:pPr>
        <w:jc w:val="both"/>
      </w:pPr>
      <w:r w:rsidRPr="00B74347">
        <w:t>The estimate for this item for 2015-16 is $590 million.</w:t>
      </w:r>
    </w:p>
    <w:p w:rsidR="00C4267C" w:rsidRPr="00B74347" w:rsidRDefault="00C4267C" w:rsidP="00E24F93">
      <w:pPr>
        <w:jc w:val="both"/>
      </w:pPr>
    </w:p>
    <w:p w:rsidR="00C4267C" w:rsidRPr="00B74347" w:rsidRDefault="00C4267C" w:rsidP="00E24F93">
      <w:pPr>
        <w:jc w:val="both"/>
      </w:pPr>
      <w:r w:rsidRPr="00B74347">
        <w:t xml:space="preserve">A base figure for appropriations that will be progressively reduced as the NDIS is implemented is therefore not directly available. Given the relative clarity in 2014-15, and the fact that some reduction would be applicable in 2015-16 given the start-up of the NDIS, the 2014-15 </w:t>
      </w:r>
      <w:proofErr w:type="gramStart"/>
      <w:r w:rsidRPr="00B74347">
        <w:t>figure</w:t>
      </w:r>
      <w:proofErr w:type="gramEnd"/>
      <w:r w:rsidRPr="00B74347">
        <w:t xml:space="preserve"> of $1,504 million has been used as a base.</w:t>
      </w:r>
    </w:p>
    <w:p w:rsidR="003E40E5" w:rsidRPr="00B74347" w:rsidRDefault="003E40E5" w:rsidP="00E24F93">
      <w:pPr>
        <w:jc w:val="both"/>
      </w:pPr>
    </w:p>
    <w:p w:rsidR="00C4267C" w:rsidRPr="00B74347" w:rsidRDefault="00C4267C" w:rsidP="00E24F93">
      <w:pPr>
        <w:jc w:val="both"/>
      </w:pPr>
      <w:r w:rsidRPr="00B74347">
        <w:t xml:space="preserve">The roll-out dates vary in NSW and Victoria and a likely pattern in other jurisdictions has been explained above. For NSW, a reduction in appropriation of 30% in 2016-17 and 80% in 2017-18 has been assumed (having regard to the within year timing set out in the Bilateral </w:t>
      </w:r>
      <w:r w:rsidRPr="00B74347">
        <w:lastRenderedPageBreak/>
        <w:t>Agreement). For Victoria, a reduction of 15% in 2016-17, 50% in 2016-17 and 80% in 2018-19 has been assumed.</w:t>
      </w:r>
    </w:p>
    <w:p w:rsidR="003E40E5" w:rsidRPr="00B74347" w:rsidRDefault="003E40E5" w:rsidP="00E24F93">
      <w:pPr>
        <w:jc w:val="both"/>
      </w:pPr>
    </w:p>
    <w:p w:rsidR="00C4267C" w:rsidRPr="00B74347" w:rsidRDefault="00C4267C" w:rsidP="00E24F93">
      <w:pPr>
        <w:jc w:val="both"/>
      </w:pPr>
      <w:r w:rsidRPr="00B74347">
        <w:t>The estimated reductions in Commonwealth appropriations have been estimated by applying the NSW percentage reductions to NSW, SA and ACT (40.8% of Australia), and the Victorian reductions to Victoria and the remaining jurisdictions (59.2% of Australia).</w:t>
      </w:r>
    </w:p>
    <w:p w:rsidR="00E51320" w:rsidRPr="00B74347" w:rsidRDefault="00E51320" w:rsidP="00E24F93">
      <w:pPr>
        <w:jc w:val="both"/>
      </w:pPr>
    </w:p>
    <w:p w:rsidR="00C4267C" w:rsidRPr="00B74347" w:rsidRDefault="00C4267C" w:rsidP="00E24F93">
      <w:pPr>
        <w:jc w:val="both"/>
      </w:pPr>
      <w:r w:rsidRPr="00B74347">
        <w:t>Table 9 shows the estimated reduction in Commonwealth appropriations for the direct provision of services.</w:t>
      </w:r>
    </w:p>
    <w:p w:rsidR="006317AD" w:rsidRPr="00B74347" w:rsidRDefault="006317AD" w:rsidP="00E24F93">
      <w:pPr>
        <w:pStyle w:val="Heading4"/>
        <w:jc w:val="both"/>
      </w:pPr>
    </w:p>
    <w:p w:rsidR="00C4267C" w:rsidRPr="00B74347" w:rsidRDefault="00C4267C" w:rsidP="00E24F93">
      <w:pPr>
        <w:pStyle w:val="Heading4"/>
        <w:jc w:val="both"/>
      </w:pPr>
      <w:r w:rsidRPr="00B74347">
        <w:t>TABLE 9: Reduction in appropriation for direct service provision</w:t>
      </w:r>
      <w:r w:rsidR="008C304A" w:rsidRPr="00B74347">
        <w:t xml:space="preserve"> in 2016-17 and 2017-18</w:t>
      </w:r>
    </w:p>
    <w:p w:rsidR="006317AD" w:rsidRPr="00B74347" w:rsidRDefault="006317AD" w:rsidP="00E24F93">
      <w:pPr>
        <w:jc w:val="both"/>
      </w:pPr>
    </w:p>
    <w:tbl>
      <w:tblPr>
        <w:tblStyle w:val="MediumGrid3-Accent2"/>
        <w:tblW w:w="8996" w:type="dxa"/>
        <w:tblLook w:val="04A0" w:firstRow="1" w:lastRow="0" w:firstColumn="1" w:lastColumn="0" w:noHBand="0" w:noVBand="1"/>
      </w:tblPr>
      <w:tblGrid>
        <w:gridCol w:w="2998"/>
        <w:gridCol w:w="2999"/>
        <w:gridCol w:w="2999"/>
      </w:tblGrid>
      <w:tr w:rsidR="00DD6F88" w:rsidRPr="00B74347" w:rsidTr="00F304DE">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2998" w:type="dxa"/>
            <w:vAlign w:val="center"/>
          </w:tcPr>
          <w:p w:rsidR="00DD6F88" w:rsidRPr="00B74347" w:rsidRDefault="00DD6F88" w:rsidP="00F304DE">
            <w:pPr>
              <w:jc w:val="center"/>
            </w:pPr>
            <w:r w:rsidRPr="00B74347">
              <w:t>Year</w:t>
            </w:r>
          </w:p>
          <w:p w:rsidR="00DD6F88" w:rsidRPr="00B74347" w:rsidRDefault="00DD6F88" w:rsidP="00F304DE">
            <w:pPr>
              <w:jc w:val="center"/>
            </w:pPr>
            <w:r w:rsidRPr="00B74347">
              <w:t>Base year (2014-15)</w:t>
            </w:r>
          </w:p>
        </w:tc>
        <w:tc>
          <w:tcPr>
            <w:tcW w:w="2999" w:type="dxa"/>
            <w:vAlign w:val="center"/>
          </w:tcPr>
          <w:p w:rsidR="00DD6F88" w:rsidRPr="00B74347" w:rsidRDefault="00DD6F88" w:rsidP="00F304DE">
            <w:pPr>
              <w:jc w:val="center"/>
              <w:cnfStyle w:val="100000000000" w:firstRow="1" w:lastRow="0" w:firstColumn="0" w:lastColumn="0" w:oddVBand="0" w:evenVBand="0" w:oddHBand="0" w:evenHBand="0" w:firstRowFirstColumn="0" w:firstRowLastColumn="0" w:lastRowFirstColumn="0" w:lastRowLastColumn="0"/>
            </w:pPr>
            <w:r w:rsidRPr="00B74347">
              <w:t>Reduction factor</w:t>
            </w:r>
          </w:p>
        </w:tc>
        <w:tc>
          <w:tcPr>
            <w:tcW w:w="2999" w:type="dxa"/>
            <w:vAlign w:val="center"/>
          </w:tcPr>
          <w:p w:rsidR="00DD6F88" w:rsidRPr="00B74347" w:rsidRDefault="00DD6F88" w:rsidP="00F304DE">
            <w:pPr>
              <w:jc w:val="center"/>
              <w:cnfStyle w:val="100000000000" w:firstRow="1" w:lastRow="0" w:firstColumn="0" w:lastColumn="0" w:oddVBand="0" w:evenVBand="0" w:oddHBand="0" w:evenHBand="0" w:firstRowFirstColumn="0" w:firstRowLastColumn="0" w:lastRowFirstColumn="0" w:lastRowLastColumn="0"/>
            </w:pPr>
            <w:r w:rsidRPr="00B74347">
              <w:t>Reduction in appropriation</w:t>
            </w:r>
          </w:p>
          <w:p w:rsidR="00DD6F88" w:rsidRPr="00B74347" w:rsidRDefault="00DD6F88" w:rsidP="00F304DE">
            <w:pPr>
              <w:jc w:val="center"/>
              <w:cnfStyle w:val="100000000000" w:firstRow="1" w:lastRow="0" w:firstColumn="0" w:lastColumn="0" w:oddVBand="0" w:evenVBand="0" w:oddHBand="0" w:evenHBand="0" w:firstRowFirstColumn="0" w:firstRowLastColumn="0" w:lastRowFirstColumn="0" w:lastRowLastColumn="0"/>
            </w:pPr>
            <w:r w:rsidRPr="00B74347">
              <w:t>$M</w:t>
            </w:r>
          </w:p>
        </w:tc>
      </w:tr>
      <w:tr w:rsidR="00DD6F88" w:rsidRPr="00B74347" w:rsidTr="0043069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998" w:type="dxa"/>
            <w:vAlign w:val="center"/>
          </w:tcPr>
          <w:p w:rsidR="00DD6F88" w:rsidRPr="00B74347" w:rsidRDefault="00DD6F88" w:rsidP="00F304DE">
            <w:pPr>
              <w:spacing w:line="480" w:lineRule="auto"/>
              <w:jc w:val="center"/>
              <w:rPr>
                <w:b w:val="0"/>
              </w:rPr>
            </w:pPr>
            <w:r w:rsidRPr="00B74347">
              <w:rPr>
                <w:b w:val="0"/>
              </w:rPr>
              <w:t>2016-17</w:t>
            </w:r>
          </w:p>
        </w:tc>
        <w:tc>
          <w:tcPr>
            <w:tcW w:w="2999" w:type="dxa"/>
            <w:vAlign w:val="center"/>
          </w:tcPr>
          <w:p w:rsidR="00DD6F88" w:rsidRPr="00B74347" w:rsidRDefault="00DD6F88" w:rsidP="00430692">
            <w:pPr>
              <w:spacing w:line="480" w:lineRule="auto"/>
              <w:jc w:val="right"/>
              <w:cnfStyle w:val="000000100000" w:firstRow="0" w:lastRow="0" w:firstColumn="0" w:lastColumn="0" w:oddVBand="0" w:evenVBand="0" w:oddHBand="1" w:evenHBand="0" w:firstRowFirstColumn="0" w:firstRowLastColumn="0" w:lastRowFirstColumn="0" w:lastRowLastColumn="0"/>
            </w:pPr>
            <w:r w:rsidRPr="00B74347">
              <w:t>0.3 NSW, 0.15 Vic</w:t>
            </w:r>
          </w:p>
        </w:tc>
        <w:tc>
          <w:tcPr>
            <w:tcW w:w="2999" w:type="dxa"/>
            <w:vAlign w:val="center"/>
          </w:tcPr>
          <w:p w:rsidR="00DD6F88" w:rsidRPr="00B74347" w:rsidRDefault="00DD6F88" w:rsidP="00430692">
            <w:pPr>
              <w:spacing w:line="480" w:lineRule="auto"/>
              <w:jc w:val="right"/>
              <w:cnfStyle w:val="000000100000" w:firstRow="0" w:lastRow="0" w:firstColumn="0" w:lastColumn="0" w:oddVBand="0" w:evenVBand="0" w:oddHBand="1" w:evenHBand="0" w:firstRowFirstColumn="0" w:firstRowLastColumn="0" w:lastRowFirstColumn="0" w:lastRowLastColumn="0"/>
            </w:pPr>
            <w:r w:rsidRPr="00B74347">
              <w:t>318</w:t>
            </w:r>
          </w:p>
        </w:tc>
      </w:tr>
      <w:tr w:rsidR="00DD6F88" w:rsidRPr="00B74347" w:rsidTr="00430692">
        <w:trPr>
          <w:trHeight w:val="561"/>
        </w:trPr>
        <w:tc>
          <w:tcPr>
            <w:cnfStyle w:val="001000000000" w:firstRow="0" w:lastRow="0" w:firstColumn="1" w:lastColumn="0" w:oddVBand="0" w:evenVBand="0" w:oddHBand="0" w:evenHBand="0" w:firstRowFirstColumn="0" w:firstRowLastColumn="0" w:lastRowFirstColumn="0" w:lastRowLastColumn="0"/>
            <w:tcW w:w="2998" w:type="dxa"/>
            <w:vAlign w:val="center"/>
          </w:tcPr>
          <w:p w:rsidR="00DD6F88" w:rsidRPr="00B74347" w:rsidRDefault="00DD6F88" w:rsidP="00F304DE">
            <w:pPr>
              <w:spacing w:line="480" w:lineRule="auto"/>
              <w:jc w:val="center"/>
              <w:rPr>
                <w:b w:val="0"/>
              </w:rPr>
            </w:pPr>
            <w:r w:rsidRPr="00B74347">
              <w:rPr>
                <w:b w:val="0"/>
              </w:rPr>
              <w:t>2017-18</w:t>
            </w:r>
          </w:p>
        </w:tc>
        <w:tc>
          <w:tcPr>
            <w:tcW w:w="2999" w:type="dxa"/>
            <w:vAlign w:val="center"/>
          </w:tcPr>
          <w:p w:rsidR="00DD6F88" w:rsidRPr="00B74347" w:rsidRDefault="00DD6F88" w:rsidP="00430692">
            <w:pPr>
              <w:spacing w:line="480" w:lineRule="auto"/>
              <w:jc w:val="right"/>
              <w:cnfStyle w:val="000000000000" w:firstRow="0" w:lastRow="0" w:firstColumn="0" w:lastColumn="0" w:oddVBand="0" w:evenVBand="0" w:oddHBand="0" w:evenHBand="0" w:firstRowFirstColumn="0" w:firstRowLastColumn="0" w:lastRowFirstColumn="0" w:lastRowLastColumn="0"/>
            </w:pPr>
            <w:r w:rsidRPr="00B74347">
              <w:t>0.8 NSW, 0.5 Vic</w:t>
            </w:r>
          </w:p>
        </w:tc>
        <w:tc>
          <w:tcPr>
            <w:tcW w:w="2999" w:type="dxa"/>
            <w:vAlign w:val="center"/>
          </w:tcPr>
          <w:p w:rsidR="00DD6F88" w:rsidRPr="00B74347" w:rsidRDefault="00DD6F88" w:rsidP="00430692">
            <w:pPr>
              <w:spacing w:line="480" w:lineRule="auto"/>
              <w:jc w:val="right"/>
              <w:cnfStyle w:val="000000000000" w:firstRow="0" w:lastRow="0" w:firstColumn="0" w:lastColumn="0" w:oddVBand="0" w:evenVBand="0" w:oddHBand="0" w:evenHBand="0" w:firstRowFirstColumn="0" w:firstRowLastColumn="0" w:lastRowFirstColumn="0" w:lastRowLastColumn="0"/>
            </w:pPr>
            <w:r w:rsidRPr="00B74347">
              <w:t>936</w:t>
            </w:r>
          </w:p>
        </w:tc>
      </w:tr>
    </w:tbl>
    <w:p w:rsidR="006E1FC1" w:rsidRPr="00B74347" w:rsidRDefault="006E1FC1" w:rsidP="00E24F93">
      <w:pPr>
        <w:jc w:val="both"/>
      </w:pPr>
    </w:p>
    <w:p w:rsidR="00C4267C" w:rsidRPr="00B74347" w:rsidRDefault="00C4267C" w:rsidP="00E24F93">
      <w:pPr>
        <w:jc w:val="both"/>
      </w:pPr>
    </w:p>
    <w:p w:rsidR="00C4267C" w:rsidRPr="00B74347" w:rsidRDefault="00C4267C" w:rsidP="00E24F93">
      <w:pPr>
        <w:jc w:val="both"/>
      </w:pPr>
      <w:r w:rsidRPr="00B74347">
        <w:t>These savings to the Commonwealth are available to offset the appropriation required for the NDIS in 2016-17 and 2017-18. However, as shown in Table 7, there is no net requirement on the Commonwealth in those years. Budget neutrality would therefore suggest that the appropriation reductions be held in reserve to meet Commonwealth expenses in future years. As there has been no Commonwealth Government announcement that this will be the case, no carry forward assumption has been made.</w:t>
      </w:r>
    </w:p>
    <w:p w:rsidR="00C4267C" w:rsidRPr="00B74347" w:rsidRDefault="00C4267C" w:rsidP="00E24F93">
      <w:pPr>
        <w:pStyle w:val="Heading2"/>
        <w:jc w:val="both"/>
      </w:pPr>
    </w:p>
    <w:p w:rsidR="00956B6B" w:rsidRPr="00B74347" w:rsidRDefault="00956B6B" w:rsidP="00E24F93">
      <w:pPr>
        <w:jc w:val="both"/>
        <w:rPr>
          <w:bCs/>
          <w:sz w:val="40"/>
          <w:szCs w:val="26"/>
        </w:rPr>
      </w:pPr>
      <w:r w:rsidRPr="00B74347">
        <w:br w:type="page"/>
      </w:r>
    </w:p>
    <w:p w:rsidR="00C4267C" w:rsidRPr="00B74347" w:rsidRDefault="00C4267C" w:rsidP="00E24F93">
      <w:pPr>
        <w:pStyle w:val="Heading2"/>
        <w:jc w:val="both"/>
      </w:pPr>
      <w:r w:rsidRPr="00B74347">
        <w:lastRenderedPageBreak/>
        <w:t>RESULTS: 2018-19</w:t>
      </w:r>
    </w:p>
    <w:p w:rsidR="00C4267C" w:rsidRPr="00B74347" w:rsidRDefault="00C4267C" w:rsidP="00E24F93">
      <w:pPr>
        <w:pStyle w:val="Heading3"/>
        <w:jc w:val="both"/>
      </w:pPr>
      <w:r w:rsidRPr="00B74347">
        <w:t>Appropriation for the NDIS</w:t>
      </w:r>
    </w:p>
    <w:p w:rsidR="00C4267C" w:rsidRPr="00B74347" w:rsidRDefault="00C4267C" w:rsidP="00E24F93">
      <w:pPr>
        <w:jc w:val="both"/>
      </w:pPr>
    </w:p>
    <w:p w:rsidR="00C4267C" w:rsidRPr="00B74347" w:rsidRDefault="00C4267C" w:rsidP="00E24F93">
      <w:pPr>
        <w:jc w:val="both"/>
      </w:pPr>
      <w:r w:rsidRPr="00B74347">
        <w:t xml:space="preserve">Using the 2015 Budget Forward Estimates, Table 2A shows that the Commonwealth share of total NDIS expenses is estimated to be $9,889 million. </w:t>
      </w:r>
    </w:p>
    <w:p w:rsidR="006317AD" w:rsidRPr="00B74347" w:rsidRDefault="006317AD" w:rsidP="00E24F93">
      <w:pPr>
        <w:jc w:val="both"/>
      </w:pPr>
    </w:p>
    <w:p w:rsidR="00C4267C" w:rsidRPr="00B74347" w:rsidRDefault="00C4267C" w:rsidP="00E24F93">
      <w:pPr>
        <w:pStyle w:val="Heading3"/>
        <w:jc w:val="both"/>
      </w:pPr>
      <w:r w:rsidRPr="00B74347">
        <w:t>DCA levy</w:t>
      </w:r>
    </w:p>
    <w:p w:rsidR="00C4267C" w:rsidRPr="00B74347" w:rsidRDefault="00C4267C" w:rsidP="00E24F93">
      <w:pPr>
        <w:jc w:val="both"/>
      </w:pPr>
    </w:p>
    <w:p w:rsidR="00C4267C" w:rsidRPr="00B74347" w:rsidRDefault="00C4267C" w:rsidP="00E24F93">
      <w:pPr>
        <w:jc w:val="both"/>
      </w:pPr>
      <w:r w:rsidRPr="00B74347">
        <w:t>The Commonwealth will have available its share of the DCA levy in 2018-19 ($3,328 million, Table 3),the accumulated balance of its share of the DCA Fund at the beginning of 2018-19 ($5,414 million, Table 7) and DCA Fund earnings in 2018-19.</w:t>
      </w:r>
    </w:p>
    <w:p w:rsidR="006317AD" w:rsidRPr="00B74347" w:rsidRDefault="006317AD" w:rsidP="00E24F93">
      <w:pPr>
        <w:jc w:val="both"/>
      </w:pPr>
    </w:p>
    <w:p w:rsidR="00C4267C" w:rsidRPr="00B74347" w:rsidRDefault="00C4267C" w:rsidP="00E24F93">
      <w:pPr>
        <w:pStyle w:val="Heading3"/>
        <w:jc w:val="both"/>
      </w:pPr>
      <w:r w:rsidRPr="00B74347">
        <w:t xml:space="preserve">Intergovernmental payments </w:t>
      </w:r>
    </w:p>
    <w:p w:rsidR="00C4267C" w:rsidRPr="00B74347" w:rsidRDefault="00C4267C" w:rsidP="00E24F93">
      <w:pPr>
        <w:jc w:val="both"/>
      </w:pPr>
    </w:p>
    <w:p w:rsidR="00C4267C" w:rsidRPr="00B74347" w:rsidRDefault="00C4267C" w:rsidP="00E24F93">
      <w:pPr>
        <w:jc w:val="both"/>
      </w:pPr>
      <w:r w:rsidRPr="00B74347">
        <w:t>The two Bilateral Agreements so far in place have different provisions for 2018-19. The NSW Agreement provides for the existing intergovernmental adjustments to cease at the end of 2017-18, by which time transfer of people currently supported by NSW disability services is to be completed (NSW Bilateral Agreement, Schedule B, para 18). A reduction in appropriation to NSW will apply in 2018-19 (see next section).</w:t>
      </w:r>
    </w:p>
    <w:p w:rsidR="00956B6B" w:rsidRPr="00B74347" w:rsidRDefault="00956B6B" w:rsidP="00E24F93">
      <w:pPr>
        <w:jc w:val="both"/>
      </w:pPr>
    </w:p>
    <w:p w:rsidR="00C4267C" w:rsidRPr="00B74347" w:rsidRDefault="00C4267C" w:rsidP="00E24F93">
      <w:pPr>
        <w:jc w:val="both"/>
      </w:pPr>
      <w:r w:rsidRPr="00B74347">
        <w:t xml:space="preserve">The Victorian Agreement provides for intergovernmental adjustments in 2018-19, ceasing at the end of that year (when transfer of people currently supported by Victorian disability services is to be completed, Victorian Bilateral Agreement, Schedule B, para 20). </w:t>
      </w:r>
    </w:p>
    <w:p w:rsidR="00956B6B" w:rsidRPr="00B74347" w:rsidRDefault="00956B6B" w:rsidP="00E24F93">
      <w:pPr>
        <w:jc w:val="both"/>
      </w:pPr>
    </w:p>
    <w:p w:rsidR="00C4267C" w:rsidRPr="00B74347" w:rsidRDefault="00C4267C" w:rsidP="00E24F93">
      <w:pPr>
        <w:jc w:val="both"/>
      </w:pPr>
      <w:r w:rsidRPr="00B74347">
        <w:t xml:space="preserve">The Victorian intergovernmental payment in 2018-19 is specified as $378.0 million (Table 4). </w:t>
      </w:r>
    </w:p>
    <w:p w:rsidR="00956B6B" w:rsidRPr="00B74347" w:rsidRDefault="00956B6B" w:rsidP="00E24F93">
      <w:pPr>
        <w:jc w:val="both"/>
      </w:pPr>
    </w:p>
    <w:p w:rsidR="00C4267C" w:rsidRPr="00B74347" w:rsidRDefault="00C4267C" w:rsidP="00E24F93">
      <w:pPr>
        <w:jc w:val="both"/>
      </w:pPr>
      <w:r w:rsidRPr="00B74347">
        <w:t xml:space="preserve">As discussed earlier, the Victorian population represents 25% of Australia and the other jurisdictions assumed to also be included in rollout in 2018-19 (Queensland, WA, Tasmania and NT) represent 34.2% of Australia (6).  Based on the same per capita figure applying in these jurisdictions as in Victoria, intergovernmental payments in those jurisdictions would be $517 million, giving an Australian total of $895 million. </w:t>
      </w:r>
    </w:p>
    <w:p w:rsidR="006317AD" w:rsidRPr="00B74347" w:rsidRDefault="006317AD" w:rsidP="00E24F93">
      <w:pPr>
        <w:jc w:val="both"/>
      </w:pPr>
    </w:p>
    <w:p w:rsidR="00C4267C" w:rsidRPr="00B74347" w:rsidRDefault="00C4267C" w:rsidP="00E24F93">
      <w:pPr>
        <w:pStyle w:val="Heading3"/>
        <w:jc w:val="both"/>
      </w:pPr>
      <w:r w:rsidRPr="00B74347">
        <w:t>NDIS related reductions in other appropriations</w:t>
      </w:r>
    </w:p>
    <w:p w:rsidR="00C4267C" w:rsidRPr="00B74347" w:rsidRDefault="00C4267C" w:rsidP="00E24F93">
      <w:pPr>
        <w:jc w:val="both"/>
      </w:pPr>
    </w:p>
    <w:p w:rsidR="00C4267C" w:rsidRPr="00B74347" w:rsidRDefault="00C4267C" w:rsidP="00E24F93">
      <w:pPr>
        <w:jc w:val="both"/>
      </w:pPr>
      <w:r w:rsidRPr="00B74347">
        <w:t>The NSW Bilateral Agreement provides for the existing intergovernmental adjustments to cease at the end of 2017-18, by which time transfer of people currently supported by NSW disability services is to be completed (NSW Bilateral Agreement, Schedule B, para 18). It is assumed that this will also be the case for SA and ACT.</w:t>
      </w:r>
    </w:p>
    <w:p w:rsidR="006317AD" w:rsidRPr="00B74347" w:rsidRDefault="006317AD" w:rsidP="00E24F93">
      <w:pPr>
        <w:jc w:val="both"/>
      </w:pPr>
    </w:p>
    <w:p w:rsidR="00C4267C" w:rsidRPr="00B74347" w:rsidRDefault="00C4267C" w:rsidP="00E24F93">
      <w:pPr>
        <w:jc w:val="both"/>
      </w:pPr>
      <w:r w:rsidRPr="00B74347">
        <w:t xml:space="preserve">When intergovernmental payments cease, it is assumed that the principle of budget neutrality will apply. In other words, the appropriation reduction in payments to the States will equal the intergovernmental payments which would have applied. In 2017-18, the intergovernmental payment is NSW is specified as $499.2 million (Table 4). Based on the 80% roll-out assumption for NSW in 2017-18 set out above (see Table 9), this amount will increase in 2018-19, due to the full year effect of NDIS entrants in 2017-18, to an estimated $624 million. Adding SA and the ACT (assuming pro rata arrangements across the three jurisdictions) gives a total reduction in </w:t>
      </w:r>
      <w:r w:rsidR="000E52C9" w:rsidRPr="00B74347">
        <w:t>payments</w:t>
      </w:r>
      <w:r w:rsidRPr="00B74347">
        <w:t xml:space="preserve"> to the three jurisdictions of $796 million.</w:t>
      </w:r>
    </w:p>
    <w:p w:rsidR="006317AD" w:rsidRPr="00B74347" w:rsidRDefault="006317AD" w:rsidP="00E24F93">
      <w:pPr>
        <w:jc w:val="both"/>
      </w:pPr>
    </w:p>
    <w:p w:rsidR="000E52C9" w:rsidRPr="00B74347" w:rsidRDefault="00C4267C" w:rsidP="00E24F93">
      <w:pPr>
        <w:jc w:val="both"/>
      </w:pPr>
      <w:r w:rsidRPr="00B74347">
        <w:lastRenderedPageBreak/>
        <w:t xml:space="preserve">The reduction in Commonwealth appropriations </w:t>
      </w:r>
      <w:r w:rsidR="000E52C9" w:rsidRPr="00B74347">
        <w:t xml:space="preserve">for direct service provision </w:t>
      </w:r>
      <w:r w:rsidRPr="00B74347">
        <w:t xml:space="preserve">in earlier years has been estimated above (Table 9). Rollout will be complete in NSW (and assumed also in SA and ACT) but some appropriation will remain as rollout will not be complete in Victoria and several other jurisdictions; as discussed above, 80% complete rollout is assumed in those jurisdictions in 2018-19. </w:t>
      </w:r>
      <w:r w:rsidR="000E52C9" w:rsidRPr="00B74347">
        <w:t xml:space="preserve">Table 10 shows the estimated </w:t>
      </w:r>
      <w:r w:rsidRPr="00B74347">
        <w:t>reduction in Commonwealth appropriations</w:t>
      </w:r>
      <w:r w:rsidR="008C304A" w:rsidRPr="00B74347">
        <w:t xml:space="preserve"> for direct service provision</w:t>
      </w:r>
      <w:r w:rsidR="000E52C9" w:rsidRPr="00B74347">
        <w:t>.</w:t>
      </w:r>
    </w:p>
    <w:p w:rsidR="000E52C9" w:rsidRPr="00B74347" w:rsidRDefault="000E52C9" w:rsidP="00E24F93">
      <w:pPr>
        <w:jc w:val="both"/>
      </w:pPr>
    </w:p>
    <w:p w:rsidR="008C304A" w:rsidRPr="00B74347" w:rsidRDefault="008C304A" w:rsidP="008C304A">
      <w:pPr>
        <w:pStyle w:val="Heading4"/>
        <w:jc w:val="both"/>
      </w:pPr>
      <w:r w:rsidRPr="00B74347">
        <w:t>TABLE 10: Reduction in appropriation for direct service provision in 2018-19</w:t>
      </w:r>
    </w:p>
    <w:p w:rsidR="008C304A" w:rsidRPr="00B74347" w:rsidRDefault="008C304A" w:rsidP="008C304A">
      <w:pPr>
        <w:jc w:val="both"/>
      </w:pPr>
    </w:p>
    <w:tbl>
      <w:tblPr>
        <w:tblStyle w:val="MediumGrid3-Accent2"/>
        <w:tblW w:w="8996" w:type="dxa"/>
        <w:tblLook w:val="04A0" w:firstRow="1" w:lastRow="0" w:firstColumn="1" w:lastColumn="0" w:noHBand="0" w:noVBand="1"/>
      </w:tblPr>
      <w:tblGrid>
        <w:gridCol w:w="2998"/>
        <w:gridCol w:w="2999"/>
        <w:gridCol w:w="2999"/>
      </w:tblGrid>
      <w:tr w:rsidR="008C304A" w:rsidRPr="00B74347" w:rsidTr="00F304DE">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2998" w:type="dxa"/>
            <w:vAlign w:val="center"/>
          </w:tcPr>
          <w:p w:rsidR="008C304A" w:rsidRPr="00B74347" w:rsidRDefault="008C304A" w:rsidP="00F304DE">
            <w:pPr>
              <w:jc w:val="center"/>
            </w:pPr>
            <w:r w:rsidRPr="00B74347">
              <w:t>Year</w:t>
            </w:r>
          </w:p>
          <w:p w:rsidR="008C304A" w:rsidRPr="00B74347" w:rsidRDefault="008C304A" w:rsidP="00F304DE">
            <w:pPr>
              <w:jc w:val="center"/>
            </w:pPr>
            <w:r w:rsidRPr="00B74347">
              <w:t>Base year (2014-15)</w:t>
            </w:r>
          </w:p>
        </w:tc>
        <w:tc>
          <w:tcPr>
            <w:tcW w:w="2999" w:type="dxa"/>
            <w:vAlign w:val="center"/>
          </w:tcPr>
          <w:p w:rsidR="008C304A" w:rsidRPr="00B74347" w:rsidRDefault="008C304A" w:rsidP="00F304DE">
            <w:pPr>
              <w:jc w:val="center"/>
              <w:cnfStyle w:val="100000000000" w:firstRow="1" w:lastRow="0" w:firstColumn="0" w:lastColumn="0" w:oddVBand="0" w:evenVBand="0" w:oddHBand="0" w:evenHBand="0" w:firstRowFirstColumn="0" w:firstRowLastColumn="0" w:lastRowFirstColumn="0" w:lastRowLastColumn="0"/>
            </w:pPr>
            <w:r w:rsidRPr="00B74347">
              <w:t>Reduction factor</w:t>
            </w:r>
          </w:p>
        </w:tc>
        <w:tc>
          <w:tcPr>
            <w:tcW w:w="2999" w:type="dxa"/>
            <w:vAlign w:val="center"/>
          </w:tcPr>
          <w:p w:rsidR="008C304A" w:rsidRPr="00B74347" w:rsidRDefault="008C304A" w:rsidP="00F304DE">
            <w:pPr>
              <w:jc w:val="center"/>
              <w:cnfStyle w:val="100000000000" w:firstRow="1" w:lastRow="0" w:firstColumn="0" w:lastColumn="0" w:oddVBand="0" w:evenVBand="0" w:oddHBand="0" w:evenHBand="0" w:firstRowFirstColumn="0" w:firstRowLastColumn="0" w:lastRowFirstColumn="0" w:lastRowLastColumn="0"/>
            </w:pPr>
            <w:r w:rsidRPr="00B74347">
              <w:t>Reduction in appropriation</w:t>
            </w:r>
          </w:p>
          <w:p w:rsidR="008C304A" w:rsidRPr="00B74347" w:rsidRDefault="008C304A" w:rsidP="00F304DE">
            <w:pPr>
              <w:jc w:val="center"/>
              <w:cnfStyle w:val="100000000000" w:firstRow="1" w:lastRow="0" w:firstColumn="0" w:lastColumn="0" w:oddVBand="0" w:evenVBand="0" w:oddHBand="0" w:evenHBand="0" w:firstRowFirstColumn="0" w:firstRowLastColumn="0" w:lastRowFirstColumn="0" w:lastRowLastColumn="0"/>
            </w:pPr>
            <w:r w:rsidRPr="00B74347">
              <w:t>$M</w:t>
            </w:r>
          </w:p>
        </w:tc>
      </w:tr>
      <w:tr w:rsidR="008C304A" w:rsidRPr="00B74347" w:rsidTr="0043069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998" w:type="dxa"/>
            <w:vAlign w:val="bottom"/>
          </w:tcPr>
          <w:p w:rsidR="008C304A" w:rsidRPr="00B74347" w:rsidRDefault="008C304A" w:rsidP="00F304DE">
            <w:pPr>
              <w:spacing w:line="480" w:lineRule="auto"/>
              <w:jc w:val="center"/>
              <w:rPr>
                <w:b w:val="0"/>
              </w:rPr>
            </w:pPr>
            <w:r w:rsidRPr="00B74347">
              <w:rPr>
                <w:b w:val="0"/>
              </w:rPr>
              <w:t>2018-19</w:t>
            </w:r>
          </w:p>
        </w:tc>
        <w:tc>
          <w:tcPr>
            <w:tcW w:w="2999" w:type="dxa"/>
            <w:vAlign w:val="bottom"/>
          </w:tcPr>
          <w:p w:rsidR="008C304A" w:rsidRPr="00B74347" w:rsidRDefault="008C304A" w:rsidP="00430692">
            <w:pPr>
              <w:spacing w:line="480" w:lineRule="auto"/>
              <w:jc w:val="right"/>
              <w:cnfStyle w:val="000000100000" w:firstRow="0" w:lastRow="0" w:firstColumn="0" w:lastColumn="0" w:oddVBand="0" w:evenVBand="0" w:oddHBand="1" w:evenHBand="0" w:firstRowFirstColumn="0" w:firstRowLastColumn="0" w:lastRowFirstColumn="0" w:lastRowLastColumn="0"/>
            </w:pPr>
            <w:r w:rsidRPr="00B74347">
              <w:t>1.0 NSW, 0.8 Vic</w:t>
            </w:r>
          </w:p>
        </w:tc>
        <w:tc>
          <w:tcPr>
            <w:tcW w:w="2999" w:type="dxa"/>
            <w:vAlign w:val="bottom"/>
          </w:tcPr>
          <w:p w:rsidR="008C304A" w:rsidRPr="00B74347" w:rsidRDefault="008C304A" w:rsidP="00430692">
            <w:pPr>
              <w:spacing w:line="480" w:lineRule="auto"/>
              <w:jc w:val="right"/>
              <w:cnfStyle w:val="000000100000" w:firstRow="0" w:lastRow="0" w:firstColumn="0" w:lastColumn="0" w:oddVBand="0" w:evenVBand="0" w:oddHBand="1" w:evenHBand="0" w:firstRowFirstColumn="0" w:firstRowLastColumn="0" w:lastRowFirstColumn="0" w:lastRowLastColumn="0"/>
            </w:pPr>
            <w:r w:rsidRPr="00B74347">
              <w:t>1,326</w:t>
            </w:r>
          </w:p>
        </w:tc>
      </w:tr>
    </w:tbl>
    <w:p w:rsidR="008C304A" w:rsidRPr="00B74347" w:rsidRDefault="008C304A" w:rsidP="008C304A">
      <w:pPr>
        <w:jc w:val="both"/>
      </w:pPr>
    </w:p>
    <w:p w:rsidR="008C304A" w:rsidRPr="00B74347" w:rsidRDefault="008C304A" w:rsidP="00E24F93">
      <w:pPr>
        <w:jc w:val="both"/>
      </w:pPr>
    </w:p>
    <w:p w:rsidR="008C304A" w:rsidRPr="00B74347" w:rsidRDefault="008C304A" w:rsidP="00E24F93">
      <w:pPr>
        <w:jc w:val="both"/>
      </w:pPr>
    </w:p>
    <w:p w:rsidR="00C4267C" w:rsidRPr="00B74347" w:rsidRDefault="00C4267C" w:rsidP="00E24F93">
      <w:pPr>
        <w:jc w:val="both"/>
      </w:pPr>
      <w:r w:rsidRPr="00B74347">
        <w:t>Adding the two sources of appropriation reductions gives a total reduction of $2,122 million.</w:t>
      </w:r>
    </w:p>
    <w:p w:rsidR="00C4267C" w:rsidRPr="00B74347" w:rsidRDefault="00C4267C" w:rsidP="00E24F93">
      <w:pPr>
        <w:jc w:val="both"/>
      </w:pPr>
    </w:p>
    <w:p w:rsidR="00846F09" w:rsidRPr="00B74347" w:rsidRDefault="00846F09" w:rsidP="00E24F93">
      <w:pPr>
        <w:pStyle w:val="Heading3"/>
        <w:jc w:val="both"/>
      </w:pPr>
      <w:r w:rsidRPr="00B74347">
        <w:br w:type="page"/>
      </w:r>
    </w:p>
    <w:p w:rsidR="00C4267C" w:rsidRPr="00B74347" w:rsidRDefault="00C4267C" w:rsidP="00E24F93">
      <w:pPr>
        <w:pStyle w:val="Heading3"/>
        <w:jc w:val="both"/>
      </w:pPr>
      <w:r w:rsidRPr="00B74347">
        <w:lastRenderedPageBreak/>
        <w:t>2018-19 Summary</w:t>
      </w:r>
    </w:p>
    <w:p w:rsidR="00C4267C" w:rsidRPr="00B74347" w:rsidRDefault="00C4267C" w:rsidP="00E24F93">
      <w:pPr>
        <w:jc w:val="both"/>
      </w:pPr>
    </w:p>
    <w:p w:rsidR="00C4267C" w:rsidRPr="00B74347" w:rsidRDefault="00C4267C" w:rsidP="00E24F93">
      <w:pPr>
        <w:jc w:val="both"/>
      </w:pPr>
      <w:r w:rsidRPr="00B74347">
        <w:t>Table 1</w:t>
      </w:r>
      <w:r w:rsidR="00846F09" w:rsidRPr="00B74347">
        <w:t>1</w:t>
      </w:r>
      <w:r w:rsidRPr="00B74347">
        <w:t xml:space="preserve"> brings together all the estimates for 2018-19.</w:t>
      </w:r>
    </w:p>
    <w:p w:rsidR="00C4267C" w:rsidRPr="00B74347" w:rsidRDefault="00C4267C" w:rsidP="00E24F93">
      <w:pPr>
        <w:pStyle w:val="Heading4"/>
        <w:jc w:val="both"/>
      </w:pPr>
      <w:r w:rsidRPr="00B74347">
        <w:t>TABLE 1</w:t>
      </w:r>
      <w:r w:rsidR="00846F09" w:rsidRPr="00B74347">
        <w:t>1</w:t>
      </w:r>
      <w:r w:rsidRPr="00B74347">
        <w:t>:   Commonwealth Financial Position, 2018-19</w:t>
      </w:r>
    </w:p>
    <w:p w:rsidR="00956B6B" w:rsidRPr="00B74347" w:rsidRDefault="00956B6B" w:rsidP="00E24F93">
      <w:pPr>
        <w:jc w:val="both"/>
      </w:pPr>
    </w:p>
    <w:tbl>
      <w:tblPr>
        <w:tblStyle w:val="MediumShading1-Accent2"/>
        <w:tblW w:w="7905" w:type="dxa"/>
        <w:tblLook w:val="04A0" w:firstRow="1" w:lastRow="0" w:firstColumn="1" w:lastColumn="0" w:noHBand="0" w:noVBand="1"/>
      </w:tblPr>
      <w:tblGrid>
        <w:gridCol w:w="5353"/>
        <w:gridCol w:w="2552"/>
      </w:tblGrid>
      <w:tr w:rsidR="00956B6B" w:rsidRPr="00B74347" w:rsidTr="00430692">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353" w:type="dxa"/>
            <w:vAlign w:val="center"/>
          </w:tcPr>
          <w:p w:rsidR="00956B6B" w:rsidRPr="00B74347" w:rsidRDefault="00956B6B" w:rsidP="00F304DE">
            <w:pPr>
              <w:keepNext/>
              <w:keepLines/>
              <w:rPr>
                <w:rFonts w:cstheme="minorHAnsi"/>
                <w:b w:val="0"/>
                <w:szCs w:val="22"/>
              </w:rPr>
            </w:pPr>
          </w:p>
        </w:tc>
        <w:tc>
          <w:tcPr>
            <w:tcW w:w="2552" w:type="dxa"/>
            <w:vAlign w:val="center"/>
          </w:tcPr>
          <w:p w:rsidR="00956B6B" w:rsidRPr="00B74347" w:rsidRDefault="00956B6B" w:rsidP="00F304DE">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B74347">
              <w:rPr>
                <w:rFonts w:cstheme="minorHAnsi"/>
                <w:szCs w:val="22"/>
              </w:rPr>
              <w:t>$M</w:t>
            </w:r>
          </w:p>
        </w:tc>
      </w:tr>
      <w:tr w:rsidR="00956B6B" w:rsidRPr="00B74347" w:rsidTr="0043069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center"/>
          </w:tcPr>
          <w:p w:rsidR="00956B6B" w:rsidRPr="00B74347" w:rsidRDefault="00956B6B" w:rsidP="00F304DE">
            <w:pPr>
              <w:keepNext/>
              <w:keepLines/>
              <w:rPr>
                <w:rFonts w:cstheme="minorHAnsi"/>
                <w:b w:val="0"/>
                <w:szCs w:val="22"/>
              </w:rPr>
            </w:pPr>
            <w:r w:rsidRPr="00B74347">
              <w:rPr>
                <w:rFonts w:cstheme="minorHAnsi"/>
                <w:b w:val="0"/>
                <w:szCs w:val="22"/>
              </w:rPr>
              <w:t>Estimated Commonwealth expenses</w:t>
            </w:r>
          </w:p>
        </w:tc>
        <w:tc>
          <w:tcPr>
            <w:tcW w:w="2552" w:type="dxa"/>
            <w:vAlign w:val="center"/>
          </w:tcPr>
          <w:p w:rsidR="00956B6B" w:rsidRPr="00B74347" w:rsidRDefault="00956B6B" w:rsidP="00430692">
            <w:pPr>
              <w:keepNext/>
              <w:keepLine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74347">
              <w:rPr>
                <w:rFonts w:cstheme="minorHAnsi"/>
                <w:szCs w:val="22"/>
              </w:rPr>
              <w:t>9,889</w:t>
            </w:r>
          </w:p>
        </w:tc>
      </w:tr>
      <w:tr w:rsidR="00956B6B" w:rsidRPr="00B74347" w:rsidTr="00430692">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center"/>
          </w:tcPr>
          <w:p w:rsidR="00956B6B" w:rsidRPr="00B74347" w:rsidRDefault="00956B6B" w:rsidP="00F304DE">
            <w:pPr>
              <w:keepNext/>
              <w:keepLines/>
              <w:rPr>
                <w:rFonts w:cstheme="minorHAnsi"/>
                <w:b w:val="0"/>
                <w:szCs w:val="22"/>
              </w:rPr>
            </w:pPr>
            <w:r w:rsidRPr="00B74347">
              <w:rPr>
                <w:rFonts w:cstheme="minorHAnsi"/>
                <w:b w:val="0"/>
                <w:i/>
                <w:szCs w:val="22"/>
              </w:rPr>
              <w:t>less</w:t>
            </w:r>
            <w:r w:rsidRPr="00B74347">
              <w:rPr>
                <w:rFonts w:cstheme="minorHAnsi"/>
                <w:b w:val="0"/>
                <w:szCs w:val="22"/>
              </w:rPr>
              <w:t xml:space="preserve"> Intergovernmental payments</w:t>
            </w:r>
          </w:p>
        </w:tc>
        <w:tc>
          <w:tcPr>
            <w:tcW w:w="2552" w:type="dxa"/>
            <w:vAlign w:val="center"/>
          </w:tcPr>
          <w:p w:rsidR="00956B6B" w:rsidRPr="00B74347" w:rsidRDefault="00956B6B" w:rsidP="00430692">
            <w:pPr>
              <w:keepNext/>
              <w:keepLines/>
              <w:jc w:val="right"/>
              <w:cnfStyle w:val="000000010000" w:firstRow="0" w:lastRow="0" w:firstColumn="0" w:lastColumn="0" w:oddVBand="0" w:evenVBand="0" w:oddHBand="0" w:evenHBand="1" w:firstRowFirstColumn="0" w:firstRowLastColumn="0" w:lastRowFirstColumn="0" w:lastRowLastColumn="0"/>
              <w:rPr>
                <w:rFonts w:cstheme="minorHAnsi"/>
                <w:szCs w:val="22"/>
              </w:rPr>
            </w:pPr>
            <w:r w:rsidRPr="00B74347">
              <w:rPr>
                <w:rFonts w:cstheme="minorHAnsi"/>
                <w:szCs w:val="22"/>
              </w:rPr>
              <w:t>895</w:t>
            </w:r>
          </w:p>
        </w:tc>
      </w:tr>
      <w:tr w:rsidR="00956B6B" w:rsidRPr="00B74347" w:rsidTr="0043069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center"/>
          </w:tcPr>
          <w:p w:rsidR="00956B6B" w:rsidRPr="00B74347" w:rsidRDefault="0061057D" w:rsidP="00F304DE">
            <w:pPr>
              <w:keepNext/>
              <w:keepLines/>
              <w:rPr>
                <w:rFonts w:cstheme="minorHAnsi"/>
                <w:b w:val="0"/>
                <w:szCs w:val="22"/>
              </w:rPr>
            </w:pPr>
            <w:r w:rsidRPr="00B74347">
              <w:rPr>
                <w:rFonts w:cstheme="minorHAnsi"/>
                <w:b w:val="0"/>
                <w:szCs w:val="22"/>
              </w:rPr>
              <w:t xml:space="preserve">       </w:t>
            </w:r>
            <w:r w:rsidR="00956B6B" w:rsidRPr="00B74347">
              <w:rPr>
                <w:rFonts w:cstheme="minorHAnsi"/>
                <w:b w:val="0"/>
                <w:szCs w:val="22"/>
              </w:rPr>
              <w:t>Reductions in other appropriations</w:t>
            </w:r>
          </w:p>
        </w:tc>
        <w:tc>
          <w:tcPr>
            <w:tcW w:w="2552" w:type="dxa"/>
            <w:vAlign w:val="center"/>
          </w:tcPr>
          <w:p w:rsidR="00956B6B" w:rsidRPr="00B74347" w:rsidRDefault="00956B6B" w:rsidP="00430692">
            <w:pPr>
              <w:keepNext/>
              <w:keepLine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74347">
              <w:rPr>
                <w:rFonts w:cstheme="minorHAnsi"/>
                <w:szCs w:val="22"/>
              </w:rPr>
              <w:t>2,122</w:t>
            </w:r>
          </w:p>
        </w:tc>
      </w:tr>
      <w:tr w:rsidR="00956B6B" w:rsidRPr="00B74347" w:rsidTr="00430692">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center"/>
          </w:tcPr>
          <w:p w:rsidR="00956B6B" w:rsidRPr="00B74347" w:rsidRDefault="00956B6B" w:rsidP="00F304DE">
            <w:pPr>
              <w:keepNext/>
              <w:keepLines/>
              <w:rPr>
                <w:rFonts w:cstheme="minorHAnsi"/>
                <w:szCs w:val="22"/>
              </w:rPr>
            </w:pPr>
            <w:r w:rsidRPr="00B74347">
              <w:rPr>
                <w:rFonts w:cstheme="minorHAnsi"/>
                <w:szCs w:val="22"/>
              </w:rPr>
              <w:t>Net Commonwealth expenses</w:t>
            </w:r>
          </w:p>
        </w:tc>
        <w:tc>
          <w:tcPr>
            <w:tcW w:w="2552" w:type="dxa"/>
            <w:vAlign w:val="center"/>
          </w:tcPr>
          <w:p w:rsidR="00956B6B" w:rsidRPr="00B74347" w:rsidRDefault="00956B6B" w:rsidP="00430692">
            <w:pPr>
              <w:keepNext/>
              <w:keepLines/>
              <w:jc w:val="right"/>
              <w:cnfStyle w:val="000000010000" w:firstRow="0" w:lastRow="0" w:firstColumn="0" w:lastColumn="0" w:oddVBand="0" w:evenVBand="0" w:oddHBand="0" w:evenHBand="1" w:firstRowFirstColumn="0" w:firstRowLastColumn="0" w:lastRowFirstColumn="0" w:lastRowLastColumn="0"/>
              <w:rPr>
                <w:rFonts w:cstheme="minorHAnsi"/>
                <w:b/>
                <w:szCs w:val="22"/>
              </w:rPr>
            </w:pPr>
            <w:r w:rsidRPr="00B74347">
              <w:rPr>
                <w:rFonts w:cstheme="minorHAnsi"/>
                <w:b/>
                <w:szCs w:val="22"/>
              </w:rPr>
              <w:t>6,872</w:t>
            </w:r>
          </w:p>
        </w:tc>
      </w:tr>
      <w:tr w:rsidR="00956B6B" w:rsidRPr="00B74347" w:rsidTr="0043069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center"/>
          </w:tcPr>
          <w:p w:rsidR="00956B6B" w:rsidRPr="00B74347" w:rsidRDefault="00956B6B" w:rsidP="00F304DE">
            <w:pPr>
              <w:keepNext/>
              <w:keepLines/>
              <w:rPr>
                <w:rFonts w:cstheme="minorHAnsi"/>
                <w:b w:val="0"/>
                <w:i/>
                <w:szCs w:val="22"/>
              </w:rPr>
            </w:pPr>
            <w:r w:rsidRPr="00B74347">
              <w:rPr>
                <w:rFonts w:cstheme="minorHAnsi"/>
                <w:b w:val="0"/>
                <w:i/>
                <w:szCs w:val="22"/>
              </w:rPr>
              <w:t>financed by</w:t>
            </w:r>
          </w:p>
        </w:tc>
        <w:tc>
          <w:tcPr>
            <w:tcW w:w="2552" w:type="dxa"/>
            <w:vAlign w:val="center"/>
          </w:tcPr>
          <w:p w:rsidR="00956B6B" w:rsidRPr="00B74347" w:rsidRDefault="00956B6B" w:rsidP="00430692">
            <w:pPr>
              <w:keepNext/>
              <w:keepLines/>
              <w:jc w:val="right"/>
              <w:cnfStyle w:val="000000100000" w:firstRow="0" w:lastRow="0" w:firstColumn="0" w:lastColumn="0" w:oddVBand="0" w:evenVBand="0" w:oddHBand="1" w:evenHBand="0" w:firstRowFirstColumn="0" w:firstRowLastColumn="0" w:lastRowFirstColumn="0" w:lastRowLastColumn="0"/>
              <w:rPr>
                <w:rFonts w:cstheme="minorHAnsi"/>
                <w:szCs w:val="22"/>
              </w:rPr>
            </w:pPr>
          </w:p>
        </w:tc>
      </w:tr>
      <w:tr w:rsidR="00956B6B" w:rsidRPr="00B74347" w:rsidTr="00430692">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center"/>
          </w:tcPr>
          <w:p w:rsidR="00956B6B" w:rsidRPr="00B74347" w:rsidRDefault="00956B6B" w:rsidP="00F304DE">
            <w:pPr>
              <w:keepNext/>
              <w:keepLines/>
              <w:rPr>
                <w:rFonts w:cstheme="minorHAnsi"/>
                <w:b w:val="0"/>
                <w:szCs w:val="22"/>
              </w:rPr>
            </w:pPr>
            <w:r w:rsidRPr="00B74347">
              <w:rPr>
                <w:rFonts w:cstheme="minorHAnsi"/>
                <w:b w:val="0"/>
                <w:szCs w:val="22"/>
              </w:rPr>
              <w:t>DCA levy income 2018-19</w:t>
            </w:r>
          </w:p>
        </w:tc>
        <w:tc>
          <w:tcPr>
            <w:tcW w:w="2552" w:type="dxa"/>
            <w:vAlign w:val="center"/>
          </w:tcPr>
          <w:p w:rsidR="00956B6B" w:rsidRPr="00B74347" w:rsidRDefault="00956B6B" w:rsidP="00430692">
            <w:pPr>
              <w:keepNext/>
              <w:keepLines/>
              <w:jc w:val="right"/>
              <w:cnfStyle w:val="000000010000" w:firstRow="0" w:lastRow="0" w:firstColumn="0" w:lastColumn="0" w:oddVBand="0" w:evenVBand="0" w:oddHBand="0" w:evenHBand="1" w:firstRowFirstColumn="0" w:firstRowLastColumn="0" w:lastRowFirstColumn="0" w:lastRowLastColumn="0"/>
              <w:rPr>
                <w:rFonts w:cstheme="minorHAnsi"/>
                <w:sz w:val="24"/>
                <w:szCs w:val="22"/>
              </w:rPr>
            </w:pPr>
            <w:r w:rsidRPr="00B74347">
              <w:rPr>
                <w:rFonts w:cstheme="minorHAnsi"/>
                <w:szCs w:val="22"/>
              </w:rPr>
              <w:t>3,328</w:t>
            </w:r>
          </w:p>
        </w:tc>
      </w:tr>
      <w:tr w:rsidR="00956B6B" w:rsidRPr="00B74347" w:rsidTr="0043069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center"/>
          </w:tcPr>
          <w:p w:rsidR="00956B6B" w:rsidRPr="00B74347" w:rsidRDefault="00956B6B" w:rsidP="00F304DE">
            <w:pPr>
              <w:keepNext/>
              <w:keepLines/>
              <w:rPr>
                <w:rFonts w:cstheme="minorHAnsi"/>
                <w:b w:val="0"/>
                <w:szCs w:val="22"/>
              </w:rPr>
            </w:pPr>
            <w:r w:rsidRPr="00B74347">
              <w:rPr>
                <w:rFonts w:cstheme="minorHAnsi"/>
                <w:b w:val="0"/>
                <w:szCs w:val="22"/>
              </w:rPr>
              <w:t>DCA Fund earnings (Commonwealth share)</w:t>
            </w:r>
            <w:r w:rsidRPr="00B74347">
              <w:rPr>
                <w:rFonts w:cstheme="minorHAnsi"/>
                <w:b w:val="0"/>
                <w:szCs w:val="22"/>
                <w:vertAlign w:val="superscript"/>
              </w:rPr>
              <w:t>(1)</w:t>
            </w:r>
          </w:p>
        </w:tc>
        <w:tc>
          <w:tcPr>
            <w:tcW w:w="2552" w:type="dxa"/>
            <w:vAlign w:val="center"/>
          </w:tcPr>
          <w:p w:rsidR="00956B6B" w:rsidRPr="00B74347" w:rsidRDefault="00956B6B" w:rsidP="00430692">
            <w:pPr>
              <w:keepNext/>
              <w:keepLine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74347">
              <w:rPr>
                <w:rFonts w:cstheme="minorHAnsi"/>
                <w:szCs w:val="22"/>
              </w:rPr>
              <w:t>180</w:t>
            </w:r>
          </w:p>
        </w:tc>
      </w:tr>
      <w:tr w:rsidR="00956B6B" w:rsidRPr="00B74347" w:rsidTr="00430692">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center"/>
          </w:tcPr>
          <w:p w:rsidR="00956B6B" w:rsidRPr="00B74347" w:rsidRDefault="00956B6B" w:rsidP="00F304DE">
            <w:pPr>
              <w:keepNext/>
              <w:keepLines/>
              <w:rPr>
                <w:rFonts w:cstheme="minorHAnsi"/>
                <w:b w:val="0"/>
                <w:szCs w:val="22"/>
              </w:rPr>
            </w:pPr>
            <w:r w:rsidRPr="00B74347">
              <w:rPr>
                <w:rFonts w:cstheme="minorHAnsi"/>
                <w:b w:val="0"/>
                <w:szCs w:val="22"/>
              </w:rPr>
              <w:t>Reduction in DCA Fund Commonwealth share</w:t>
            </w:r>
          </w:p>
        </w:tc>
        <w:tc>
          <w:tcPr>
            <w:tcW w:w="2552" w:type="dxa"/>
            <w:vAlign w:val="center"/>
          </w:tcPr>
          <w:p w:rsidR="00956B6B" w:rsidRPr="00B74347" w:rsidRDefault="00956B6B" w:rsidP="00430692">
            <w:pPr>
              <w:keepNext/>
              <w:keepLines/>
              <w:jc w:val="right"/>
              <w:cnfStyle w:val="000000010000" w:firstRow="0" w:lastRow="0" w:firstColumn="0" w:lastColumn="0" w:oddVBand="0" w:evenVBand="0" w:oddHBand="0" w:evenHBand="1" w:firstRowFirstColumn="0" w:firstRowLastColumn="0" w:lastRowFirstColumn="0" w:lastRowLastColumn="0"/>
              <w:rPr>
                <w:rFonts w:cstheme="minorHAnsi"/>
                <w:szCs w:val="22"/>
              </w:rPr>
            </w:pPr>
            <w:r w:rsidRPr="00B74347">
              <w:rPr>
                <w:rFonts w:cstheme="minorHAnsi"/>
                <w:szCs w:val="22"/>
              </w:rPr>
              <w:t>3,364</w:t>
            </w:r>
          </w:p>
        </w:tc>
      </w:tr>
      <w:tr w:rsidR="00956B6B" w:rsidRPr="00B74347" w:rsidTr="0043069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center"/>
          </w:tcPr>
          <w:p w:rsidR="00956B6B" w:rsidRPr="00B74347" w:rsidRDefault="00956B6B" w:rsidP="00F304DE">
            <w:pPr>
              <w:keepNext/>
              <w:keepLines/>
              <w:rPr>
                <w:rFonts w:cstheme="minorHAnsi"/>
                <w:b w:val="0"/>
                <w:szCs w:val="22"/>
              </w:rPr>
            </w:pPr>
            <w:r w:rsidRPr="00B74347">
              <w:rPr>
                <w:rFonts w:cstheme="minorHAnsi"/>
                <w:b w:val="0"/>
                <w:szCs w:val="22"/>
              </w:rPr>
              <w:t>Sub-total</w:t>
            </w:r>
          </w:p>
        </w:tc>
        <w:tc>
          <w:tcPr>
            <w:tcW w:w="2552" w:type="dxa"/>
            <w:vAlign w:val="center"/>
          </w:tcPr>
          <w:p w:rsidR="00956B6B" w:rsidRPr="00B74347" w:rsidRDefault="00956B6B" w:rsidP="00430692">
            <w:pPr>
              <w:keepNext/>
              <w:keepLine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74347">
              <w:rPr>
                <w:rFonts w:cstheme="minorHAnsi"/>
                <w:szCs w:val="22"/>
              </w:rPr>
              <w:t>6,872</w:t>
            </w:r>
          </w:p>
        </w:tc>
      </w:tr>
      <w:tr w:rsidR="00956B6B" w:rsidRPr="00B74347" w:rsidTr="00430692">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center"/>
          </w:tcPr>
          <w:p w:rsidR="00956B6B" w:rsidRPr="00B74347" w:rsidRDefault="00956B6B" w:rsidP="00F304DE">
            <w:pPr>
              <w:keepNext/>
              <w:keepLines/>
              <w:rPr>
                <w:rFonts w:cstheme="minorHAnsi"/>
                <w:szCs w:val="22"/>
              </w:rPr>
            </w:pPr>
            <w:r w:rsidRPr="00B74347">
              <w:rPr>
                <w:rFonts w:cstheme="minorHAnsi"/>
                <w:szCs w:val="22"/>
              </w:rPr>
              <w:t>DCA Fund Commonwealth share, end 2018-19</w:t>
            </w:r>
          </w:p>
        </w:tc>
        <w:tc>
          <w:tcPr>
            <w:tcW w:w="2552" w:type="dxa"/>
            <w:vAlign w:val="center"/>
          </w:tcPr>
          <w:p w:rsidR="00956B6B" w:rsidRPr="00B74347" w:rsidRDefault="00956B6B" w:rsidP="00430692">
            <w:pPr>
              <w:keepNext/>
              <w:keepLines/>
              <w:jc w:val="right"/>
              <w:cnfStyle w:val="000000010000" w:firstRow="0" w:lastRow="0" w:firstColumn="0" w:lastColumn="0" w:oddVBand="0" w:evenVBand="0" w:oddHBand="0" w:evenHBand="1" w:firstRowFirstColumn="0" w:firstRowLastColumn="0" w:lastRowFirstColumn="0" w:lastRowLastColumn="0"/>
              <w:rPr>
                <w:rFonts w:cstheme="minorHAnsi"/>
                <w:b/>
                <w:szCs w:val="22"/>
                <w:vertAlign w:val="superscript"/>
              </w:rPr>
            </w:pPr>
            <w:r w:rsidRPr="00B74347">
              <w:rPr>
                <w:rFonts w:cstheme="minorHAnsi"/>
                <w:b/>
                <w:szCs w:val="22"/>
              </w:rPr>
              <w:t>2,050</w:t>
            </w:r>
            <w:r w:rsidRPr="00B74347">
              <w:rPr>
                <w:rFonts w:cstheme="minorHAnsi"/>
                <w:b/>
                <w:szCs w:val="22"/>
                <w:vertAlign w:val="superscript"/>
              </w:rPr>
              <w:t>(2)</w:t>
            </w:r>
          </w:p>
        </w:tc>
      </w:tr>
    </w:tbl>
    <w:p w:rsidR="00956B6B" w:rsidRPr="00B74347" w:rsidRDefault="00956B6B" w:rsidP="00E24F93">
      <w:pPr>
        <w:jc w:val="both"/>
      </w:pPr>
    </w:p>
    <w:p w:rsidR="00C4267C" w:rsidRPr="00B74347" w:rsidRDefault="00C4267C" w:rsidP="00E24F93">
      <w:pPr>
        <w:jc w:val="both"/>
      </w:pPr>
    </w:p>
    <w:p w:rsidR="00C4267C" w:rsidRPr="00B74347" w:rsidRDefault="00C4267C" w:rsidP="00E24F93">
      <w:pPr>
        <w:ind w:left="720" w:hanging="720"/>
        <w:jc w:val="both"/>
      </w:pPr>
      <w:r w:rsidRPr="00B74347">
        <w:t xml:space="preserve">Note: </w:t>
      </w:r>
      <w:r w:rsidR="00E24F93" w:rsidRPr="00B74347">
        <w:tab/>
      </w:r>
      <w:r w:rsidRPr="00B74347">
        <w:t>(1) Assumes full year income on DCA Fund surplus at beginning of 2018-19 less 6 months earnings on net Commonwealth expenses minus levy income</w:t>
      </w:r>
    </w:p>
    <w:p w:rsidR="00C4267C" w:rsidRPr="00B74347" w:rsidRDefault="00C4267C" w:rsidP="00E24F93">
      <w:pPr>
        <w:ind w:firstLine="720"/>
        <w:jc w:val="both"/>
      </w:pPr>
      <w:r w:rsidRPr="00B74347">
        <w:t>(2) Balance at beginning of year (Table 7) minus reduction during 2018-19</w:t>
      </w:r>
    </w:p>
    <w:p w:rsidR="00C4267C" w:rsidRPr="00B74347" w:rsidRDefault="00C4267C" w:rsidP="00E24F93">
      <w:pPr>
        <w:jc w:val="both"/>
      </w:pPr>
    </w:p>
    <w:p w:rsidR="00E24F93" w:rsidRPr="00B74347" w:rsidRDefault="00E24F93" w:rsidP="00E24F93">
      <w:pPr>
        <w:jc w:val="both"/>
        <w:rPr>
          <w:bCs/>
          <w:sz w:val="40"/>
          <w:szCs w:val="26"/>
        </w:rPr>
      </w:pPr>
      <w:r w:rsidRPr="00B74347">
        <w:br w:type="page"/>
      </w:r>
    </w:p>
    <w:p w:rsidR="00C4267C" w:rsidRPr="00B74347" w:rsidRDefault="00C4267C" w:rsidP="00E24F93">
      <w:pPr>
        <w:pStyle w:val="Heading2"/>
        <w:jc w:val="both"/>
      </w:pPr>
      <w:r w:rsidRPr="00B74347">
        <w:lastRenderedPageBreak/>
        <w:t>RESULTS: 2019-20</w:t>
      </w:r>
    </w:p>
    <w:p w:rsidR="00C4267C" w:rsidRPr="00B74347" w:rsidRDefault="00C4267C" w:rsidP="00E24F93">
      <w:pPr>
        <w:jc w:val="both"/>
      </w:pPr>
      <w:r w:rsidRPr="00B74347">
        <w:t>2019-20 is beyond the 2015 Budget Forward estimates four year period. But the general position of the Commonwealth can be broadly described.</w:t>
      </w:r>
    </w:p>
    <w:p w:rsidR="003C294A" w:rsidRPr="00B74347" w:rsidRDefault="003C294A" w:rsidP="00E24F93">
      <w:pPr>
        <w:jc w:val="both"/>
      </w:pPr>
    </w:p>
    <w:p w:rsidR="00C4267C" w:rsidRPr="00B74347" w:rsidRDefault="00C4267C" w:rsidP="00E24F93">
      <w:pPr>
        <w:jc w:val="both"/>
      </w:pPr>
      <w:r w:rsidRPr="00B74347">
        <w:t>First, the DCA Fund Commonwealth share will have an estimated balance of $2,</w:t>
      </w:r>
      <w:r w:rsidR="003C294A" w:rsidRPr="00B74347">
        <w:t>0</w:t>
      </w:r>
      <w:r w:rsidRPr="00B74347">
        <w:t>5</w:t>
      </w:r>
      <w:r w:rsidR="003C294A" w:rsidRPr="00B74347">
        <w:t>0</w:t>
      </w:r>
      <w:r w:rsidRPr="00B74347">
        <w:t xml:space="preserve"> million at the beginning of 2019-20.</w:t>
      </w:r>
    </w:p>
    <w:p w:rsidR="006317AD" w:rsidRPr="00B74347" w:rsidRDefault="006317AD" w:rsidP="00E24F93">
      <w:pPr>
        <w:jc w:val="both"/>
      </w:pPr>
    </w:p>
    <w:p w:rsidR="00C4267C" w:rsidRPr="00B74347" w:rsidRDefault="00C4267C" w:rsidP="00E24F93">
      <w:pPr>
        <w:jc w:val="both"/>
      </w:pPr>
      <w:r w:rsidRPr="00B74347">
        <w:t xml:space="preserve">Fully rolled out, the NDIS has been frequently described as a $22 billion project (8). Further it is a shared Commonwealth / State initiative, giving an estimated Commonwealth requirement of $11 billion. </w:t>
      </w:r>
    </w:p>
    <w:p w:rsidR="006317AD" w:rsidRPr="00B74347" w:rsidRDefault="006317AD" w:rsidP="00E24F93">
      <w:pPr>
        <w:jc w:val="both"/>
      </w:pPr>
    </w:p>
    <w:p w:rsidR="00C4267C" w:rsidRPr="00B74347" w:rsidRDefault="00C4267C" w:rsidP="00E24F93">
      <w:pPr>
        <w:jc w:val="both"/>
      </w:pPr>
      <w:r w:rsidRPr="00B74347">
        <w:t>The fully rolled out cost has not been formally updated. Most recently, the Treasurer commented on the cost to the Commonwealth of the NDIS (9), but he did not update the estimates of total NDIS expenses.</w:t>
      </w:r>
    </w:p>
    <w:p w:rsidR="006317AD" w:rsidRPr="00B74347" w:rsidRDefault="006317AD" w:rsidP="00E24F93">
      <w:pPr>
        <w:jc w:val="both"/>
      </w:pPr>
    </w:p>
    <w:p w:rsidR="00C4267C" w:rsidRPr="00B74347" w:rsidRDefault="00C4267C" w:rsidP="00E24F93">
      <w:pPr>
        <w:jc w:val="both"/>
      </w:pPr>
      <w:r w:rsidRPr="00B74347">
        <w:t xml:space="preserve">The Commonwealth will have two sources of income: its share of the DCA levy and reductions in other appropriations (intergovernmental payments are assumed to be fully replaced by appropriation reduction in 2019-20). </w:t>
      </w:r>
    </w:p>
    <w:p w:rsidR="006317AD" w:rsidRPr="00B74347" w:rsidRDefault="006317AD" w:rsidP="00E24F93">
      <w:pPr>
        <w:jc w:val="both"/>
      </w:pPr>
    </w:p>
    <w:p w:rsidR="00C4267C" w:rsidRPr="00B74347" w:rsidRDefault="00C4267C" w:rsidP="00E24F93">
      <w:pPr>
        <w:pStyle w:val="Heading3"/>
        <w:jc w:val="both"/>
      </w:pPr>
      <w:r w:rsidRPr="00B74347">
        <w:t>DCA levy</w:t>
      </w:r>
    </w:p>
    <w:p w:rsidR="00E24F93" w:rsidRPr="00B74347" w:rsidRDefault="00E24F93" w:rsidP="00E24F93"/>
    <w:p w:rsidR="00C4267C" w:rsidRPr="00B74347" w:rsidRDefault="00C4267C" w:rsidP="00E24F93">
      <w:pPr>
        <w:jc w:val="both"/>
      </w:pPr>
      <w:r w:rsidRPr="00B74347">
        <w:t xml:space="preserve">Table 3 shows that the Commonwealth </w:t>
      </w:r>
      <w:proofErr w:type="gramStart"/>
      <w:r w:rsidRPr="00B74347">
        <w:t>share</w:t>
      </w:r>
      <w:proofErr w:type="gramEnd"/>
      <w:r w:rsidRPr="00B74347">
        <w:t xml:space="preserve"> of the DCA levy is projected to increase by 5.4% between 2017-18 and 2018-19. The same growth is assumed from 2018-19 to 2019-20. This gives a Commonwealth DCA levy share of $3,508 million.</w:t>
      </w:r>
    </w:p>
    <w:p w:rsidR="006317AD" w:rsidRPr="00B74347" w:rsidRDefault="006317AD" w:rsidP="00E24F93">
      <w:pPr>
        <w:jc w:val="both"/>
      </w:pPr>
    </w:p>
    <w:p w:rsidR="00C4267C" w:rsidRPr="00B74347" w:rsidRDefault="00C4267C" w:rsidP="00E24F93">
      <w:pPr>
        <w:pStyle w:val="Heading3"/>
        <w:jc w:val="both"/>
      </w:pPr>
      <w:r w:rsidRPr="00B74347">
        <w:t>Other appropriation reductions</w:t>
      </w:r>
    </w:p>
    <w:p w:rsidR="006317AD" w:rsidRPr="00B74347" w:rsidRDefault="006317AD" w:rsidP="00E24F93">
      <w:pPr>
        <w:jc w:val="both"/>
      </w:pPr>
    </w:p>
    <w:p w:rsidR="00C4267C" w:rsidRPr="00B74347" w:rsidRDefault="00C4267C" w:rsidP="00E24F93">
      <w:pPr>
        <w:jc w:val="both"/>
      </w:pPr>
      <w:r w:rsidRPr="00B74347">
        <w:t>The reduction in appropriations in 2018-19 to NSW, SA</w:t>
      </w:r>
      <w:r w:rsidR="003C294A" w:rsidRPr="00B74347">
        <w:t xml:space="preserve"> and</w:t>
      </w:r>
      <w:r w:rsidRPr="00B74347">
        <w:t xml:space="preserve"> ACT of $796 million will apply again in 2019-20. </w:t>
      </w:r>
    </w:p>
    <w:p w:rsidR="006317AD" w:rsidRPr="00B74347" w:rsidRDefault="006317AD" w:rsidP="00E24F93">
      <w:pPr>
        <w:jc w:val="both"/>
      </w:pPr>
    </w:p>
    <w:p w:rsidR="00C4267C" w:rsidRPr="00B74347" w:rsidRDefault="00C4267C" w:rsidP="00E24F93">
      <w:pPr>
        <w:jc w:val="both"/>
      </w:pPr>
      <w:r w:rsidRPr="00B74347">
        <w:t xml:space="preserve">The full year impact of the NDIS will apply in 2019-20 in all the remaining jurisdictions. In 2018-19, as set out above, an 80% reduction in client support funded under the previous Commonwealth/ State arrangements is estimated for Victoria, Queensland, WA, Tasmania and NT. Intergovernmental payments in these jurisdictions in 2018-19 were estimated above to be $895 million. Therefore it is estimated that the reduction in appropriation to these five jurisdictions in 2019-20 will be $1,119 million. </w:t>
      </w:r>
    </w:p>
    <w:p w:rsidR="006317AD" w:rsidRPr="00B74347" w:rsidRDefault="006317AD" w:rsidP="00E24F93">
      <w:pPr>
        <w:jc w:val="both"/>
      </w:pPr>
    </w:p>
    <w:p w:rsidR="00C4267C" w:rsidRPr="00B74347" w:rsidRDefault="00C4267C" w:rsidP="00E24F93">
      <w:pPr>
        <w:jc w:val="both"/>
      </w:pPr>
      <w:r w:rsidRPr="00B74347">
        <w:t>The result is an estimated total reduction in appropriations to the States and Territories of $1,915 million.</w:t>
      </w:r>
    </w:p>
    <w:p w:rsidR="006317AD" w:rsidRPr="00B74347" w:rsidRDefault="006317AD" w:rsidP="00E24F93">
      <w:pPr>
        <w:jc w:val="both"/>
      </w:pPr>
    </w:p>
    <w:p w:rsidR="00C4267C" w:rsidRPr="00B74347" w:rsidRDefault="00C4267C" w:rsidP="00E24F93">
      <w:pPr>
        <w:jc w:val="both"/>
      </w:pPr>
      <w:r w:rsidRPr="00B74347">
        <w:t>The appropriation for direct Commonwealth programs will cease once the NDIS is rolled out, so the base figure of $1,504 million will not be appropriated.</w:t>
      </w:r>
    </w:p>
    <w:p w:rsidR="006317AD" w:rsidRPr="00B74347" w:rsidRDefault="006317AD" w:rsidP="00E24F93">
      <w:pPr>
        <w:jc w:val="both"/>
      </w:pPr>
    </w:p>
    <w:p w:rsidR="00C4267C" w:rsidRPr="00B74347" w:rsidRDefault="00C4267C" w:rsidP="00E24F93">
      <w:pPr>
        <w:jc w:val="both"/>
      </w:pPr>
      <w:r w:rsidRPr="00B74347">
        <w:t>Therefore the total reduction in other Commonwealth appropriations to the States and Territories, and for its own programs, is estimated to total $3,419 million.</w:t>
      </w:r>
    </w:p>
    <w:p w:rsidR="00C4267C" w:rsidRPr="00B74347" w:rsidRDefault="00C4267C" w:rsidP="00E24F93">
      <w:pPr>
        <w:pStyle w:val="Heading4"/>
        <w:jc w:val="both"/>
        <w:rPr>
          <w:b w:val="0"/>
        </w:rPr>
      </w:pPr>
      <w:r w:rsidRPr="00B74347">
        <w:rPr>
          <w:b w:val="0"/>
        </w:rPr>
        <w:t>Table 1</w:t>
      </w:r>
      <w:r w:rsidR="00921E78" w:rsidRPr="00B74347">
        <w:rPr>
          <w:b w:val="0"/>
        </w:rPr>
        <w:t>2</w:t>
      </w:r>
      <w:r w:rsidRPr="00B74347">
        <w:rPr>
          <w:b w:val="0"/>
        </w:rPr>
        <w:t xml:space="preserve"> shows the resulting estimate of the net Commonwealth financing requirement.</w:t>
      </w:r>
    </w:p>
    <w:p w:rsidR="006317AD" w:rsidRPr="00B74347" w:rsidRDefault="006317AD" w:rsidP="00E24F93">
      <w:pPr>
        <w:pStyle w:val="Heading4"/>
        <w:jc w:val="both"/>
      </w:pPr>
    </w:p>
    <w:p w:rsidR="00E24F93" w:rsidRPr="00B74347" w:rsidRDefault="00E24F93" w:rsidP="00E24F93">
      <w:pPr>
        <w:jc w:val="both"/>
        <w:rPr>
          <w:b/>
          <w:bCs/>
          <w:iCs/>
        </w:rPr>
      </w:pPr>
      <w:r w:rsidRPr="00B74347">
        <w:br w:type="page"/>
      </w:r>
    </w:p>
    <w:p w:rsidR="00C4267C" w:rsidRPr="00B74347" w:rsidRDefault="00C4267C" w:rsidP="00E24F93">
      <w:pPr>
        <w:pStyle w:val="Heading4"/>
        <w:jc w:val="both"/>
      </w:pPr>
      <w:r w:rsidRPr="00B74347">
        <w:lastRenderedPageBreak/>
        <w:t>TABLE 1</w:t>
      </w:r>
      <w:r w:rsidR="00921E78" w:rsidRPr="00B74347">
        <w:t>2</w:t>
      </w:r>
      <w:r w:rsidRPr="00B74347">
        <w:t>:   Commonwealth Financial Position, 2019-20</w:t>
      </w:r>
    </w:p>
    <w:p w:rsidR="00E24F93" w:rsidRPr="00B74347" w:rsidRDefault="00E24F93" w:rsidP="00E24F93">
      <w:pPr>
        <w:jc w:val="both"/>
      </w:pPr>
    </w:p>
    <w:tbl>
      <w:tblPr>
        <w:tblStyle w:val="MediumShading1-Accent2"/>
        <w:tblW w:w="8692" w:type="dxa"/>
        <w:tblLook w:val="04A0" w:firstRow="1" w:lastRow="0" w:firstColumn="1" w:lastColumn="0" w:noHBand="0" w:noVBand="1"/>
      </w:tblPr>
      <w:tblGrid>
        <w:gridCol w:w="5353"/>
        <w:gridCol w:w="3339"/>
      </w:tblGrid>
      <w:tr w:rsidR="00E24F93" w:rsidRPr="00B74347" w:rsidTr="00F304DE">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353" w:type="dxa"/>
          </w:tcPr>
          <w:p w:rsidR="00E24F93" w:rsidRPr="00B74347" w:rsidRDefault="00E24F93" w:rsidP="00E24F93">
            <w:pPr>
              <w:jc w:val="both"/>
            </w:pPr>
          </w:p>
        </w:tc>
        <w:tc>
          <w:tcPr>
            <w:tcW w:w="3339" w:type="dxa"/>
            <w:vAlign w:val="center"/>
          </w:tcPr>
          <w:p w:rsidR="00E24F93" w:rsidRPr="00B74347" w:rsidRDefault="00E24F93" w:rsidP="00F304DE">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B74347">
              <w:t>$M</w:t>
            </w:r>
          </w:p>
        </w:tc>
      </w:tr>
      <w:tr w:rsidR="00E24F93" w:rsidRPr="00B74347" w:rsidTr="009A5DE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bottom"/>
          </w:tcPr>
          <w:p w:rsidR="00E24F93" w:rsidRPr="00B74347" w:rsidRDefault="00E24F93" w:rsidP="00F304DE">
            <w:pPr>
              <w:spacing w:line="480" w:lineRule="auto"/>
            </w:pPr>
            <w:r w:rsidRPr="00B74347">
              <w:t>NDIS cost Commonwealth share</w:t>
            </w:r>
          </w:p>
        </w:tc>
        <w:tc>
          <w:tcPr>
            <w:tcW w:w="3339" w:type="dxa"/>
            <w:vAlign w:val="bottom"/>
          </w:tcPr>
          <w:p w:rsidR="00E24F93" w:rsidRPr="00B74347" w:rsidRDefault="00E24F93" w:rsidP="009A5DEA">
            <w:pPr>
              <w:spacing w:line="480" w:lineRule="auto"/>
              <w:jc w:val="right"/>
              <w:cnfStyle w:val="000000100000" w:firstRow="0" w:lastRow="0" w:firstColumn="0" w:lastColumn="0" w:oddVBand="0" w:evenVBand="0" w:oddHBand="1" w:evenHBand="0" w:firstRowFirstColumn="0" w:firstRowLastColumn="0" w:lastRowFirstColumn="0" w:lastRowLastColumn="0"/>
              <w:rPr>
                <w:b/>
              </w:rPr>
            </w:pPr>
            <w:r w:rsidRPr="00B74347">
              <w:rPr>
                <w:b/>
              </w:rPr>
              <w:t>11,000</w:t>
            </w:r>
          </w:p>
        </w:tc>
      </w:tr>
      <w:tr w:rsidR="00E24F93" w:rsidRPr="00B74347" w:rsidTr="009A5DEA">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bottom"/>
          </w:tcPr>
          <w:p w:rsidR="00E24F93" w:rsidRPr="00B74347" w:rsidRDefault="00E24F93" w:rsidP="00F304DE">
            <w:pPr>
              <w:spacing w:line="480" w:lineRule="auto"/>
              <w:rPr>
                <w:b w:val="0"/>
              </w:rPr>
            </w:pPr>
            <w:r w:rsidRPr="00B74347">
              <w:rPr>
                <w:b w:val="0"/>
              </w:rPr>
              <w:t>financed by</w:t>
            </w:r>
          </w:p>
        </w:tc>
        <w:tc>
          <w:tcPr>
            <w:tcW w:w="3339" w:type="dxa"/>
            <w:vAlign w:val="bottom"/>
          </w:tcPr>
          <w:p w:rsidR="00E24F93" w:rsidRPr="00B74347" w:rsidRDefault="00E24F93" w:rsidP="009A5DEA">
            <w:pPr>
              <w:spacing w:line="480" w:lineRule="auto"/>
              <w:jc w:val="right"/>
              <w:cnfStyle w:val="000000010000" w:firstRow="0" w:lastRow="0" w:firstColumn="0" w:lastColumn="0" w:oddVBand="0" w:evenVBand="0" w:oddHBand="0" w:evenHBand="1" w:firstRowFirstColumn="0" w:firstRowLastColumn="0" w:lastRowFirstColumn="0" w:lastRowLastColumn="0"/>
            </w:pPr>
          </w:p>
        </w:tc>
      </w:tr>
      <w:tr w:rsidR="00E24F93" w:rsidRPr="00B74347" w:rsidTr="009A5DE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bottom"/>
          </w:tcPr>
          <w:p w:rsidR="00E24F93" w:rsidRPr="00B74347" w:rsidRDefault="00E24F93" w:rsidP="00F304DE">
            <w:pPr>
              <w:spacing w:line="480" w:lineRule="auto"/>
              <w:rPr>
                <w:b w:val="0"/>
              </w:rPr>
            </w:pPr>
            <w:r w:rsidRPr="00B74347">
              <w:rPr>
                <w:b w:val="0"/>
              </w:rPr>
              <w:t xml:space="preserve">     DCA Levy Commonwealth share</w:t>
            </w:r>
          </w:p>
        </w:tc>
        <w:tc>
          <w:tcPr>
            <w:tcW w:w="3339" w:type="dxa"/>
            <w:vAlign w:val="bottom"/>
          </w:tcPr>
          <w:p w:rsidR="00E24F93" w:rsidRPr="00B74347" w:rsidRDefault="00E24F93" w:rsidP="009A5DEA">
            <w:pPr>
              <w:spacing w:line="480" w:lineRule="auto"/>
              <w:jc w:val="right"/>
              <w:cnfStyle w:val="000000100000" w:firstRow="0" w:lastRow="0" w:firstColumn="0" w:lastColumn="0" w:oddVBand="0" w:evenVBand="0" w:oddHBand="1" w:evenHBand="0" w:firstRowFirstColumn="0" w:firstRowLastColumn="0" w:lastRowFirstColumn="0" w:lastRowLastColumn="0"/>
            </w:pPr>
            <w:r w:rsidRPr="00B74347">
              <w:t>3,508</w:t>
            </w:r>
          </w:p>
        </w:tc>
      </w:tr>
      <w:tr w:rsidR="00E24F93" w:rsidRPr="00B74347" w:rsidTr="009A5DEA">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bottom"/>
          </w:tcPr>
          <w:p w:rsidR="00E24F93" w:rsidRPr="00B74347" w:rsidRDefault="00E24F93" w:rsidP="00F304DE">
            <w:pPr>
              <w:spacing w:line="480" w:lineRule="auto"/>
              <w:rPr>
                <w:b w:val="0"/>
              </w:rPr>
            </w:pPr>
            <w:r w:rsidRPr="00B74347">
              <w:rPr>
                <w:b w:val="0"/>
              </w:rPr>
              <w:t xml:space="preserve">     Reduction in other appropriations</w:t>
            </w:r>
          </w:p>
        </w:tc>
        <w:tc>
          <w:tcPr>
            <w:tcW w:w="3339" w:type="dxa"/>
            <w:vAlign w:val="bottom"/>
          </w:tcPr>
          <w:p w:rsidR="00E24F93" w:rsidRPr="00B74347" w:rsidRDefault="00E24F93" w:rsidP="009A5DEA">
            <w:pPr>
              <w:spacing w:line="480" w:lineRule="auto"/>
              <w:jc w:val="right"/>
              <w:cnfStyle w:val="000000010000" w:firstRow="0" w:lastRow="0" w:firstColumn="0" w:lastColumn="0" w:oddVBand="0" w:evenVBand="0" w:oddHBand="0" w:evenHBand="1" w:firstRowFirstColumn="0" w:firstRowLastColumn="0" w:lastRowFirstColumn="0" w:lastRowLastColumn="0"/>
            </w:pPr>
            <w:r w:rsidRPr="00B74347">
              <w:t>3,419</w:t>
            </w:r>
          </w:p>
        </w:tc>
      </w:tr>
      <w:tr w:rsidR="00E24F93" w:rsidRPr="00B74347" w:rsidTr="009A5DE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bottom"/>
          </w:tcPr>
          <w:p w:rsidR="00E24F93" w:rsidRPr="00B74347" w:rsidRDefault="00E24F93" w:rsidP="00F304DE">
            <w:pPr>
              <w:spacing w:line="276" w:lineRule="auto"/>
            </w:pPr>
            <w:r w:rsidRPr="00B74347">
              <w:t>Net Commonwealth financing requirement before DCA fund contribution</w:t>
            </w:r>
          </w:p>
        </w:tc>
        <w:tc>
          <w:tcPr>
            <w:tcW w:w="3339" w:type="dxa"/>
            <w:vAlign w:val="bottom"/>
          </w:tcPr>
          <w:p w:rsidR="00E24F93" w:rsidRPr="00B74347" w:rsidRDefault="00E24F93" w:rsidP="009A5DEA">
            <w:pPr>
              <w:spacing w:line="480" w:lineRule="auto"/>
              <w:jc w:val="right"/>
              <w:cnfStyle w:val="000000100000" w:firstRow="0" w:lastRow="0" w:firstColumn="0" w:lastColumn="0" w:oddVBand="0" w:evenVBand="0" w:oddHBand="1" w:evenHBand="0" w:firstRowFirstColumn="0" w:firstRowLastColumn="0" w:lastRowFirstColumn="0" w:lastRowLastColumn="0"/>
              <w:rPr>
                <w:b/>
              </w:rPr>
            </w:pPr>
            <w:r w:rsidRPr="00B74347">
              <w:rPr>
                <w:b/>
              </w:rPr>
              <w:t>4,073</w:t>
            </w:r>
          </w:p>
        </w:tc>
      </w:tr>
      <w:tr w:rsidR="00E24F93" w:rsidRPr="00B74347" w:rsidTr="009A5DEA">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bottom"/>
          </w:tcPr>
          <w:p w:rsidR="00E24F93" w:rsidRPr="00B74347" w:rsidRDefault="00E24F93" w:rsidP="00F304DE">
            <w:pPr>
              <w:spacing w:line="480" w:lineRule="auto"/>
              <w:rPr>
                <w:b w:val="0"/>
              </w:rPr>
            </w:pPr>
            <w:r w:rsidRPr="00B74347">
              <w:rPr>
                <w:b w:val="0"/>
              </w:rPr>
              <w:t>DCA Fund Commonwealth share, beginning 2019-20</w:t>
            </w:r>
          </w:p>
        </w:tc>
        <w:tc>
          <w:tcPr>
            <w:tcW w:w="3339" w:type="dxa"/>
            <w:vAlign w:val="bottom"/>
          </w:tcPr>
          <w:p w:rsidR="00E24F93" w:rsidRPr="00B74347" w:rsidRDefault="00E24F93" w:rsidP="009A5DEA">
            <w:pPr>
              <w:spacing w:line="480" w:lineRule="auto"/>
              <w:jc w:val="right"/>
              <w:cnfStyle w:val="000000010000" w:firstRow="0" w:lastRow="0" w:firstColumn="0" w:lastColumn="0" w:oddVBand="0" w:evenVBand="0" w:oddHBand="0" w:evenHBand="1" w:firstRowFirstColumn="0" w:firstRowLastColumn="0" w:lastRowFirstColumn="0" w:lastRowLastColumn="0"/>
            </w:pPr>
            <w:r w:rsidRPr="00B74347">
              <w:t>2,050</w:t>
            </w:r>
          </w:p>
        </w:tc>
      </w:tr>
      <w:tr w:rsidR="00E24F93" w:rsidRPr="00B74347" w:rsidTr="009A5DE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353" w:type="dxa"/>
            <w:vAlign w:val="bottom"/>
          </w:tcPr>
          <w:p w:rsidR="00E24F93" w:rsidRPr="00B74347" w:rsidRDefault="00E24F93" w:rsidP="00F304DE">
            <w:pPr>
              <w:spacing w:line="480" w:lineRule="auto"/>
            </w:pPr>
            <w:r w:rsidRPr="00B74347">
              <w:t>Net Commonwealth financing requirement</w:t>
            </w:r>
          </w:p>
        </w:tc>
        <w:tc>
          <w:tcPr>
            <w:tcW w:w="3339" w:type="dxa"/>
            <w:vAlign w:val="bottom"/>
          </w:tcPr>
          <w:p w:rsidR="00E24F93" w:rsidRPr="00B74347" w:rsidRDefault="00E24F93" w:rsidP="009A5DEA">
            <w:pPr>
              <w:spacing w:line="480" w:lineRule="auto"/>
              <w:jc w:val="right"/>
              <w:cnfStyle w:val="000000100000" w:firstRow="0" w:lastRow="0" w:firstColumn="0" w:lastColumn="0" w:oddVBand="0" w:evenVBand="0" w:oddHBand="1" w:evenHBand="0" w:firstRowFirstColumn="0" w:firstRowLastColumn="0" w:lastRowFirstColumn="0" w:lastRowLastColumn="0"/>
              <w:rPr>
                <w:b/>
              </w:rPr>
            </w:pPr>
            <w:r w:rsidRPr="00B74347">
              <w:rPr>
                <w:b/>
              </w:rPr>
              <w:t>2,023</w:t>
            </w:r>
          </w:p>
        </w:tc>
      </w:tr>
    </w:tbl>
    <w:p w:rsidR="00E24F93" w:rsidRPr="00B74347" w:rsidRDefault="00E24F93" w:rsidP="00E24F93">
      <w:pPr>
        <w:jc w:val="both"/>
      </w:pPr>
    </w:p>
    <w:p w:rsidR="00E24F93" w:rsidRPr="00B74347" w:rsidRDefault="00E24F93" w:rsidP="00E24F93">
      <w:pPr>
        <w:jc w:val="both"/>
      </w:pPr>
    </w:p>
    <w:p w:rsidR="00C4267C" w:rsidRPr="00B74347" w:rsidRDefault="00C4267C" w:rsidP="00E24F93">
      <w:pPr>
        <w:jc w:val="both"/>
      </w:pPr>
    </w:p>
    <w:p w:rsidR="00C4267C" w:rsidRPr="00B74347" w:rsidRDefault="00C4267C" w:rsidP="00E24F93">
      <w:pPr>
        <w:jc w:val="both"/>
      </w:pPr>
      <w:r w:rsidRPr="00B74347">
        <w:t> </w:t>
      </w:r>
    </w:p>
    <w:p w:rsidR="00E24F93" w:rsidRPr="00B74347" w:rsidRDefault="00E24F93" w:rsidP="00E24F93">
      <w:pPr>
        <w:jc w:val="both"/>
        <w:rPr>
          <w:bCs/>
          <w:sz w:val="40"/>
          <w:szCs w:val="26"/>
        </w:rPr>
      </w:pPr>
      <w:r w:rsidRPr="00B74347">
        <w:br w:type="page"/>
      </w:r>
    </w:p>
    <w:p w:rsidR="00C4267C" w:rsidRPr="00B74347" w:rsidRDefault="00C4267C" w:rsidP="00E24F93">
      <w:pPr>
        <w:pStyle w:val="Heading2"/>
        <w:jc w:val="both"/>
      </w:pPr>
      <w:r w:rsidRPr="00B74347">
        <w:lastRenderedPageBreak/>
        <w:t>RESULTS: 2020-21 AND LATER YEARS</w:t>
      </w:r>
    </w:p>
    <w:p w:rsidR="00C4267C" w:rsidRPr="00B74347" w:rsidRDefault="00C4267C" w:rsidP="00E24F93">
      <w:pPr>
        <w:jc w:val="both"/>
      </w:pPr>
    </w:p>
    <w:p w:rsidR="00C4267C" w:rsidRPr="00B74347" w:rsidRDefault="00C4267C" w:rsidP="00E24F93">
      <w:pPr>
        <w:jc w:val="both"/>
      </w:pPr>
      <w:r w:rsidRPr="00B74347">
        <w:t>With the exhaustion of the Commonwealth share of the DCA Fund in 2019-20, the net Commonwealth financing requirement in 2020-21 and later years will be of the same order (in 2019-20 dollars) as in 2019-20, estimated at $4,073 million, assuming NDIS expenses and levy income grow at approximately the same rate.</w:t>
      </w:r>
    </w:p>
    <w:p w:rsidR="00E24F93" w:rsidRPr="00B74347" w:rsidRDefault="00E24F93" w:rsidP="00E24F93">
      <w:pPr>
        <w:jc w:val="both"/>
      </w:pPr>
    </w:p>
    <w:p w:rsidR="00C4267C" w:rsidRPr="00B74347" w:rsidRDefault="00E24F93" w:rsidP="00E24F93">
      <w:pPr>
        <w:pStyle w:val="Heading3"/>
        <w:jc w:val="both"/>
      </w:pPr>
      <w:r w:rsidRPr="00B74347">
        <w:t>Discussion</w:t>
      </w:r>
    </w:p>
    <w:p w:rsidR="00E24F93" w:rsidRPr="00B74347" w:rsidRDefault="00E24F93" w:rsidP="00E24F93">
      <w:pPr>
        <w:jc w:val="both"/>
      </w:pPr>
    </w:p>
    <w:p w:rsidR="00C4267C" w:rsidRPr="00B74347" w:rsidRDefault="00C4267C" w:rsidP="00E24F93">
      <w:pPr>
        <w:jc w:val="both"/>
      </w:pPr>
      <w:r w:rsidRPr="00B74347">
        <w:t>Information on the financial arrangements for the NDIS is spread across the 2015 Commonwealth Budget papers, those of earlier years and the various agreements between the Commonwealth and the States and Territories, including the Bilateral Agreements between the Commonwealth and NSW / Victoria signed in September 2015. Assembling the available data is complex and requires a range of assumptions.</w:t>
      </w:r>
    </w:p>
    <w:p w:rsidR="00EA6BAC" w:rsidRPr="00B74347" w:rsidRDefault="00EA6BAC" w:rsidP="00E24F93">
      <w:pPr>
        <w:jc w:val="both"/>
      </w:pPr>
    </w:p>
    <w:p w:rsidR="00C4267C" w:rsidRPr="00B74347" w:rsidRDefault="00C4267C" w:rsidP="00E24F93">
      <w:pPr>
        <w:jc w:val="both"/>
      </w:pPr>
      <w:r w:rsidRPr="00B74347">
        <w:t xml:space="preserve">The overall impact of the NDIS expenditure arrangements (including the </w:t>
      </w:r>
      <w:proofErr w:type="spellStart"/>
      <w:r w:rsidRPr="00B74347">
        <w:t>DisabilityCare</w:t>
      </w:r>
      <w:proofErr w:type="spellEnd"/>
      <w:r w:rsidRPr="00B74347">
        <w:t xml:space="preserve"> Australia levy and the financial arrangements with the States and Territories) is a surplus to the Commonwealth in 2015-16 and 2016-17 (Table 7). </w:t>
      </w:r>
    </w:p>
    <w:p w:rsidR="00EA6BAC" w:rsidRPr="00B74347" w:rsidRDefault="00EA6BAC" w:rsidP="00E24F93">
      <w:pPr>
        <w:jc w:val="both"/>
      </w:pPr>
    </w:p>
    <w:p w:rsidR="00C4267C" w:rsidRPr="00B74347" w:rsidRDefault="00C4267C" w:rsidP="00E24F93">
      <w:pPr>
        <w:jc w:val="both"/>
      </w:pPr>
      <w:r w:rsidRPr="00B74347">
        <w:t>Further, the combined impact of these accumulated surpluses and the intergovernmental payments set out in the NSW and Victorian Bilateral Agreements  is that that the net Commonwealth expenses are fully covered by accumulated balance of the Commonwealth share of the CDA Fund, with a remaining balance in the Fund of $2,050 million at the end of 2018-19.</w:t>
      </w:r>
    </w:p>
    <w:p w:rsidR="00EA6BAC" w:rsidRPr="00B74347" w:rsidRDefault="00EA6BAC" w:rsidP="00E24F93">
      <w:pPr>
        <w:jc w:val="both"/>
      </w:pPr>
    </w:p>
    <w:p w:rsidR="00C4267C" w:rsidRPr="00B74347" w:rsidRDefault="00C4267C" w:rsidP="00E24F93">
      <w:pPr>
        <w:jc w:val="both"/>
      </w:pPr>
      <w:r w:rsidRPr="00B74347">
        <w:t>In the first year of full rollout in 2019-20, the net Commonwealth financing requirement is estimated to be $2,023 million out of the total Commonwealth share of $11,000 million. In that year the Commonwealth share of the DCA Fund will be exhausted.</w:t>
      </w:r>
    </w:p>
    <w:p w:rsidR="00EA6BAC" w:rsidRPr="00B74347" w:rsidRDefault="00EA6BAC" w:rsidP="00E24F93">
      <w:pPr>
        <w:jc w:val="both"/>
      </w:pPr>
    </w:p>
    <w:p w:rsidR="00C4267C" w:rsidRPr="00B74347" w:rsidRDefault="00C4267C" w:rsidP="00E24F93">
      <w:pPr>
        <w:jc w:val="both"/>
      </w:pPr>
      <w:r w:rsidRPr="00B74347">
        <w:t xml:space="preserve">In 2020-21 and later years, the net Commonwealth requirement is estimated at $4,073 million in 2019-20 dollars, assuming NDIS expenditure and levy </w:t>
      </w:r>
      <w:proofErr w:type="gramStart"/>
      <w:r w:rsidRPr="00B74347">
        <w:t>income grow</w:t>
      </w:r>
      <w:proofErr w:type="gramEnd"/>
      <w:r w:rsidRPr="00B74347">
        <w:t xml:space="preserve"> at approximately the same rate.</w:t>
      </w:r>
    </w:p>
    <w:p w:rsidR="00A772F3" w:rsidRPr="00B74347" w:rsidRDefault="00A772F3" w:rsidP="00A772F3">
      <w:pPr>
        <w:ind w:left="284" w:hanging="284"/>
        <w:jc w:val="both"/>
      </w:pPr>
    </w:p>
    <w:p w:rsidR="00EA6BAC" w:rsidRPr="00B74347" w:rsidRDefault="00C4267C" w:rsidP="00A772F3">
      <w:pPr>
        <w:jc w:val="both"/>
      </w:pPr>
      <w:r w:rsidRPr="00B74347">
        <w:t>There is a period of three years after full rollout commences before there is a net impact on the Commonwealth Budget. In the fourth year, 2019-20, there is a net financing requirement for the Commonwealth, but this is substantially reduced by the remaining DCA Fund Commonwealth share balance. The impact after 2020-21 is significantly reduced by the DCA levy and reductions in other Commonwealth appropriations, including payments to the States and in its own direct payments.</w:t>
      </w:r>
    </w:p>
    <w:p w:rsidR="00A772F3" w:rsidRPr="00B74347" w:rsidRDefault="00A772F3" w:rsidP="00A772F3">
      <w:pPr>
        <w:ind w:left="284" w:hanging="284"/>
        <w:jc w:val="both"/>
      </w:pPr>
    </w:p>
    <w:p w:rsidR="00A772F3" w:rsidRPr="00B74347" w:rsidRDefault="00A772F3" w:rsidP="00A772F3">
      <w:r w:rsidRPr="00B74347">
        <w:t xml:space="preserve">Given the Commonwealth has up to 2019-20 to plan for a net financial impact, and that the estimated full year impact (from 2020-21) at $4, 073 million represents 37% of the Commonwealth’s share of total NDIS expenses, it can be seen that a major social reform is being introduced to Australia at relatively modest cost. Further offsetting the cost, people with disabilities and their </w:t>
      </w:r>
      <w:proofErr w:type="spellStart"/>
      <w:r w:rsidRPr="00B74347">
        <w:t>carers</w:t>
      </w:r>
      <w:proofErr w:type="spellEnd"/>
      <w:r w:rsidRPr="00B74347">
        <w:t xml:space="preserve"> will be facilitated to join the </w:t>
      </w:r>
      <w:proofErr w:type="spellStart"/>
      <w:r w:rsidRPr="00B74347">
        <w:t>labour</w:t>
      </w:r>
      <w:proofErr w:type="spellEnd"/>
      <w:r w:rsidRPr="00B74347">
        <w:t xml:space="preserve"> force in greater numbers than at present, with a positive effect on economic activity and budget revenues.</w:t>
      </w:r>
    </w:p>
    <w:p w:rsidR="00A772F3" w:rsidRPr="00B74347" w:rsidRDefault="00A772F3" w:rsidP="00A772F3"/>
    <w:p w:rsidR="000C4CED" w:rsidRPr="00B74347" w:rsidRDefault="00A772F3" w:rsidP="000C4CED">
      <w:pPr>
        <w:jc w:val="both"/>
      </w:pPr>
      <w:r w:rsidRPr="00B74347">
        <w:t>Will the expenses exceed the estimates now being used? There has been discussion in the media that the NDIA has raised this possibility with the Commonwealth Government</w:t>
      </w:r>
      <w:r w:rsidR="000C4CED" w:rsidRPr="00B74347">
        <w:t xml:space="preserve"> (10)</w:t>
      </w:r>
      <w:r w:rsidRPr="00B74347">
        <w:t xml:space="preserve">, and the Commonwealth is responsible for any cost overruns. Rather than reacting to such possibilities long before there is any hard evidence during the rollout, it would be best to focus on effective planning of supports to meet NDIS participants reasonable and necessary supports as efficiently as possible, and provide full information on emerging costs as the </w:t>
      </w:r>
      <w:r w:rsidRPr="00B74347">
        <w:lastRenderedPageBreak/>
        <w:t>experience is gathered.</w:t>
      </w:r>
      <w:r w:rsidR="000C4CED" w:rsidRPr="00B74347">
        <w:t xml:space="preserve"> There is a substantial window to learn during the rollout, and to adjust policy and administrative settings in the interim.</w:t>
      </w:r>
    </w:p>
    <w:p w:rsidR="00C4267C" w:rsidRPr="00B74347" w:rsidRDefault="00C4267C" w:rsidP="00E24F93">
      <w:pPr>
        <w:jc w:val="both"/>
      </w:pPr>
      <w:r w:rsidRPr="00B74347">
        <w:t xml:space="preserve"> </w:t>
      </w:r>
    </w:p>
    <w:p w:rsidR="00C4267C" w:rsidRPr="00B74347" w:rsidRDefault="00C4267C" w:rsidP="000C4CED">
      <w:pPr>
        <w:jc w:val="both"/>
      </w:pPr>
      <w:r w:rsidRPr="00B74347">
        <w:t>The Commonwealth may wish to give consideration to slowing the drawdown of its share of the DCA fund. This would lessen the impact of the NDIS on the Commonwealth Budget in any particular year.</w:t>
      </w:r>
    </w:p>
    <w:p w:rsidR="000C4CED" w:rsidRPr="00B74347" w:rsidRDefault="000C4CED" w:rsidP="000C4CED">
      <w:pPr>
        <w:jc w:val="both"/>
      </w:pPr>
    </w:p>
    <w:p w:rsidR="000C4CED" w:rsidRPr="00B74347" w:rsidRDefault="000C4CED" w:rsidP="000C4CED">
      <w:pPr>
        <w:jc w:val="both"/>
      </w:pPr>
      <w:r w:rsidRPr="00B74347">
        <w:t xml:space="preserve">The NDIS has been designed in line with actuarial principles, and the NDIA has a substantial skilled actuarial staff. They have designed a data system to monitor lifelong costs of packages agreed for NDIS participants. The limited and fragmented information being released to date is unfortunate as the community, and particularly potential NDIS participants and their families and </w:t>
      </w:r>
      <w:proofErr w:type="spellStart"/>
      <w:r w:rsidRPr="00B74347">
        <w:t>carers</w:t>
      </w:r>
      <w:proofErr w:type="spellEnd"/>
      <w:r w:rsidRPr="00B74347">
        <w:t>, are not being provided the opportunity for full and informed discussion on NDIS costs as they emerge.</w:t>
      </w:r>
    </w:p>
    <w:p w:rsidR="00EA6BAC" w:rsidRPr="00B74347" w:rsidRDefault="00EA6BAC" w:rsidP="00E24F93">
      <w:pPr>
        <w:pStyle w:val="ListParagraph"/>
        <w:numPr>
          <w:ilvl w:val="0"/>
          <w:numId w:val="0"/>
        </w:numPr>
        <w:ind w:left="284"/>
        <w:jc w:val="both"/>
      </w:pPr>
    </w:p>
    <w:p w:rsidR="00C4267C" w:rsidRPr="00B74347" w:rsidRDefault="00C4267C" w:rsidP="000C4CED">
      <w:pPr>
        <w:jc w:val="both"/>
      </w:pPr>
      <w:r w:rsidRPr="00B74347">
        <w:t>It is important for all stakeholders to work together to ensure that the Commonwealth Government’s Forward Estimates in future Budgets properly reflect, and make clear, the expected overall impact on the Commonwealth Budget. Forward Estimates for 2019-20 will be part of the 2016 Budget.</w:t>
      </w:r>
    </w:p>
    <w:p w:rsidR="00EA6BAC" w:rsidRPr="00B74347" w:rsidRDefault="00EA6BAC" w:rsidP="000C4CED">
      <w:pPr>
        <w:pStyle w:val="ListParagraph"/>
        <w:numPr>
          <w:ilvl w:val="0"/>
          <w:numId w:val="0"/>
        </w:numPr>
        <w:jc w:val="both"/>
      </w:pPr>
    </w:p>
    <w:p w:rsidR="00EA6BAC" w:rsidRPr="00B74347" w:rsidRDefault="00C4267C" w:rsidP="000C4CED">
      <w:pPr>
        <w:jc w:val="both"/>
      </w:pPr>
      <w:r w:rsidRPr="00B74347">
        <w:t xml:space="preserve">The Commonwealth should include in the Budget papers from 2016 onwards a comprehensive report on the financing of the NDIS, including up to date figures </w:t>
      </w:r>
      <w:r w:rsidR="003C294A" w:rsidRPr="00B74347">
        <w:t xml:space="preserve">estimated total NDIS expenses, and all the various sources of revenue and expenditure offsets, including estimated DCA levy income, </w:t>
      </w:r>
      <w:r w:rsidRPr="00B74347">
        <w:t xml:space="preserve">payments by the States and Territories to the Commonwealth, payments from the </w:t>
      </w:r>
      <w:proofErr w:type="spellStart"/>
      <w:r w:rsidRPr="00B74347">
        <w:t>DisabilityCare</w:t>
      </w:r>
      <w:proofErr w:type="spellEnd"/>
      <w:r w:rsidRPr="00B74347">
        <w:t xml:space="preserve"> Australia levy to the States and Territories, and offsets from reduced expenditure on other Commonwealth programs.</w:t>
      </w:r>
    </w:p>
    <w:p w:rsidR="00CF433F" w:rsidRPr="00B74347" w:rsidRDefault="00CF433F" w:rsidP="00E51320">
      <w:pPr>
        <w:ind w:left="284" w:hanging="284"/>
      </w:pPr>
    </w:p>
    <w:p w:rsidR="00DC1CB8" w:rsidRPr="00B74347" w:rsidRDefault="00DC1CB8" w:rsidP="00E24F93">
      <w:pPr>
        <w:pStyle w:val="Heading3"/>
        <w:jc w:val="both"/>
      </w:pPr>
      <w:r w:rsidRPr="00B74347">
        <w:br w:type="page"/>
      </w:r>
    </w:p>
    <w:p w:rsidR="00C4267C" w:rsidRPr="00B74347" w:rsidRDefault="00E24F93" w:rsidP="00E24F93">
      <w:pPr>
        <w:pStyle w:val="Heading3"/>
        <w:jc w:val="both"/>
      </w:pPr>
      <w:r w:rsidRPr="00B74347">
        <w:lastRenderedPageBreak/>
        <w:t>References</w:t>
      </w:r>
    </w:p>
    <w:p w:rsidR="00C4267C" w:rsidRPr="00B74347" w:rsidRDefault="00C4267C" w:rsidP="00E24F93">
      <w:pPr>
        <w:jc w:val="both"/>
      </w:pPr>
    </w:p>
    <w:p w:rsidR="00C4267C" w:rsidRPr="00B74347" w:rsidRDefault="00C4267C" w:rsidP="00E24F93">
      <w:pPr>
        <w:pStyle w:val="ListParagraph"/>
        <w:numPr>
          <w:ilvl w:val="0"/>
          <w:numId w:val="10"/>
        </w:numPr>
        <w:jc w:val="both"/>
      </w:pPr>
      <w:r w:rsidRPr="00B74347">
        <w:t>2015 Budget Papers, Commonwealth of Australia, 2015</w:t>
      </w:r>
    </w:p>
    <w:p w:rsidR="006317AD" w:rsidRPr="00B74347" w:rsidRDefault="006317AD" w:rsidP="00E24F93">
      <w:pPr>
        <w:pStyle w:val="ListParagraph"/>
        <w:numPr>
          <w:ilvl w:val="0"/>
          <w:numId w:val="0"/>
        </w:numPr>
        <w:ind w:left="720"/>
        <w:jc w:val="both"/>
      </w:pPr>
    </w:p>
    <w:p w:rsidR="00C4267C" w:rsidRPr="00B74347" w:rsidRDefault="00C4267C" w:rsidP="00E24F93">
      <w:pPr>
        <w:pStyle w:val="ListParagraph"/>
        <w:numPr>
          <w:ilvl w:val="0"/>
          <w:numId w:val="10"/>
        </w:numPr>
        <w:jc w:val="both"/>
      </w:pPr>
      <w:r w:rsidRPr="00B74347">
        <w:t>National Disability Insurance Scheme: Impact on the Commonwealth Budget to 2019-20, CDRP Policy Paper No 3 2014, University of Sydney, http://sydney.edu.au/health-sciences/cdrp//Policiy-Bulletin3-2014-NDIS-%20Impact-on-Commonwealth-Budget-final.pdf</w:t>
      </w:r>
    </w:p>
    <w:p w:rsidR="006317AD" w:rsidRPr="00B74347" w:rsidRDefault="006317AD" w:rsidP="00E24F93">
      <w:pPr>
        <w:pStyle w:val="ListParagraph"/>
        <w:numPr>
          <w:ilvl w:val="0"/>
          <w:numId w:val="0"/>
        </w:numPr>
        <w:ind w:left="720"/>
        <w:jc w:val="both"/>
      </w:pPr>
    </w:p>
    <w:p w:rsidR="00C4267C" w:rsidRPr="00B74347" w:rsidRDefault="00C4267C" w:rsidP="00E24F93">
      <w:pPr>
        <w:pStyle w:val="ListParagraph"/>
        <w:numPr>
          <w:ilvl w:val="0"/>
          <w:numId w:val="10"/>
        </w:numPr>
        <w:jc w:val="both"/>
      </w:pPr>
      <w:r w:rsidRPr="00B74347">
        <w:t>Heads of Agreement between the Commonwealth and the various State and Territory Governments on the National Disability Insurance Scheme, 2013, 2014 (http://www.ndis.gov.au/, accessed 20 May 2014)</w:t>
      </w:r>
    </w:p>
    <w:p w:rsidR="00EA6BAC" w:rsidRPr="00B74347" w:rsidRDefault="00EA6BAC" w:rsidP="00E24F93">
      <w:pPr>
        <w:jc w:val="both"/>
      </w:pPr>
    </w:p>
    <w:p w:rsidR="00C4267C" w:rsidRPr="00B74347" w:rsidRDefault="00C4267C" w:rsidP="00E24F93">
      <w:pPr>
        <w:pStyle w:val="ListParagraph"/>
        <w:numPr>
          <w:ilvl w:val="0"/>
          <w:numId w:val="10"/>
        </w:numPr>
        <w:jc w:val="both"/>
      </w:pPr>
      <w:r w:rsidRPr="00B74347">
        <w:t>Bilateral Agreement for NDIS Launch between the Commonwealth and various State and Territory Governments, 2013, 2014 (http://www.ndis.gov.au/, accessed 20 May 2014)</w:t>
      </w:r>
    </w:p>
    <w:p w:rsidR="00EA6BAC" w:rsidRPr="00B74347" w:rsidRDefault="00EA6BAC" w:rsidP="00E24F93">
      <w:pPr>
        <w:pStyle w:val="ListParagraph"/>
        <w:numPr>
          <w:ilvl w:val="0"/>
          <w:numId w:val="0"/>
        </w:numPr>
        <w:ind w:left="720"/>
        <w:jc w:val="both"/>
      </w:pPr>
    </w:p>
    <w:p w:rsidR="00C4267C" w:rsidRPr="00B74347" w:rsidRDefault="00C4267C" w:rsidP="00E24F93">
      <w:pPr>
        <w:pStyle w:val="ListParagraph"/>
        <w:numPr>
          <w:ilvl w:val="0"/>
          <w:numId w:val="10"/>
        </w:numPr>
        <w:jc w:val="both"/>
      </w:pPr>
      <w:r w:rsidRPr="00B74347">
        <w:t>Bilateral Agreements between the Commonwealth and NSW and Victoria: Transition to a National Disability Insurance Scheme, 2015</w:t>
      </w:r>
    </w:p>
    <w:p w:rsidR="00EA6BAC" w:rsidRPr="00B74347" w:rsidRDefault="00EA6BAC" w:rsidP="00E24F93">
      <w:pPr>
        <w:pStyle w:val="ListParagraph"/>
        <w:numPr>
          <w:ilvl w:val="0"/>
          <w:numId w:val="0"/>
        </w:numPr>
        <w:ind w:left="284"/>
        <w:jc w:val="both"/>
      </w:pPr>
    </w:p>
    <w:p w:rsidR="00C4267C" w:rsidRPr="00B74347" w:rsidRDefault="00C4267C" w:rsidP="00E24F93">
      <w:pPr>
        <w:pStyle w:val="ListParagraph"/>
        <w:numPr>
          <w:ilvl w:val="0"/>
          <w:numId w:val="10"/>
        </w:numPr>
        <w:jc w:val="both"/>
      </w:pPr>
      <w:r w:rsidRPr="00B74347">
        <w:t xml:space="preserve">Australian Bureau of Statistics, 3101.0, Australian Demographic Statistics, Mar 2015, Cat 3101.0, ABS Canberra </w:t>
      </w:r>
    </w:p>
    <w:p w:rsidR="00EA6BAC" w:rsidRPr="00B74347" w:rsidRDefault="00EA6BAC" w:rsidP="00E24F93">
      <w:pPr>
        <w:pStyle w:val="ListParagraph"/>
        <w:numPr>
          <w:ilvl w:val="0"/>
          <w:numId w:val="0"/>
        </w:numPr>
        <w:ind w:left="284"/>
        <w:jc w:val="both"/>
      </w:pPr>
    </w:p>
    <w:p w:rsidR="00C4267C" w:rsidRPr="00B74347" w:rsidRDefault="00C4267C" w:rsidP="00E24F93">
      <w:pPr>
        <w:pStyle w:val="ListParagraph"/>
        <w:numPr>
          <w:ilvl w:val="0"/>
          <w:numId w:val="10"/>
        </w:numPr>
        <w:jc w:val="both"/>
      </w:pPr>
      <w:r w:rsidRPr="00B74347">
        <w:t xml:space="preserve">NDIS Costings – Review by the Australian Government Actuary, Commonwealth Treasury, April 2012 </w:t>
      </w:r>
    </w:p>
    <w:p w:rsidR="00EA6BAC" w:rsidRPr="00B74347" w:rsidRDefault="00EA6BAC" w:rsidP="00E24F93">
      <w:pPr>
        <w:pStyle w:val="ListParagraph"/>
        <w:numPr>
          <w:ilvl w:val="0"/>
          <w:numId w:val="0"/>
        </w:numPr>
        <w:ind w:left="284"/>
        <w:jc w:val="both"/>
      </w:pPr>
    </w:p>
    <w:p w:rsidR="00C4267C" w:rsidRPr="00B74347" w:rsidRDefault="00C4267C" w:rsidP="00E24F93">
      <w:pPr>
        <w:pStyle w:val="ListParagraph"/>
        <w:numPr>
          <w:ilvl w:val="0"/>
          <w:numId w:val="10"/>
        </w:numPr>
        <w:jc w:val="both"/>
      </w:pPr>
      <w:r w:rsidRPr="00B74347">
        <w:t>Assistant Minister for Social Services, Australian, 29 November 2014</w:t>
      </w:r>
    </w:p>
    <w:p w:rsidR="00EA6BAC" w:rsidRPr="00B74347" w:rsidRDefault="00EA6BAC" w:rsidP="00E24F93">
      <w:pPr>
        <w:pStyle w:val="ListParagraph"/>
        <w:numPr>
          <w:ilvl w:val="0"/>
          <w:numId w:val="0"/>
        </w:numPr>
        <w:ind w:left="284"/>
        <w:jc w:val="both"/>
      </w:pPr>
    </w:p>
    <w:p w:rsidR="00C4267C" w:rsidRPr="00B74347" w:rsidRDefault="00C4267C" w:rsidP="00E24F93">
      <w:pPr>
        <w:pStyle w:val="ListParagraph"/>
        <w:numPr>
          <w:ilvl w:val="0"/>
          <w:numId w:val="10"/>
        </w:numPr>
        <w:jc w:val="both"/>
      </w:pPr>
      <w:r w:rsidRPr="00B74347">
        <w:t>Commonwealth Treasurer, Guardian Australia, 19 November 2015</w:t>
      </w:r>
    </w:p>
    <w:p w:rsidR="00A772F3" w:rsidRPr="00B74347" w:rsidRDefault="00A772F3" w:rsidP="0061057D">
      <w:pPr>
        <w:pStyle w:val="ListParagraph"/>
        <w:numPr>
          <w:ilvl w:val="0"/>
          <w:numId w:val="0"/>
        </w:numPr>
        <w:ind w:left="284"/>
      </w:pPr>
    </w:p>
    <w:p w:rsidR="00A772F3" w:rsidRPr="00B74347" w:rsidRDefault="00A772F3" w:rsidP="00E24F93">
      <w:pPr>
        <w:pStyle w:val="ListParagraph"/>
        <w:numPr>
          <w:ilvl w:val="0"/>
          <w:numId w:val="10"/>
        </w:numPr>
        <w:jc w:val="both"/>
      </w:pPr>
      <w:r w:rsidRPr="00B74347">
        <w:t>ABC News, 11 November 2015</w:t>
      </w:r>
    </w:p>
    <w:sectPr w:rsidR="00A772F3" w:rsidRPr="00B74347" w:rsidSect="00280B51">
      <w:footerReference w:type="even" r:id="rId11"/>
      <w:footerReference w:type="default" r:id="rId12"/>
      <w:pgSz w:w="11901" w:h="16817"/>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FE9" w:rsidRDefault="00923FE9" w:rsidP="00705C0C">
      <w:r>
        <w:separator/>
      </w:r>
    </w:p>
  </w:endnote>
  <w:endnote w:type="continuationSeparator" w:id="0">
    <w:p w:rsidR="00923FE9" w:rsidRDefault="00923FE9" w:rsidP="00705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ＭＳ Ｐゴシック">
    <w:altName w:val="MS Mincho"/>
    <w:charset w:val="4E"/>
    <w:family w:val="auto"/>
    <w:pitch w:val="variable"/>
    <w:sig w:usb0="00000000" w:usb1="6AC7FDFB" w:usb2="00000012" w:usb3="00000000" w:csb0="0002009F" w:csb1="00000000"/>
  </w:font>
  <w:font w:name="Replica Std Light">
    <w:panose1 w:val="00000000000000000000"/>
    <w:charset w:val="00"/>
    <w:family w:val="modern"/>
    <w:notTrueType/>
    <w:pitch w:val="variable"/>
    <w:sig w:usb0="800000AF" w:usb1="4000206A"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347" w:rsidRDefault="00B74347" w:rsidP="00E5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74347" w:rsidRDefault="00B74347" w:rsidP="00280B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043668"/>
      <w:docPartObj>
        <w:docPartGallery w:val="Page Numbers (Bottom of Page)"/>
        <w:docPartUnique/>
      </w:docPartObj>
    </w:sdtPr>
    <w:sdtEndPr>
      <w:rPr>
        <w:noProof/>
      </w:rPr>
    </w:sdtEndPr>
    <w:sdtContent>
      <w:p w:rsidR="00B74347" w:rsidRPr="00366B84" w:rsidRDefault="00B74347" w:rsidP="00B74347">
        <w:pPr>
          <w:pStyle w:val="Footer"/>
          <w:ind w:right="360"/>
          <w:rPr>
            <w:sz w:val="18"/>
            <w:szCs w:val="18"/>
          </w:rPr>
        </w:pPr>
        <w:r w:rsidRPr="00366B84">
          <w:rPr>
            <w:rFonts w:eastAsiaTheme="majorEastAsia" w:cstheme="majorBidi"/>
            <w:sz w:val="18"/>
            <w:szCs w:val="18"/>
          </w:rPr>
          <w:ptab w:relativeTo="margin" w:alignment="center" w:leader="none"/>
        </w:r>
        <w:r w:rsidRPr="00366B84">
          <w:rPr>
            <w:rFonts w:eastAsiaTheme="majorEastAsia" w:cstheme="majorBidi"/>
            <w:sz w:val="18"/>
            <w:szCs w:val="18"/>
          </w:rPr>
          <w:t>Centre for Disability Research and Policy</w:t>
        </w:r>
        <w:r w:rsidRPr="00366B84">
          <w:rPr>
            <w:rFonts w:eastAsiaTheme="majorEastAsia" w:cstheme="majorBidi"/>
            <w:sz w:val="18"/>
            <w:szCs w:val="18"/>
          </w:rPr>
          <w:ptab w:relativeTo="margin" w:alignment="right" w:leader="none"/>
        </w:r>
        <w:r w:rsidRPr="00366B84">
          <w:rPr>
            <w:rFonts w:eastAsiaTheme="majorEastAsia" w:cstheme="majorBidi"/>
            <w:sz w:val="18"/>
            <w:szCs w:val="18"/>
          </w:rPr>
          <w:fldChar w:fldCharType="begin"/>
        </w:r>
        <w:r w:rsidRPr="00366B84">
          <w:rPr>
            <w:rFonts w:eastAsiaTheme="majorEastAsia" w:cstheme="majorBidi"/>
            <w:sz w:val="18"/>
            <w:szCs w:val="18"/>
          </w:rPr>
          <w:instrText xml:space="preserve"> PAGE   \* MERGEFORMAT </w:instrText>
        </w:r>
        <w:r w:rsidRPr="00366B84">
          <w:rPr>
            <w:rFonts w:eastAsiaTheme="majorEastAsia" w:cstheme="majorBidi"/>
            <w:sz w:val="18"/>
            <w:szCs w:val="18"/>
          </w:rPr>
          <w:fldChar w:fldCharType="separate"/>
        </w:r>
        <w:r w:rsidR="00391EF5">
          <w:rPr>
            <w:rFonts w:eastAsiaTheme="majorEastAsia" w:cstheme="majorBidi"/>
            <w:noProof/>
            <w:sz w:val="18"/>
            <w:szCs w:val="18"/>
          </w:rPr>
          <w:t>1</w:t>
        </w:r>
        <w:r w:rsidRPr="00366B84">
          <w:rPr>
            <w:rFonts w:eastAsiaTheme="majorEastAsia" w:cstheme="majorBidi"/>
            <w:noProof/>
            <w:sz w:val="18"/>
            <w:szCs w:val="18"/>
          </w:rPr>
          <w:fldChar w:fldCharType="end"/>
        </w:r>
      </w:p>
      <w:p w:rsidR="00B74347" w:rsidRPr="00B74347" w:rsidRDefault="00391EF5" w:rsidP="00B74347">
        <w:pPr>
          <w:pStyle w:val="Footer"/>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FE9" w:rsidRDefault="00923FE9" w:rsidP="00705C0C">
      <w:r>
        <w:separator/>
      </w:r>
    </w:p>
  </w:footnote>
  <w:footnote w:type="continuationSeparator" w:id="0">
    <w:p w:rsidR="00923FE9" w:rsidRDefault="00923FE9" w:rsidP="00705C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C02"/>
    <w:multiLevelType w:val="hybridMultilevel"/>
    <w:tmpl w:val="9C223C52"/>
    <w:lvl w:ilvl="0" w:tplc="14508ED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9958CF"/>
    <w:multiLevelType w:val="hybridMultilevel"/>
    <w:tmpl w:val="82DCAB22"/>
    <w:lvl w:ilvl="0" w:tplc="04090001">
      <w:start w:val="1"/>
      <w:numFmt w:val="bullet"/>
      <w:lvlText w:val=""/>
      <w:lvlJc w:val="left"/>
      <w:pPr>
        <w:ind w:left="568" w:hanging="284"/>
      </w:pPr>
      <w:rPr>
        <w:rFonts w:ascii="Symbol" w:hAnsi="Symbol" w:hint="default"/>
      </w:rPr>
    </w:lvl>
    <w:lvl w:ilvl="1" w:tplc="51A23D14">
      <w:start w:val="2015"/>
      <w:numFmt w:val="bullet"/>
      <w:lvlText w:val="•"/>
      <w:lvlJc w:val="left"/>
      <w:pPr>
        <w:ind w:left="2084" w:hanging="720"/>
      </w:pPr>
      <w:rPr>
        <w:rFonts w:ascii="Tw Cen MT" w:eastAsia="MS PGothic" w:hAnsi="Tw Cen MT"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15FF1AF3"/>
    <w:multiLevelType w:val="hybridMultilevel"/>
    <w:tmpl w:val="6A361DB0"/>
    <w:lvl w:ilvl="0" w:tplc="2D1835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197E49"/>
    <w:multiLevelType w:val="hybridMultilevel"/>
    <w:tmpl w:val="1174F3AA"/>
    <w:lvl w:ilvl="0" w:tplc="FAA672B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176D4F"/>
    <w:multiLevelType w:val="hybridMultilevel"/>
    <w:tmpl w:val="62167368"/>
    <w:lvl w:ilvl="0" w:tplc="76646B2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D13ADA"/>
    <w:multiLevelType w:val="hybridMultilevel"/>
    <w:tmpl w:val="00B0D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D66963"/>
    <w:multiLevelType w:val="hybridMultilevel"/>
    <w:tmpl w:val="B4C464CE"/>
    <w:lvl w:ilvl="0" w:tplc="04090001">
      <w:start w:val="1"/>
      <w:numFmt w:val="bullet"/>
      <w:lvlText w:val=""/>
      <w:lvlJc w:val="left"/>
      <w:pPr>
        <w:ind w:left="568" w:hanging="284"/>
      </w:pPr>
      <w:rPr>
        <w:rFonts w:ascii="Symbol" w:hAnsi="Symbol" w:hint="default"/>
      </w:rPr>
    </w:lvl>
    <w:lvl w:ilvl="1" w:tplc="51A23D14">
      <w:start w:val="2015"/>
      <w:numFmt w:val="bullet"/>
      <w:lvlText w:val="•"/>
      <w:lvlJc w:val="left"/>
      <w:pPr>
        <w:ind w:left="2084" w:hanging="720"/>
      </w:pPr>
      <w:rPr>
        <w:rFonts w:ascii="Tw Cen MT" w:eastAsia="MS PGothic" w:hAnsi="Tw Cen MT"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4F105FD7"/>
    <w:multiLevelType w:val="multilevel"/>
    <w:tmpl w:val="1174F3AA"/>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50127A7C"/>
    <w:multiLevelType w:val="hybridMultilevel"/>
    <w:tmpl w:val="BD7855C2"/>
    <w:lvl w:ilvl="0" w:tplc="D3BA09AE">
      <w:start w:val="1"/>
      <w:numFmt w:val="bullet"/>
      <w:pStyle w:val="ListParagraph"/>
      <w:lvlText w:val=""/>
      <w:lvlJc w:val="left"/>
      <w:pPr>
        <w:ind w:left="284" w:hanging="284"/>
      </w:pPr>
      <w:rPr>
        <w:rFonts w:ascii="Symbol" w:hAnsi="Symbol" w:hint="default"/>
      </w:rPr>
    </w:lvl>
    <w:lvl w:ilvl="1" w:tplc="51A23D14">
      <w:start w:val="2015"/>
      <w:numFmt w:val="bullet"/>
      <w:lvlText w:val="•"/>
      <w:lvlJc w:val="left"/>
      <w:pPr>
        <w:ind w:left="1800" w:hanging="720"/>
      </w:pPr>
      <w:rPr>
        <w:rFonts w:ascii="Tw Cen MT" w:eastAsia="MS PGothic" w:hAnsi="Tw Cen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3D47B8"/>
    <w:multiLevelType w:val="multilevel"/>
    <w:tmpl w:val="00B0D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9D17AEE"/>
    <w:multiLevelType w:val="hybridMultilevel"/>
    <w:tmpl w:val="A80E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FB4037"/>
    <w:multiLevelType w:val="hybridMultilevel"/>
    <w:tmpl w:val="9B1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D77FE7"/>
    <w:multiLevelType w:val="hybridMultilevel"/>
    <w:tmpl w:val="B2ACF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673DBB"/>
    <w:multiLevelType w:val="hybridMultilevel"/>
    <w:tmpl w:val="E8FA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783D48"/>
    <w:multiLevelType w:val="multilevel"/>
    <w:tmpl w:val="9B105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78CE56BE"/>
    <w:multiLevelType w:val="hybridMultilevel"/>
    <w:tmpl w:val="FAF0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3"/>
  </w:num>
  <w:num w:numId="4">
    <w:abstractNumId w:val="7"/>
  </w:num>
  <w:num w:numId="5">
    <w:abstractNumId w:val="0"/>
  </w:num>
  <w:num w:numId="6">
    <w:abstractNumId w:val="8"/>
  </w:num>
  <w:num w:numId="7">
    <w:abstractNumId w:val="5"/>
  </w:num>
  <w:num w:numId="8">
    <w:abstractNumId w:val="9"/>
  </w:num>
  <w:num w:numId="9">
    <w:abstractNumId w:val="4"/>
  </w:num>
  <w:num w:numId="10">
    <w:abstractNumId w:val="12"/>
  </w:num>
  <w:num w:numId="11">
    <w:abstractNumId w:val="2"/>
  </w:num>
  <w:num w:numId="12">
    <w:abstractNumId w:val="13"/>
  </w:num>
  <w:num w:numId="13">
    <w:abstractNumId w:val="6"/>
  </w:num>
  <w:num w:numId="14">
    <w:abstractNumId w:val="15"/>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6FA"/>
    <w:rsid w:val="000045AB"/>
    <w:rsid w:val="00004F7C"/>
    <w:rsid w:val="00011BAF"/>
    <w:rsid w:val="00022E27"/>
    <w:rsid w:val="000A622D"/>
    <w:rsid w:val="000C4CED"/>
    <w:rsid w:val="000D5804"/>
    <w:rsid w:val="000E52C9"/>
    <w:rsid w:val="00104BB7"/>
    <w:rsid w:val="001124F5"/>
    <w:rsid w:val="001134D0"/>
    <w:rsid w:val="0013128D"/>
    <w:rsid w:val="00134693"/>
    <w:rsid w:val="00154561"/>
    <w:rsid w:val="00161A61"/>
    <w:rsid w:val="001B7A58"/>
    <w:rsid w:val="001F5E34"/>
    <w:rsid w:val="00200168"/>
    <w:rsid w:val="0020736F"/>
    <w:rsid w:val="002136CF"/>
    <w:rsid w:val="00247E3B"/>
    <w:rsid w:val="00280B51"/>
    <w:rsid w:val="003064FB"/>
    <w:rsid w:val="00391EF5"/>
    <w:rsid w:val="003A44F0"/>
    <w:rsid w:val="003B027B"/>
    <w:rsid w:val="003C294A"/>
    <w:rsid w:val="003C3C0E"/>
    <w:rsid w:val="003E40E5"/>
    <w:rsid w:val="003E428A"/>
    <w:rsid w:val="003E53B6"/>
    <w:rsid w:val="00430692"/>
    <w:rsid w:val="00474B8E"/>
    <w:rsid w:val="004E134D"/>
    <w:rsid w:val="004F46FA"/>
    <w:rsid w:val="00524783"/>
    <w:rsid w:val="00526FF1"/>
    <w:rsid w:val="00603EAD"/>
    <w:rsid w:val="0061057D"/>
    <w:rsid w:val="006317AD"/>
    <w:rsid w:val="00645EED"/>
    <w:rsid w:val="006D1CC6"/>
    <w:rsid w:val="006D73FB"/>
    <w:rsid w:val="006E1FC1"/>
    <w:rsid w:val="006F6E78"/>
    <w:rsid w:val="00705C0C"/>
    <w:rsid w:val="007212F6"/>
    <w:rsid w:val="007569A0"/>
    <w:rsid w:val="007F1E6D"/>
    <w:rsid w:val="007F34E9"/>
    <w:rsid w:val="008250A4"/>
    <w:rsid w:val="00846F09"/>
    <w:rsid w:val="00863E6E"/>
    <w:rsid w:val="00875BB1"/>
    <w:rsid w:val="008851D0"/>
    <w:rsid w:val="008A5DB1"/>
    <w:rsid w:val="008C304A"/>
    <w:rsid w:val="008D3399"/>
    <w:rsid w:val="008F2E48"/>
    <w:rsid w:val="00921E78"/>
    <w:rsid w:val="0092374A"/>
    <w:rsid w:val="00923FE9"/>
    <w:rsid w:val="00956B6B"/>
    <w:rsid w:val="009733A9"/>
    <w:rsid w:val="00987C27"/>
    <w:rsid w:val="00990528"/>
    <w:rsid w:val="009A5DEA"/>
    <w:rsid w:val="009C56CF"/>
    <w:rsid w:val="009D41C0"/>
    <w:rsid w:val="009E1CA0"/>
    <w:rsid w:val="009E4751"/>
    <w:rsid w:val="009F77BB"/>
    <w:rsid w:val="009F7C8D"/>
    <w:rsid w:val="00A0143F"/>
    <w:rsid w:val="00A44319"/>
    <w:rsid w:val="00A772F3"/>
    <w:rsid w:val="00AF2353"/>
    <w:rsid w:val="00B06251"/>
    <w:rsid w:val="00B06F89"/>
    <w:rsid w:val="00B2585A"/>
    <w:rsid w:val="00B74347"/>
    <w:rsid w:val="00B81739"/>
    <w:rsid w:val="00B87A65"/>
    <w:rsid w:val="00B977F7"/>
    <w:rsid w:val="00C4267C"/>
    <w:rsid w:val="00CA28D0"/>
    <w:rsid w:val="00CF433F"/>
    <w:rsid w:val="00D37211"/>
    <w:rsid w:val="00D84598"/>
    <w:rsid w:val="00DC1CB8"/>
    <w:rsid w:val="00DD6F88"/>
    <w:rsid w:val="00E24F93"/>
    <w:rsid w:val="00E500CD"/>
    <w:rsid w:val="00E51320"/>
    <w:rsid w:val="00E535CF"/>
    <w:rsid w:val="00E9021D"/>
    <w:rsid w:val="00EA6BAC"/>
    <w:rsid w:val="00F304DE"/>
    <w:rsid w:val="00FB2422"/>
    <w:rsid w:val="00FB4B17"/>
    <w:rsid w:val="00FE6E28"/>
    <w:rsid w:val="00FF5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Gothic"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BB7"/>
    <w:rPr>
      <w:rFonts w:ascii="Tw Cen MT" w:hAnsi="Tw Cen MT"/>
      <w:color w:val="000000"/>
      <w:sz w:val="22"/>
      <w:szCs w:val="24"/>
    </w:rPr>
  </w:style>
  <w:style w:type="paragraph" w:styleId="Heading1">
    <w:name w:val="heading 1"/>
    <w:basedOn w:val="Normal"/>
    <w:next w:val="Normal"/>
    <w:link w:val="Heading1Char"/>
    <w:uiPriority w:val="9"/>
    <w:qFormat/>
    <w:rsid w:val="003A44F0"/>
    <w:pPr>
      <w:keepNext/>
      <w:keepLines/>
      <w:spacing w:before="480" w:after="200"/>
      <w:outlineLvl w:val="0"/>
    </w:pPr>
    <w:rPr>
      <w:b/>
      <w:bCs/>
      <w:color w:val="E64626"/>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b/>
      <w:bCs/>
      <w:color w:val="E64626"/>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44F0"/>
    <w:rPr>
      <w:rFonts w:ascii="Tw Cen MT" w:eastAsia="MS PGothic" w:hAnsi="Tw Cen MT" w:cs="Times New Roman"/>
      <w:b/>
      <w:bCs/>
      <w:color w:val="E64626"/>
      <w:sz w:val="48"/>
      <w:szCs w:val="32"/>
    </w:rPr>
  </w:style>
  <w:style w:type="character" w:customStyle="1" w:styleId="Heading2Char">
    <w:name w:val="Heading 2 Char"/>
    <w:link w:val="Heading2"/>
    <w:uiPriority w:val="9"/>
    <w:rsid w:val="003A44F0"/>
    <w:rPr>
      <w:rFonts w:ascii="Tw Cen MT" w:eastAsia="MS PGothic" w:hAnsi="Tw Cen MT" w:cs="Times New Roman"/>
      <w:bCs/>
      <w:color w:val="000000"/>
      <w:sz w:val="40"/>
      <w:szCs w:val="26"/>
    </w:rPr>
  </w:style>
  <w:style w:type="character" w:customStyle="1" w:styleId="Heading3Char">
    <w:name w:val="Heading 3 Char"/>
    <w:link w:val="Heading3"/>
    <w:uiPriority w:val="9"/>
    <w:rsid w:val="00D84598"/>
    <w:rPr>
      <w:rFonts w:ascii="Tw Cen MT" w:eastAsia="MS PGothic" w:hAnsi="Tw Cen MT" w:cs="Times New Roman"/>
      <w:b/>
      <w:bCs/>
      <w:color w:val="E64626"/>
      <w:sz w:val="26"/>
    </w:rPr>
  </w:style>
  <w:style w:type="paragraph" w:styleId="ListParagraph">
    <w:name w:val="List Paragraph"/>
    <w:basedOn w:val="Normal"/>
    <w:uiPriority w:val="34"/>
    <w:qFormat/>
    <w:rsid w:val="00200168"/>
    <w:pPr>
      <w:numPr>
        <w:numId w:val="6"/>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unhideWhenUsed/>
    <w:rsid w:val="00E535CF"/>
    <w:rPr>
      <w:rFonts w:ascii="Lucida Grande" w:hAnsi="Lucida Grande" w:cs="Lucida Grande"/>
      <w:sz w:val="18"/>
      <w:szCs w:val="18"/>
    </w:rPr>
  </w:style>
  <w:style w:type="character" w:customStyle="1" w:styleId="BalloonTextChar">
    <w:name w:val="Balloon Text Char"/>
    <w:link w:val="BalloonText"/>
    <w:uiPriority w:val="99"/>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645EED"/>
    <w:pPr>
      <w:spacing w:before="1400"/>
      <w:ind w:left="1134" w:right="-907"/>
    </w:pPr>
    <w:rPr>
      <w:b/>
      <w:color w:val="E64626"/>
      <w:sz w:val="48"/>
    </w:rPr>
  </w:style>
  <w:style w:type="character" w:customStyle="1" w:styleId="TitleChar">
    <w:name w:val="Title Char"/>
    <w:link w:val="Title"/>
    <w:uiPriority w:val="10"/>
    <w:rsid w:val="00645EED"/>
    <w:rPr>
      <w:rFonts w:ascii="Tw Cen MT" w:hAnsi="Tw Cen MT"/>
      <w:b/>
      <w:color w:val="E64626"/>
      <w:sz w:val="48"/>
    </w:rPr>
  </w:style>
  <w:style w:type="paragraph" w:styleId="Subtitle">
    <w:name w:val="Subtitle"/>
    <w:basedOn w:val="Normal"/>
    <w:next w:val="Normal"/>
    <w:link w:val="SubtitleChar"/>
    <w:uiPriority w:val="11"/>
    <w:qFormat/>
    <w:rsid w:val="00645EED"/>
    <w:pPr>
      <w:spacing w:before="200"/>
      <w:ind w:left="1134" w:right="-907"/>
    </w:pPr>
    <w:rPr>
      <w:sz w:val="40"/>
      <w:szCs w:val="40"/>
    </w:rPr>
  </w:style>
  <w:style w:type="character" w:customStyle="1" w:styleId="SubtitleChar">
    <w:name w:val="Subtitle Char"/>
    <w:link w:val="Subtitle"/>
    <w:uiPriority w:val="11"/>
    <w:rsid w:val="00645EED"/>
    <w:rPr>
      <w:rFonts w:ascii="Tw Cen MT" w:hAnsi="Tw Cen MT"/>
      <w:color w:val="000000"/>
      <w:sz w:val="40"/>
      <w:szCs w:val="40"/>
    </w:rPr>
  </w:style>
  <w:style w:type="table" w:styleId="TableGrid">
    <w:name w:val="Table Grid"/>
    <w:basedOn w:val="TableNormal"/>
    <w:uiPriority w:val="59"/>
    <w:rsid w:val="00CA2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Ind w:w="0" w:type="dxa"/>
      <w:tblBorders>
        <w:top w:val="single" w:sz="8" w:space="0" w:color="000000"/>
        <w:bottom w:val="single" w:sz="12" w:space="0" w:color="000000"/>
        <w:insideH w:val="single" w:sz="4" w:space="0" w:color="000000"/>
      </w:tblBorders>
      <w:tblCellMar>
        <w:top w:w="0" w:type="dxa"/>
        <w:left w:w="108" w:type="dxa"/>
        <w:bottom w:w="0" w:type="dxa"/>
        <w:right w:w="108" w:type="dxa"/>
      </w:tblCellMar>
    </w:tblPr>
    <w:tblStylePr w:type="firstRow">
      <w:pPr>
        <w:spacing w:before="0" w:after="0" w:line="240" w:lineRule="auto"/>
      </w:pPr>
      <w:rPr>
        <w:rFonts w:ascii="Tw Cen MT" w:hAnsi="Tw Cen MT"/>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Ind w:w="0" w:type="dxa"/>
      <w:tblBorders>
        <w:top w:val="single" w:sz="8" w:space="0" w:color="5496DB"/>
        <w:bottom w:val="single" w:sz="8" w:space="0" w:color="5496D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Ind w:w="0" w:type="dxa"/>
      <w:tblBorders>
        <w:top w:val="single" w:sz="8" w:space="0" w:color="E64626"/>
        <w:bottom w:val="single" w:sz="8" w:space="0" w:color="E6462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Ind w:w="0" w:type="dxa"/>
      <w:tblBorders>
        <w:top w:val="single" w:sz="8" w:space="0" w:color="E64626"/>
        <w:left w:val="single" w:sz="8" w:space="0" w:color="E64626"/>
        <w:bottom w:val="single" w:sz="8" w:space="0" w:color="E64626"/>
        <w:right w:val="single" w:sz="8" w:space="0" w:color="E6462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table" w:styleId="MediumShading2-Accent2">
    <w:name w:val="Medium Shading 2 Accent 2"/>
    <w:basedOn w:val="TableNormal"/>
    <w:uiPriority w:val="64"/>
    <w:rsid w:val="007569A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802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8025" w:themeFill="accent2"/>
      </w:tcPr>
    </w:tblStylePr>
    <w:tblStylePr w:type="lastCol">
      <w:rPr>
        <w:b/>
        <w:bCs/>
        <w:color w:val="FFFFFF" w:themeColor="background1"/>
      </w:rPr>
      <w:tblPr/>
      <w:tcPr>
        <w:tcBorders>
          <w:left w:val="nil"/>
          <w:right w:val="nil"/>
          <w:insideH w:val="nil"/>
          <w:insideV w:val="nil"/>
        </w:tcBorders>
        <w:shd w:val="clear" w:color="auto" w:fill="EF802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6B6B"/>
    <w:tblPr>
      <w:tblStyleRowBandSize w:val="1"/>
      <w:tblStyleColBandSize w:val="1"/>
      <w:tblInd w:w="0" w:type="dxa"/>
      <w:tblBorders>
        <w:top w:val="single" w:sz="8" w:space="0" w:color="F39F5B" w:themeColor="accent2" w:themeTint="BF"/>
        <w:left w:val="single" w:sz="8" w:space="0" w:color="F39F5B" w:themeColor="accent2" w:themeTint="BF"/>
        <w:bottom w:val="single" w:sz="8" w:space="0" w:color="F39F5B" w:themeColor="accent2" w:themeTint="BF"/>
        <w:right w:val="single" w:sz="8" w:space="0" w:color="F39F5B" w:themeColor="accent2" w:themeTint="BF"/>
        <w:insideH w:val="single" w:sz="8" w:space="0" w:color="F39F5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9F5B" w:themeColor="accent2" w:themeTint="BF"/>
          <w:left w:val="single" w:sz="8" w:space="0" w:color="F39F5B" w:themeColor="accent2" w:themeTint="BF"/>
          <w:bottom w:val="single" w:sz="8" w:space="0" w:color="F39F5B" w:themeColor="accent2" w:themeTint="BF"/>
          <w:right w:val="single" w:sz="8" w:space="0" w:color="F39F5B" w:themeColor="accent2" w:themeTint="BF"/>
          <w:insideH w:val="nil"/>
          <w:insideV w:val="nil"/>
        </w:tcBorders>
        <w:shd w:val="clear" w:color="auto" w:fill="EF8025" w:themeFill="accent2"/>
      </w:tcPr>
    </w:tblStylePr>
    <w:tblStylePr w:type="lastRow">
      <w:pPr>
        <w:spacing w:before="0" w:after="0" w:line="240" w:lineRule="auto"/>
      </w:pPr>
      <w:rPr>
        <w:b/>
        <w:bCs/>
      </w:rPr>
      <w:tblPr/>
      <w:tcPr>
        <w:tcBorders>
          <w:top w:val="double" w:sz="6" w:space="0" w:color="F39F5B" w:themeColor="accent2" w:themeTint="BF"/>
          <w:left w:val="single" w:sz="8" w:space="0" w:color="F39F5B" w:themeColor="accent2" w:themeTint="BF"/>
          <w:bottom w:val="single" w:sz="8" w:space="0" w:color="F39F5B" w:themeColor="accent2" w:themeTint="BF"/>
          <w:right w:val="single" w:sz="8" w:space="0" w:color="F39F5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FC8" w:themeFill="accent2" w:themeFillTint="3F"/>
      </w:tcPr>
    </w:tblStylePr>
    <w:tblStylePr w:type="band1Horz">
      <w:tblPr/>
      <w:tcPr>
        <w:tcBorders>
          <w:insideH w:val="nil"/>
          <w:insideV w:val="nil"/>
        </w:tcBorders>
        <w:shd w:val="clear" w:color="auto" w:fill="FBDFC8" w:themeFill="accent2" w:themeFillTint="3F"/>
      </w:tcPr>
    </w:tblStylePr>
    <w:tblStylePr w:type="band2Horz">
      <w:tblPr/>
      <w:tcPr>
        <w:tcBorders>
          <w:insideH w:val="nil"/>
          <w:insideV w:val="nil"/>
        </w:tcBorders>
      </w:tcPr>
    </w:tblStylePr>
  </w:style>
  <w:style w:type="paragraph" w:customStyle="1" w:styleId="233E5CD5853943F4BD7E8C4B124C0E1D">
    <w:name w:val="233E5CD5853943F4BD7E8C4B124C0E1D"/>
    <w:rsid w:val="006D1CC6"/>
    <w:pPr>
      <w:spacing w:after="200" w:line="276" w:lineRule="auto"/>
    </w:pPr>
    <w:rPr>
      <w:rFonts w:asciiTheme="minorHAnsi" w:eastAsiaTheme="minorEastAsia" w:hAnsiTheme="minorHAnsi" w:cstheme="minorBidi"/>
      <w:sz w:val="22"/>
      <w:szCs w:val="22"/>
      <w:lang w:eastAsia="ja-JP"/>
    </w:rPr>
  </w:style>
  <w:style w:type="table" w:styleId="ColorfulGrid-Accent2">
    <w:name w:val="Colorful Grid Accent 2"/>
    <w:basedOn w:val="TableNormal"/>
    <w:uiPriority w:val="73"/>
    <w:rsid w:val="00B7434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5D3" w:themeFill="accent2" w:themeFillTint="33"/>
    </w:tcPr>
    <w:tblStylePr w:type="firstRow">
      <w:rPr>
        <w:b/>
        <w:bCs/>
      </w:rPr>
      <w:tblPr/>
      <w:tcPr>
        <w:shd w:val="clear" w:color="auto" w:fill="F8CBA7" w:themeFill="accent2" w:themeFillTint="66"/>
      </w:tcPr>
    </w:tblStylePr>
    <w:tblStylePr w:type="lastRow">
      <w:rPr>
        <w:b/>
        <w:bCs/>
        <w:color w:val="000000" w:themeColor="text1"/>
      </w:rPr>
      <w:tblPr/>
      <w:tcPr>
        <w:shd w:val="clear" w:color="auto" w:fill="F8CBA7" w:themeFill="accent2" w:themeFillTint="66"/>
      </w:tcPr>
    </w:tblStylePr>
    <w:tblStylePr w:type="firstCol">
      <w:rPr>
        <w:color w:val="FFFFFF" w:themeColor="background1"/>
      </w:rPr>
      <w:tblPr/>
      <w:tcPr>
        <w:shd w:val="clear" w:color="auto" w:fill="C05D0E" w:themeFill="accent2" w:themeFillShade="BF"/>
      </w:tcPr>
    </w:tblStylePr>
    <w:tblStylePr w:type="lastCol">
      <w:rPr>
        <w:color w:val="FFFFFF" w:themeColor="background1"/>
      </w:rPr>
      <w:tblPr/>
      <w:tcPr>
        <w:shd w:val="clear" w:color="auto" w:fill="C05D0E" w:themeFill="accent2" w:themeFillShade="BF"/>
      </w:tcPr>
    </w:tblStylePr>
    <w:tblStylePr w:type="band1Vert">
      <w:tblPr/>
      <w:tcPr>
        <w:shd w:val="clear" w:color="auto" w:fill="F7BF92" w:themeFill="accent2" w:themeFillTint="7F"/>
      </w:tcPr>
    </w:tblStylePr>
    <w:tblStylePr w:type="band1Horz">
      <w:tblPr/>
      <w:tcPr>
        <w:shd w:val="clear" w:color="auto" w:fill="F7BF92" w:themeFill="accent2" w:themeFillTint="7F"/>
      </w:tcPr>
    </w:tblStylePr>
  </w:style>
  <w:style w:type="table" w:styleId="MediumGrid3-Accent2">
    <w:name w:val="Medium Grid 3 Accent 2"/>
    <w:basedOn w:val="TableNormal"/>
    <w:uiPriority w:val="69"/>
    <w:rsid w:val="00B7434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DF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802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802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F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F92" w:themeFill="accent2" w:themeFillTint="7F"/>
      </w:tcPr>
    </w:tblStylePr>
  </w:style>
  <w:style w:type="table" w:customStyle="1" w:styleId="MediumGrid3-Accent21">
    <w:name w:val="Medium Grid 3 - Accent 21"/>
    <w:basedOn w:val="TableNormal"/>
    <w:next w:val="MediumGrid3-Accent2"/>
    <w:uiPriority w:val="69"/>
    <w:rsid w:val="00B7434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DF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802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802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F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F92" w:themeFill="accent2" w:themeFillTint="7F"/>
      </w:tcPr>
    </w:tblStylePr>
  </w:style>
  <w:style w:type="table" w:styleId="LightGrid-Accent6">
    <w:name w:val="Light Grid Accent 6"/>
    <w:basedOn w:val="TableNormal"/>
    <w:uiPriority w:val="62"/>
    <w:rsid w:val="00F304DE"/>
    <w:tblPr>
      <w:tblStyleRowBandSize w:val="1"/>
      <w:tblStyleColBandSize w:val="1"/>
      <w:tblInd w:w="0" w:type="dxa"/>
      <w:tblBorders>
        <w:top w:val="single" w:sz="8" w:space="0" w:color="0148A4" w:themeColor="accent6"/>
        <w:left w:val="single" w:sz="8" w:space="0" w:color="0148A4" w:themeColor="accent6"/>
        <w:bottom w:val="single" w:sz="8" w:space="0" w:color="0148A4" w:themeColor="accent6"/>
        <w:right w:val="single" w:sz="8" w:space="0" w:color="0148A4" w:themeColor="accent6"/>
        <w:insideH w:val="single" w:sz="8" w:space="0" w:color="0148A4" w:themeColor="accent6"/>
        <w:insideV w:val="single" w:sz="8" w:space="0" w:color="0148A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148A4" w:themeColor="accent6"/>
          <w:left w:val="single" w:sz="8" w:space="0" w:color="0148A4" w:themeColor="accent6"/>
          <w:bottom w:val="single" w:sz="18" w:space="0" w:color="0148A4" w:themeColor="accent6"/>
          <w:right w:val="single" w:sz="8" w:space="0" w:color="0148A4" w:themeColor="accent6"/>
          <w:insideH w:val="nil"/>
          <w:insideV w:val="single" w:sz="8" w:space="0" w:color="0148A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48A4" w:themeColor="accent6"/>
          <w:left w:val="single" w:sz="8" w:space="0" w:color="0148A4" w:themeColor="accent6"/>
          <w:bottom w:val="single" w:sz="8" w:space="0" w:color="0148A4" w:themeColor="accent6"/>
          <w:right w:val="single" w:sz="8" w:space="0" w:color="0148A4" w:themeColor="accent6"/>
          <w:insideH w:val="nil"/>
          <w:insideV w:val="single" w:sz="8" w:space="0" w:color="0148A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48A4" w:themeColor="accent6"/>
          <w:left w:val="single" w:sz="8" w:space="0" w:color="0148A4" w:themeColor="accent6"/>
          <w:bottom w:val="single" w:sz="8" w:space="0" w:color="0148A4" w:themeColor="accent6"/>
          <w:right w:val="single" w:sz="8" w:space="0" w:color="0148A4" w:themeColor="accent6"/>
        </w:tcBorders>
      </w:tcPr>
    </w:tblStylePr>
    <w:tblStylePr w:type="band1Vert">
      <w:tblPr/>
      <w:tcPr>
        <w:tcBorders>
          <w:top w:val="single" w:sz="8" w:space="0" w:color="0148A4" w:themeColor="accent6"/>
          <w:left w:val="single" w:sz="8" w:space="0" w:color="0148A4" w:themeColor="accent6"/>
          <w:bottom w:val="single" w:sz="8" w:space="0" w:color="0148A4" w:themeColor="accent6"/>
          <w:right w:val="single" w:sz="8" w:space="0" w:color="0148A4" w:themeColor="accent6"/>
        </w:tcBorders>
        <w:shd w:val="clear" w:color="auto" w:fill="AACEFE" w:themeFill="accent6" w:themeFillTint="3F"/>
      </w:tcPr>
    </w:tblStylePr>
    <w:tblStylePr w:type="band1Horz">
      <w:tblPr/>
      <w:tcPr>
        <w:tcBorders>
          <w:top w:val="single" w:sz="8" w:space="0" w:color="0148A4" w:themeColor="accent6"/>
          <w:left w:val="single" w:sz="8" w:space="0" w:color="0148A4" w:themeColor="accent6"/>
          <w:bottom w:val="single" w:sz="8" w:space="0" w:color="0148A4" w:themeColor="accent6"/>
          <w:right w:val="single" w:sz="8" w:space="0" w:color="0148A4" w:themeColor="accent6"/>
          <w:insideV w:val="single" w:sz="8" w:space="0" w:color="0148A4" w:themeColor="accent6"/>
        </w:tcBorders>
        <w:shd w:val="clear" w:color="auto" w:fill="AACEFE" w:themeFill="accent6" w:themeFillTint="3F"/>
      </w:tcPr>
    </w:tblStylePr>
    <w:tblStylePr w:type="band2Horz">
      <w:tblPr/>
      <w:tcPr>
        <w:tcBorders>
          <w:top w:val="single" w:sz="8" w:space="0" w:color="0148A4" w:themeColor="accent6"/>
          <w:left w:val="single" w:sz="8" w:space="0" w:color="0148A4" w:themeColor="accent6"/>
          <w:bottom w:val="single" w:sz="8" w:space="0" w:color="0148A4" w:themeColor="accent6"/>
          <w:right w:val="single" w:sz="8" w:space="0" w:color="0148A4" w:themeColor="accent6"/>
          <w:insideV w:val="single" w:sz="8" w:space="0" w:color="0148A4"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PGothic"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BB7"/>
    <w:rPr>
      <w:rFonts w:ascii="Tw Cen MT" w:hAnsi="Tw Cen MT"/>
      <w:color w:val="000000"/>
      <w:sz w:val="22"/>
      <w:szCs w:val="24"/>
    </w:rPr>
  </w:style>
  <w:style w:type="paragraph" w:styleId="Heading1">
    <w:name w:val="heading 1"/>
    <w:basedOn w:val="Normal"/>
    <w:next w:val="Normal"/>
    <w:link w:val="Heading1Char"/>
    <w:uiPriority w:val="9"/>
    <w:qFormat/>
    <w:rsid w:val="003A44F0"/>
    <w:pPr>
      <w:keepNext/>
      <w:keepLines/>
      <w:spacing w:before="480" w:after="200"/>
      <w:outlineLvl w:val="0"/>
    </w:pPr>
    <w:rPr>
      <w:b/>
      <w:bCs/>
      <w:color w:val="E64626"/>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b/>
      <w:bCs/>
      <w:color w:val="E64626"/>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44F0"/>
    <w:rPr>
      <w:rFonts w:ascii="Tw Cen MT" w:eastAsia="MS PGothic" w:hAnsi="Tw Cen MT" w:cs="Times New Roman"/>
      <w:b/>
      <w:bCs/>
      <w:color w:val="E64626"/>
      <w:sz w:val="48"/>
      <w:szCs w:val="32"/>
    </w:rPr>
  </w:style>
  <w:style w:type="character" w:customStyle="1" w:styleId="Heading2Char">
    <w:name w:val="Heading 2 Char"/>
    <w:link w:val="Heading2"/>
    <w:uiPriority w:val="9"/>
    <w:rsid w:val="003A44F0"/>
    <w:rPr>
      <w:rFonts w:ascii="Tw Cen MT" w:eastAsia="MS PGothic" w:hAnsi="Tw Cen MT" w:cs="Times New Roman"/>
      <w:bCs/>
      <w:color w:val="000000"/>
      <w:sz w:val="40"/>
      <w:szCs w:val="26"/>
    </w:rPr>
  </w:style>
  <w:style w:type="character" w:customStyle="1" w:styleId="Heading3Char">
    <w:name w:val="Heading 3 Char"/>
    <w:link w:val="Heading3"/>
    <w:uiPriority w:val="9"/>
    <w:rsid w:val="00D84598"/>
    <w:rPr>
      <w:rFonts w:ascii="Tw Cen MT" w:eastAsia="MS PGothic" w:hAnsi="Tw Cen MT" w:cs="Times New Roman"/>
      <w:b/>
      <w:bCs/>
      <w:color w:val="E64626"/>
      <w:sz w:val="26"/>
    </w:rPr>
  </w:style>
  <w:style w:type="paragraph" w:styleId="ListParagraph">
    <w:name w:val="List Paragraph"/>
    <w:basedOn w:val="Normal"/>
    <w:uiPriority w:val="34"/>
    <w:qFormat/>
    <w:rsid w:val="00200168"/>
    <w:pPr>
      <w:numPr>
        <w:numId w:val="6"/>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unhideWhenUsed/>
    <w:rsid w:val="00E535CF"/>
    <w:rPr>
      <w:rFonts w:ascii="Lucida Grande" w:hAnsi="Lucida Grande" w:cs="Lucida Grande"/>
      <w:sz w:val="18"/>
      <w:szCs w:val="18"/>
    </w:rPr>
  </w:style>
  <w:style w:type="character" w:customStyle="1" w:styleId="BalloonTextChar">
    <w:name w:val="Balloon Text Char"/>
    <w:link w:val="BalloonText"/>
    <w:uiPriority w:val="99"/>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645EED"/>
    <w:pPr>
      <w:spacing w:before="1400"/>
      <w:ind w:left="1134" w:right="-907"/>
    </w:pPr>
    <w:rPr>
      <w:b/>
      <w:color w:val="E64626"/>
      <w:sz w:val="48"/>
    </w:rPr>
  </w:style>
  <w:style w:type="character" w:customStyle="1" w:styleId="TitleChar">
    <w:name w:val="Title Char"/>
    <w:link w:val="Title"/>
    <w:uiPriority w:val="10"/>
    <w:rsid w:val="00645EED"/>
    <w:rPr>
      <w:rFonts w:ascii="Tw Cen MT" w:hAnsi="Tw Cen MT"/>
      <w:b/>
      <w:color w:val="E64626"/>
      <w:sz w:val="48"/>
    </w:rPr>
  </w:style>
  <w:style w:type="paragraph" w:styleId="Subtitle">
    <w:name w:val="Subtitle"/>
    <w:basedOn w:val="Normal"/>
    <w:next w:val="Normal"/>
    <w:link w:val="SubtitleChar"/>
    <w:uiPriority w:val="11"/>
    <w:qFormat/>
    <w:rsid w:val="00645EED"/>
    <w:pPr>
      <w:spacing w:before="200"/>
      <w:ind w:left="1134" w:right="-907"/>
    </w:pPr>
    <w:rPr>
      <w:sz w:val="40"/>
      <w:szCs w:val="40"/>
    </w:rPr>
  </w:style>
  <w:style w:type="character" w:customStyle="1" w:styleId="SubtitleChar">
    <w:name w:val="Subtitle Char"/>
    <w:link w:val="Subtitle"/>
    <w:uiPriority w:val="11"/>
    <w:rsid w:val="00645EED"/>
    <w:rPr>
      <w:rFonts w:ascii="Tw Cen MT" w:hAnsi="Tw Cen MT"/>
      <w:color w:val="000000"/>
      <w:sz w:val="40"/>
      <w:szCs w:val="40"/>
    </w:rPr>
  </w:style>
  <w:style w:type="table" w:styleId="TableGrid">
    <w:name w:val="Table Grid"/>
    <w:basedOn w:val="TableNormal"/>
    <w:uiPriority w:val="59"/>
    <w:rsid w:val="00CA2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Ind w:w="0" w:type="dxa"/>
      <w:tblBorders>
        <w:top w:val="single" w:sz="8" w:space="0" w:color="000000"/>
        <w:bottom w:val="single" w:sz="12" w:space="0" w:color="000000"/>
        <w:insideH w:val="single" w:sz="4" w:space="0" w:color="000000"/>
      </w:tblBorders>
      <w:tblCellMar>
        <w:top w:w="0" w:type="dxa"/>
        <w:left w:w="108" w:type="dxa"/>
        <w:bottom w:w="0" w:type="dxa"/>
        <w:right w:w="108" w:type="dxa"/>
      </w:tblCellMar>
    </w:tblPr>
    <w:tblStylePr w:type="firstRow">
      <w:pPr>
        <w:spacing w:before="0" w:after="0" w:line="240" w:lineRule="auto"/>
      </w:pPr>
      <w:rPr>
        <w:rFonts w:ascii="Tw Cen MT" w:hAnsi="Tw Cen MT"/>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Ind w:w="0" w:type="dxa"/>
      <w:tblBorders>
        <w:top w:val="single" w:sz="8" w:space="0" w:color="5496DB"/>
        <w:bottom w:val="single" w:sz="8" w:space="0" w:color="5496D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Ind w:w="0" w:type="dxa"/>
      <w:tblBorders>
        <w:top w:val="single" w:sz="8" w:space="0" w:color="E64626"/>
        <w:bottom w:val="single" w:sz="8" w:space="0" w:color="E6462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Ind w:w="0" w:type="dxa"/>
      <w:tblBorders>
        <w:top w:val="single" w:sz="8" w:space="0" w:color="E64626"/>
        <w:left w:val="single" w:sz="8" w:space="0" w:color="E64626"/>
        <w:bottom w:val="single" w:sz="8" w:space="0" w:color="E64626"/>
        <w:right w:val="single" w:sz="8" w:space="0" w:color="E6462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table" w:styleId="MediumShading2-Accent2">
    <w:name w:val="Medium Shading 2 Accent 2"/>
    <w:basedOn w:val="TableNormal"/>
    <w:uiPriority w:val="64"/>
    <w:rsid w:val="007569A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802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8025" w:themeFill="accent2"/>
      </w:tcPr>
    </w:tblStylePr>
    <w:tblStylePr w:type="lastCol">
      <w:rPr>
        <w:b/>
        <w:bCs/>
        <w:color w:val="FFFFFF" w:themeColor="background1"/>
      </w:rPr>
      <w:tblPr/>
      <w:tcPr>
        <w:tcBorders>
          <w:left w:val="nil"/>
          <w:right w:val="nil"/>
          <w:insideH w:val="nil"/>
          <w:insideV w:val="nil"/>
        </w:tcBorders>
        <w:shd w:val="clear" w:color="auto" w:fill="EF802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6B6B"/>
    <w:tblPr>
      <w:tblStyleRowBandSize w:val="1"/>
      <w:tblStyleColBandSize w:val="1"/>
      <w:tblInd w:w="0" w:type="dxa"/>
      <w:tblBorders>
        <w:top w:val="single" w:sz="8" w:space="0" w:color="F39F5B" w:themeColor="accent2" w:themeTint="BF"/>
        <w:left w:val="single" w:sz="8" w:space="0" w:color="F39F5B" w:themeColor="accent2" w:themeTint="BF"/>
        <w:bottom w:val="single" w:sz="8" w:space="0" w:color="F39F5B" w:themeColor="accent2" w:themeTint="BF"/>
        <w:right w:val="single" w:sz="8" w:space="0" w:color="F39F5B" w:themeColor="accent2" w:themeTint="BF"/>
        <w:insideH w:val="single" w:sz="8" w:space="0" w:color="F39F5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9F5B" w:themeColor="accent2" w:themeTint="BF"/>
          <w:left w:val="single" w:sz="8" w:space="0" w:color="F39F5B" w:themeColor="accent2" w:themeTint="BF"/>
          <w:bottom w:val="single" w:sz="8" w:space="0" w:color="F39F5B" w:themeColor="accent2" w:themeTint="BF"/>
          <w:right w:val="single" w:sz="8" w:space="0" w:color="F39F5B" w:themeColor="accent2" w:themeTint="BF"/>
          <w:insideH w:val="nil"/>
          <w:insideV w:val="nil"/>
        </w:tcBorders>
        <w:shd w:val="clear" w:color="auto" w:fill="EF8025" w:themeFill="accent2"/>
      </w:tcPr>
    </w:tblStylePr>
    <w:tblStylePr w:type="lastRow">
      <w:pPr>
        <w:spacing w:before="0" w:after="0" w:line="240" w:lineRule="auto"/>
      </w:pPr>
      <w:rPr>
        <w:b/>
        <w:bCs/>
      </w:rPr>
      <w:tblPr/>
      <w:tcPr>
        <w:tcBorders>
          <w:top w:val="double" w:sz="6" w:space="0" w:color="F39F5B" w:themeColor="accent2" w:themeTint="BF"/>
          <w:left w:val="single" w:sz="8" w:space="0" w:color="F39F5B" w:themeColor="accent2" w:themeTint="BF"/>
          <w:bottom w:val="single" w:sz="8" w:space="0" w:color="F39F5B" w:themeColor="accent2" w:themeTint="BF"/>
          <w:right w:val="single" w:sz="8" w:space="0" w:color="F39F5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FC8" w:themeFill="accent2" w:themeFillTint="3F"/>
      </w:tcPr>
    </w:tblStylePr>
    <w:tblStylePr w:type="band1Horz">
      <w:tblPr/>
      <w:tcPr>
        <w:tcBorders>
          <w:insideH w:val="nil"/>
          <w:insideV w:val="nil"/>
        </w:tcBorders>
        <w:shd w:val="clear" w:color="auto" w:fill="FBDFC8" w:themeFill="accent2" w:themeFillTint="3F"/>
      </w:tcPr>
    </w:tblStylePr>
    <w:tblStylePr w:type="band2Horz">
      <w:tblPr/>
      <w:tcPr>
        <w:tcBorders>
          <w:insideH w:val="nil"/>
          <w:insideV w:val="nil"/>
        </w:tcBorders>
      </w:tcPr>
    </w:tblStylePr>
  </w:style>
  <w:style w:type="paragraph" w:customStyle="1" w:styleId="233E5CD5853943F4BD7E8C4B124C0E1D">
    <w:name w:val="233E5CD5853943F4BD7E8C4B124C0E1D"/>
    <w:rsid w:val="006D1CC6"/>
    <w:pPr>
      <w:spacing w:after="200" w:line="276" w:lineRule="auto"/>
    </w:pPr>
    <w:rPr>
      <w:rFonts w:asciiTheme="minorHAnsi" w:eastAsiaTheme="minorEastAsia" w:hAnsiTheme="minorHAnsi" w:cstheme="minorBidi"/>
      <w:sz w:val="22"/>
      <w:szCs w:val="22"/>
      <w:lang w:eastAsia="ja-JP"/>
    </w:rPr>
  </w:style>
  <w:style w:type="table" w:styleId="ColorfulGrid-Accent2">
    <w:name w:val="Colorful Grid Accent 2"/>
    <w:basedOn w:val="TableNormal"/>
    <w:uiPriority w:val="73"/>
    <w:rsid w:val="00B7434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5D3" w:themeFill="accent2" w:themeFillTint="33"/>
    </w:tcPr>
    <w:tblStylePr w:type="firstRow">
      <w:rPr>
        <w:b/>
        <w:bCs/>
      </w:rPr>
      <w:tblPr/>
      <w:tcPr>
        <w:shd w:val="clear" w:color="auto" w:fill="F8CBA7" w:themeFill="accent2" w:themeFillTint="66"/>
      </w:tcPr>
    </w:tblStylePr>
    <w:tblStylePr w:type="lastRow">
      <w:rPr>
        <w:b/>
        <w:bCs/>
        <w:color w:val="000000" w:themeColor="text1"/>
      </w:rPr>
      <w:tblPr/>
      <w:tcPr>
        <w:shd w:val="clear" w:color="auto" w:fill="F8CBA7" w:themeFill="accent2" w:themeFillTint="66"/>
      </w:tcPr>
    </w:tblStylePr>
    <w:tblStylePr w:type="firstCol">
      <w:rPr>
        <w:color w:val="FFFFFF" w:themeColor="background1"/>
      </w:rPr>
      <w:tblPr/>
      <w:tcPr>
        <w:shd w:val="clear" w:color="auto" w:fill="C05D0E" w:themeFill="accent2" w:themeFillShade="BF"/>
      </w:tcPr>
    </w:tblStylePr>
    <w:tblStylePr w:type="lastCol">
      <w:rPr>
        <w:color w:val="FFFFFF" w:themeColor="background1"/>
      </w:rPr>
      <w:tblPr/>
      <w:tcPr>
        <w:shd w:val="clear" w:color="auto" w:fill="C05D0E" w:themeFill="accent2" w:themeFillShade="BF"/>
      </w:tcPr>
    </w:tblStylePr>
    <w:tblStylePr w:type="band1Vert">
      <w:tblPr/>
      <w:tcPr>
        <w:shd w:val="clear" w:color="auto" w:fill="F7BF92" w:themeFill="accent2" w:themeFillTint="7F"/>
      </w:tcPr>
    </w:tblStylePr>
    <w:tblStylePr w:type="band1Horz">
      <w:tblPr/>
      <w:tcPr>
        <w:shd w:val="clear" w:color="auto" w:fill="F7BF92" w:themeFill="accent2" w:themeFillTint="7F"/>
      </w:tcPr>
    </w:tblStylePr>
  </w:style>
  <w:style w:type="table" w:styleId="MediumGrid3-Accent2">
    <w:name w:val="Medium Grid 3 Accent 2"/>
    <w:basedOn w:val="TableNormal"/>
    <w:uiPriority w:val="69"/>
    <w:rsid w:val="00B7434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DF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802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802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F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F92" w:themeFill="accent2" w:themeFillTint="7F"/>
      </w:tcPr>
    </w:tblStylePr>
  </w:style>
  <w:style w:type="table" w:customStyle="1" w:styleId="MediumGrid3-Accent21">
    <w:name w:val="Medium Grid 3 - Accent 21"/>
    <w:basedOn w:val="TableNormal"/>
    <w:next w:val="MediumGrid3-Accent2"/>
    <w:uiPriority w:val="69"/>
    <w:rsid w:val="00B7434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DF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802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802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F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F92" w:themeFill="accent2" w:themeFillTint="7F"/>
      </w:tcPr>
    </w:tblStylePr>
  </w:style>
  <w:style w:type="table" w:styleId="LightGrid-Accent6">
    <w:name w:val="Light Grid Accent 6"/>
    <w:basedOn w:val="TableNormal"/>
    <w:uiPriority w:val="62"/>
    <w:rsid w:val="00F304DE"/>
    <w:tblPr>
      <w:tblStyleRowBandSize w:val="1"/>
      <w:tblStyleColBandSize w:val="1"/>
      <w:tblInd w:w="0" w:type="dxa"/>
      <w:tblBorders>
        <w:top w:val="single" w:sz="8" w:space="0" w:color="0148A4" w:themeColor="accent6"/>
        <w:left w:val="single" w:sz="8" w:space="0" w:color="0148A4" w:themeColor="accent6"/>
        <w:bottom w:val="single" w:sz="8" w:space="0" w:color="0148A4" w:themeColor="accent6"/>
        <w:right w:val="single" w:sz="8" w:space="0" w:color="0148A4" w:themeColor="accent6"/>
        <w:insideH w:val="single" w:sz="8" w:space="0" w:color="0148A4" w:themeColor="accent6"/>
        <w:insideV w:val="single" w:sz="8" w:space="0" w:color="0148A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148A4" w:themeColor="accent6"/>
          <w:left w:val="single" w:sz="8" w:space="0" w:color="0148A4" w:themeColor="accent6"/>
          <w:bottom w:val="single" w:sz="18" w:space="0" w:color="0148A4" w:themeColor="accent6"/>
          <w:right w:val="single" w:sz="8" w:space="0" w:color="0148A4" w:themeColor="accent6"/>
          <w:insideH w:val="nil"/>
          <w:insideV w:val="single" w:sz="8" w:space="0" w:color="0148A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48A4" w:themeColor="accent6"/>
          <w:left w:val="single" w:sz="8" w:space="0" w:color="0148A4" w:themeColor="accent6"/>
          <w:bottom w:val="single" w:sz="8" w:space="0" w:color="0148A4" w:themeColor="accent6"/>
          <w:right w:val="single" w:sz="8" w:space="0" w:color="0148A4" w:themeColor="accent6"/>
          <w:insideH w:val="nil"/>
          <w:insideV w:val="single" w:sz="8" w:space="0" w:color="0148A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48A4" w:themeColor="accent6"/>
          <w:left w:val="single" w:sz="8" w:space="0" w:color="0148A4" w:themeColor="accent6"/>
          <w:bottom w:val="single" w:sz="8" w:space="0" w:color="0148A4" w:themeColor="accent6"/>
          <w:right w:val="single" w:sz="8" w:space="0" w:color="0148A4" w:themeColor="accent6"/>
        </w:tcBorders>
      </w:tcPr>
    </w:tblStylePr>
    <w:tblStylePr w:type="band1Vert">
      <w:tblPr/>
      <w:tcPr>
        <w:tcBorders>
          <w:top w:val="single" w:sz="8" w:space="0" w:color="0148A4" w:themeColor="accent6"/>
          <w:left w:val="single" w:sz="8" w:space="0" w:color="0148A4" w:themeColor="accent6"/>
          <w:bottom w:val="single" w:sz="8" w:space="0" w:color="0148A4" w:themeColor="accent6"/>
          <w:right w:val="single" w:sz="8" w:space="0" w:color="0148A4" w:themeColor="accent6"/>
        </w:tcBorders>
        <w:shd w:val="clear" w:color="auto" w:fill="AACEFE" w:themeFill="accent6" w:themeFillTint="3F"/>
      </w:tcPr>
    </w:tblStylePr>
    <w:tblStylePr w:type="band1Horz">
      <w:tblPr/>
      <w:tcPr>
        <w:tcBorders>
          <w:top w:val="single" w:sz="8" w:space="0" w:color="0148A4" w:themeColor="accent6"/>
          <w:left w:val="single" w:sz="8" w:space="0" w:color="0148A4" w:themeColor="accent6"/>
          <w:bottom w:val="single" w:sz="8" w:space="0" w:color="0148A4" w:themeColor="accent6"/>
          <w:right w:val="single" w:sz="8" w:space="0" w:color="0148A4" w:themeColor="accent6"/>
          <w:insideV w:val="single" w:sz="8" w:space="0" w:color="0148A4" w:themeColor="accent6"/>
        </w:tcBorders>
        <w:shd w:val="clear" w:color="auto" w:fill="AACEFE" w:themeFill="accent6" w:themeFillTint="3F"/>
      </w:tcPr>
    </w:tblStylePr>
    <w:tblStylePr w:type="band2Horz">
      <w:tblPr/>
      <w:tcPr>
        <w:tcBorders>
          <w:top w:val="single" w:sz="8" w:space="0" w:color="0148A4" w:themeColor="accent6"/>
          <w:left w:val="single" w:sz="8" w:space="0" w:color="0148A4" w:themeColor="accent6"/>
          <w:bottom w:val="single" w:sz="8" w:space="0" w:color="0148A4" w:themeColor="accent6"/>
          <w:right w:val="single" w:sz="8" w:space="0" w:color="0148A4" w:themeColor="accent6"/>
          <w:insideV w:val="single" w:sz="8" w:space="0" w:color="0148A4"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he University of Sydney_Color Theme">
  <a:themeElements>
    <a:clrScheme name="The University of Sydney_Color Theme">
      <a:dk1>
        <a:sysClr val="windowText" lastClr="000000"/>
      </a:dk1>
      <a:lt1>
        <a:sysClr val="window" lastClr="FFFFFF"/>
      </a:lt1>
      <a:dk2>
        <a:srgbClr val="0148A4"/>
      </a:dk2>
      <a:lt2>
        <a:srgbClr val="EEECE1"/>
      </a:lt2>
      <a:accent1>
        <a:srgbClr val="E64626"/>
      </a:accent1>
      <a:accent2>
        <a:srgbClr val="EF8025"/>
      </a:accent2>
      <a:accent3>
        <a:srgbClr val="FFB800"/>
      </a:accent3>
      <a:accent4>
        <a:srgbClr val="5C923E"/>
      </a:accent4>
      <a:accent5>
        <a:srgbClr val="5496DB"/>
      </a:accent5>
      <a:accent6>
        <a:srgbClr val="0148A4"/>
      </a:accent6>
      <a:hlink>
        <a:srgbClr val="E64626"/>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DFF9C-C180-4A80-9EA5-DA6FCFD8C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4748</Words>
  <Characters>27066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ddi</Company>
  <LinksUpToDate>false</LinksUpToDate>
  <CharactersWithSpaces>31751</CharactersWithSpaces>
  <SharedDoc>false</SharedDoc>
  <HLinks>
    <vt:vector size="6" baseType="variant">
      <vt:variant>
        <vt:i4>5111860</vt:i4>
      </vt:variant>
      <vt:variant>
        <vt:i4>0</vt:i4>
      </vt:variant>
      <vt:variant>
        <vt:i4>0</vt:i4>
      </vt:variant>
      <vt:variant>
        <vt:i4>5</vt:i4>
      </vt:variant>
      <vt:variant>
        <vt:lpwstr>http://www.hyperlinkstlye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Centre for Disability Research and Policy</dc:creator>
  <cp:lastModifiedBy>Zyra</cp:lastModifiedBy>
  <cp:revision>2</cp:revision>
  <dcterms:created xsi:type="dcterms:W3CDTF">2015-12-02T03:28:00Z</dcterms:created>
  <dcterms:modified xsi:type="dcterms:W3CDTF">2015-12-02T03:28:00Z</dcterms:modified>
</cp:coreProperties>
</file>