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65D" w:rsidRDefault="002D665D" w:rsidP="002D665D">
      <w:r>
        <w:rPr>
          <w:noProof/>
          <w:lang w:eastAsia="en-NZ"/>
        </w:rPr>
        <w:drawing>
          <wp:anchor distT="0" distB="0" distL="114300" distR="114300" simplePos="0" relativeHeight="251659264" behindDoc="0" locked="0" layoutInCell="1" allowOverlap="1" wp14:anchorId="4E6E2E04" wp14:editId="73E82AF0">
            <wp:simplePos x="0" y="0"/>
            <wp:positionH relativeFrom="page">
              <wp:posOffset>730250</wp:posOffset>
            </wp:positionH>
            <wp:positionV relativeFrom="page">
              <wp:posOffset>938530</wp:posOffset>
            </wp:positionV>
            <wp:extent cx="3005455" cy="701675"/>
            <wp:effectExtent l="0" t="0" r="4445" b="3175"/>
            <wp:wrapNone/>
            <wp:docPr id="9" name="Picture 9" descr="\\corp.ssi.govt.nz\usersm\mjohn034\Desktop\MSD Branding\MSD Logos\MSD_30mmBELO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p.ssi.govt.nz\usersm\mjohn034\Desktop\MSD Branding\MSD Logos\MSD_30mmBELOW_RGB.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23" t="13514" r="3990" b="13513"/>
                    <a:stretch/>
                  </pic:blipFill>
                  <pic:spPr bwMode="auto">
                    <a:xfrm>
                      <a:off x="0" y="0"/>
                      <a:ext cx="3005455" cy="701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D665D" w:rsidRDefault="002D665D" w:rsidP="002D665D"/>
    <w:p w:rsidR="002D665D" w:rsidRDefault="002D665D" w:rsidP="002D665D"/>
    <w:p w:rsidR="002D665D" w:rsidRDefault="002D665D" w:rsidP="002D665D"/>
    <w:p w:rsidR="002D665D" w:rsidRPr="00D60E69" w:rsidRDefault="002D665D" w:rsidP="00AB13C9">
      <w:pPr>
        <w:pStyle w:val="Report"/>
        <w:spacing w:before="3600"/>
        <w:ind w:right="-45"/>
        <w:rPr>
          <w:lang w:val="en-US"/>
        </w:rPr>
      </w:pPr>
      <w:r w:rsidRPr="00DD0ADF">
        <w:rPr>
          <w:sz w:val="80"/>
          <w:szCs w:val="80"/>
          <w:lang w:val="en-US"/>
        </w:rPr>
        <w:t>Reoffending patterns of Military</w:t>
      </w:r>
      <w:r w:rsidR="004C495D" w:rsidRPr="00DD0ADF">
        <w:rPr>
          <w:sz w:val="80"/>
          <w:szCs w:val="80"/>
          <w:lang w:val="en-US"/>
        </w:rPr>
        <w:t>-style Activity Camp graduates</w:t>
      </w:r>
      <w:r w:rsidRPr="00DD0ADF">
        <w:rPr>
          <w:sz w:val="80"/>
          <w:szCs w:val="80"/>
          <w:lang w:val="en-US"/>
        </w:rPr>
        <w:t>:</w:t>
      </w:r>
      <w:r w:rsidRPr="00DD0ADF">
        <w:rPr>
          <w:sz w:val="80"/>
          <w:szCs w:val="80"/>
          <w:lang w:val="en-US"/>
        </w:rPr>
        <w:br/>
      </w:r>
      <w:r w:rsidR="005C68D2">
        <w:rPr>
          <w:sz w:val="56"/>
          <w:szCs w:val="56"/>
          <w:lang w:val="en-US"/>
        </w:rPr>
        <w:t>2015 update</w:t>
      </w:r>
    </w:p>
    <w:p w:rsidR="002D665D" w:rsidRDefault="002D665D" w:rsidP="002D665D">
      <w:pPr>
        <w:spacing w:after="0" w:line="240" w:lineRule="auto"/>
      </w:pPr>
      <w:r w:rsidRPr="00D60E69">
        <w:rPr>
          <w:noProof/>
          <w:lang w:eastAsia="en-NZ"/>
        </w:rPr>
        <w:drawing>
          <wp:anchor distT="0" distB="0" distL="114300" distR="114300" simplePos="0" relativeHeight="251660288" behindDoc="1" locked="0" layoutInCell="1" allowOverlap="1" wp14:anchorId="2CC43113" wp14:editId="7D9B715A">
            <wp:simplePos x="0" y="0"/>
            <wp:positionH relativeFrom="column">
              <wp:posOffset>-914285</wp:posOffset>
            </wp:positionH>
            <wp:positionV relativeFrom="paragraph">
              <wp:posOffset>687070</wp:posOffset>
            </wp:positionV>
            <wp:extent cx="7579360" cy="3185160"/>
            <wp:effectExtent l="0" t="0" r="2540" b="0"/>
            <wp:wrapNone/>
            <wp:docPr id="8" name="Picture 8" descr="\\corp.ssi.govt.nz\usersm\mjohn034\Desktop\MSD Branding\MSD Logos\MSD Pattern A4 white backgrou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ssi.govt.nz\usersm\mjohn034\Desktop\MSD Branding\MSD Logos\MSD Pattern A4 white background(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79360" cy="31851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br w:type="page"/>
      </w:r>
    </w:p>
    <w:p w:rsidR="002D665D" w:rsidRDefault="002D665D"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Default="00883DE5" w:rsidP="002D665D"/>
    <w:p w:rsidR="00883DE5" w:rsidRPr="00740763" w:rsidRDefault="00883DE5" w:rsidP="00883DE5">
      <w:pPr>
        <w:rPr>
          <w:rFonts w:ascii="Georgia" w:hAnsi="Georgia"/>
          <w:b/>
          <w:sz w:val="30"/>
          <w:szCs w:val="30"/>
        </w:rPr>
      </w:pPr>
      <w:bookmarkStart w:id="0" w:name="_Toc402433422"/>
      <w:bookmarkStart w:id="1" w:name="_Toc386619898"/>
      <w:r w:rsidRPr="00740763">
        <w:rPr>
          <w:rFonts w:ascii="Georgia" w:hAnsi="Georgia"/>
          <w:b/>
          <w:sz w:val="30"/>
          <w:szCs w:val="30"/>
        </w:rPr>
        <w:t>Author</w:t>
      </w:r>
      <w:r>
        <w:rPr>
          <w:rFonts w:ascii="Georgia" w:hAnsi="Georgia"/>
          <w:b/>
          <w:sz w:val="30"/>
          <w:szCs w:val="30"/>
        </w:rPr>
        <w:t>s</w:t>
      </w:r>
    </w:p>
    <w:p w:rsidR="00883DE5" w:rsidRDefault="00883DE5" w:rsidP="004321E9">
      <w:pPr>
        <w:spacing w:after="0"/>
      </w:pPr>
      <w:r>
        <w:t>Philip Spier and Hailong Sun</w:t>
      </w:r>
    </w:p>
    <w:p w:rsidR="00883DE5" w:rsidRDefault="00883DE5" w:rsidP="00883DE5">
      <w:pPr>
        <w:spacing w:after="240"/>
      </w:pPr>
      <w:r>
        <w:t>Ministry of Social Development</w:t>
      </w:r>
    </w:p>
    <w:p w:rsidR="00883DE5" w:rsidRPr="00740763" w:rsidRDefault="00883DE5" w:rsidP="00883DE5">
      <w:pPr>
        <w:rPr>
          <w:rFonts w:ascii="Georgia" w:hAnsi="Georgia"/>
          <w:b/>
          <w:sz w:val="30"/>
          <w:szCs w:val="30"/>
        </w:rPr>
      </w:pPr>
      <w:r w:rsidRPr="00740763">
        <w:rPr>
          <w:rFonts w:ascii="Georgia" w:hAnsi="Georgia"/>
          <w:b/>
          <w:sz w:val="30"/>
          <w:szCs w:val="30"/>
        </w:rPr>
        <w:t>Disclaimer</w:t>
      </w:r>
    </w:p>
    <w:p w:rsidR="00883DE5" w:rsidRDefault="00883DE5" w:rsidP="00883DE5">
      <w:pPr>
        <w:spacing w:after="240"/>
      </w:pPr>
      <w:r w:rsidRPr="00CB1F58">
        <w:t>The Min</w:t>
      </w:r>
      <w:r>
        <w:t>i</w:t>
      </w:r>
      <w:r w:rsidRPr="00CB1F58">
        <w:t>stry of Social Development has made every effort to ensure the information in this report is reliable, but does not guarantee its accuracy and does not accept liability for any errors.</w:t>
      </w:r>
    </w:p>
    <w:p w:rsidR="00883DE5" w:rsidRPr="00543AC1" w:rsidRDefault="00883DE5" w:rsidP="00883DE5">
      <w:pPr>
        <w:rPr>
          <w:rFonts w:ascii="Georgia" w:hAnsi="Georgia"/>
          <w:b/>
          <w:sz w:val="30"/>
          <w:szCs w:val="30"/>
        </w:rPr>
      </w:pPr>
      <w:r w:rsidRPr="00543AC1">
        <w:rPr>
          <w:rFonts w:ascii="Georgia" w:hAnsi="Georgia"/>
          <w:b/>
          <w:sz w:val="30"/>
          <w:szCs w:val="30"/>
        </w:rPr>
        <w:t>Published</w:t>
      </w:r>
    </w:p>
    <w:p w:rsidR="00883DE5" w:rsidRPr="00543AC1" w:rsidRDefault="00513CA2" w:rsidP="00883DE5">
      <w:r>
        <w:t xml:space="preserve">September </w:t>
      </w:r>
      <w:r w:rsidR="00883DE5" w:rsidRPr="00543AC1">
        <w:t>201</w:t>
      </w:r>
      <w:r w:rsidR="00ED7E51">
        <w:t>6</w:t>
      </w:r>
    </w:p>
    <w:p w:rsidR="00883DE5" w:rsidRPr="00543AC1" w:rsidRDefault="00883DE5" w:rsidP="00006C95">
      <w:r>
        <w:t xml:space="preserve">ISBN </w:t>
      </w:r>
      <w:r w:rsidR="00006C95" w:rsidRPr="00006C95">
        <w:t>978-0-947513-31-3</w:t>
      </w:r>
      <w:r>
        <w:t xml:space="preserve"> (online)</w:t>
      </w:r>
    </w:p>
    <w:p w:rsidR="002D665D" w:rsidRDefault="002D665D" w:rsidP="002D665D">
      <w:pPr>
        <w:rPr>
          <w:rFonts w:ascii="Georgia" w:eastAsiaTheme="majorEastAsia" w:hAnsi="Georgia"/>
          <w:b/>
          <w:bCs/>
          <w:color w:val="121F6B"/>
          <w:kern w:val="0"/>
          <w:sz w:val="40"/>
          <w:szCs w:val="28"/>
        </w:rPr>
      </w:pPr>
      <w:r>
        <w:br w:type="page"/>
      </w:r>
    </w:p>
    <w:bookmarkEnd w:id="1" w:displacedByCustomXml="next"/>
    <w:bookmarkEnd w:id="0" w:displacedByCustomXml="next"/>
    <w:sdt>
      <w:sdtPr>
        <w:rPr>
          <w:b/>
          <w:bCs/>
          <w:noProof w:val="0"/>
        </w:rPr>
        <w:id w:val="350380764"/>
        <w:docPartObj>
          <w:docPartGallery w:val="Table of Contents"/>
          <w:docPartUnique/>
        </w:docPartObj>
      </w:sdtPr>
      <w:sdtEndPr>
        <w:rPr>
          <w:b w:val="0"/>
          <w:bCs w:val="0"/>
        </w:rPr>
      </w:sdtEndPr>
      <w:sdtContent>
        <w:p w:rsidR="002D665D" w:rsidRPr="00394C5E" w:rsidRDefault="002D665D" w:rsidP="00904728">
          <w:pPr>
            <w:pStyle w:val="TOC1"/>
            <w:rPr>
              <w:rFonts w:ascii="Georgia" w:hAnsi="Georgia"/>
              <w:b/>
              <w:color w:val="002060"/>
              <w:sz w:val="36"/>
              <w:szCs w:val="36"/>
            </w:rPr>
          </w:pPr>
          <w:r w:rsidRPr="00394C5E">
            <w:rPr>
              <w:rFonts w:ascii="Georgia" w:hAnsi="Georgia"/>
              <w:b/>
              <w:color w:val="002060"/>
              <w:sz w:val="36"/>
              <w:szCs w:val="36"/>
            </w:rPr>
            <w:t>Contents</w:t>
          </w:r>
        </w:p>
        <w:p w:rsidR="00394C5E" w:rsidRPr="00394C5E" w:rsidRDefault="00394C5E" w:rsidP="00394C5E"/>
        <w:p w:rsidR="00394C5E" w:rsidRPr="00394C5E" w:rsidRDefault="00394C5E">
          <w:pPr>
            <w:pStyle w:val="TOC1"/>
            <w:rPr>
              <w:rFonts w:asciiTheme="minorHAnsi" w:eastAsiaTheme="minorEastAsia" w:hAnsiTheme="minorHAnsi" w:cstheme="minorBidi"/>
              <w:b/>
              <w:kern w:val="0"/>
              <w:sz w:val="22"/>
              <w:szCs w:val="22"/>
              <w:lang w:eastAsia="en-NZ"/>
            </w:rPr>
          </w:pPr>
          <w:r w:rsidRPr="00394C5E">
            <w:rPr>
              <w:b/>
            </w:rPr>
            <w:fldChar w:fldCharType="begin"/>
          </w:r>
          <w:r w:rsidRPr="00394C5E">
            <w:rPr>
              <w:b/>
            </w:rPr>
            <w:instrText xml:space="preserve"> TOC \o "1-1" \h \z \u </w:instrText>
          </w:r>
          <w:r w:rsidRPr="00394C5E">
            <w:rPr>
              <w:b/>
            </w:rPr>
            <w:fldChar w:fldCharType="separate"/>
          </w:r>
          <w:hyperlink w:anchor="_Toc449017798" w:history="1">
            <w:r w:rsidRPr="00394C5E">
              <w:rPr>
                <w:rStyle w:val="Hyperlink"/>
                <w:b/>
              </w:rPr>
              <w:t>Key findings</w:t>
            </w:r>
            <w:r w:rsidRPr="00394C5E">
              <w:rPr>
                <w:b/>
                <w:webHidden/>
              </w:rPr>
              <w:tab/>
            </w:r>
            <w:r w:rsidRPr="00394C5E">
              <w:rPr>
                <w:b/>
                <w:webHidden/>
              </w:rPr>
              <w:fldChar w:fldCharType="begin"/>
            </w:r>
            <w:r w:rsidRPr="00394C5E">
              <w:rPr>
                <w:b/>
                <w:webHidden/>
              </w:rPr>
              <w:instrText xml:space="preserve"> PAGEREF _Toc449017798 \h </w:instrText>
            </w:r>
            <w:r w:rsidRPr="00394C5E">
              <w:rPr>
                <w:b/>
                <w:webHidden/>
              </w:rPr>
            </w:r>
            <w:r w:rsidRPr="00394C5E">
              <w:rPr>
                <w:b/>
                <w:webHidden/>
              </w:rPr>
              <w:fldChar w:fldCharType="separate"/>
            </w:r>
            <w:r w:rsidRPr="00394C5E">
              <w:rPr>
                <w:b/>
                <w:webHidden/>
              </w:rPr>
              <w:t>1</w:t>
            </w:r>
            <w:r w:rsidRPr="00394C5E">
              <w:rPr>
                <w:b/>
                <w:webHidden/>
              </w:rPr>
              <w:fldChar w:fldCharType="end"/>
            </w:r>
          </w:hyperlink>
        </w:p>
        <w:p w:rsidR="00394C5E" w:rsidRPr="00394C5E" w:rsidRDefault="00513CA2">
          <w:pPr>
            <w:pStyle w:val="TOC1"/>
            <w:rPr>
              <w:rFonts w:asciiTheme="minorHAnsi" w:eastAsiaTheme="minorEastAsia" w:hAnsiTheme="minorHAnsi" w:cstheme="minorBidi"/>
              <w:b/>
              <w:kern w:val="0"/>
              <w:sz w:val="22"/>
              <w:szCs w:val="22"/>
              <w:lang w:eastAsia="en-NZ"/>
            </w:rPr>
          </w:pPr>
          <w:hyperlink w:anchor="_Toc449017799" w:history="1">
            <w:r w:rsidR="00394C5E" w:rsidRPr="00394C5E">
              <w:rPr>
                <w:rStyle w:val="Hyperlink"/>
                <w:b/>
              </w:rPr>
              <w:t>Introduction</w:t>
            </w:r>
            <w:r w:rsidR="00394C5E" w:rsidRPr="00394C5E">
              <w:rPr>
                <w:b/>
                <w:webHidden/>
              </w:rPr>
              <w:tab/>
            </w:r>
            <w:r w:rsidR="00394C5E" w:rsidRPr="00394C5E">
              <w:rPr>
                <w:b/>
                <w:webHidden/>
              </w:rPr>
              <w:fldChar w:fldCharType="begin"/>
            </w:r>
            <w:r w:rsidR="00394C5E" w:rsidRPr="00394C5E">
              <w:rPr>
                <w:b/>
                <w:webHidden/>
              </w:rPr>
              <w:instrText xml:space="preserve"> PAGEREF _Toc449017799 \h </w:instrText>
            </w:r>
            <w:r w:rsidR="00394C5E" w:rsidRPr="00394C5E">
              <w:rPr>
                <w:b/>
                <w:webHidden/>
              </w:rPr>
            </w:r>
            <w:r w:rsidR="00394C5E" w:rsidRPr="00394C5E">
              <w:rPr>
                <w:b/>
                <w:webHidden/>
              </w:rPr>
              <w:fldChar w:fldCharType="separate"/>
            </w:r>
            <w:r w:rsidR="00394C5E" w:rsidRPr="00394C5E">
              <w:rPr>
                <w:b/>
                <w:webHidden/>
              </w:rPr>
              <w:t>3</w:t>
            </w:r>
            <w:r w:rsidR="00394C5E" w:rsidRPr="00394C5E">
              <w:rPr>
                <w:b/>
                <w:webHidden/>
              </w:rPr>
              <w:fldChar w:fldCharType="end"/>
            </w:r>
          </w:hyperlink>
        </w:p>
        <w:p w:rsidR="00394C5E" w:rsidRPr="00394C5E" w:rsidRDefault="00513CA2">
          <w:pPr>
            <w:pStyle w:val="TOC1"/>
            <w:rPr>
              <w:rFonts w:asciiTheme="minorHAnsi" w:eastAsiaTheme="minorEastAsia" w:hAnsiTheme="minorHAnsi" w:cstheme="minorBidi"/>
              <w:b/>
              <w:kern w:val="0"/>
              <w:sz w:val="22"/>
              <w:szCs w:val="22"/>
              <w:lang w:eastAsia="en-NZ"/>
            </w:rPr>
          </w:pPr>
          <w:hyperlink w:anchor="_Toc449017800" w:history="1">
            <w:r w:rsidR="00394C5E" w:rsidRPr="00394C5E">
              <w:rPr>
                <w:rStyle w:val="Hyperlink"/>
                <w:b/>
              </w:rPr>
              <w:t>Methodology</w:t>
            </w:r>
            <w:r w:rsidR="00394C5E" w:rsidRPr="00394C5E">
              <w:rPr>
                <w:b/>
                <w:webHidden/>
              </w:rPr>
              <w:tab/>
            </w:r>
            <w:r w:rsidR="00394C5E" w:rsidRPr="00394C5E">
              <w:rPr>
                <w:b/>
                <w:webHidden/>
              </w:rPr>
              <w:fldChar w:fldCharType="begin"/>
            </w:r>
            <w:r w:rsidR="00394C5E" w:rsidRPr="00394C5E">
              <w:rPr>
                <w:b/>
                <w:webHidden/>
              </w:rPr>
              <w:instrText xml:space="preserve"> PAGEREF _Toc449017800 \h </w:instrText>
            </w:r>
            <w:r w:rsidR="00394C5E" w:rsidRPr="00394C5E">
              <w:rPr>
                <w:b/>
                <w:webHidden/>
              </w:rPr>
            </w:r>
            <w:r w:rsidR="00394C5E" w:rsidRPr="00394C5E">
              <w:rPr>
                <w:b/>
                <w:webHidden/>
              </w:rPr>
              <w:fldChar w:fldCharType="separate"/>
            </w:r>
            <w:r w:rsidR="00394C5E" w:rsidRPr="00394C5E">
              <w:rPr>
                <w:b/>
                <w:webHidden/>
              </w:rPr>
              <w:t>5</w:t>
            </w:r>
            <w:r w:rsidR="00394C5E" w:rsidRPr="00394C5E">
              <w:rPr>
                <w:b/>
                <w:webHidden/>
              </w:rPr>
              <w:fldChar w:fldCharType="end"/>
            </w:r>
          </w:hyperlink>
        </w:p>
        <w:p w:rsidR="00394C5E" w:rsidRPr="00394C5E" w:rsidRDefault="00513CA2">
          <w:pPr>
            <w:pStyle w:val="TOC1"/>
            <w:rPr>
              <w:rFonts w:asciiTheme="minorHAnsi" w:eastAsiaTheme="minorEastAsia" w:hAnsiTheme="minorHAnsi" w:cstheme="minorBidi"/>
              <w:b/>
              <w:kern w:val="0"/>
              <w:sz w:val="22"/>
              <w:szCs w:val="22"/>
              <w:lang w:eastAsia="en-NZ"/>
            </w:rPr>
          </w:pPr>
          <w:hyperlink w:anchor="_Toc449017801" w:history="1">
            <w:r w:rsidR="00394C5E" w:rsidRPr="00394C5E">
              <w:rPr>
                <w:rStyle w:val="Hyperlink"/>
                <w:b/>
              </w:rPr>
              <w:t>MAC graduates reoffending patterns</w:t>
            </w:r>
            <w:r w:rsidR="00394C5E" w:rsidRPr="00394C5E">
              <w:rPr>
                <w:b/>
                <w:webHidden/>
              </w:rPr>
              <w:tab/>
            </w:r>
            <w:r w:rsidR="00394C5E" w:rsidRPr="00394C5E">
              <w:rPr>
                <w:b/>
                <w:webHidden/>
              </w:rPr>
              <w:fldChar w:fldCharType="begin"/>
            </w:r>
            <w:r w:rsidR="00394C5E" w:rsidRPr="00394C5E">
              <w:rPr>
                <w:b/>
                <w:webHidden/>
              </w:rPr>
              <w:instrText xml:space="preserve"> PAGEREF _Toc449017801 \h </w:instrText>
            </w:r>
            <w:r w:rsidR="00394C5E" w:rsidRPr="00394C5E">
              <w:rPr>
                <w:b/>
                <w:webHidden/>
              </w:rPr>
            </w:r>
            <w:r w:rsidR="00394C5E" w:rsidRPr="00394C5E">
              <w:rPr>
                <w:b/>
                <w:webHidden/>
              </w:rPr>
              <w:fldChar w:fldCharType="separate"/>
            </w:r>
            <w:r w:rsidR="00394C5E" w:rsidRPr="00394C5E">
              <w:rPr>
                <w:b/>
                <w:webHidden/>
              </w:rPr>
              <w:t>7</w:t>
            </w:r>
            <w:r w:rsidR="00394C5E" w:rsidRPr="00394C5E">
              <w:rPr>
                <w:b/>
                <w:webHidden/>
              </w:rPr>
              <w:fldChar w:fldCharType="end"/>
            </w:r>
          </w:hyperlink>
        </w:p>
        <w:p w:rsidR="00394C5E" w:rsidRPr="00394C5E" w:rsidRDefault="00513CA2">
          <w:pPr>
            <w:pStyle w:val="TOC1"/>
            <w:rPr>
              <w:rFonts w:asciiTheme="minorHAnsi" w:eastAsiaTheme="minorEastAsia" w:hAnsiTheme="minorHAnsi" w:cstheme="minorBidi"/>
              <w:b/>
              <w:kern w:val="0"/>
              <w:sz w:val="22"/>
              <w:szCs w:val="22"/>
              <w:lang w:eastAsia="en-NZ"/>
            </w:rPr>
          </w:pPr>
          <w:hyperlink w:anchor="_Toc449017802" w:history="1">
            <w:r w:rsidR="00394C5E" w:rsidRPr="00394C5E">
              <w:rPr>
                <w:rStyle w:val="Hyperlink"/>
                <w:b/>
              </w:rPr>
              <w:t>Appendix A:  Measuring reoffending</w:t>
            </w:r>
            <w:r w:rsidR="00394C5E" w:rsidRPr="00394C5E">
              <w:rPr>
                <w:b/>
                <w:webHidden/>
              </w:rPr>
              <w:tab/>
            </w:r>
            <w:r w:rsidR="00394C5E" w:rsidRPr="00394C5E">
              <w:rPr>
                <w:b/>
                <w:webHidden/>
              </w:rPr>
              <w:fldChar w:fldCharType="begin"/>
            </w:r>
            <w:r w:rsidR="00394C5E" w:rsidRPr="00394C5E">
              <w:rPr>
                <w:b/>
                <w:webHidden/>
              </w:rPr>
              <w:instrText xml:space="preserve"> PAGEREF _Toc449017802 \h </w:instrText>
            </w:r>
            <w:r w:rsidR="00394C5E" w:rsidRPr="00394C5E">
              <w:rPr>
                <w:b/>
                <w:webHidden/>
              </w:rPr>
            </w:r>
            <w:r w:rsidR="00394C5E" w:rsidRPr="00394C5E">
              <w:rPr>
                <w:b/>
                <w:webHidden/>
              </w:rPr>
              <w:fldChar w:fldCharType="separate"/>
            </w:r>
            <w:r w:rsidR="00394C5E" w:rsidRPr="00394C5E">
              <w:rPr>
                <w:b/>
                <w:webHidden/>
              </w:rPr>
              <w:t>12</w:t>
            </w:r>
            <w:r w:rsidR="00394C5E" w:rsidRPr="00394C5E">
              <w:rPr>
                <w:b/>
                <w:webHidden/>
              </w:rPr>
              <w:fldChar w:fldCharType="end"/>
            </w:r>
          </w:hyperlink>
        </w:p>
        <w:p w:rsidR="00394C5E" w:rsidRPr="00394C5E" w:rsidRDefault="00513CA2">
          <w:pPr>
            <w:pStyle w:val="TOC1"/>
            <w:rPr>
              <w:rFonts w:asciiTheme="minorHAnsi" w:eastAsiaTheme="minorEastAsia" w:hAnsiTheme="minorHAnsi" w:cstheme="minorBidi"/>
              <w:b/>
              <w:kern w:val="0"/>
              <w:sz w:val="22"/>
              <w:szCs w:val="22"/>
              <w:lang w:eastAsia="en-NZ"/>
            </w:rPr>
          </w:pPr>
          <w:hyperlink w:anchor="_Toc449017803" w:history="1">
            <w:r w:rsidR="00394C5E" w:rsidRPr="00394C5E">
              <w:rPr>
                <w:rStyle w:val="Hyperlink"/>
                <w:b/>
              </w:rPr>
              <w:t>Appendix B:  ANZSOC offence divisions</w:t>
            </w:r>
            <w:r w:rsidR="00394C5E" w:rsidRPr="00394C5E">
              <w:rPr>
                <w:b/>
                <w:webHidden/>
              </w:rPr>
              <w:tab/>
            </w:r>
            <w:r w:rsidR="00394C5E" w:rsidRPr="00394C5E">
              <w:rPr>
                <w:b/>
                <w:webHidden/>
              </w:rPr>
              <w:fldChar w:fldCharType="begin"/>
            </w:r>
            <w:r w:rsidR="00394C5E" w:rsidRPr="00394C5E">
              <w:rPr>
                <w:b/>
                <w:webHidden/>
              </w:rPr>
              <w:instrText xml:space="preserve"> PAGEREF _Toc449017803 \h </w:instrText>
            </w:r>
            <w:r w:rsidR="00394C5E" w:rsidRPr="00394C5E">
              <w:rPr>
                <w:b/>
                <w:webHidden/>
              </w:rPr>
            </w:r>
            <w:r w:rsidR="00394C5E" w:rsidRPr="00394C5E">
              <w:rPr>
                <w:b/>
                <w:webHidden/>
              </w:rPr>
              <w:fldChar w:fldCharType="separate"/>
            </w:r>
            <w:r w:rsidR="00394C5E" w:rsidRPr="00394C5E">
              <w:rPr>
                <w:b/>
                <w:webHidden/>
              </w:rPr>
              <w:t>15</w:t>
            </w:r>
            <w:r w:rsidR="00394C5E" w:rsidRPr="00394C5E">
              <w:rPr>
                <w:b/>
                <w:webHidden/>
              </w:rPr>
              <w:fldChar w:fldCharType="end"/>
            </w:r>
          </w:hyperlink>
        </w:p>
        <w:p w:rsidR="007D466E" w:rsidRDefault="00394C5E" w:rsidP="002D665D">
          <w:r w:rsidRPr="00394C5E">
            <w:rPr>
              <w:b/>
              <w:noProof/>
            </w:rPr>
            <w:fldChar w:fldCharType="end"/>
          </w:r>
        </w:p>
      </w:sdtContent>
    </w:sdt>
    <w:p w:rsidR="007D466E" w:rsidRDefault="007D466E">
      <w:pPr>
        <w:spacing w:after="0" w:line="240" w:lineRule="auto"/>
      </w:pPr>
      <w:r>
        <w:br w:type="page"/>
      </w:r>
    </w:p>
    <w:p w:rsidR="002D665D" w:rsidRDefault="002D665D" w:rsidP="002D665D"/>
    <w:p w:rsidR="007D466E" w:rsidRDefault="007D466E" w:rsidP="002D665D"/>
    <w:p w:rsidR="002D665D" w:rsidRDefault="002D665D" w:rsidP="002D665D">
      <w:pPr>
        <w:sectPr w:rsidR="002D665D" w:rsidSect="0092536F">
          <w:footerReference w:type="first" r:id="rId11"/>
          <w:pgSz w:w="11906" w:h="16838"/>
          <w:pgMar w:top="1440" w:right="1440" w:bottom="1440" w:left="1440" w:header="708" w:footer="708" w:gutter="0"/>
          <w:cols w:space="708"/>
          <w:docGrid w:linePitch="360"/>
        </w:sectPr>
      </w:pPr>
    </w:p>
    <w:p w:rsidR="002D665D" w:rsidRPr="00AE796E" w:rsidRDefault="002D665D" w:rsidP="00DD6FA9">
      <w:pPr>
        <w:pStyle w:val="Heading1"/>
        <w:spacing w:before="0"/>
        <w:ind w:right="-46"/>
      </w:pPr>
      <w:bookmarkStart w:id="2" w:name="_Toc449017688"/>
      <w:bookmarkStart w:id="3" w:name="_Toc449017798"/>
      <w:r>
        <w:lastRenderedPageBreak/>
        <w:t xml:space="preserve">Key </w:t>
      </w:r>
      <w:r w:rsidR="00A9313A">
        <w:t>f</w:t>
      </w:r>
      <w:r>
        <w:t>indings</w:t>
      </w:r>
      <w:bookmarkEnd w:id="2"/>
      <w:bookmarkEnd w:id="3"/>
    </w:p>
    <w:p w:rsidR="002D665D" w:rsidRPr="00B56D45" w:rsidRDefault="002D665D" w:rsidP="002D665D">
      <w:pPr>
        <w:pStyle w:val="BodyText"/>
        <w:rPr>
          <w:rFonts w:ascii="Verdana" w:hAnsi="Verdana"/>
          <w:sz w:val="20"/>
          <w:szCs w:val="20"/>
          <w:lang w:val="en-GB"/>
        </w:rPr>
      </w:pPr>
    </w:p>
    <w:p w:rsidR="002D665D" w:rsidRDefault="002D665D" w:rsidP="002D665D">
      <w:pPr>
        <w:pStyle w:val="Heading1"/>
        <w:sectPr w:rsidR="002D665D" w:rsidSect="002A1D57">
          <w:footerReference w:type="default" r:id="rId12"/>
          <w:pgSz w:w="11906" w:h="16838"/>
          <w:pgMar w:top="1440" w:right="1440" w:bottom="1134" w:left="1440" w:header="708" w:footer="557" w:gutter="0"/>
          <w:pgNumType w:start="1"/>
          <w:cols w:space="708"/>
          <w:docGrid w:linePitch="360"/>
        </w:sectPr>
      </w:pPr>
    </w:p>
    <w:p w:rsidR="004E5C24" w:rsidRDefault="002D665D" w:rsidP="004E5C24">
      <w:pPr>
        <w:spacing w:after="170"/>
      </w:pPr>
      <w:r w:rsidRPr="00F4382D">
        <w:lastRenderedPageBreak/>
        <w:t xml:space="preserve">This report </w:t>
      </w:r>
      <w:r w:rsidR="00BC49F4">
        <w:t>describes</w:t>
      </w:r>
      <w:r w:rsidR="00BC49F4" w:rsidRPr="00F4382D">
        <w:t xml:space="preserve"> </w:t>
      </w:r>
      <w:r w:rsidR="00117F18">
        <w:t xml:space="preserve">changes in </w:t>
      </w:r>
      <w:r w:rsidRPr="00F4382D">
        <w:t xml:space="preserve">the offending </w:t>
      </w:r>
      <w:r w:rsidR="00BC49F4">
        <w:t xml:space="preserve">outcomes observed for </w:t>
      </w:r>
      <w:r w:rsidR="007D466E">
        <w:t>79</w:t>
      </w:r>
      <w:r w:rsidRPr="00F4382D">
        <w:t xml:space="preserve"> young people who between October 2010 and </w:t>
      </w:r>
      <w:r w:rsidR="00BF6D6E">
        <w:t>December</w:t>
      </w:r>
      <w:r w:rsidR="00BF6D6E" w:rsidRPr="00F4382D">
        <w:t xml:space="preserve"> </w:t>
      </w:r>
      <w:r w:rsidRPr="00F4382D">
        <w:t>201</w:t>
      </w:r>
      <w:r w:rsidR="00BF6D6E">
        <w:t>3</w:t>
      </w:r>
      <w:r>
        <w:t xml:space="preserve"> graduated</w:t>
      </w:r>
      <w:r w:rsidRPr="00F4382D">
        <w:t xml:space="preserve"> </w:t>
      </w:r>
      <w:r w:rsidR="003316EB">
        <w:t xml:space="preserve">from </w:t>
      </w:r>
      <w:r>
        <w:t>1</w:t>
      </w:r>
      <w:r w:rsidR="00BF6D6E">
        <w:t>1</w:t>
      </w:r>
      <w:r w:rsidRPr="00F4382D">
        <w:t xml:space="preserve"> Military-style Activity Camps (MACs)</w:t>
      </w:r>
      <w:r w:rsidR="007D466E">
        <w:t xml:space="preserve"> held </w:t>
      </w:r>
      <w:r w:rsidR="007D466E" w:rsidRPr="00F4382D">
        <w:t xml:space="preserve">at Te </w:t>
      </w:r>
      <w:proofErr w:type="spellStart"/>
      <w:r w:rsidR="007D466E" w:rsidRPr="00F4382D">
        <w:t>Puna</w:t>
      </w:r>
      <w:proofErr w:type="spellEnd"/>
      <w:r w:rsidR="007D466E" w:rsidRPr="00F4382D">
        <w:t xml:space="preserve"> </w:t>
      </w:r>
      <w:proofErr w:type="spellStart"/>
      <w:r w:rsidR="007D466E" w:rsidRPr="00F4382D">
        <w:t>Wai</w:t>
      </w:r>
      <w:proofErr w:type="spellEnd"/>
      <w:r w:rsidR="007D466E" w:rsidRPr="00F4382D">
        <w:t xml:space="preserve"> ō </w:t>
      </w:r>
      <w:proofErr w:type="spellStart"/>
      <w:r w:rsidR="007D466E" w:rsidRPr="00F4382D">
        <w:t>Tuhinapo</w:t>
      </w:r>
      <w:proofErr w:type="spellEnd"/>
      <w:r w:rsidR="007D466E" w:rsidRPr="00F4382D">
        <w:t xml:space="preserve"> youth justice residence in Christchurch</w:t>
      </w:r>
      <w:r w:rsidR="007D466E">
        <w:t>.</w:t>
      </w:r>
      <w:r w:rsidR="004E5C24">
        <w:t xml:space="preserve"> All of these young people </w:t>
      </w:r>
      <w:r w:rsidRPr="00F4382D">
        <w:t>ha</w:t>
      </w:r>
      <w:r w:rsidR="000D2D5F">
        <w:t>d</w:t>
      </w:r>
      <w:r w:rsidRPr="00F4382D">
        <w:t xml:space="preserve"> </w:t>
      </w:r>
      <w:r w:rsidR="000D2D5F">
        <w:t xml:space="preserve">a </w:t>
      </w:r>
      <w:r w:rsidRPr="00F4382D">
        <w:t>post-MAC follow-up period of at least 12 months</w:t>
      </w:r>
      <w:r w:rsidR="004B65AD">
        <w:t xml:space="preserve"> </w:t>
      </w:r>
      <w:r w:rsidR="00CD2FDF">
        <w:t xml:space="preserve">so </w:t>
      </w:r>
      <w:r w:rsidR="00C06B00">
        <w:t xml:space="preserve">their </w:t>
      </w:r>
      <w:r w:rsidR="00AE4639">
        <w:t>follow-up</w:t>
      </w:r>
      <w:r w:rsidR="004B65AD">
        <w:t xml:space="preserve"> offending could be observed</w:t>
      </w:r>
      <w:r w:rsidRPr="00F4382D">
        <w:t xml:space="preserve">. </w:t>
      </w:r>
    </w:p>
    <w:p w:rsidR="002B53EE" w:rsidRDefault="002B53EE" w:rsidP="004E5C24">
      <w:pPr>
        <w:spacing w:after="170"/>
      </w:pPr>
      <w:r>
        <w:t xml:space="preserve">Caution must be taken in interpreting reoffending outcomes as they are not </w:t>
      </w:r>
      <w:r w:rsidR="00ED7E51">
        <w:t xml:space="preserve">always </w:t>
      </w:r>
      <w:r>
        <w:t>a measure of the effectiveness of an intervention</w:t>
      </w:r>
      <w:r w:rsidR="00ED7E51">
        <w:t xml:space="preserve"> alone</w:t>
      </w:r>
      <w:r>
        <w:t>.</w:t>
      </w:r>
      <w:r w:rsidR="00F73E8F" w:rsidRPr="00F73E8F">
        <w:t xml:space="preserve"> </w:t>
      </w:r>
      <w:r w:rsidR="00F73E8F">
        <w:t xml:space="preserve">For example, </w:t>
      </w:r>
      <w:r w:rsidR="00A7776E">
        <w:t>some people</w:t>
      </w:r>
      <w:r w:rsidR="00F73E8F">
        <w:t xml:space="preserve"> may reoffend less often simply due to the fact that they were caught by the Police and made to account for their actions, regardless of the particular intervention applied.</w:t>
      </w:r>
    </w:p>
    <w:p w:rsidR="002D665D" w:rsidRPr="00F4382D" w:rsidRDefault="002D665D" w:rsidP="004E5C24">
      <w:r w:rsidRPr="00F4382D">
        <w:t xml:space="preserve">Offending outcomes </w:t>
      </w:r>
      <w:r w:rsidR="00F348FF">
        <w:t xml:space="preserve">observed </w:t>
      </w:r>
      <w:r w:rsidR="004E5C24">
        <w:t>for</w:t>
      </w:r>
      <w:r w:rsidR="004E5C24" w:rsidRPr="00F4382D">
        <w:t xml:space="preserve"> </w:t>
      </w:r>
      <w:r w:rsidRPr="00F4382D">
        <w:t>th</w:t>
      </w:r>
      <w:r w:rsidR="004B65AD">
        <w:t>e</w:t>
      </w:r>
      <w:r w:rsidRPr="00F4382D">
        <w:t xml:space="preserve"> </w:t>
      </w:r>
      <w:r w:rsidR="004B65AD">
        <w:t xml:space="preserve">MAC graduates </w:t>
      </w:r>
      <w:r w:rsidRPr="00F4382D">
        <w:t>included:</w:t>
      </w:r>
    </w:p>
    <w:p w:rsidR="002D665D" w:rsidRPr="00F4382D" w:rsidRDefault="002D665D" w:rsidP="00C23E67">
      <w:pPr>
        <w:pStyle w:val="Bullet1"/>
      </w:pPr>
      <w:r>
        <w:t>Eleven</w:t>
      </w:r>
      <w:r w:rsidRPr="00F4382D">
        <w:t xml:space="preserve"> (1</w:t>
      </w:r>
      <w:r>
        <w:t>4</w:t>
      </w:r>
      <w:r w:rsidRPr="00F4382D">
        <w:t xml:space="preserve">%) of the </w:t>
      </w:r>
      <w:r>
        <w:t>79</w:t>
      </w:r>
      <w:r w:rsidRPr="00F4382D">
        <w:t xml:space="preserve"> young people did not reoffend (</w:t>
      </w:r>
      <w:proofErr w:type="spellStart"/>
      <w:r w:rsidRPr="00F4382D">
        <w:t>ie</w:t>
      </w:r>
      <w:proofErr w:type="spellEnd"/>
      <w:r w:rsidRPr="00F4382D">
        <w:t xml:space="preserve"> </w:t>
      </w:r>
      <w:r w:rsidR="00092D3E">
        <w:t xml:space="preserve">they </w:t>
      </w:r>
      <w:r w:rsidR="004E5C24">
        <w:t xml:space="preserve">did not </w:t>
      </w:r>
      <w:r w:rsidRPr="00F4382D">
        <w:t xml:space="preserve">come to the attention of </w:t>
      </w:r>
      <w:r w:rsidR="007E35F1">
        <w:t>P</w:t>
      </w:r>
      <w:r w:rsidRPr="00F4382D">
        <w:t>olice with a new offence) in the 12 months after exiting the residence.</w:t>
      </w:r>
    </w:p>
    <w:p w:rsidR="002D665D" w:rsidRPr="00F4382D" w:rsidRDefault="002D665D" w:rsidP="00C23E67">
      <w:pPr>
        <w:pStyle w:val="Bullet1"/>
      </w:pPr>
      <w:r>
        <w:t>Sixty</w:t>
      </w:r>
      <w:r w:rsidRPr="00F4382D">
        <w:t xml:space="preserve"> (7</w:t>
      </w:r>
      <w:r>
        <w:t>6</w:t>
      </w:r>
      <w:r w:rsidRPr="00F4382D">
        <w:t xml:space="preserve">%) of the </w:t>
      </w:r>
      <w:r>
        <w:t>79</w:t>
      </w:r>
      <w:r w:rsidRPr="00F4382D">
        <w:t xml:space="preserve"> young people offended less often, and </w:t>
      </w:r>
      <w:r>
        <w:t>62</w:t>
      </w:r>
      <w:r w:rsidRPr="00F4382D">
        <w:t xml:space="preserve"> (</w:t>
      </w:r>
      <w:r>
        <w:t>78</w:t>
      </w:r>
      <w:r w:rsidRPr="00F4382D">
        <w:t>%) reduced the seriousness of their offending in the 12 months after the MACs compared with the 12 months before.</w:t>
      </w:r>
    </w:p>
    <w:p w:rsidR="002D665D" w:rsidRPr="00F4382D" w:rsidRDefault="002D665D" w:rsidP="00C23E67">
      <w:pPr>
        <w:pStyle w:val="Bullet1"/>
      </w:pPr>
      <w:r w:rsidRPr="00F4382D">
        <w:t>Theft and burglary were the most c</w:t>
      </w:r>
      <w:r>
        <w:t>ommon offences committed by the</w:t>
      </w:r>
      <w:r w:rsidRPr="00F4382D">
        <w:t xml:space="preserve"> young people. Overall, in the 12 months after the MACs, these offences reduced by </w:t>
      </w:r>
      <w:r>
        <w:t>43</w:t>
      </w:r>
      <w:r w:rsidRPr="00F4382D">
        <w:t>% and 5</w:t>
      </w:r>
      <w:r>
        <w:t>7</w:t>
      </w:r>
      <w:r w:rsidRPr="00F4382D">
        <w:t>% respectively</w:t>
      </w:r>
      <w:r>
        <w:t xml:space="preserve"> compared to the 12 months prior</w:t>
      </w:r>
      <w:r w:rsidRPr="00F4382D">
        <w:t>.</w:t>
      </w:r>
    </w:p>
    <w:p w:rsidR="002D665D" w:rsidRDefault="002D665D" w:rsidP="00C23E67">
      <w:pPr>
        <w:pStyle w:val="Bullet1"/>
      </w:pPr>
      <w:r w:rsidRPr="00F4382D">
        <w:t xml:space="preserve">Violent offending </w:t>
      </w:r>
      <w:r>
        <w:t>by</w:t>
      </w:r>
      <w:r w:rsidRPr="00F4382D">
        <w:t xml:space="preserve"> the </w:t>
      </w:r>
      <w:r>
        <w:t>79</w:t>
      </w:r>
      <w:r w:rsidRPr="00F4382D">
        <w:t xml:space="preserve"> young people reduced by </w:t>
      </w:r>
      <w:r w:rsidR="00D14C1D">
        <w:t>54</w:t>
      </w:r>
      <w:r w:rsidRPr="00F4382D">
        <w:t>% in the 12 months after the MACs compared with the 12 months before.</w:t>
      </w:r>
    </w:p>
    <w:p w:rsidR="002B1121" w:rsidRPr="00F4382D" w:rsidRDefault="002B1121" w:rsidP="00C23E67">
      <w:pPr>
        <w:pStyle w:val="Bullet1"/>
      </w:pPr>
      <w:r>
        <w:t>While the majority of young people reduced the frequency and seriousness of their offending, around one-fifth of MAC graduates increased the frequency and/or seriousness of their offending</w:t>
      </w:r>
      <w:r w:rsidR="00B72150">
        <w:t xml:space="preserve"> after the MACs</w:t>
      </w:r>
      <w:r>
        <w:t>.</w:t>
      </w:r>
    </w:p>
    <w:p w:rsidR="007D466E" w:rsidRDefault="002D665D" w:rsidP="007D466E">
      <w:pPr>
        <w:pStyle w:val="Bullet1"/>
      </w:pPr>
      <w:r>
        <w:t>Twenty-four</w:t>
      </w:r>
      <w:r w:rsidRPr="00F4382D">
        <w:t xml:space="preserve"> (</w:t>
      </w:r>
      <w:r>
        <w:t>30</w:t>
      </w:r>
      <w:r w:rsidRPr="00F4382D">
        <w:t xml:space="preserve">%) of the </w:t>
      </w:r>
      <w:r>
        <w:t>79</w:t>
      </w:r>
      <w:r w:rsidRPr="00F4382D">
        <w:t xml:space="preserve"> young people were imprisoned or received a new Supervision with Residence (</w:t>
      </w:r>
      <w:proofErr w:type="spellStart"/>
      <w:r w:rsidRPr="00F4382D">
        <w:t>SwR</w:t>
      </w:r>
      <w:proofErr w:type="spellEnd"/>
      <w:r w:rsidRPr="00F4382D">
        <w:t>) order in the 12 months after completing a MAC. This rate was higher for Europeans than Māori, although due to small numbers, this result needs to be treated with caution.</w:t>
      </w:r>
    </w:p>
    <w:p w:rsidR="001453B3" w:rsidRPr="00E86FBA" w:rsidRDefault="00A80DCF" w:rsidP="00C14149">
      <w:pPr>
        <w:pStyle w:val="Heading3"/>
      </w:pPr>
      <w:bookmarkStart w:id="4" w:name="_Toc449017689"/>
      <w:r>
        <w:t>Further research</w:t>
      </w:r>
      <w:bookmarkEnd w:id="4"/>
    </w:p>
    <w:p w:rsidR="000F6C30" w:rsidRDefault="000F6C30" w:rsidP="000F6C30">
      <w:r>
        <w:t xml:space="preserve">The reoffending outcomes </w:t>
      </w:r>
      <w:r w:rsidR="00C456B9">
        <w:t>observed</w:t>
      </w:r>
      <w:r>
        <w:t xml:space="preserve"> for MAC graduates appear very similar to those for all young people who have received </w:t>
      </w:r>
      <w:proofErr w:type="spellStart"/>
      <w:r>
        <w:t>SwR</w:t>
      </w:r>
      <w:proofErr w:type="spellEnd"/>
      <w:r>
        <w:t xml:space="preserve"> orders. However, to test </w:t>
      </w:r>
      <w:r w:rsidR="00C456B9">
        <w:t>differences,</w:t>
      </w:r>
      <w:r>
        <w:t xml:space="preserve"> </w:t>
      </w:r>
      <w:r w:rsidR="00012A8B">
        <w:t>a robust statistical approach such as a matched comparison analysis is required</w:t>
      </w:r>
      <w:r w:rsidR="00004C04">
        <w:t>.</w:t>
      </w:r>
      <w:r w:rsidR="00CE1408">
        <w:t xml:space="preserve"> </w:t>
      </w:r>
      <w:r w:rsidR="00522AC9">
        <w:t>Such an analysis was not in scope for this report, but</w:t>
      </w:r>
      <w:r w:rsidR="00004C04">
        <w:t xml:space="preserve"> </w:t>
      </w:r>
      <w:r w:rsidR="00CE1408">
        <w:t>could usefully be undertaken in the future</w:t>
      </w:r>
      <w:r w:rsidR="00C456B9">
        <w:t>.</w:t>
      </w:r>
    </w:p>
    <w:p w:rsidR="00012A8B" w:rsidRDefault="000F6C30" w:rsidP="00CE1408">
      <w:r>
        <w:t>Some of the MAC graduates spent time out of the community on custodial remand or subject to custodial orders</w:t>
      </w:r>
      <w:r w:rsidR="00664704">
        <w:t>/sentences</w:t>
      </w:r>
      <w:r>
        <w:t xml:space="preserve"> which may have had some effect on their rates of offending. </w:t>
      </w:r>
      <w:r w:rsidR="000F1D9A">
        <w:t>T</w:t>
      </w:r>
      <w:r w:rsidR="000F1D9A" w:rsidRPr="00F4382D">
        <w:t xml:space="preserve">he feasibility of </w:t>
      </w:r>
      <w:r w:rsidR="000F1D9A">
        <w:t>calculating an</w:t>
      </w:r>
      <w:r w:rsidR="000F1D9A" w:rsidRPr="00F4382D">
        <w:t xml:space="preserve"> adjusted reoffending rate that reflect</w:t>
      </w:r>
      <w:r w:rsidR="000F1D9A">
        <w:t>s</w:t>
      </w:r>
      <w:r w:rsidR="000F1D9A" w:rsidRPr="00F4382D">
        <w:t xml:space="preserve"> actual time spent in the community</w:t>
      </w:r>
      <w:r w:rsidR="000F1D9A">
        <w:t xml:space="preserve"> could usefully be investigated in the future</w:t>
      </w:r>
      <w:r w:rsidR="000F1D9A" w:rsidRPr="00F4382D">
        <w:t>.</w:t>
      </w:r>
    </w:p>
    <w:p w:rsidR="00566BA3" w:rsidRDefault="00566BA3" w:rsidP="00CE1408">
      <w:r>
        <w:br w:type="page"/>
      </w:r>
    </w:p>
    <w:p w:rsidR="002457AA" w:rsidRDefault="002457AA" w:rsidP="001453B3"/>
    <w:p w:rsidR="004321E9" w:rsidRDefault="004321E9" w:rsidP="001453B3"/>
    <w:p w:rsidR="002D665D" w:rsidRPr="002457AA" w:rsidRDefault="002D665D" w:rsidP="002D665D">
      <w:pPr>
        <w:spacing w:after="0" w:line="240" w:lineRule="auto"/>
        <w:rPr>
          <w:b/>
        </w:rPr>
      </w:pPr>
      <w:r w:rsidRPr="002457AA">
        <w:br w:type="page"/>
      </w:r>
    </w:p>
    <w:p w:rsidR="002D665D" w:rsidRPr="00AE796E" w:rsidRDefault="002D665D" w:rsidP="00C02237">
      <w:pPr>
        <w:pStyle w:val="Heading1"/>
        <w:ind w:right="-46"/>
      </w:pPr>
      <w:bookmarkStart w:id="5" w:name="_Toc449017690"/>
      <w:bookmarkStart w:id="6" w:name="_Toc449017799"/>
      <w:r>
        <w:lastRenderedPageBreak/>
        <w:t>Introduction</w:t>
      </w:r>
      <w:bookmarkEnd w:id="5"/>
      <w:bookmarkEnd w:id="6"/>
    </w:p>
    <w:p w:rsidR="00DD6FA9" w:rsidRDefault="002D665D" w:rsidP="00C23E67">
      <w:r w:rsidRPr="00F4382D">
        <w:t>Th</w:t>
      </w:r>
      <w:r w:rsidR="003316EB">
        <w:t>is</w:t>
      </w:r>
      <w:r w:rsidRPr="00F4382D">
        <w:t xml:space="preserve"> report </w:t>
      </w:r>
      <w:r w:rsidR="00430253">
        <w:t xml:space="preserve">describes </w:t>
      </w:r>
      <w:r w:rsidR="00654D19">
        <w:t>changes in the</w:t>
      </w:r>
      <w:r w:rsidRPr="00F4382D">
        <w:t xml:space="preserve"> offending </w:t>
      </w:r>
      <w:r w:rsidR="00430253">
        <w:t>outcomes observed for</w:t>
      </w:r>
      <w:r w:rsidRPr="00F4382D">
        <w:t xml:space="preserve"> </w:t>
      </w:r>
      <w:r w:rsidR="00430253">
        <w:t>7</w:t>
      </w:r>
      <w:r>
        <w:t>9</w:t>
      </w:r>
      <w:r w:rsidRPr="00F4382D">
        <w:t xml:space="preserve"> young people who </w:t>
      </w:r>
      <w:r w:rsidR="009C5F6B">
        <w:t>graduated</w:t>
      </w:r>
      <w:r w:rsidRPr="00F4382D">
        <w:t xml:space="preserve"> </w:t>
      </w:r>
      <w:r w:rsidR="00981BE3">
        <w:t>from</w:t>
      </w:r>
      <w:r w:rsidR="00883DE5">
        <w:t xml:space="preserve"> </w:t>
      </w:r>
      <w:r>
        <w:t>1</w:t>
      </w:r>
      <w:r w:rsidR="00430253">
        <w:t>1</w:t>
      </w:r>
      <w:r w:rsidRPr="00F4382D">
        <w:t xml:space="preserve"> Military-style Activity Camps (MACs) held between October 2010 and </w:t>
      </w:r>
      <w:r w:rsidR="00430253">
        <w:t>December</w:t>
      </w:r>
      <w:r w:rsidR="00430253" w:rsidRPr="00F4382D">
        <w:t xml:space="preserve"> </w:t>
      </w:r>
      <w:r w:rsidRPr="00F4382D">
        <w:t>201</w:t>
      </w:r>
      <w:r w:rsidR="00430253">
        <w:t>3</w:t>
      </w:r>
      <w:r w:rsidRPr="00F4382D">
        <w:t xml:space="preserve"> at Te </w:t>
      </w:r>
      <w:proofErr w:type="spellStart"/>
      <w:r w:rsidRPr="00F4382D">
        <w:t>Puna</w:t>
      </w:r>
      <w:proofErr w:type="spellEnd"/>
      <w:r w:rsidRPr="00F4382D">
        <w:t xml:space="preserve"> </w:t>
      </w:r>
      <w:proofErr w:type="spellStart"/>
      <w:r w:rsidRPr="00F4382D">
        <w:t>Wai</w:t>
      </w:r>
      <w:proofErr w:type="spellEnd"/>
      <w:r w:rsidRPr="00F4382D">
        <w:t xml:space="preserve"> ō </w:t>
      </w:r>
      <w:proofErr w:type="spellStart"/>
      <w:r w:rsidRPr="00F4382D">
        <w:t>Tuhinapo</w:t>
      </w:r>
      <w:proofErr w:type="spellEnd"/>
      <w:r w:rsidRPr="00F4382D">
        <w:t xml:space="preserve"> youth justice residence in Christchurch. </w:t>
      </w:r>
      <w:r w:rsidR="00201FB6" w:rsidRPr="00F4382D">
        <w:t>Th</w:t>
      </w:r>
      <w:r w:rsidR="00430253">
        <w:t xml:space="preserve">ese young people </w:t>
      </w:r>
      <w:r w:rsidR="00201FB6" w:rsidRPr="00F4382D">
        <w:t>had at least a 12</w:t>
      </w:r>
      <w:r w:rsidR="00201FB6">
        <w:t xml:space="preserve"> </w:t>
      </w:r>
      <w:r w:rsidR="00201FB6" w:rsidRPr="00F4382D">
        <w:t>month post-release period</w:t>
      </w:r>
      <w:r w:rsidR="00D866B8" w:rsidRPr="00D866B8">
        <w:t xml:space="preserve"> </w:t>
      </w:r>
      <w:r w:rsidR="00D0503F">
        <w:t>so th</w:t>
      </w:r>
      <w:r w:rsidR="00C06B00">
        <w:t>eir</w:t>
      </w:r>
      <w:r w:rsidR="00D866B8">
        <w:t xml:space="preserve"> follow-up offending could be observed</w:t>
      </w:r>
      <w:r w:rsidR="00201FB6" w:rsidRPr="00F4382D">
        <w:t>.</w:t>
      </w:r>
      <w:r w:rsidR="00DD6FA9">
        <w:t xml:space="preserve"> </w:t>
      </w:r>
    </w:p>
    <w:p w:rsidR="001400B5" w:rsidRDefault="001400B5" w:rsidP="001400B5">
      <w:r>
        <w:rPr>
          <w:lang w:val="en-AU"/>
        </w:rPr>
        <w:t>Multiple measures of recidivism are presented</w:t>
      </w:r>
      <w:r w:rsidR="00F911CE">
        <w:rPr>
          <w:lang w:val="en-AU"/>
        </w:rPr>
        <w:t>, as a</w:t>
      </w:r>
      <w:r>
        <w:rPr>
          <w:lang w:val="en-AU"/>
        </w:rPr>
        <w:t xml:space="preserve"> single measure of whether young people did or did not reoffend provides an incomplete picture. It is also useful to look at the proportion of individuals who reduced the frequency </w:t>
      </w:r>
      <w:r w:rsidR="00F911CE">
        <w:rPr>
          <w:lang w:val="en-AU"/>
        </w:rPr>
        <w:t>or</w:t>
      </w:r>
      <w:r>
        <w:rPr>
          <w:lang w:val="en-AU"/>
        </w:rPr>
        <w:t xml:space="preserve"> seriousness of their offending, and the proportion of those who reoffended whose offending </w:t>
      </w:r>
      <w:r w:rsidR="00F911CE">
        <w:rPr>
          <w:lang w:val="en-AU"/>
        </w:rPr>
        <w:t>and other circumstances were</w:t>
      </w:r>
      <w:r>
        <w:rPr>
          <w:lang w:val="en-AU"/>
        </w:rPr>
        <w:t xml:space="preserve"> serious enough to warrant a custodial sentence or order.</w:t>
      </w:r>
    </w:p>
    <w:p w:rsidR="00523104" w:rsidRDefault="00523104" w:rsidP="00523104">
      <w:pPr>
        <w:spacing w:after="170"/>
      </w:pPr>
      <w:r>
        <w:t xml:space="preserve">Caution must be taken in interpreting reoffending outcomes as they are not always a measure of the effectiveness of an intervention alone. For example, </w:t>
      </w:r>
      <w:r w:rsidR="001400B5">
        <w:t>some people</w:t>
      </w:r>
      <w:r>
        <w:t xml:space="preserve"> may reoffend less often simply due to the fact that they were caught by the Police and made to account for their actions, regardless of the particular intervention applied. There may also be a general effect from the person aging and maturing.</w:t>
      </w:r>
    </w:p>
    <w:p w:rsidR="00430253" w:rsidRDefault="00890C0C" w:rsidP="00C23E67">
      <w:r>
        <w:t>The analysis excluded 15</w:t>
      </w:r>
      <w:r w:rsidR="00DD6FA9">
        <w:t xml:space="preserve"> young people </w:t>
      </w:r>
      <w:r>
        <w:t xml:space="preserve">who </w:t>
      </w:r>
      <w:r w:rsidR="00DD6FA9">
        <w:t>commenced</w:t>
      </w:r>
      <w:r>
        <w:t>, but did not complete,</w:t>
      </w:r>
      <w:r w:rsidR="00DD6FA9">
        <w:t xml:space="preserve"> the MACs </w:t>
      </w:r>
      <w:r>
        <w:t xml:space="preserve">examined in this report. On-going disruptive behaviour, lack of engagement or effort, or physical/verbal abuse toward staff </w:t>
      </w:r>
      <w:r w:rsidR="001400B5">
        <w:t xml:space="preserve">or other participants </w:t>
      </w:r>
      <w:r>
        <w:t xml:space="preserve">were often the reasons </w:t>
      </w:r>
      <w:r w:rsidR="00A80DCF">
        <w:t>behind</w:t>
      </w:r>
      <w:r>
        <w:t xml:space="preserve"> </w:t>
      </w:r>
      <w:r w:rsidR="00A80DCF">
        <w:t>young people being removed from</w:t>
      </w:r>
      <w:r w:rsidR="001400B5">
        <w:t xml:space="preserve">, or not graduating, </w:t>
      </w:r>
      <w:r w:rsidR="00A80DCF">
        <w:t>the programme</w:t>
      </w:r>
      <w:r>
        <w:t>.</w:t>
      </w:r>
    </w:p>
    <w:p w:rsidR="00FE4094" w:rsidRPr="00C14149" w:rsidRDefault="00FE4094" w:rsidP="00C14149">
      <w:pPr>
        <w:pStyle w:val="Heading3"/>
      </w:pPr>
      <w:bookmarkStart w:id="7" w:name="_Toc449017691"/>
      <w:r w:rsidRPr="00C14149">
        <w:t>What is the MAC programme?</w:t>
      </w:r>
      <w:bookmarkEnd w:id="7"/>
    </w:p>
    <w:p w:rsidR="00AE73C8" w:rsidRDefault="00AE73C8" w:rsidP="00C23E67">
      <w:r>
        <w:t xml:space="preserve">The </w:t>
      </w:r>
      <w:r w:rsidR="002D665D" w:rsidRPr="00F4382D">
        <w:t>MAC programme</w:t>
      </w:r>
      <w:r>
        <w:t xml:space="preserve"> wa</w:t>
      </w:r>
      <w:r w:rsidR="002D665D" w:rsidRPr="00F4382D">
        <w:t xml:space="preserve">s </w:t>
      </w:r>
      <w:r>
        <w:t xml:space="preserve">introduced as part of a Fresh Start package of reforms in October 2010. MACs </w:t>
      </w:r>
      <w:r w:rsidR="002D665D" w:rsidRPr="00F4382D">
        <w:t>are intended to target the most serious and repeat young offenders, and are undertaken as part of a Supervision with Residence (</w:t>
      </w:r>
      <w:proofErr w:type="spellStart"/>
      <w:r w:rsidR="002D665D" w:rsidRPr="00F4382D">
        <w:t>SwR</w:t>
      </w:r>
      <w:proofErr w:type="spellEnd"/>
      <w:r w:rsidR="002D665D" w:rsidRPr="00F4382D">
        <w:t xml:space="preserve">) order. </w:t>
      </w:r>
    </w:p>
    <w:p w:rsidR="00AE73C8" w:rsidRPr="00A47D21" w:rsidRDefault="00AE73C8" w:rsidP="00AE73C8">
      <w:pPr>
        <w:rPr>
          <w:lang w:val="en-AU"/>
        </w:rPr>
      </w:pPr>
      <w:r w:rsidRPr="00A47D21">
        <w:rPr>
          <w:lang w:val="en-AU"/>
        </w:rPr>
        <w:t xml:space="preserve">The MAC programme is a partnership between </w:t>
      </w:r>
      <w:r>
        <w:rPr>
          <w:lang w:val="en-AU"/>
        </w:rPr>
        <w:t>Child, Youth and Family (</w:t>
      </w:r>
      <w:r w:rsidRPr="00A47D21">
        <w:rPr>
          <w:lang w:val="en-AU"/>
        </w:rPr>
        <w:t>CYF</w:t>
      </w:r>
      <w:r>
        <w:rPr>
          <w:lang w:val="en-AU"/>
        </w:rPr>
        <w:t>)</w:t>
      </w:r>
      <w:r w:rsidRPr="00A47D21">
        <w:rPr>
          <w:lang w:val="en-AU"/>
        </w:rPr>
        <w:t xml:space="preserve"> and the New Zealand Defence Force (NZDF). It aims to reinforce self-discipline, personal responsibility and community values, while also helping to address the underlying causes of offending</w:t>
      </w:r>
      <w:r>
        <w:rPr>
          <w:lang w:val="en-AU"/>
        </w:rPr>
        <w:t xml:space="preserve"> for the young people</w:t>
      </w:r>
      <w:r w:rsidRPr="00A47D21">
        <w:rPr>
          <w:lang w:val="en-AU"/>
        </w:rPr>
        <w:t>. The programme involves two phases:</w:t>
      </w:r>
    </w:p>
    <w:p w:rsidR="00AE73C8" w:rsidRPr="00A47D21" w:rsidRDefault="00AE73C8" w:rsidP="00AE73C8">
      <w:pPr>
        <w:pStyle w:val="Bullet1"/>
        <w:numPr>
          <w:ilvl w:val="0"/>
          <w:numId w:val="5"/>
        </w:numPr>
        <w:tabs>
          <w:tab w:val="clear" w:pos="360"/>
        </w:tabs>
        <w:ind w:left="284" w:hanging="284"/>
        <w:rPr>
          <w:lang w:val="en-AU"/>
        </w:rPr>
      </w:pPr>
      <w:r w:rsidRPr="00A47D21">
        <w:rPr>
          <w:lang w:val="en-AU"/>
        </w:rPr>
        <w:t xml:space="preserve">a </w:t>
      </w:r>
      <w:r>
        <w:rPr>
          <w:lang w:val="en-AU"/>
        </w:rPr>
        <w:t xml:space="preserve">nine-week </w:t>
      </w:r>
      <w:r w:rsidRPr="00A47D21">
        <w:rPr>
          <w:lang w:val="en-AU"/>
        </w:rPr>
        <w:t xml:space="preserve">residential-based phase that includes a wilderness camp run jointly by the NZDF and residence staff, a structured residence-based programme including therapeutic and educational interventions (including literacy and numeracy skills) targeting </w:t>
      </w:r>
      <w:proofErr w:type="spellStart"/>
      <w:r w:rsidRPr="00A47D21">
        <w:rPr>
          <w:lang w:val="en-AU"/>
        </w:rPr>
        <w:t>criminogenic</w:t>
      </w:r>
      <w:proofErr w:type="spellEnd"/>
      <w:r w:rsidRPr="00A47D21">
        <w:rPr>
          <w:lang w:val="en-AU"/>
        </w:rPr>
        <w:t xml:space="preserve"> needs</w:t>
      </w:r>
      <w:r w:rsidRPr="00A47D21">
        <w:rPr>
          <w:rStyle w:val="FootnoteReference"/>
          <w:rFonts w:ascii="Arial Mäori" w:hAnsi="Arial Mäori"/>
        </w:rPr>
        <w:footnoteReference w:id="1"/>
      </w:r>
      <w:r w:rsidRPr="00A47D21">
        <w:rPr>
          <w:lang w:val="en-AU"/>
        </w:rPr>
        <w:t>, and drug and alcohol treatment</w:t>
      </w:r>
    </w:p>
    <w:p w:rsidR="00AE73C8" w:rsidRPr="00A47D21" w:rsidRDefault="00AE73C8" w:rsidP="00AE73C8">
      <w:pPr>
        <w:pStyle w:val="Bullet1"/>
        <w:numPr>
          <w:ilvl w:val="0"/>
          <w:numId w:val="5"/>
        </w:numPr>
        <w:tabs>
          <w:tab w:val="clear" w:pos="360"/>
        </w:tabs>
        <w:ind w:left="284" w:hanging="284"/>
      </w:pPr>
      <w:r w:rsidRPr="00A47D21">
        <w:rPr>
          <w:lang w:val="en-AU"/>
        </w:rPr>
        <w:t>a community-based phase where a social services provider will continue to offer support for up to 12 months, to help the young person as they settle back into the community.</w:t>
      </w:r>
    </w:p>
    <w:p w:rsidR="00AE73C8" w:rsidRPr="002D53DF" w:rsidRDefault="00AE73C8" w:rsidP="00883DE5">
      <w:pPr>
        <w:pStyle w:val="Bullet1"/>
        <w:numPr>
          <w:ilvl w:val="0"/>
          <w:numId w:val="0"/>
        </w:numPr>
      </w:pPr>
      <w:r w:rsidRPr="002D53DF">
        <w:t>As</w:t>
      </w:r>
      <w:r>
        <w:t xml:space="preserve"> the</w:t>
      </w:r>
      <w:r w:rsidRPr="002D53DF">
        <w:t xml:space="preserve"> MAC programme</w:t>
      </w:r>
      <w:r>
        <w:t xml:space="preserve"> is</w:t>
      </w:r>
      <w:r w:rsidRPr="002D53DF">
        <w:t xml:space="preserve"> intended to target the most serious and repeat young offenders, one of the outcome measures for the MACs is to assess the extent to which the</w:t>
      </w:r>
      <w:r w:rsidR="00AB7AE6">
        <w:t>re was a reduction in</w:t>
      </w:r>
      <w:r w:rsidRPr="002D53DF">
        <w:t xml:space="preserve"> offending </w:t>
      </w:r>
      <w:r w:rsidR="00AB7AE6">
        <w:t xml:space="preserve">by </w:t>
      </w:r>
      <w:r>
        <w:t>graduates</w:t>
      </w:r>
      <w:r w:rsidRPr="002D53DF">
        <w:t xml:space="preserve"> </w:t>
      </w:r>
      <w:r w:rsidR="00AB7AE6">
        <w:t xml:space="preserve">after the programme </w:t>
      </w:r>
      <w:r w:rsidRPr="002D53DF">
        <w:t>– in particular, the frequency and seriousness of offending.</w:t>
      </w:r>
      <w:r>
        <w:t xml:space="preserve"> </w:t>
      </w:r>
      <w:r w:rsidRPr="002D53DF">
        <w:t xml:space="preserve">The </w:t>
      </w:r>
      <w:r w:rsidR="00AB7AE6">
        <w:t>extent of change</w:t>
      </w:r>
      <w:r w:rsidRPr="002D53DF">
        <w:t xml:space="preserve"> </w:t>
      </w:r>
      <w:r w:rsidR="00AB7AE6">
        <w:t>i</w:t>
      </w:r>
      <w:r w:rsidRPr="002D53DF">
        <w:t xml:space="preserve">n any other outcomes </w:t>
      </w:r>
      <w:r w:rsidRPr="002D53DF">
        <w:lastRenderedPageBreak/>
        <w:t xml:space="preserve">sought by the MAC programme (such as improved literacy or numeracy skills) </w:t>
      </w:r>
      <w:r w:rsidR="00AB7AE6">
        <w:t>is</w:t>
      </w:r>
      <w:r w:rsidRPr="002D53DF">
        <w:t xml:space="preserve"> not able to be measured from </w:t>
      </w:r>
      <w:r w:rsidR="00AB7AE6">
        <w:t xml:space="preserve">the </w:t>
      </w:r>
      <w:r w:rsidRPr="002D53DF">
        <w:t>administrative data</w:t>
      </w:r>
      <w:r w:rsidR="00AB7AE6">
        <w:t xml:space="preserve"> held</w:t>
      </w:r>
      <w:r w:rsidRPr="002D53DF">
        <w:t>.</w:t>
      </w:r>
    </w:p>
    <w:p w:rsidR="00AE73C8" w:rsidRDefault="00AE73C8" w:rsidP="00883DE5">
      <w:pPr>
        <w:pStyle w:val="Bullet1"/>
        <w:numPr>
          <w:ilvl w:val="0"/>
          <w:numId w:val="0"/>
        </w:numPr>
        <w:rPr>
          <w:lang w:val="en-AU"/>
        </w:rPr>
      </w:pPr>
      <w:r>
        <w:rPr>
          <w:lang w:val="en-AU"/>
        </w:rPr>
        <w:t>The results from a</w:t>
      </w:r>
      <w:r w:rsidR="00C17B8A">
        <w:rPr>
          <w:lang w:val="en-AU"/>
        </w:rPr>
        <w:t>n</w:t>
      </w:r>
      <w:r w:rsidRPr="001A5C50">
        <w:rPr>
          <w:lang w:val="en-AU"/>
        </w:rPr>
        <w:t xml:space="preserve"> evaluation of the MAC programme was published by MSD in September 2013 and can be retrieved from</w:t>
      </w:r>
      <w:r>
        <w:rPr>
          <w:lang w:val="en-AU"/>
        </w:rPr>
        <w:t xml:space="preserve"> the MSD website.</w:t>
      </w:r>
      <w:r>
        <w:rPr>
          <w:rStyle w:val="FootnoteReference"/>
        </w:rPr>
        <w:footnoteReference w:id="2"/>
      </w:r>
      <w:r w:rsidRPr="001A5C50">
        <w:rPr>
          <w:lang w:val="en-AU"/>
        </w:rPr>
        <w:t xml:space="preserve"> </w:t>
      </w:r>
    </w:p>
    <w:p w:rsidR="001400B5" w:rsidRDefault="001400B5" w:rsidP="00712DF4">
      <w:pPr>
        <w:pStyle w:val="Bullet1"/>
        <w:numPr>
          <w:ilvl w:val="0"/>
          <w:numId w:val="0"/>
        </w:numPr>
        <w:rPr>
          <w:lang w:val="en-AU"/>
        </w:rPr>
      </w:pPr>
    </w:p>
    <w:p w:rsidR="002D665D" w:rsidRDefault="002D665D" w:rsidP="00712DF4">
      <w:pPr>
        <w:pStyle w:val="Bullet1"/>
        <w:numPr>
          <w:ilvl w:val="0"/>
          <w:numId w:val="0"/>
        </w:numPr>
        <w:rPr>
          <w:rFonts w:ascii="Arial" w:hAnsi="Arial"/>
          <w:color w:val="000000"/>
          <w:kern w:val="0"/>
          <w:sz w:val="22"/>
          <w:szCs w:val="22"/>
          <w:lang w:val="en-US" w:eastAsia="en-NZ"/>
        </w:rPr>
      </w:pPr>
      <w:r>
        <w:br w:type="page"/>
      </w:r>
    </w:p>
    <w:p w:rsidR="002D665D" w:rsidRPr="00F926FD" w:rsidRDefault="002D665D" w:rsidP="0009140C">
      <w:pPr>
        <w:pStyle w:val="Heading1"/>
        <w:spacing w:before="120"/>
        <w:ind w:right="-46"/>
      </w:pPr>
      <w:bookmarkStart w:id="8" w:name="_Toc449017692"/>
      <w:bookmarkStart w:id="9" w:name="_Toc449017800"/>
      <w:r>
        <w:lastRenderedPageBreak/>
        <w:t>Methodology</w:t>
      </w:r>
      <w:bookmarkEnd w:id="8"/>
      <w:bookmarkEnd w:id="9"/>
    </w:p>
    <w:p w:rsidR="0060057B" w:rsidRDefault="00BF50F7" w:rsidP="0032413A">
      <w:pPr>
        <w:spacing w:after="0"/>
      </w:pPr>
      <w:bookmarkStart w:id="10" w:name="_Toc315344196"/>
      <w:bookmarkStart w:id="11" w:name="_Toc326828719"/>
      <w:r w:rsidRPr="00D92A21">
        <w:t xml:space="preserve">All analyses provided in this report </w:t>
      </w:r>
      <w:r>
        <w:t>we</w:t>
      </w:r>
      <w:r w:rsidRPr="00D92A21">
        <w:t>re produced by Insights MSD</w:t>
      </w:r>
      <w:r>
        <w:t>, Ministry of Social Development,</w:t>
      </w:r>
      <w:r w:rsidRPr="00D61355">
        <w:t xml:space="preserve"> </w:t>
      </w:r>
      <w:r>
        <w:t xml:space="preserve">using </w:t>
      </w:r>
      <w:r w:rsidRPr="00D92A21">
        <w:t xml:space="preserve">CYF </w:t>
      </w:r>
      <w:r>
        <w:t xml:space="preserve">and New Zealand </w:t>
      </w:r>
      <w:r w:rsidRPr="00D92A21">
        <w:t xml:space="preserve">Police </w:t>
      </w:r>
      <w:r>
        <w:t>(Police) da</w:t>
      </w:r>
      <w:r w:rsidRPr="00D92A21">
        <w:t>ta</w:t>
      </w:r>
      <w:r>
        <w:t xml:space="preserve">. </w:t>
      </w:r>
      <w:r w:rsidR="0060057B">
        <w:t>A brief description of the data utilised and the analysis undertaken is provided below, with more</w:t>
      </w:r>
      <w:r w:rsidR="0060057B" w:rsidRPr="00D92A21">
        <w:t xml:space="preserve"> detail </w:t>
      </w:r>
      <w:r w:rsidR="0060057B">
        <w:t xml:space="preserve">shown </w:t>
      </w:r>
      <w:r w:rsidR="0060057B" w:rsidRPr="00D92A21">
        <w:t xml:space="preserve">in Appendix </w:t>
      </w:r>
      <w:r w:rsidR="0060057B">
        <w:t>A</w:t>
      </w:r>
      <w:r w:rsidR="0060057B" w:rsidRPr="00D92A21">
        <w:t>.</w:t>
      </w:r>
    </w:p>
    <w:p w:rsidR="0060057B" w:rsidRPr="00C14149" w:rsidRDefault="0060057B" w:rsidP="00C14149">
      <w:pPr>
        <w:pStyle w:val="Heading3"/>
      </w:pPr>
      <w:bookmarkStart w:id="12" w:name="_Toc449017693"/>
      <w:r w:rsidRPr="00C14149">
        <w:t>Data sources and analysis</w:t>
      </w:r>
      <w:bookmarkEnd w:id="12"/>
    </w:p>
    <w:p w:rsidR="0060057B" w:rsidRDefault="00B02349" w:rsidP="0060057B">
      <w:r>
        <w:t>Information</w:t>
      </w:r>
      <w:r w:rsidR="0060057B">
        <w:t xml:space="preserve"> on the individuals who </w:t>
      </w:r>
      <w:r>
        <w:t xml:space="preserve">participated in </w:t>
      </w:r>
      <w:r w:rsidR="0060057B">
        <w:t xml:space="preserve">the MACs </w:t>
      </w:r>
      <w:r>
        <w:t xml:space="preserve">held </w:t>
      </w:r>
      <w:r w:rsidR="0060057B" w:rsidRPr="00F4382D">
        <w:t xml:space="preserve">between October 2010 and </w:t>
      </w:r>
      <w:r w:rsidR="0060057B">
        <w:t>December</w:t>
      </w:r>
      <w:r w:rsidR="0060057B" w:rsidRPr="00F4382D">
        <w:t xml:space="preserve"> 201</w:t>
      </w:r>
      <w:r w:rsidR="0060057B">
        <w:t xml:space="preserve">3 was provided to Insights MSD by </w:t>
      </w:r>
      <w:r w:rsidR="0060057B" w:rsidRPr="0060057B">
        <w:t>Residential and High Needs Services, CYF</w:t>
      </w:r>
      <w:r w:rsidR="0060057B">
        <w:t>.</w:t>
      </w:r>
      <w:r>
        <w:t xml:space="preserve"> Information on their release dates from residence was sourced from CYRAS.</w:t>
      </w:r>
      <w:r>
        <w:rPr>
          <w:rStyle w:val="FootnoteReference"/>
        </w:rPr>
        <w:footnoteReference w:id="3"/>
      </w:r>
    </w:p>
    <w:p w:rsidR="006B3D10" w:rsidRDefault="006B3D10" w:rsidP="006B3D10">
      <w:r>
        <w:t xml:space="preserve">Police provided </w:t>
      </w:r>
      <w:r w:rsidRPr="00D92A21">
        <w:t xml:space="preserve">offence occurrence data </w:t>
      </w:r>
      <w:r>
        <w:t>for each person which represents a history of offending recorded by Police from July 2005 to the date of extract.</w:t>
      </w:r>
      <w:r w:rsidRPr="00932AC1">
        <w:t xml:space="preserve"> </w:t>
      </w:r>
      <w:r>
        <w:t>Of course, n</w:t>
      </w:r>
      <w:r w:rsidRPr="007A4EF6">
        <w:t xml:space="preserve">ot all offences are reported to or discovered by Police, </w:t>
      </w:r>
      <w:r>
        <w:t xml:space="preserve">and not all perpetrators are identified and apprehended, </w:t>
      </w:r>
      <w:r w:rsidRPr="007A4EF6">
        <w:t xml:space="preserve">so </w:t>
      </w:r>
      <w:r>
        <w:t xml:space="preserve">this </w:t>
      </w:r>
      <w:r w:rsidRPr="007A4EF6">
        <w:t>offending data is an undercount of actual levels of offending</w:t>
      </w:r>
      <w:r>
        <w:t xml:space="preserve"> by some individuals</w:t>
      </w:r>
      <w:r w:rsidRPr="007A4EF6">
        <w:t>.</w:t>
      </w:r>
    </w:p>
    <w:bookmarkEnd w:id="10"/>
    <w:bookmarkEnd w:id="11"/>
    <w:p w:rsidR="00D702BF" w:rsidRDefault="00D702BF" w:rsidP="00D702BF">
      <w:r w:rsidRPr="00D92A21">
        <w:t xml:space="preserve">An offence occurrence is recorded by </w:t>
      </w:r>
      <w:r>
        <w:t>P</w:t>
      </w:r>
      <w:r w:rsidRPr="00D92A21">
        <w:t xml:space="preserve">olice </w:t>
      </w:r>
      <w:r>
        <w:t xml:space="preserve">against a person </w:t>
      </w:r>
      <w:r w:rsidRPr="00D92A21">
        <w:t>whe</w:t>
      </w:r>
      <w:r>
        <w:t>n they</w:t>
      </w:r>
      <w:r w:rsidRPr="00D92A21">
        <w:t xml:space="preserve"> believe that an offence has taken place</w:t>
      </w:r>
      <w:r w:rsidRPr="00710230">
        <w:t xml:space="preserve"> </w:t>
      </w:r>
      <w:r>
        <w:t>and that this person is responsible for the offence</w:t>
      </w:r>
      <w:r w:rsidRPr="00D92A21">
        <w:t xml:space="preserve">. It does not necessarily result in a charge being laid in court, or imply that the offence has been proven in any </w:t>
      </w:r>
      <w:r>
        <w:t xml:space="preserve">formal </w:t>
      </w:r>
      <w:r w:rsidRPr="00D92A21">
        <w:t xml:space="preserve">way. </w:t>
      </w:r>
      <w:r>
        <w:t>Due to the nature of the Police data</w:t>
      </w:r>
      <w:r w:rsidRPr="00D92A21">
        <w:t xml:space="preserve">, the reoffending rates presented in this report are likely to be higher than those reported in other youth justice research using different measures such as arrests, prosecutions or convictions. </w:t>
      </w:r>
      <w:r>
        <w:t>In New Zealand, u</w:t>
      </w:r>
      <w:r w:rsidRPr="00D92A21">
        <w:t xml:space="preserve">sing these latter measures of reoffending would give only a partial view of changes in </w:t>
      </w:r>
      <w:r>
        <w:t xml:space="preserve">children and </w:t>
      </w:r>
      <w:r w:rsidRPr="00D92A21">
        <w:t>young peoples’ offending patterns.</w:t>
      </w:r>
    </w:p>
    <w:p w:rsidR="0032413A" w:rsidRDefault="0032413A" w:rsidP="0032413A">
      <w:bookmarkStart w:id="13" w:name="_Toc383440734"/>
      <w:r>
        <w:t xml:space="preserve">Offending is examined for the 12 months prior to the MACs, and for the 12 months after release from residence. </w:t>
      </w:r>
      <w:r w:rsidRPr="00D92A21">
        <w:t xml:space="preserve">Further details can be found in Appendix </w:t>
      </w:r>
      <w:r>
        <w:t>A</w:t>
      </w:r>
      <w:r w:rsidRPr="00D92A21">
        <w:t>.</w:t>
      </w:r>
    </w:p>
    <w:p w:rsidR="0032413A" w:rsidRPr="00260E56" w:rsidRDefault="0032413A" w:rsidP="0032413A">
      <w:r w:rsidRPr="00530D7C">
        <w:t>Changes in the seriousness of offending were examined using the Justice Sector Seriousness Scale produced by the Ministry of Justice.</w:t>
      </w:r>
      <w:r w:rsidRPr="000243B4">
        <w:t xml:space="preserve"> </w:t>
      </w:r>
      <w:r>
        <w:t>Appendix A provides a discussion on measuring seriousness scores and the associated error variance.</w:t>
      </w:r>
    </w:p>
    <w:p w:rsidR="0060057B" w:rsidRPr="00C14149" w:rsidRDefault="0060057B" w:rsidP="00C14149">
      <w:pPr>
        <w:pStyle w:val="Heading3"/>
      </w:pPr>
      <w:bookmarkStart w:id="14" w:name="_Toc449017694"/>
      <w:r w:rsidRPr="00C14149">
        <w:t>Cautionary note</w:t>
      </w:r>
      <w:bookmarkEnd w:id="13"/>
      <w:r w:rsidRPr="00C14149">
        <w:t>s</w:t>
      </w:r>
      <w:bookmarkEnd w:id="14"/>
    </w:p>
    <w:p w:rsidR="002D665D" w:rsidRPr="00F4382D" w:rsidRDefault="002D665D" w:rsidP="005F4E10">
      <w:r w:rsidRPr="00F4382D">
        <w:t xml:space="preserve">As in any </w:t>
      </w:r>
      <w:r w:rsidR="00707370">
        <w:t>reoffending</w:t>
      </w:r>
      <w:r w:rsidRPr="00F4382D">
        <w:t xml:space="preserve"> analysis, patterns of offending can be affected by court orders or sentences which remove the person from the community, and therefore restrict opportunities to offend. For young people this includes </w:t>
      </w:r>
      <w:proofErr w:type="spellStart"/>
      <w:r w:rsidRPr="00F4382D">
        <w:t>SwR</w:t>
      </w:r>
      <w:proofErr w:type="spellEnd"/>
      <w:r w:rsidRPr="00F4382D">
        <w:t xml:space="preserve"> orders, prison sentences, and periods in custodial remand. This is particularly an issue when examining offending patterns for “serious” offenders (such as those who participate in MACs) who are more likely than other groups to be remanded in custody or receive high-end court tariffs.</w:t>
      </w:r>
    </w:p>
    <w:p w:rsidR="002D665D" w:rsidRPr="00F4382D" w:rsidRDefault="002D665D" w:rsidP="005F4E10">
      <w:r w:rsidRPr="00F4382D">
        <w:t>In addition, individuals who emigrate overseas will appear as having committed no offences during the periods they are not in New Zealand.</w:t>
      </w:r>
    </w:p>
    <w:p w:rsidR="002D665D" w:rsidRDefault="002D665D" w:rsidP="005F4E10">
      <w:r w:rsidRPr="00F4382D">
        <w:t xml:space="preserve">These periods spent out of the community can occur both before and after the intervention being examined. </w:t>
      </w:r>
      <w:r w:rsidR="000F1D9A">
        <w:t>T</w:t>
      </w:r>
      <w:r w:rsidR="000F1D9A" w:rsidRPr="00F4382D">
        <w:t xml:space="preserve">he feasibility of </w:t>
      </w:r>
      <w:r w:rsidR="000F1D9A">
        <w:t>calculating an</w:t>
      </w:r>
      <w:r w:rsidR="000F1D9A" w:rsidRPr="00F4382D">
        <w:t xml:space="preserve"> adjusted reoffending rate </w:t>
      </w:r>
      <w:r w:rsidR="000F1D9A" w:rsidRPr="00F4382D">
        <w:lastRenderedPageBreak/>
        <w:t>that reflect</w:t>
      </w:r>
      <w:r w:rsidR="000F1D9A">
        <w:t>s</w:t>
      </w:r>
      <w:r w:rsidR="000F1D9A" w:rsidRPr="00F4382D">
        <w:t xml:space="preserve"> actual time spent in the community</w:t>
      </w:r>
      <w:r w:rsidR="000F1D9A">
        <w:t xml:space="preserve"> could usefully be investigated in the future</w:t>
      </w:r>
      <w:r w:rsidR="000F1D9A" w:rsidRPr="00F4382D">
        <w:t>.</w:t>
      </w:r>
    </w:p>
    <w:p w:rsidR="00B1163F" w:rsidRDefault="00B1163F" w:rsidP="005F4E10"/>
    <w:p w:rsidR="00B1163F" w:rsidRPr="00F4382D" w:rsidRDefault="00B1163F" w:rsidP="005F4E10"/>
    <w:p w:rsidR="002D665D" w:rsidRPr="003A715C" w:rsidRDefault="002D665D" w:rsidP="002D665D"/>
    <w:p w:rsidR="002D665D" w:rsidRDefault="002D665D" w:rsidP="002D665D">
      <w:pPr>
        <w:sectPr w:rsidR="002D665D" w:rsidSect="00C02237">
          <w:footerReference w:type="even" r:id="rId13"/>
          <w:type w:val="continuous"/>
          <w:pgSz w:w="11906" w:h="16838"/>
          <w:pgMar w:top="1440" w:right="1440" w:bottom="1134" w:left="1440" w:header="709" w:footer="454" w:gutter="0"/>
          <w:cols w:space="708"/>
          <w:docGrid w:linePitch="360"/>
        </w:sectPr>
      </w:pPr>
    </w:p>
    <w:p w:rsidR="002D665D" w:rsidRPr="003E33B8" w:rsidRDefault="002D665D" w:rsidP="00C02237">
      <w:pPr>
        <w:pStyle w:val="Heading1"/>
        <w:spacing w:before="120"/>
        <w:ind w:right="57"/>
      </w:pPr>
      <w:bookmarkStart w:id="15" w:name="_Toc449017695"/>
      <w:bookmarkStart w:id="16" w:name="_Toc449017801"/>
      <w:bookmarkStart w:id="17" w:name="_Toc371084396"/>
      <w:r>
        <w:lastRenderedPageBreak/>
        <w:t>MAC</w:t>
      </w:r>
      <w:r w:rsidR="004742A2">
        <w:t xml:space="preserve"> graduates </w:t>
      </w:r>
      <w:r w:rsidR="00883DE5">
        <w:t>re</w:t>
      </w:r>
      <w:r w:rsidR="004742A2">
        <w:t>offending patterns</w:t>
      </w:r>
      <w:bookmarkEnd w:id="15"/>
      <w:bookmarkEnd w:id="16"/>
    </w:p>
    <w:p w:rsidR="002D665D" w:rsidRPr="00F4382D" w:rsidRDefault="002D665D" w:rsidP="00D9374A">
      <w:bookmarkStart w:id="18" w:name="_Toc410730305"/>
      <w:bookmarkEnd w:id="17"/>
      <w:r w:rsidRPr="00F4382D">
        <w:t xml:space="preserve">A total of </w:t>
      </w:r>
      <w:r>
        <w:t>79</w:t>
      </w:r>
      <w:r w:rsidRPr="00F4382D">
        <w:t xml:space="preserve"> young males who </w:t>
      </w:r>
      <w:r w:rsidR="00C26115">
        <w:t>graduated</w:t>
      </w:r>
      <w:r w:rsidRPr="00F4382D">
        <w:t xml:space="preserve"> </w:t>
      </w:r>
      <w:r w:rsidR="00DD5031">
        <w:t>from</w:t>
      </w:r>
      <w:r w:rsidRPr="00F4382D">
        <w:t xml:space="preserve"> </w:t>
      </w:r>
      <w:r w:rsidR="00883DE5">
        <w:t xml:space="preserve">the </w:t>
      </w:r>
      <w:r w:rsidR="00EF570B">
        <w:t xml:space="preserve">11 </w:t>
      </w:r>
      <w:r w:rsidRPr="00F4382D">
        <w:t xml:space="preserve">MACs examined in this report had a follow-up period of at least 12 months. Of the </w:t>
      </w:r>
      <w:r>
        <w:t>79</w:t>
      </w:r>
      <w:r w:rsidRPr="00F4382D">
        <w:t xml:space="preserve"> young people:</w:t>
      </w:r>
    </w:p>
    <w:p w:rsidR="002D665D" w:rsidRPr="00F4382D" w:rsidRDefault="002D665D" w:rsidP="005F4E10">
      <w:pPr>
        <w:pStyle w:val="Bullet1"/>
      </w:pPr>
      <w:r>
        <w:t>54</w:t>
      </w:r>
      <w:r w:rsidRPr="00F4382D">
        <w:t>% (</w:t>
      </w:r>
      <w:r>
        <w:t>43</w:t>
      </w:r>
      <w:r w:rsidRPr="00F4382D">
        <w:t xml:space="preserve">) were Māori, </w:t>
      </w:r>
      <w:r>
        <w:t>25</w:t>
      </w:r>
      <w:r w:rsidRPr="00F4382D">
        <w:t>% (</w:t>
      </w:r>
      <w:r>
        <w:t>20</w:t>
      </w:r>
      <w:r w:rsidRPr="00F4382D">
        <w:t xml:space="preserve">) were European, </w:t>
      </w:r>
      <w:r>
        <w:t>15</w:t>
      </w:r>
      <w:r w:rsidRPr="00F4382D">
        <w:t>% (</w:t>
      </w:r>
      <w:r>
        <w:t>12</w:t>
      </w:r>
      <w:r w:rsidRPr="00F4382D">
        <w:t>) were Pacific people and 5% (</w:t>
      </w:r>
      <w:r>
        <w:t>4</w:t>
      </w:r>
      <w:r w:rsidRPr="00F4382D">
        <w:t>) belonged to other ethnic groups</w:t>
      </w:r>
    </w:p>
    <w:p w:rsidR="002D665D" w:rsidRPr="00F4382D" w:rsidRDefault="002D665D" w:rsidP="005F4E10">
      <w:pPr>
        <w:pStyle w:val="Bullet1"/>
      </w:pPr>
      <w:r w:rsidRPr="00F4382D">
        <w:t>the average age at first recorded offence was 11.</w:t>
      </w:r>
      <w:r>
        <w:t>6</w:t>
      </w:r>
      <w:r w:rsidRPr="00F4382D">
        <w:t xml:space="preserve"> years (ranging from 6.6 to 15.7 years)</w:t>
      </w:r>
    </w:p>
    <w:p w:rsidR="002D665D" w:rsidRPr="00F4382D" w:rsidRDefault="002D665D" w:rsidP="005F4E10">
      <w:pPr>
        <w:pStyle w:val="Bullet1"/>
      </w:pPr>
      <w:r w:rsidRPr="00F4382D">
        <w:t xml:space="preserve">the average number of years between the first recorded offence and </w:t>
      </w:r>
      <w:r>
        <w:t xml:space="preserve">beginning the </w:t>
      </w:r>
      <w:proofErr w:type="spellStart"/>
      <w:r>
        <w:t>SwR</w:t>
      </w:r>
      <w:proofErr w:type="spellEnd"/>
      <w:r>
        <w:t xml:space="preserve"> order </w:t>
      </w:r>
      <w:r w:rsidRPr="00F4382D">
        <w:t>was 4.</w:t>
      </w:r>
      <w:r>
        <w:t>7</w:t>
      </w:r>
      <w:r w:rsidRPr="00F4382D">
        <w:t xml:space="preserve"> (ranging from 0.5 to 9.4 years)</w:t>
      </w:r>
    </w:p>
    <w:p w:rsidR="002D665D" w:rsidRPr="00F4382D" w:rsidRDefault="002D665D" w:rsidP="005F4E10">
      <w:pPr>
        <w:pStyle w:val="Bullet1"/>
      </w:pPr>
      <w:r w:rsidRPr="00F4382D">
        <w:t>the average age at the start of the order was 16.3 years (ranging from 15 to 17.3 years)</w:t>
      </w:r>
    </w:p>
    <w:p w:rsidR="002D665D" w:rsidRDefault="002D665D" w:rsidP="005F4E10">
      <w:pPr>
        <w:pStyle w:val="Bullet1"/>
      </w:pPr>
      <w:r w:rsidRPr="00F4382D">
        <w:t xml:space="preserve">the average number of days between </w:t>
      </w:r>
      <w:r w:rsidR="00C26115">
        <w:t>graduating</w:t>
      </w:r>
      <w:r w:rsidRPr="00F4382D">
        <w:t xml:space="preserve"> the MAC programme and exiting the residence was 2</w:t>
      </w:r>
      <w:r>
        <w:t>7</w:t>
      </w:r>
      <w:r w:rsidRPr="00F4382D">
        <w:t xml:space="preserve"> (ranging from 0 to 126 days), with 3</w:t>
      </w:r>
      <w:r>
        <w:t>4</w:t>
      </w:r>
      <w:r w:rsidRPr="00F4382D">
        <w:t>% (</w:t>
      </w:r>
      <w:r>
        <w:t>2</w:t>
      </w:r>
      <w:r w:rsidRPr="00F4382D">
        <w:t>7) of the young people exiting within one week of graduating the MAC.</w:t>
      </w:r>
    </w:p>
    <w:p w:rsidR="005F4E10" w:rsidRPr="00C14149" w:rsidRDefault="00707370" w:rsidP="00C14149">
      <w:pPr>
        <w:pStyle w:val="Heading3"/>
        <w:rPr>
          <w:rStyle w:val="Heading3Char"/>
          <w:b/>
          <w:bCs/>
        </w:rPr>
      </w:pPr>
      <w:bookmarkStart w:id="19" w:name="_Toc449017696"/>
      <w:r w:rsidRPr="00C14149">
        <w:rPr>
          <w:rStyle w:val="Heading3Char"/>
          <w:b/>
          <w:bCs/>
        </w:rPr>
        <w:t>Reoffending</w:t>
      </w:r>
      <w:r w:rsidR="002D665D" w:rsidRPr="00C14149">
        <w:rPr>
          <w:rStyle w:val="Heading3Char"/>
          <w:b/>
          <w:bCs/>
        </w:rPr>
        <w:t xml:space="preserve"> rate</w:t>
      </w:r>
      <w:bookmarkEnd w:id="19"/>
    </w:p>
    <w:p w:rsidR="002D665D" w:rsidRPr="005F4E10" w:rsidRDefault="003B7F9B" w:rsidP="00D9374A">
      <w:r>
        <w:t xml:space="preserve">Half of the </w:t>
      </w:r>
      <w:r w:rsidR="002D665D" w:rsidRPr="005F4E10">
        <w:t xml:space="preserve">MAC </w:t>
      </w:r>
      <w:r w:rsidR="00707370">
        <w:t>graduates</w:t>
      </w:r>
      <w:r w:rsidR="002D665D" w:rsidRPr="005F4E10">
        <w:t xml:space="preserve"> had come to the attention of Police with a new offence within </w:t>
      </w:r>
      <w:r>
        <w:t>four</w:t>
      </w:r>
      <w:r w:rsidR="002D665D" w:rsidRPr="005F4E10">
        <w:t xml:space="preserve"> months of exiting the residence (Figure 1). Within six months, 66% of the </w:t>
      </w:r>
      <w:r w:rsidR="00707370">
        <w:t>graduates</w:t>
      </w:r>
      <w:r w:rsidR="002D665D" w:rsidRPr="005F4E10">
        <w:t xml:space="preserve"> had reoffended. Within 12 months, 8</w:t>
      </w:r>
      <w:r>
        <w:t>6</w:t>
      </w:r>
      <w:r w:rsidR="002D665D" w:rsidRPr="005F4E10">
        <w:t xml:space="preserve">% had reoffended. There was little difference in the </w:t>
      </w:r>
      <w:r w:rsidR="00707370">
        <w:t>reoffending</w:t>
      </w:r>
      <w:r w:rsidR="002D665D" w:rsidRPr="005F4E10">
        <w:t xml:space="preserve"> rate of Māori and European </w:t>
      </w:r>
      <w:r w:rsidR="00707370">
        <w:t>graduates</w:t>
      </w:r>
      <w:r w:rsidR="002D665D" w:rsidRPr="005F4E10">
        <w:t xml:space="preserve"> after 12 months (86% and 85%, respectively). However, Māori were initially slower to reoffend than Europeans. After 70 days, half (50%) of European </w:t>
      </w:r>
      <w:r w:rsidR="00707370">
        <w:t>graduates</w:t>
      </w:r>
      <w:r w:rsidR="002D665D" w:rsidRPr="005F4E10">
        <w:t xml:space="preserve"> had reoffended compared with 33% of Māori </w:t>
      </w:r>
      <w:r w:rsidR="00707370">
        <w:t>graduates</w:t>
      </w:r>
      <w:r w:rsidR="002D665D" w:rsidRPr="005F4E10">
        <w:t>.</w:t>
      </w:r>
    </w:p>
    <w:p w:rsidR="002D665D" w:rsidRPr="00F4382D" w:rsidRDefault="002D665D" w:rsidP="00C02237">
      <w:pPr>
        <w:pStyle w:val="BodyText"/>
        <w:tabs>
          <w:tab w:val="left" w:pos="1276"/>
        </w:tabs>
        <w:spacing w:before="0" w:after="170" w:line="240" w:lineRule="auto"/>
        <w:ind w:left="1276" w:hanging="1276"/>
        <w:rPr>
          <w:rFonts w:ascii="Verdana" w:hAnsi="Verdana"/>
          <w:sz w:val="20"/>
          <w:szCs w:val="20"/>
          <w:lang w:val="en-NZ"/>
        </w:rPr>
      </w:pPr>
      <w:r w:rsidRPr="00F4382D">
        <w:rPr>
          <w:rFonts w:ascii="Verdana" w:hAnsi="Verdana"/>
          <w:b/>
          <w:sz w:val="20"/>
          <w:szCs w:val="20"/>
          <w:lang w:val="en-NZ"/>
        </w:rPr>
        <w:t>Figure 1:</w:t>
      </w:r>
      <w:r w:rsidRPr="00F4382D">
        <w:rPr>
          <w:rFonts w:ascii="Verdana" w:hAnsi="Verdana"/>
          <w:b/>
          <w:sz w:val="20"/>
          <w:szCs w:val="20"/>
          <w:lang w:val="en-NZ"/>
        </w:rPr>
        <w:tab/>
        <w:t xml:space="preserve">Percentage of MAC </w:t>
      </w:r>
      <w:r w:rsidR="00707370">
        <w:rPr>
          <w:rFonts w:ascii="Verdana" w:hAnsi="Verdana"/>
          <w:b/>
          <w:sz w:val="20"/>
          <w:szCs w:val="20"/>
          <w:lang w:val="en-NZ"/>
        </w:rPr>
        <w:t>graduates</w:t>
      </w:r>
      <w:r w:rsidRPr="00F4382D">
        <w:rPr>
          <w:rFonts w:ascii="Verdana" w:hAnsi="Verdana"/>
          <w:b/>
          <w:sz w:val="20"/>
          <w:szCs w:val="20"/>
          <w:lang w:val="en-NZ"/>
        </w:rPr>
        <w:t xml:space="preserve"> who reoffended within 12 months after exiting the residence</w:t>
      </w:r>
    </w:p>
    <w:p w:rsidR="002D665D" w:rsidRPr="00CC290D" w:rsidRDefault="00FD1857" w:rsidP="00D210B5">
      <w:pPr>
        <w:spacing w:after="170" w:line="240" w:lineRule="auto"/>
        <w:rPr>
          <w:rStyle w:val="Heading3Char"/>
        </w:rPr>
      </w:pPr>
      <w:r w:rsidRPr="00FD1857">
        <w:rPr>
          <w:noProof/>
          <w:lang w:eastAsia="en-NZ"/>
        </w:rPr>
        <w:drawing>
          <wp:inline distT="0" distB="0" distL="0" distR="0" wp14:anchorId="1CF15C95" wp14:editId="72798DD4">
            <wp:extent cx="5731510" cy="3022502"/>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022502"/>
                    </a:xfrm>
                    <a:prstGeom prst="rect">
                      <a:avLst/>
                    </a:prstGeom>
                    <a:noFill/>
                    <a:ln>
                      <a:noFill/>
                    </a:ln>
                  </pic:spPr>
                </pic:pic>
              </a:graphicData>
            </a:graphic>
          </wp:inline>
        </w:drawing>
      </w:r>
      <w:r w:rsidR="002D665D" w:rsidRPr="00DD53FC">
        <w:rPr>
          <w:rFonts w:ascii="Arial Mäori" w:hAnsi="Arial Mäori"/>
          <w:highlight w:val="yellow"/>
        </w:rPr>
        <w:br w:type="page"/>
      </w:r>
      <w:r w:rsidR="002D665D" w:rsidRPr="00CC290D">
        <w:rPr>
          <w:rStyle w:val="Heading3Char"/>
        </w:rPr>
        <w:lastRenderedPageBreak/>
        <w:t>Frequency and seriousness of offending</w:t>
      </w:r>
    </w:p>
    <w:p w:rsidR="002D665D" w:rsidRPr="008126C2" w:rsidRDefault="002D665D" w:rsidP="0029204C">
      <w:pPr>
        <w:spacing w:after="170"/>
      </w:pPr>
      <w:r w:rsidRPr="00783EEA">
        <w:t xml:space="preserve">Overall, there was an increase in the average frequency and seriousness of offending leading up to the MACs, followed by a reduction in both measures after </w:t>
      </w:r>
      <w:r w:rsidR="00D27030">
        <w:t>graduates exited</w:t>
      </w:r>
      <w:r w:rsidRPr="00783EEA">
        <w:t xml:space="preserve"> the residences (Figures </w:t>
      </w:r>
      <w:r>
        <w:t>2</w:t>
      </w:r>
      <w:r w:rsidRPr="00783EEA">
        <w:t xml:space="preserve"> and </w:t>
      </w:r>
      <w:r>
        <w:t>3</w:t>
      </w:r>
      <w:r w:rsidRPr="00783EEA">
        <w:t xml:space="preserve">). Over the 12 months since completing a MAC, the average number of offences committed by </w:t>
      </w:r>
      <w:r w:rsidR="00707370">
        <w:t>graduates</w:t>
      </w:r>
      <w:r w:rsidRPr="00783EEA">
        <w:t xml:space="preserve"> was </w:t>
      </w:r>
      <w:r>
        <w:t>8.2</w:t>
      </w:r>
      <w:r w:rsidRPr="00783EEA">
        <w:t xml:space="preserve"> (ranging from 0 to 2</w:t>
      </w:r>
      <w:r>
        <w:t>8</w:t>
      </w:r>
      <w:r w:rsidRPr="00783EEA">
        <w:t xml:space="preserve">). This is </w:t>
      </w:r>
      <w:r w:rsidR="0014341D">
        <w:t xml:space="preserve">a </w:t>
      </w:r>
      <w:r w:rsidR="0014341D" w:rsidRPr="0014341D">
        <w:t xml:space="preserve">reduction of 47% from </w:t>
      </w:r>
      <w:r w:rsidRPr="00783EEA">
        <w:t xml:space="preserve">the average of </w:t>
      </w:r>
      <w:r>
        <w:t>15.6</w:t>
      </w:r>
      <w:r w:rsidRPr="00783EEA">
        <w:t xml:space="preserve"> offences over the 12 months before the MAC (ranging from 2 to </w:t>
      </w:r>
      <w:r>
        <w:t>44</w:t>
      </w:r>
      <w:r w:rsidRPr="00783EEA">
        <w:t xml:space="preserve">). The average seriousness of all the offences committed in the </w:t>
      </w:r>
      <w:r w:rsidR="0014341D" w:rsidRPr="0014341D">
        <w:t>12 months before the MACs was 2,871, this fell by 57% to 1,221 in the 12 months following the MACs</w:t>
      </w:r>
      <w:r w:rsidR="0014341D">
        <w:t>.</w:t>
      </w:r>
      <w:r w:rsidR="0014341D" w:rsidRPr="0014341D" w:rsidDel="0014341D">
        <w:t xml:space="preserve"> </w:t>
      </w:r>
    </w:p>
    <w:p w:rsidR="002D665D" w:rsidRPr="00C02237" w:rsidRDefault="002D665D" w:rsidP="0029204C">
      <w:pPr>
        <w:pStyle w:val="BodyText"/>
        <w:tabs>
          <w:tab w:val="left" w:pos="1276"/>
        </w:tabs>
        <w:spacing w:before="0" w:line="240" w:lineRule="auto"/>
        <w:ind w:left="1276" w:hanging="1276"/>
        <w:rPr>
          <w:rFonts w:ascii="Verdana" w:hAnsi="Verdana"/>
          <w:b/>
          <w:sz w:val="20"/>
          <w:szCs w:val="20"/>
          <w:lang w:val="en-NZ"/>
        </w:rPr>
      </w:pPr>
      <w:r w:rsidRPr="00C02237">
        <w:rPr>
          <w:rFonts w:ascii="Verdana" w:hAnsi="Verdana"/>
          <w:b/>
          <w:sz w:val="20"/>
          <w:szCs w:val="20"/>
          <w:lang w:val="en-NZ"/>
        </w:rPr>
        <w:t>Figure 2:</w:t>
      </w:r>
      <w:r w:rsidRPr="00C02237">
        <w:rPr>
          <w:rFonts w:ascii="Verdana" w:hAnsi="Verdana"/>
          <w:b/>
          <w:sz w:val="20"/>
          <w:szCs w:val="20"/>
          <w:lang w:val="en-NZ"/>
        </w:rPr>
        <w:tab/>
        <w:t xml:space="preserve">Average frequency of offences dealt with by Police before and after </w:t>
      </w:r>
      <w:r w:rsidR="006868ED">
        <w:rPr>
          <w:rFonts w:ascii="Verdana" w:hAnsi="Verdana"/>
          <w:b/>
          <w:sz w:val="20"/>
          <w:szCs w:val="20"/>
          <w:lang w:val="en-NZ"/>
        </w:rPr>
        <w:t xml:space="preserve">graduates </w:t>
      </w:r>
      <w:r w:rsidR="006868ED" w:rsidRPr="00C02237">
        <w:rPr>
          <w:rFonts w:ascii="Verdana" w:hAnsi="Verdana"/>
          <w:b/>
          <w:sz w:val="20"/>
          <w:szCs w:val="20"/>
          <w:lang w:val="en-NZ"/>
        </w:rPr>
        <w:t>attend</w:t>
      </w:r>
      <w:r w:rsidR="006868ED">
        <w:rPr>
          <w:rFonts w:ascii="Verdana" w:hAnsi="Verdana"/>
          <w:b/>
          <w:sz w:val="20"/>
          <w:szCs w:val="20"/>
          <w:lang w:val="en-NZ"/>
        </w:rPr>
        <w:t>ed</w:t>
      </w:r>
      <w:r w:rsidR="006868ED" w:rsidRPr="00C02237">
        <w:rPr>
          <w:rFonts w:ascii="Verdana" w:hAnsi="Verdana"/>
          <w:b/>
          <w:sz w:val="20"/>
          <w:szCs w:val="20"/>
          <w:lang w:val="en-NZ"/>
        </w:rPr>
        <w:t xml:space="preserve"> </w:t>
      </w:r>
      <w:r w:rsidRPr="00C02237">
        <w:rPr>
          <w:rFonts w:ascii="Verdana" w:hAnsi="Verdana"/>
          <w:b/>
          <w:sz w:val="20"/>
          <w:szCs w:val="20"/>
          <w:lang w:val="en-NZ"/>
        </w:rPr>
        <w:t>MACs</w:t>
      </w:r>
    </w:p>
    <w:p w:rsidR="002D665D" w:rsidRPr="00DD53FC" w:rsidRDefault="00C025B7" w:rsidP="004321E9">
      <w:pPr>
        <w:pStyle w:val="BodyText"/>
        <w:spacing w:before="0" w:line="240" w:lineRule="auto"/>
        <w:ind w:left="1418" w:hanging="1418"/>
        <w:rPr>
          <w:highlight w:val="yellow"/>
          <w:lang w:val="en-NZ"/>
        </w:rPr>
      </w:pPr>
      <w:r w:rsidRPr="00C025B7">
        <w:rPr>
          <w:noProof/>
          <w:lang w:val="en-NZ"/>
        </w:rPr>
        <w:drawing>
          <wp:inline distT="0" distB="0" distL="0" distR="0" wp14:anchorId="3248B9D9" wp14:editId="2B0E7E05">
            <wp:extent cx="5731510" cy="26080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608066"/>
                    </a:xfrm>
                    <a:prstGeom prst="rect">
                      <a:avLst/>
                    </a:prstGeom>
                    <a:noFill/>
                    <a:ln>
                      <a:noFill/>
                    </a:ln>
                  </pic:spPr>
                </pic:pic>
              </a:graphicData>
            </a:graphic>
          </wp:inline>
        </w:drawing>
      </w:r>
    </w:p>
    <w:p w:rsidR="002D665D" w:rsidRPr="00C02237" w:rsidRDefault="002D665D" w:rsidP="00C02237">
      <w:pPr>
        <w:pStyle w:val="BodyText"/>
        <w:tabs>
          <w:tab w:val="left" w:pos="1276"/>
        </w:tabs>
        <w:spacing w:after="170" w:line="240" w:lineRule="auto"/>
        <w:ind w:left="1276" w:hanging="1276"/>
        <w:rPr>
          <w:rFonts w:ascii="Verdana" w:hAnsi="Verdana"/>
          <w:b/>
          <w:sz w:val="20"/>
          <w:szCs w:val="20"/>
          <w:lang w:val="en-NZ"/>
        </w:rPr>
      </w:pPr>
      <w:r w:rsidRPr="00C02237">
        <w:rPr>
          <w:rFonts w:ascii="Verdana" w:hAnsi="Verdana"/>
          <w:b/>
          <w:sz w:val="20"/>
          <w:szCs w:val="20"/>
          <w:lang w:val="en-NZ"/>
        </w:rPr>
        <w:t>Figure 3:</w:t>
      </w:r>
      <w:r w:rsidRPr="00C02237">
        <w:rPr>
          <w:rFonts w:ascii="Verdana" w:hAnsi="Verdana"/>
          <w:b/>
          <w:sz w:val="20"/>
          <w:szCs w:val="20"/>
          <w:lang w:val="en-NZ"/>
        </w:rPr>
        <w:tab/>
        <w:t xml:space="preserve">Average total seriousness of offences dealt with by Police before and after </w:t>
      </w:r>
      <w:r w:rsidR="0014341D">
        <w:rPr>
          <w:rFonts w:ascii="Verdana" w:hAnsi="Verdana"/>
          <w:b/>
          <w:sz w:val="20"/>
          <w:szCs w:val="20"/>
          <w:lang w:val="en-NZ"/>
        </w:rPr>
        <w:t xml:space="preserve">graduates </w:t>
      </w:r>
      <w:r w:rsidRPr="00C02237">
        <w:rPr>
          <w:rFonts w:ascii="Verdana" w:hAnsi="Verdana"/>
          <w:b/>
          <w:sz w:val="20"/>
          <w:szCs w:val="20"/>
          <w:lang w:val="en-NZ"/>
        </w:rPr>
        <w:t>attend</w:t>
      </w:r>
      <w:r w:rsidR="0014341D">
        <w:rPr>
          <w:rFonts w:ascii="Verdana" w:hAnsi="Verdana"/>
          <w:b/>
          <w:sz w:val="20"/>
          <w:szCs w:val="20"/>
          <w:lang w:val="en-NZ"/>
        </w:rPr>
        <w:t>ed</w:t>
      </w:r>
      <w:r w:rsidRPr="00C02237">
        <w:rPr>
          <w:rFonts w:ascii="Verdana" w:hAnsi="Verdana"/>
          <w:b/>
          <w:sz w:val="20"/>
          <w:szCs w:val="20"/>
          <w:lang w:val="en-NZ"/>
        </w:rPr>
        <w:t xml:space="preserve"> MACs</w:t>
      </w:r>
    </w:p>
    <w:p w:rsidR="002D665D" w:rsidRPr="00DD53FC" w:rsidRDefault="00C025B7" w:rsidP="004321E9">
      <w:pPr>
        <w:pStyle w:val="BodyText"/>
        <w:spacing w:before="0" w:line="240" w:lineRule="auto"/>
        <w:ind w:left="1418" w:right="446" w:hanging="1418"/>
        <w:rPr>
          <w:b/>
          <w:highlight w:val="yellow"/>
          <w:lang w:val="en-NZ"/>
        </w:rPr>
      </w:pPr>
      <w:r w:rsidRPr="00C025B7">
        <w:rPr>
          <w:noProof/>
          <w:lang w:val="en-NZ"/>
        </w:rPr>
        <w:drawing>
          <wp:inline distT="0" distB="0" distL="0" distR="0" wp14:anchorId="380765C4" wp14:editId="0ED7CF72">
            <wp:extent cx="5731510" cy="280692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806922"/>
                    </a:xfrm>
                    <a:prstGeom prst="rect">
                      <a:avLst/>
                    </a:prstGeom>
                    <a:noFill/>
                    <a:ln>
                      <a:noFill/>
                    </a:ln>
                  </pic:spPr>
                </pic:pic>
              </a:graphicData>
            </a:graphic>
          </wp:inline>
        </w:drawing>
      </w:r>
    </w:p>
    <w:p w:rsidR="004321E9" w:rsidRDefault="004321E9" w:rsidP="00C02237"/>
    <w:p w:rsidR="002D665D" w:rsidRPr="00A81B2C" w:rsidRDefault="002D665D" w:rsidP="00C02237">
      <w:r w:rsidRPr="00A81B2C">
        <w:t xml:space="preserve">The majority of the decrease in the number of offences committed by </w:t>
      </w:r>
      <w:r w:rsidR="00707370">
        <w:t>graduates</w:t>
      </w:r>
      <w:r w:rsidRPr="00A81B2C">
        <w:t xml:space="preserve"> in the 12 months following the MACs was due to large drops in burglary and theft-related offences (Figure 4). Overall, theft-related offences reduced by 43%, burglary offences </w:t>
      </w:r>
      <w:r w:rsidRPr="00A81B2C">
        <w:lastRenderedPageBreak/>
        <w:t xml:space="preserve">reduced by 57% </w:t>
      </w:r>
      <w:r w:rsidR="00643A88">
        <w:t xml:space="preserve">and </w:t>
      </w:r>
      <w:r w:rsidRPr="00A81B2C">
        <w:t xml:space="preserve">violent offending (including injury causing acts; robbery-related; and abduction &amp; harassment offences) reduced by </w:t>
      </w:r>
      <w:r w:rsidR="00D14C1D">
        <w:t>54</w:t>
      </w:r>
      <w:r w:rsidRPr="00A81B2C">
        <w:t>%</w:t>
      </w:r>
      <w:r>
        <w:t xml:space="preserve"> i</w:t>
      </w:r>
      <w:r w:rsidRPr="00A81B2C">
        <w:t xml:space="preserve">n the 12 months after the MACs. </w:t>
      </w:r>
    </w:p>
    <w:p w:rsidR="002D665D" w:rsidRPr="00C02237" w:rsidRDefault="002D665D" w:rsidP="00C02237">
      <w:pPr>
        <w:pStyle w:val="BodyText"/>
        <w:spacing w:before="120" w:line="240" w:lineRule="auto"/>
        <w:ind w:left="1418" w:right="306" w:hanging="1418"/>
        <w:rPr>
          <w:rFonts w:ascii="Verdana" w:hAnsi="Verdana"/>
          <w:b/>
          <w:sz w:val="20"/>
          <w:szCs w:val="20"/>
          <w:lang w:val="en-NZ"/>
        </w:rPr>
      </w:pPr>
      <w:r w:rsidRPr="00C02237">
        <w:rPr>
          <w:rFonts w:ascii="Verdana" w:hAnsi="Verdana"/>
          <w:b/>
          <w:sz w:val="20"/>
          <w:szCs w:val="20"/>
          <w:lang w:val="en-NZ"/>
        </w:rPr>
        <w:t>Figure 4:</w:t>
      </w:r>
      <w:r w:rsidRPr="00C02237">
        <w:rPr>
          <w:rFonts w:ascii="Verdana" w:hAnsi="Verdana"/>
          <w:b/>
          <w:sz w:val="20"/>
          <w:szCs w:val="20"/>
          <w:lang w:val="en-NZ"/>
        </w:rPr>
        <w:tab/>
        <w:t xml:space="preserve">Change in the total frequency of offences committed by MAC </w:t>
      </w:r>
      <w:r w:rsidR="00707370">
        <w:rPr>
          <w:rFonts w:ascii="Verdana" w:hAnsi="Verdana"/>
          <w:b/>
          <w:sz w:val="20"/>
          <w:szCs w:val="20"/>
          <w:lang w:val="en-NZ"/>
        </w:rPr>
        <w:t>graduates</w:t>
      </w:r>
      <w:r w:rsidRPr="00C02237">
        <w:rPr>
          <w:rFonts w:ascii="Verdana" w:hAnsi="Verdana"/>
          <w:b/>
          <w:sz w:val="20"/>
          <w:szCs w:val="20"/>
          <w:lang w:val="en-NZ"/>
        </w:rPr>
        <w:t>, by ANZSOC offence division</w:t>
      </w:r>
      <w:r w:rsidRPr="00C02237">
        <w:rPr>
          <w:rStyle w:val="FootnoteReference"/>
          <w:rFonts w:ascii="Verdana" w:hAnsi="Verdana"/>
          <w:sz w:val="20"/>
          <w:szCs w:val="20"/>
        </w:rPr>
        <w:footnoteReference w:id="4"/>
      </w:r>
    </w:p>
    <w:p w:rsidR="002D665D" w:rsidRPr="00DD53FC" w:rsidRDefault="003C0EE0" w:rsidP="00C02237">
      <w:pPr>
        <w:pStyle w:val="BodyText"/>
        <w:spacing w:before="120"/>
        <w:rPr>
          <w:highlight w:val="yellow"/>
          <w:lang w:val="en-NZ"/>
        </w:rPr>
      </w:pPr>
      <w:r>
        <w:rPr>
          <w:noProof/>
          <w:lang w:val="en-NZ"/>
        </w:rPr>
        <w:drawing>
          <wp:inline distT="0" distB="0" distL="0" distR="0" wp14:anchorId="3AD51C72" wp14:editId="1CB10CCB">
            <wp:extent cx="5351228" cy="3172571"/>
            <wp:effectExtent l="0" t="0" r="190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D665D" w:rsidRPr="00C02237" w:rsidRDefault="002D665D" w:rsidP="00C02237">
      <w:pPr>
        <w:pStyle w:val="BodyText"/>
        <w:spacing w:before="120" w:line="240" w:lineRule="auto"/>
        <w:ind w:left="1418" w:right="306" w:hanging="1418"/>
        <w:rPr>
          <w:rFonts w:ascii="Verdana" w:hAnsi="Verdana"/>
          <w:b/>
          <w:sz w:val="20"/>
          <w:szCs w:val="20"/>
          <w:lang w:val="en-NZ"/>
        </w:rPr>
      </w:pPr>
      <w:r w:rsidRPr="00C02237">
        <w:rPr>
          <w:rFonts w:ascii="Verdana" w:hAnsi="Verdana"/>
          <w:b/>
          <w:sz w:val="20"/>
          <w:szCs w:val="20"/>
          <w:lang w:val="en-NZ"/>
        </w:rPr>
        <w:t>Figure 5:</w:t>
      </w:r>
      <w:r w:rsidRPr="00C02237">
        <w:rPr>
          <w:rFonts w:ascii="Verdana" w:hAnsi="Verdana"/>
          <w:b/>
          <w:sz w:val="20"/>
          <w:szCs w:val="20"/>
          <w:lang w:val="en-NZ"/>
        </w:rPr>
        <w:tab/>
        <w:t xml:space="preserve">Percentage of MAC </w:t>
      </w:r>
      <w:r w:rsidR="00707370">
        <w:rPr>
          <w:rFonts w:ascii="Verdana" w:hAnsi="Verdana"/>
          <w:b/>
          <w:sz w:val="20"/>
          <w:szCs w:val="20"/>
          <w:lang w:val="en-NZ"/>
        </w:rPr>
        <w:t>graduates</w:t>
      </w:r>
      <w:r w:rsidRPr="00C02237">
        <w:rPr>
          <w:rFonts w:ascii="Verdana" w:hAnsi="Verdana"/>
          <w:b/>
          <w:sz w:val="20"/>
          <w:szCs w:val="20"/>
          <w:lang w:val="en-NZ"/>
        </w:rPr>
        <w:t xml:space="preserve"> who committed one or more of the ANZSOC offence divisions</w:t>
      </w:r>
    </w:p>
    <w:p w:rsidR="002D665D" w:rsidRPr="00DD53FC" w:rsidRDefault="002D665D" w:rsidP="004321E9">
      <w:pPr>
        <w:pStyle w:val="BodyText"/>
        <w:spacing w:before="120" w:line="240" w:lineRule="auto"/>
        <w:ind w:left="-284"/>
        <w:rPr>
          <w:b/>
          <w:highlight w:val="yellow"/>
          <w:lang w:val="en-NZ"/>
        </w:rPr>
      </w:pPr>
      <w:r w:rsidRPr="00815C80">
        <w:rPr>
          <w:noProof/>
        </w:rPr>
        <w:t xml:space="preserve"> </w:t>
      </w:r>
      <w:r w:rsidR="003C0EE0">
        <w:rPr>
          <w:noProof/>
          <w:lang w:val="en-NZ"/>
        </w:rPr>
        <w:drawing>
          <wp:inline distT="0" distB="0" distL="0" distR="0" wp14:anchorId="4F44973F" wp14:editId="156B1B04">
            <wp:extent cx="5534107" cy="302149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665D" w:rsidRPr="00822ABA" w:rsidRDefault="002D665D" w:rsidP="00C02237">
      <w:r w:rsidRPr="00822ABA">
        <w:t xml:space="preserve">While there was an overall drop in the frequency of offending, </w:t>
      </w:r>
      <w:r>
        <w:t xml:space="preserve">the small number of </w:t>
      </w:r>
      <w:r w:rsidRPr="00822ABA">
        <w:t xml:space="preserve">fraud &amp; deception offences increased </w:t>
      </w:r>
      <w:r>
        <w:t xml:space="preserve">a little </w:t>
      </w:r>
      <w:r w:rsidRPr="00822ABA">
        <w:t xml:space="preserve">in the 12 months following the MACs. </w:t>
      </w:r>
    </w:p>
    <w:p w:rsidR="002D665D" w:rsidRPr="00822ABA" w:rsidRDefault="002D665D" w:rsidP="00C02237">
      <w:r w:rsidRPr="00822ABA">
        <w:lastRenderedPageBreak/>
        <w:t>For many of the common offence types, the number of offences reduced substantially more than the percentage of recipients committing these offences (Figure 5). This suggests that some high frequency offenders are committing fewer offences after the MACs but are not stopping their offending completely.</w:t>
      </w:r>
    </w:p>
    <w:p w:rsidR="002D665D" w:rsidRPr="00CC290D" w:rsidRDefault="002D665D" w:rsidP="00CC290D">
      <w:pPr>
        <w:pStyle w:val="Heading3"/>
      </w:pPr>
      <w:bookmarkStart w:id="20" w:name="_Toc449017697"/>
      <w:r w:rsidRPr="00CC290D">
        <w:t>Overall outcomes in the 12 months after completing the order</w:t>
      </w:r>
      <w:bookmarkEnd w:id="20"/>
    </w:p>
    <w:p w:rsidR="002D665D" w:rsidRPr="00822ABA" w:rsidRDefault="002D665D" w:rsidP="00C02237">
      <w:r w:rsidRPr="00822ABA">
        <w:t>Table 1 compares offending patterns in the 12 months after the MACs with the 12 months before the MACs. In the 12 months after:</w:t>
      </w:r>
    </w:p>
    <w:p w:rsidR="002D665D" w:rsidRPr="00822ABA" w:rsidRDefault="002D665D" w:rsidP="00C02237">
      <w:pPr>
        <w:pStyle w:val="Bullet1"/>
      </w:pPr>
      <w:r>
        <w:t>14</w:t>
      </w:r>
      <w:r w:rsidRPr="00822ABA">
        <w:t>% (</w:t>
      </w:r>
      <w:r>
        <w:t>11</w:t>
      </w:r>
      <w:r w:rsidRPr="00822ABA">
        <w:t xml:space="preserve">) of the </w:t>
      </w:r>
      <w:r>
        <w:t>79</w:t>
      </w:r>
      <w:r w:rsidRPr="00822ABA">
        <w:t xml:space="preserve"> young people did not reoffend at all </w:t>
      </w:r>
    </w:p>
    <w:p w:rsidR="002D665D" w:rsidRPr="00822ABA" w:rsidRDefault="002D665D" w:rsidP="00C02237">
      <w:pPr>
        <w:pStyle w:val="Bullet1"/>
      </w:pPr>
      <w:r>
        <w:t>76</w:t>
      </w:r>
      <w:r w:rsidRPr="00822ABA">
        <w:t>% (</w:t>
      </w:r>
      <w:r>
        <w:t>60</w:t>
      </w:r>
      <w:r w:rsidRPr="00822ABA">
        <w:t xml:space="preserve">) of the young people offended less often (including the </w:t>
      </w:r>
      <w:r>
        <w:t>11</w:t>
      </w:r>
      <w:r w:rsidRPr="00822ABA">
        <w:t xml:space="preserve"> who did not reoffend</w:t>
      </w:r>
      <w:r w:rsidR="009531C6" w:rsidRPr="00541B14">
        <w:rPr>
          <w:rStyle w:val="FootnoteReference"/>
        </w:rPr>
        <w:footnoteReference w:id="5"/>
      </w:r>
      <w:r w:rsidRPr="00822ABA">
        <w:t xml:space="preserve">), while </w:t>
      </w:r>
      <w:r>
        <w:t>19</w:t>
      </w:r>
      <w:r w:rsidRPr="00822ABA">
        <w:t>% (</w:t>
      </w:r>
      <w:r>
        <w:t>15</w:t>
      </w:r>
      <w:r w:rsidRPr="00822ABA">
        <w:t xml:space="preserve">) offended more often and </w:t>
      </w:r>
      <w:r>
        <w:t>5</w:t>
      </w:r>
      <w:r w:rsidRPr="00822ABA">
        <w:t>% (4) offended at the same rate as before</w:t>
      </w:r>
    </w:p>
    <w:p w:rsidR="002D665D" w:rsidRPr="00822ABA" w:rsidRDefault="002D665D" w:rsidP="00C02237">
      <w:pPr>
        <w:pStyle w:val="Bullet1"/>
      </w:pPr>
      <w:r>
        <w:t>78</w:t>
      </w:r>
      <w:r w:rsidRPr="00822ABA">
        <w:t>% (</w:t>
      </w:r>
      <w:r>
        <w:t>62</w:t>
      </w:r>
      <w:r w:rsidRPr="00822ABA">
        <w:t xml:space="preserve">) of the young people reduced the total seriousness of their offending, while </w:t>
      </w:r>
      <w:r>
        <w:t>20</w:t>
      </w:r>
      <w:r w:rsidRPr="00822ABA">
        <w:t>% (1</w:t>
      </w:r>
      <w:r>
        <w:t>6</w:t>
      </w:r>
      <w:r w:rsidRPr="00822ABA">
        <w:t>) committed more serious offences</w:t>
      </w:r>
      <w:r>
        <w:t xml:space="preserve">, </w:t>
      </w:r>
      <w:r w:rsidR="0014341D">
        <w:t>and</w:t>
      </w:r>
      <w:r>
        <w:t xml:space="preserve"> one person’s total seriousness of offending remained the same</w:t>
      </w:r>
    </w:p>
    <w:p w:rsidR="002D665D" w:rsidRPr="00822ABA" w:rsidRDefault="002D665D" w:rsidP="00C02237">
      <w:pPr>
        <w:pStyle w:val="Bullet1"/>
      </w:pPr>
      <w:r>
        <w:t>71</w:t>
      </w:r>
      <w:r w:rsidRPr="00822ABA">
        <w:t>% (</w:t>
      </w:r>
      <w:r>
        <w:t>56</w:t>
      </w:r>
      <w:r w:rsidRPr="00822ABA">
        <w:t xml:space="preserve">) of the young people reduced the seriousness of their most serious offence, while </w:t>
      </w:r>
      <w:r>
        <w:t>22</w:t>
      </w:r>
      <w:r w:rsidRPr="00822ABA">
        <w:t>% (</w:t>
      </w:r>
      <w:r>
        <w:t>17</w:t>
      </w:r>
      <w:r w:rsidRPr="00822ABA">
        <w:t xml:space="preserve">) committed a more serious offence and </w:t>
      </w:r>
      <w:r>
        <w:t>8</w:t>
      </w:r>
      <w:r w:rsidRPr="00822ABA">
        <w:t>% (</w:t>
      </w:r>
      <w:r>
        <w:t>6</w:t>
      </w:r>
      <w:r w:rsidRPr="00822ABA">
        <w:t>) committed an offence of the same seriousness</w:t>
      </w:r>
    </w:p>
    <w:p w:rsidR="002D665D" w:rsidRDefault="002D665D" w:rsidP="00C02237">
      <w:pPr>
        <w:pStyle w:val="Bullet1"/>
      </w:pPr>
      <w:r w:rsidRPr="00822ABA">
        <w:t xml:space="preserve">there was little difference between Māori and European </w:t>
      </w:r>
      <w:r w:rsidR="00707370">
        <w:t>graduates</w:t>
      </w:r>
      <w:r w:rsidRPr="00822ABA">
        <w:t xml:space="preserve"> in the first three outcomes, however more Māori (8</w:t>
      </w:r>
      <w:r>
        <w:t>1</w:t>
      </w:r>
      <w:r w:rsidRPr="00822ABA">
        <w:t>%) reduced the seriousness of their most serious offence compared with Europeans (6</w:t>
      </w:r>
      <w:r>
        <w:t>0</w:t>
      </w:r>
      <w:r w:rsidRPr="00822ABA">
        <w:t xml:space="preserve">%). The differences in outcomes between ethnic groups should, however, be treated with caution due to the small number of </w:t>
      </w:r>
      <w:r w:rsidR="00707370">
        <w:t>graduates</w:t>
      </w:r>
      <w:r w:rsidRPr="00822ABA">
        <w:t xml:space="preserve"> in each group and the differences in ethnici</w:t>
      </w:r>
      <w:r>
        <w:t>ty proportions between the MACs</w:t>
      </w:r>
      <w:r w:rsidR="009531C6">
        <w:t>.</w:t>
      </w:r>
    </w:p>
    <w:p w:rsidR="002A59B8" w:rsidRDefault="002A59B8" w:rsidP="005020F6">
      <w:pPr>
        <w:pStyle w:val="Caption"/>
        <w:keepNext/>
        <w:tabs>
          <w:tab w:val="left" w:pos="993"/>
        </w:tabs>
        <w:ind w:left="993" w:hanging="993"/>
      </w:pPr>
      <w:r>
        <w:t xml:space="preserve">Table </w:t>
      </w:r>
      <w:r w:rsidR="00513CA2">
        <w:fldChar w:fldCharType="begin"/>
      </w:r>
      <w:r w:rsidR="00513CA2">
        <w:instrText xml:space="preserve"> SEQ Table \* ARABIC </w:instrText>
      </w:r>
      <w:r w:rsidR="00513CA2">
        <w:fldChar w:fldCharType="separate"/>
      </w:r>
      <w:r w:rsidR="00AB13C9">
        <w:rPr>
          <w:noProof/>
        </w:rPr>
        <w:t>1</w:t>
      </w:r>
      <w:r w:rsidR="00513CA2">
        <w:rPr>
          <w:noProof/>
        </w:rPr>
        <w:fldChar w:fldCharType="end"/>
      </w:r>
      <w:r>
        <w:t>:</w:t>
      </w:r>
      <w:r w:rsidR="005020F6">
        <w:tab/>
      </w:r>
      <w:r w:rsidRPr="00DE4D2D">
        <w:t>Outcome</w:t>
      </w:r>
      <w:r w:rsidR="00F82780">
        <w:t xml:space="preserve"> reduction</w:t>
      </w:r>
      <w:r w:rsidRPr="00DE4D2D">
        <w:t>s 12 months after attending a MAC</w:t>
      </w:r>
      <w:r w:rsidR="0014341D">
        <w:t xml:space="preserve"> compared to</w:t>
      </w:r>
      <w:r w:rsidR="00F82780">
        <w:t xml:space="preserve"> </w:t>
      </w:r>
      <w:r w:rsidR="0014341D">
        <w:t>12 months before</w:t>
      </w:r>
      <w:r w:rsidRPr="00DE4D2D">
        <w:t>, by ethnicity</w:t>
      </w:r>
    </w:p>
    <w:tbl>
      <w:tblPr>
        <w:tblStyle w:val="MACreport"/>
        <w:tblW w:w="0" w:type="auto"/>
        <w:tblBorders>
          <w:top w:val="none" w:sz="0" w:space="0" w:color="auto"/>
          <w:left w:val="none" w:sz="0" w:space="0" w:color="auto"/>
          <w:bottom w:val="single" w:sz="2" w:space="0" w:color="2C6365"/>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4786"/>
        <w:gridCol w:w="1404"/>
        <w:gridCol w:w="1404"/>
        <w:gridCol w:w="1404"/>
      </w:tblGrid>
      <w:tr w:rsidR="00E1261F" w:rsidRPr="005E1197" w:rsidTr="00D210B5">
        <w:tc>
          <w:tcPr>
            <w:tcW w:w="4786" w:type="dxa"/>
            <w:shd w:val="clear" w:color="auto" w:fill="121F6B"/>
            <w:vAlign w:val="top"/>
          </w:tcPr>
          <w:p w:rsidR="002A59B8" w:rsidRPr="00D210B5" w:rsidRDefault="002A59B8" w:rsidP="00D210B5">
            <w:pPr>
              <w:spacing w:after="0" w:line="240" w:lineRule="auto"/>
              <w:textAlignment w:val="baseline"/>
              <w:rPr>
                <w:b/>
                <w:color w:val="FFFFFF" w:themeColor="background1"/>
              </w:rPr>
            </w:pPr>
            <w:r w:rsidRPr="00D210B5">
              <w:rPr>
                <w:rFonts w:eastAsiaTheme="minorEastAsia" w:cstheme="minorBidi"/>
                <w:b/>
                <w:bCs/>
                <w:color w:val="FFFFFF" w:themeColor="background1"/>
                <w:kern w:val="24"/>
              </w:rPr>
              <w:t>Outcome</w:t>
            </w:r>
          </w:p>
        </w:tc>
        <w:tc>
          <w:tcPr>
            <w:tcW w:w="1404" w:type="dxa"/>
            <w:shd w:val="clear" w:color="auto" w:fill="121F6B"/>
            <w:vAlign w:val="top"/>
          </w:tcPr>
          <w:p w:rsidR="002A59B8" w:rsidRPr="00D210B5" w:rsidRDefault="002A59B8" w:rsidP="00D210B5">
            <w:pPr>
              <w:spacing w:after="0" w:line="240" w:lineRule="auto"/>
              <w:jc w:val="center"/>
              <w:textAlignment w:val="baseline"/>
              <w:rPr>
                <w:b/>
                <w:bCs/>
                <w:color w:val="FFFFFF" w:themeColor="background1"/>
                <w:kern w:val="24"/>
              </w:rPr>
            </w:pPr>
            <w:r w:rsidRPr="00D210B5">
              <w:rPr>
                <w:b/>
                <w:bCs/>
                <w:color w:val="FFFFFF" w:themeColor="background1"/>
                <w:kern w:val="24"/>
              </w:rPr>
              <w:t>European</w:t>
            </w:r>
          </w:p>
          <w:p w:rsidR="002A59B8" w:rsidRPr="00D210B5" w:rsidRDefault="002A59B8" w:rsidP="00D210B5">
            <w:pPr>
              <w:spacing w:after="0" w:line="240" w:lineRule="auto"/>
              <w:jc w:val="center"/>
              <w:textAlignment w:val="baseline"/>
              <w:rPr>
                <w:bCs/>
                <w:color w:val="FFFFFF" w:themeColor="background1"/>
                <w:kern w:val="24"/>
                <w:sz w:val="16"/>
                <w:szCs w:val="16"/>
              </w:rPr>
            </w:pPr>
            <w:r w:rsidRPr="00D210B5">
              <w:rPr>
                <w:rFonts w:eastAsiaTheme="minorEastAsia" w:cstheme="minorBidi"/>
                <w:bCs/>
                <w:color w:val="FFFFFF" w:themeColor="background1"/>
                <w:kern w:val="24"/>
                <w:sz w:val="16"/>
                <w:szCs w:val="16"/>
              </w:rPr>
              <w:t>(n = 20)</w:t>
            </w:r>
          </w:p>
        </w:tc>
        <w:tc>
          <w:tcPr>
            <w:tcW w:w="1404" w:type="dxa"/>
            <w:shd w:val="clear" w:color="auto" w:fill="121F6B"/>
            <w:vAlign w:val="top"/>
          </w:tcPr>
          <w:p w:rsidR="002A59B8" w:rsidRPr="00D210B5" w:rsidRDefault="002A59B8" w:rsidP="00D210B5">
            <w:pPr>
              <w:spacing w:after="0" w:line="240" w:lineRule="auto"/>
              <w:jc w:val="center"/>
              <w:textAlignment w:val="baseline"/>
              <w:rPr>
                <w:b/>
                <w:bCs/>
                <w:color w:val="FFFFFF" w:themeColor="background1"/>
                <w:kern w:val="24"/>
              </w:rPr>
            </w:pPr>
            <w:r w:rsidRPr="00D210B5">
              <w:rPr>
                <w:b/>
                <w:bCs/>
                <w:color w:val="FFFFFF" w:themeColor="background1"/>
                <w:kern w:val="24"/>
              </w:rPr>
              <w:t>Māori</w:t>
            </w:r>
          </w:p>
          <w:p w:rsidR="002A59B8" w:rsidRPr="00D210B5" w:rsidRDefault="002A59B8" w:rsidP="00D210B5">
            <w:pPr>
              <w:spacing w:after="0" w:line="240" w:lineRule="auto"/>
              <w:jc w:val="center"/>
              <w:textAlignment w:val="baseline"/>
              <w:rPr>
                <w:bCs/>
                <w:color w:val="FFFFFF" w:themeColor="background1"/>
                <w:kern w:val="24"/>
                <w:sz w:val="16"/>
                <w:szCs w:val="16"/>
              </w:rPr>
            </w:pPr>
            <w:r w:rsidRPr="00D210B5">
              <w:rPr>
                <w:rFonts w:eastAsiaTheme="minorEastAsia" w:cstheme="minorBidi"/>
                <w:bCs/>
                <w:color w:val="FFFFFF" w:themeColor="background1"/>
                <w:kern w:val="24"/>
                <w:sz w:val="16"/>
                <w:szCs w:val="16"/>
              </w:rPr>
              <w:t>(n = 43)</w:t>
            </w:r>
          </w:p>
        </w:tc>
        <w:tc>
          <w:tcPr>
            <w:tcW w:w="1404" w:type="dxa"/>
            <w:shd w:val="clear" w:color="auto" w:fill="121F6B"/>
            <w:vAlign w:val="top"/>
          </w:tcPr>
          <w:p w:rsidR="002A59B8" w:rsidRPr="00D210B5" w:rsidRDefault="002A59B8" w:rsidP="00D210B5">
            <w:pPr>
              <w:spacing w:after="0" w:line="240" w:lineRule="auto"/>
              <w:jc w:val="center"/>
              <w:textAlignment w:val="baseline"/>
              <w:rPr>
                <w:b/>
                <w:bCs/>
                <w:color w:val="FFFFFF" w:themeColor="background1"/>
                <w:kern w:val="24"/>
              </w:rPr>
            </w:pPr>
            <w:r w:rsidRPr="00D210B5">
              <w:rPr>
                <w:b/>
                <w:bCs/>
                <w:color w:val="FFFFFF" w:themeColor="background1"/>
                <w:kern w:val="24"/>
              </w:rPr>
              <w:t>Overall</w:t>
            </w:r>
          </w:p>
          <w:p w:rsidR="002A59B8" w:rsidRPr="00D210B5" w:rsidRDefault="002A59B8" w:rsidP="00D210B5">
            <w:pPr>
              <w:spacing w:after="0" w:line="240" w:lineRule="auto"/>
              <w:jc w:val="center"/>
              <w:textAlignment w:val="baseline"/>
              <w:rPr>
                <w:color w:val="FFFFFF" w:themeColor="background1"/>
                <w:sz w:val="16"/>
                <w:szCs w:val="16"/>
              </w:rPr>
            </w:pPr>
            <w:r w:rsidRPr="00D210B5">
              <w:rPr>
                <w:rFonts w:eastAsiaTheme="minorEastAsia" w:cstheme="minorBidi"/>
                <w:bCs/>
                <w:color w:val="FFFFFF" w:themeColor="background1"/>
                <w:kern w:val="24"/>
                <w:sz w:val="16"/>
                <w:szCs w:val="16"/>
              </w:rPr>
              <w:t>(n = 79)</w:t>
            </w:r>
          </w:p>
        </w:tc>
      </w:tr>
      <w:tr w:rsidR="00E1261F" w:rsidRPr="002A59B8" w:rsidTr="00D210B5">
        <w:trPr>
          <w:trHeight w:val="20"/>
        </w:trPr>
        <w:tc>
          <w:tcPr>
            <w:tcW w:w="4786" w:type="dxa"/>
          </w:tcPr>
          <w:p w:rsidR="002A59B8" w:rsidRPr="00C02237" w:rsidRDefault="002A59B8" w:rsidP="00EF570B">
            <w:pPr>
              <w:spacing w:after="0" w:line="240" w:lineRule="auto"/>
              <w:textAlignment w:val="baseline"/>
            </w:pPr>
            <w:r w:rsidRPr="00C02237">
              <w:rPr>
                <w:color w:val="000000" w:themeColor="text1"/>
                <w:kern w:val="24"/>
              </w:rPr>
              <w:t>Did not reoffend</w:t>
            </w:r>
          </w:p>
        </w:tc>
        <w:tc>
          <w:tcPr>
            <w:tcW w:w="1404" w:type="dxa"/>
          </w:tcPr>
          <w:p w:rsidR="002A59B8" w:rsidRPr="002A6CC5" w:rsidRDefault="002A59B8" w:rsidP="00EF570B">
            <w:pPr>
              <w:spacing w:after="0" w:line="240" w:lineRule="auto"/>
              <w:jc w:val="center"/>
              <w:textAlignment w:val="baseline"/>
            </w:pPr>
            <w:r w:rsidRPr="002A6CC5">
              <w:t>15% (3)</w:t>
            </w:r>
          </w:p>
        </w:tc>
        <w:tc>
          <w:tcPr>
            <w:tcW w:w="1404" w:type="dxa"/>
          </w:tcPr>
          <w:p w:rsidR="002A59B8" w:rsidRPr="00BF520D" w:rsidRDefault="002A59B8" w:rsidP="00EF570B">
            <w:pPr>
              <w:spacing w:after="0" w:line="240" w:lineRule="auto"/>
              <w:jc w:val="center"/>
              <w:textAlignment w:val="baseline"/>
              <w:rPr>
                <w:rFonts w:ascii="Arial" w:eastAsia="Times New Roman" w:hAnsi="Arial"/>
                <w:kern w:val="0"/>
                <w:sz w:val="22"/>
                <w:szCs w:val="22"/>
                <w:lang w:eastAsia="en-NZ"/>
              </w:rPr>
            </w:pPr>
            <w:r w:rsidRPr="00350036">
              <w:t>14% (6)</w:t>
            </w:r>
          </w:p>
        </w:tc>
        <w:tc>
          <w:tcPr>
            <w:tcW w:w="1404" w:type="dxa"/>
          </w:tcPr>
          <w:p w:rsidR="002A59B8" w:rsidRPr="00BF520D" w:rsidRDefault="002A59B8" w:rsidP="00EF570B">
            <w:pPr>
              <w:spacing w:after="0" w:line="240" w:lineRule="auto"/>
              <w:jc w:val="center"/>
              <w:textAlignment w:val="baseline"/>
              <w:rPr>
                <w:rFonts w:ascii="Arial" w:eastAsia="Times New Roman" w:hAnsi="Arial"/>
                <w:kern w:val="0"/>
                <w:sz w:val="22"/>
                <w:szCs w:val="22"/>
                <w:lang w:eastAsia="en-NZ"/>
              </w:rPr>
            </w:pPr>
            <w:r w:rsidRPr="00FF332F">
              <w:t>14% (11)</w:t>
            </w:r>
          </w:p>
        </w:tc>
      </w:tr>
      <w:tr w:rsidR="00E1261F" w:rsidRPr="002A59B8" w:rsidTr="00D210B5">
        <w:trPr>
          <w:trHeight w:val="20"/>
        </w:trPr>
        <w:tc>
          <w:tcPr>
            <w:tcW w:w="4786" w:type="dxa"/>
            <w:shd w:val="clear" w:color="auto" w:fill="D8DDF8"/>
          </w:tcPr>
          <w:p w:rsidR="002A59B8" w:rsidRPr="00C02237" w:rsidRDefault="002A59B8" w:rsidP="00EF570B">
            <w:pPr>
              <w:spacing w:after="0" w:line="240" w:lineRule="auto"/>
              <w:textAlignment w:val="baseline"/>
            </w:pPr>
            <w:r w:rsidRPr="00C02237">
              <w:rPr>
                <w:color w:val="000000" w:themeColor="text1"/>
                <w:kern w:val="24"/>
              </w:rPr>
              <w:t>Reduced frequency of offending</w:t>
            </w:r>
          </w:p>
        </w:tc>
        <w:tc>
          <w:tcPr>
            <w:tcW w:w="1404" w:type="dxa"/>
            <w:shd w:val="clear" w:color="auto" w:fill="D8DDF8"/>
          </w:tcPr>
          <w:p w:rsidR="002A59B8" w:rsidRPr="002A6CC5" w:rsidRDefault="002A59B8" w:rsidP="00EF570B">
            <w:pPr>
              <w:spacing w:after="0" w:line="240" w:lineRule="auto"/>
              <w:jc w:val="center"/>
              <w:textAlignment w:val="baseline"/>
            </w:pPr>
            <w:r w:rsidRPr="002A6CC5">
              <w:t>80% (16)</w:t>
            </w:r>
          </w:p>
        </w:tc>
        <w:tc>
          <w:tcPr>
            <w:tcW w:w="1404" w:type="dxa"/>
            <w:shd w:val="clear" w:color="auto" w:fill="D8DDF8"/>
          </w:tcPr>
          <w:p w:rsidR="002A59B8" w:rsidRPr="00BF520D" w:rsidRDefault="002A59B8" w:rsidP="00EF570B">
            <w:pPr>
              <w:spacing w:after="0" w:line="240" w:lineRule="auto"/>
              <w:jc w:val="center"/>
              <w:textAlignment w:val="baseline"/>
              <w:rPr>
                <w:rFonts w:ascii="Arial" w:eastAsia="Times New Roman" w:hAnsi="Arial"/>
                <w:kern w:val="0"/>
                <w:sz w:val="22"/>
                <w:szCs w:val="22"/>
                <w:lang w:eastAsia="en-NZ"/>
              </w:rPr>
            </w:pPr>
            <w:r w:rsidRPr="002A6CC5">
              <w:t>79% (34)</w:t>
            </w:r>
          </w:p>
        </w:tc>
        <w:tc>
          <w:tcPr>
            <w:tcW w:w="1404" w:type="dxa"/>
            <w:shd w:val="clear" w:color="auto" w:fill="D8DDF8"/>
          </w:tcPr>
          <w:p w:rsidR="002A59B8" w:rsidRPr="00BF520D" w:rsidRDefault="002A59B8" w:rsidP="00EF570B">
            <w:pPr>
              <w:spacing w:after="0" w:line="240" w:lineRule="auto"/>
              <w:jc w:val="center"/>
              <w:textAlignment w:val="baseline"/>
              <w:rPr>
                <w:rFonts w:ascii="Arial" w:eastAsia="Times New Roman" w:hAnsi="Arial"/>
                <w:kern w:val="0"/>
                <w:sz w:val="22"/>
                <w:szCs w:val="22"/>
                <w:lang w:eastAsia="en-NZ"/>
              </w:rPr>
            </w:pPr>
            <w:r w:rsidRPr="00FF332F">
              <w:t>76% (60)</w:t>
            </w:r>
          </w:p>
        </w:tc>
      </w:tr>
      <w:tr w:rsidR="00E1261F" w:rsidRPr="002A59B8" w:rsidTr="00D210B5">
        <w:trPr>
          <w:trHeight w:val="20"/>
        </w:trPr>
        <w:tc>
          <w:tcPr>
            <w:tcW w:w="4786" w:type="dxa"/>
          </w:tcPr>
          <w:p w:rsidR="002A59B8" w:rsidRPr="00C02237" w:rsidRDefault="002A59B8" w:rsidP="00EF570B">
            <w:pPr>
              <w:spacing w:after="0" w:line="240" w:lineRule="auto"/>
              <w:textAlignment w:val="baseline"/>
            </w:pPr>
            <w:r w:rsidRPr="00C02237">
              <w:rPr>
                <w:color w:val="000000" w:themeColor="text1"/>
                <w:kern w:val="24"/>
              </w:rPr>
              <w:t>Reduced total seriousness of offending</w:t>
            </w:r>
          </w:p>
        </w:tc>
        <w:tc>
          <w:tcPr>
            <w:tcW w:w="1404" w:type="dxa"/>
          </w:tcPr>
          <w:p w:rsidR="002A59B8" w:rsidRPr="002A6CC5" w:rsidRDefault="002A59B8" w:rsidP="00EF570B">
            <w:pPr>
              <w:spacing w:after="0" w:line="240" w:lineRule="auto"/>
              <w:jc w:val="center"/>
              <w:textAlignment w:val="baseline"/>
            </w:pPr>
            <w:r w:rsidRPr="002A6CC5">
              <w:t>85% (17)</w:t>
            </w:r>
          </w:p>
        </w:tc>
        <w:tc>
          <w:tcPr>
            <w:tcW w:w="1404" w:type="dxa"/>
          </w:tcPr>
          <w:p w:rsidR="002A59B8" w:rsidRPr="00BF520D" w:rsidRDefault="002A59B8" w:rsidP="00EF570B">
            <w:pPr>
              <w:spacing w:after="0" w:line="240" w:lineRule="auto"/>
              <w:jc w:val="center"/>
              <w:textAlignment w:val="baseline"/>
              <w:rPr>
                <w:rFonts w:ascii="Arial" w:eastAsia="Times New Roman" w:hAnsi="Arial"/>
                <w:kern w:val="0"/>
                <w:sz w:val="22"/>
                <w:szCs w:val="22"/>
                <w:lang w:eastAsia="en-NZ"/>
              </w:rPr>
            </w:pPr>
            <w:r w:rsidRPr="002A6CC5">
              <w:t>77% (33)</w:t>
            </w:r>
          </w:p>
        </w:tc>
        <w:tc>
          <w:tcPr>
            <w:tcW w:w="1404" w:type="dxa"/>
          </w:tcPr>
          <w:p w:rsidR="002A59B8" w:rsidRPr="00BF520D" w:rsidRDefault="002A59B8" w:rsidP="00EF570B">
            <w:pPr>
              <w:spacing w:after="0" w:line="240" w:lineRule="auto"/>
              <w:jc w:val="center"/>
              <w:textAlignment w:val="baseline"/>
              <w:rPr>
                <w:rFonts w:ascii="Arial" w:eastAsia="Times New Roman" w:hAnsi="Arial"/>
                <w:kern w:val="0"/>
                <w:sz w:val="22"/>
                <w:szCs w:val="22"/>
                <w:lang w:eastAsia="en-NZ"/>
              </w:rPr>
            </w:pPr>
            <w:r w:rsidRPr="00FF332F">
              <w:t>78% (62)</w:t>
            </w:r>
          </w:p>
        </w:tc>
      </w:tr>
      <w:tr w:rsidR="00FA1514" w:rsidRPr="002A59B8" w:rsidTr="00D210B5">
        <w:trPr>
          <w:trHeight w:val="20"/>
        </w:trPr>
        <w:tc>
          <w:tcPr>
            <w:tcW w:w="4786" w:type="dxa"/>
            <w:shd w:val="clear" w:color="auto" w:fill="D8DDF8"/>
          </w:tcPr>
          <w:p w:rsidR="00FA1514" w:rsidRPr="00C02237" w:rsidRDefault="00FA1514" w:rsidP="00EF570B">
            <w:pPr>
              <w:spacing w:after="0" w:line="240" w:lineRule="auto"/>
              <w:textAlignment w:val="baseline"/>
            </w:pPr>
            <w:r w:rsidRPr="00C02237">
              <w:rPr>
                <w:color w:val="000000" w:themeColor="text1"/>
                <w:kern w:val="24"/>
              </w:rPr>
              <w:t>Reduced seriousness of most serious offence</w:t>
            </w:r>
          </w:p>
        </w:tc>
        <w:tc>
          <w:tcPr>
            <w:tcW w:w="1404" w:type="dxa"/>
            <w:shd w:val="clear" w:color="auto" w:fill="D8DDF8"/>
          </w:tcPr>
          <w:p w:rsidR="00FA1514" w:rsidRPr="002A6CC5" w:rsidRDefault="00FA1514" w:rsidP="00EF570B">
            <w:pPr>
              <w:spacing w:after="0" w:line="240" w:lineRule="auto"/>
              <w:jc w:val="center"/>
              <w:textAlignment w:val="baseline"/>
            </w:pPr>
            <w:r w:rsidRPr="002A6CC5">
              <w:t>60% (12)</w:t>
            </w:r>
          </w:p>
        </w:tc>
        <w:tc>
          <w:tcPr>
            <w:tcW w:w="1404" w:type="dxa"/>
            <w:shd w:val="clear" w:color="auto" w:fill="D8DDF8"/>
          </w:tcPr>
          <w:p w:rsidR="00FA1514" w:rsidRPr="00BF520D" w:rsidRDefault="00FA1514" w:rsidP="00EF570B">
            <w:pPr>
              <w:spacing w:after="0" w:line="240" w:lineRule="auto"/>
              <w:jc w:val="center"/>
              <w:textAlignment w:val="baseline"/>
              <w:rPr>
                <w:rFonts w:ascii="Arial" w:eastAsia="Times New Roman" w:hAnsi="Arial"/>
                <w:kern w:val="0"/>
                <w:sz w:val="22"/>
                <w:szCs w:val="22"/>
                <w:lang w:eastAsia="en-NZ"/>
              </w:rPr>
            </w:pPr>
            <w:r w:rsidRPr="002A6CC5">
              <w:t>81% (35)</w:t>
            </w:r>
          </w:p>
        </w:tc>
        <w:tc>
          <w:tcPr>
            <w:tcW w:w="1404" w:type="dxa"/>
            <w:shd w:val="clear" w:color="auto" w:fill="D8DDF8"/>
          </w:tcPr>
          <w:p w:rsidR="00FA1514" w:rsidRPr="00BF520D" w:rsidRDefault="00FA1514" w:rsidP="00EF570B">
            <w:pPr>
              <w:spacing w:after="0" w:line="240" w:lineRule="auto"/>
              <w:jc w:val="center"/>
              <w:textAlignment w:val="baseline"/>
              <w:rPr>
                <w:rFonts w:ascii="Arial" w:eastAsia="Times New Roman" w:hAnsi="Arial"/>
                <w:kern w:val="0"/>
                <w:sz w:val="22"/>
                <w:szCs w:val="22"/>
                <w:lang w:eastAsia="en-NZ"/>
              </w:rPr>
            </w:pPr>
            <w:r w:rsidRPr="00FF332F">
              <w:t>71% (56)</w:t>
            </w:r>
          </w:p>
        </w:tc>
      </w:tr>
      <w:tr w:rsidR="00FA1514" w:rsidRPr="002A59B8" w:rsidTr="00D210B5">
        <w:trPr>
          <w:trHeight w:val="20"/>
        </w:trPr>
        <w:tc>
          <w:tcPr>
            <w:tcW w:w="4786" w:type="dxa"/>
          </w:tcPr>
          <w:p w:rsidR="00FA1514" w:rsidRPr="00C02237" w:rsidRDefault="00FA1514" w:rsidP="00EF570B">
            <w:pPr>
              <w:spacing w:after="0" w:line="240" w:lineRule="auto"/>
              <w:textAlignment w:val="baseline"/>
            </w:pPr>
            <w:r w:rsidRPr="00C02237">
              <w:rPr>
                <w:color w:val="000000" w:themeColor="text1"/>
                <w:kern w:val="24"/>
              </w:rPr>
              <w:t>Received a custodial sentence</w:t>
            </w:r>
            <w:r w:rsidRPr="00C02237">
              <w:rPr>
                <w:kern w:val="24"/>
                <w:vertAlign w:val="superscript"/>
              </w:rPr>
              <w:footnoteReference w:id="6"/>
            </w:r>
          </w:p>
        </w:tc>
        <w:tc>
          <w:tcPr>
            <w:tcW w:w="1404" w:type="dxa"/>
          </w:tcPr>
          <w:p w:rsidR="00FA1514" w:rsidRPr="002A6CC5" w:rsidRDefault="00FA1514" w:rsidP="00EF570B">
            <w:pPr>
              <w:spacing w:after="0" w:line="240" w:lineRule="auto"/>
              <w:jc w:val="center"/>
              <w:textAlignment w:val="baseline"/>
            </w:pPr>
            <w:r w:rsidRPr="002A6CC5">
              <w:t>45% (9)</w:t>
            </w:r>
          </w:p>
        </w:tc>
        <w:tc>
          <w:tcPr>
            <w:tcW w:w="1404" w:type="dxa"/>
          </w:tcPr>
          <w:p w:rsidR="00FA1514" w:rsidRPr="00BF520D" w:rsidRDefault="00FA1514" w:rsidP="00EF570B">
            <w:pPr>
              <w:spacing w:after="0" w:line="240" w:lineRule="auto"/>
              <w:jc w:val="center"/>
              <w:textAlignment w:val="baseline"/>
              <w:rPr>
                <w:rFonts w:ascii="Arial" w:eastAsia="Times New Roman" w:hAnsi="Arial"/>
                <w:kern w:val="0"/>
                <w:sz w:val="22"/>
                <w:szCs w:val="22"/>
                <w:lang w:eastAsia="en-NZ"/>
              </w:rPr>
            </w:pPr>
            <w:r w:rsidRPr="002A6CC5">
              <w:t>23% (10)</w:t>
            </w:r>
          </w:p>
        </w:tc>
        <w:tc>
          <w:tcPr>
            <w:tcW w:w="1404" w:type="dxa"/>
          </w:tcPr>
          <w:p w:rsidR="00FA1514" w:rsidRPr="00BF520D" w:rsidRDefault="00FA1514" w:rsidP="00EF570B">
            <w:pPr>
              <w:spacing w:after="0" w:line="240" w:lineRule="auto"/>
              <w:jc w:val="center"/>
              <w:textAlignment w:val="baseline"/>
              <w:rPr>
                <w:rFonts w:ascii="Arial" w:eastAsia="Times New Roman" w:hAnsi="Arial"/>
                <w:kern w:val="0"/>
                <w:sz w:val="22"/>
                <w:szCs w:val="22"/>
                <w:lang w:eastAsia="en-NZ"/>
              </w:rPr>
            </w:pPr>
            <w:r w:rsidRPr="00FF332F">
              <w:t>30% (24)</w:t>
            </w:r>
          </w:p>
        </w:tc>
      </w:tr>
    </w:tbl>
    <w:p w:rsidR="002A59B8" w:rsidRDefault="002A59B8" w:rsidP="005E1197"/>
    <w:p w:rsidR="00EF570B" w:rsidRPr="001E6A20" w:rsidRDefault="002D665D" w:rsidP="006A6A49">
      <w:r w:rsidRPr="001E6A20">
        <w:t xml:space="preserve">In the 12 months after the MACs, </w:t>
      </w:r>
      <w:r>
        <w:t>19</w:t>
      </w:r>
      <w:r w:rsidRPr="001E6A20">
        <w:t>% (</w:t>
      </w:r>
      <w:r>
        <w:t>15</w:t>
      </w:r>
      <w:r w:rsidRPr="001E6A20">
        <w:t xml:space="preserve">) of the </w:t>
      </w:r>
      <w:r>
        <w:t>79</w:t>
      </w:r>
      <w:r w:rsidRPr="001E6A20">
        <w:t xml:space="preserve"> young people were imprisoned, and 11% (</w:t>
      </w:r>
      <w:r>
        <w:t>9</w:t>
      </w:r>
      <w:r w:rsidRPr="001E6A20">
        <w:t xml:space="preserve">) received a new </w:t>
      </w:r>
      <w:proofErr w:type="spellStart"/>
      <w:r w:rsidR="00000471">
        <w:t>SwR</w:t>
      </w:r>
      <w:proofErr w:type="spellEnd"/>
      <w:r w:rsidRPr="001E6A20">
        <w:t xml:space="preserve"> order. Overall, the post-MAC custodial sentence rate was </w:t>
      </w:r>
      <w:r>
        <w:t>30</w:t>
      </w:r>
      <w:r w:rsidRPr="001E6A20">
        <w:t xml:space="preserve">%, with the figures being </w:t>
      </w:r>
      <w:r>
        <w:t>45</w:t>
      </w:r>
      <w:r w:rsidRPr="001E6A20">
        <w:t xml:space="preserve">% for Europeans and </w:t>
      </w:r>
      <w:r>
        <w:t>23</w:t>
      </w:r>
      <w:r w:rsidRPr="001E6A20">
        <w:t>% for Māori. Again, caution should be taken with these figures due to small numbers in these cohorts.</w:t>
      </w:r>
      <w:r>
        <w:t xml:space="preserve"> </w:t>
      </w:r>
      <w:r w:rsidR="00877559">
        <w:t>Eight</w:t>
      </w:r>
      <w:r w:rsidRPr="001E6A20">
        <w:t xml:space="preserve"> of the </w:t>
      </w:r>
      <w:r>
        <w:lastRenderedPageBreak/>
        <w:t>24</w:t>
      </w:r>
      <w:r w:rsidRPr="001E6A20">
        <w:t xml:space="preserve"> young people who received a new custodial sentence were </w:t>
      </w:r>
      <w:r w:rsidR="00707370">
        <w:t>graduates</w:t>
      </w:r>
      <w:r w:rsidRPr="001E6A20">
        <w:t xml:space="preserve"> of MAC One, with lower numbers coming from each of the subsequent MACs.</w:t>
      </w:r>
    </w:p>
    <w:p w:rsidR="002D665D" w:rsidRPr="001E6A20" w:rsidRDefault="002D665D" w:rsidP="00F82780">
      <w:r w:rsidRPr="001E6A20">
        <w:t xml:space="preserve">Of the </w:t>
      </w:r>
      <w:r>
        <w:t>24</w:t>
      </w:r>
      <w:r w:rsidRPr="001E6A20">
        <w:t xml:space="preserve"> young people who received a custodial sentence, </w:t>
      </w:r>
      <w:r>
        <w:t>18</w:t>
      </w:r>
      <w:r w:rsidRPr="001E6A20">
        <w:t xml:space="preserve"> were among those who had a lower frequency and/or seriousness of offending after completing the MAC. The periods </w:t>
      </w:r>
      <w:r w:rsidR="002B3E37">
        <w:t xml:space="preserve">that they were </w:t>
      </w:r>
      <w:r w:rsidRPr="001E6A20">
        <w:t>removed from the community due to these sentences may have contributed to their lower post-intervention offending rate.</w:t>
      </w:r>
    </w:p>
    <w:p w:rsidR="002D665D" w:rsidRDefault="00424E2A" w:rsidP="00C17B8A">
      <w:pPr>
        <w:spacing w:after="170"/>
      </w:pPr>
      <w:r>
        <w:t>T</w:t>
      </w:r>
      <w:r w:rsidR="00D63CE8">
        <w:t xml:space="preserve">able </w:t>
      </w:r>
      <w:r w:rsidR="00F82780">
        <w:t>2</w:t>
      </w:r>
      <w:r w:rsidR="00D63CE8">
        <w:t xml:space="preserve"> shows that </w:t>
      </w:r>
      <w:r w:rsidR="00F82780">
        <w:t xml:space="preserve">outcomes for the graduates from </w:t>
      </w:r>
      <w:r w:rsidR="00D63CE8">
        <w:t xml:space="preserve">the MACs held in 2013 appear to </w:t>
      </w:r>
      <w:r w:rsidR="00F82780">
        <w:t>be</w:t>
      </w:r>
      <w:r w:rsidR="00D63CE8">
        <w:t xml:space="preserve"> less positive than those </w:t>
      </w:r>
      <w:r w:rsidR="00F82780">
        <w:t xml:space="preserve">of graduates from MACs </w:t>
      </w:r>
      <w:r w:rsidR="00D63CE8">
        <w:t>held in 2012</w:t>
      </w:r>
      <w:r w:rsidR="00C17B8A">
        <w:t>, although because of small numbers these differences need to be viewed with caution</w:t>
      </w:r>
      <w:r w:rsidR="00D63CE8">
        <w:t>.</w:t>
      </w:r>
    </w:p>
    <w:p w:rsidR="00D63CE8" w:rsidRDefault="00D63CE8" w:rsidP="00D63CE8">
      <w:pPr>
        <w:pStyle w:val="Caption"/>
        <w:keepNext/>
      </w:pPr>
      <w:r>
        <w:t xml:space="preserve">Table </w:t>
      </w:r>
      <w:r w:rsidR="00513CA2">
        <w:fldChar w:fldCharType="begin"/>
      </w:r>
      <w:r w:rsidR="00513CA2">
        <w:instrText xml:space="preserve"> SEQ Table \* ARABIC </w:instrText>
      </w:r>
      <w:r w:rsidR="00513CA2">
        <w:fldChar w:fldCharType="separate"/>
      </w:r>
      <w:r w:rsidR="00AB13C9">
        <w:rPr>
          <w:noProof/>
        </w:rPr>
        <w:t>2</w:t>
      </w:r>
      <w:r w:rsidR="00513CA2">
        <w:rPr>
          <w:noProof/>
        </w:rPr>
        <w:fldChar w:fldCharType="end"/>
      </w:r>
      <w:r>
        <w:t>: Outcomes 12 months after completing MACs</w:t>
      </w:r>
      <w:r w:rsidR="00F82780">
        <w:t>,</w:t>
      </w:r>
      <w:r>
        <w:t xml:space="preserve"> by year</w:t>
      </w:r>
      <w:r w:rsidR="00F82780">
        <w:t xml:space="preserve"> held</w:t>
      </w:r>
    </w:p>
    <w:tbl>
      <w:tblPr>
        <w:tblStyle w:val="MACreport"/>
        <w:tblW w:w="9180" w:type="dxa"/>
        <w:tblBorders>
          <w:top w:val="none" w:sz="0" w:space="0" w:color="auto"/>
          <w:left w:val="none" w:sz="0" w:space="0" w:color="auto"/>
          <w:bottom w:val="single" w:sz="2" w:space="0" w:color="2C6365"/>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242"/>
        <w:gridCol w:w="567"/>
        <w:gridCol w:w="993"/>
        <w:gridCol w:w="1417"/>
        <w:gridCol w:w="1559"/>
        <w:gridCol w:w="2127"/>
        <w:gridCol w:w="1275"/>
      </w:tblGrid>
      <w:tr w:rsidR="00D63CE8" w:rsidRPr="00D63CE8" w:rsidTr="00D63CE8">
        <w:trPr>
          <w:trHeight w:val="20"/>
        </w:trPr>
        <w:tc>
          <w:tcPr>
            <w:tcW w:w="1242" w:type="dxa"/>
            <w:shd w:val="clear" w:color="auto" w:fill="121F6B"/>
            <w:vAlign w:val="top"/>
          </w:tcPr>
          <w:p w:rsidR="00D63CE8" w:rsidRPr="00D63CE8" w:rsidRDefault="00D63CE8" w:rsidP="00D210B5">
            <w:pPr>
              <w:spacing w:after="0" w:line="240" w:lineRule="auto"/>
              <w:rPr>
                <w:sz w:val="18"/>
                <w:szCs w:val="18"/>
              </w:rPr>
            </w:pPr>
            <w:r w:rsidRPr="00D63CE8">
              <w:rPr>
                <w:sz w:val="18"/>
                <w:szCs w:val="18"/>
              </w:rPr>
              <w:t>Year MAC held</w:t>
            </w:r>
          </w:p>
        </w:tc>
        <w:tc>
          <w:tcPr>
            <w:tcW w:w="567" w:type="dxa"/>
            <w:shd w:val="clear" w:color="auto" w:fill="121F6B"/>
            <w:vAlign w:val="top"/>
          </w:tcPr>
          <w:p w:rsidR="00D63CE8" w:rsidRPr="00D63CE8" w:rsidRDefault="00D63CE8" w:rsidP="00D210B5">
            <w:pPr>
              <w:spacing w:after="0" w:line="240" w:lineRule="auto"/>
              <w:rPr>
                <w:sz w:val="18"/>
                <w:szCs w:val="18"/>
              </w:rPr>
            </w:pPr>
            <w:r w:rsidRPr="00D63CE8">
              <w:rPr>
                <w:sz w:val="18"/>
                <w:szCs w:val="18"/>
              </w:rPr>
              <w:t>N</w:t>
            </w:r>
          </w:p>
        </w:tc>
        <w:tc>
          <w:tcPr>
            <w:tcW w:w="993" w:type="dxa"/>
            <w:shd w:val="clear" w:color="auto" w:fill="121F6B"/>
            <w:vAlign w:val="top"/>
          </w:tcPr>
          <w:p w:rsidR="00D63CE8" w:rsidRPr="00D63CE8" w:rsidRDefault="00D63CE8" w:rsidP="00D210B5">
            <w:pPr>
              <w:spacing w:after="0" w:line="240" w:lineRule="auto"/>
              <w:jc w:val="center"/>
              <w:rPr>
                <w:sz w:val="18"/>
                <w:szCs w:val="18"/>
              </w:rPr>
            </w:pPr>
            <w:r w:rsidRPr="00D63CE8">
              <w:rPr>
                <w:sz w:val="18"/>
                <w:szCs w:val="18"/>
              </w:rPr>
              <w:t>Did not reoffend</w:t>
            </w:r>
          </w:p>
        </w:tc>
        <w:tc>
          <w:tcPr>
            <w:tcW w:w="1417" w:type="dxa"/>
            <w:shd w:val="clear" w:color="auto" w:fill="121F6B"/>
            <w:vAlign w:val="top"/>
          </w:tcPr>
          <w:p w:rsidR="00D63CE8" w:rsidRPr="00D63CE8" w:rsidRDefault="00D63CE8" w:rsidP="00D210B5">
            <w:pPr>
              <w:spacing w:after="0" w:line="240" w:lineRule="auto"/>
              <w:jc w:val="center"/>
              <w:rPr>
                <w:sz w:val="18"/>
                <w:szCs w:val="18"/>
              </w:rPr>
            </w:pPr>
            <w:r w:rsidRPr="00D63CE8">
              <w:rPr>
                <w:sz w:val="18"/>
                <w:szCs w:val="18"/>
              </w:rPr>
              <w:t>Reduced frequency of offending</w:t>
            </w:r>
          </w:p>
        </w:tc>
        <w:tc>
          <w:tcPr>
            <w:tcW w:w="1559" w:type="dxa"/>
            <w:shd w:val="clear" w:color="auto" w:fill="121F6B"/>
            <w:vAlign w:val="top"/>
          </w:tcPr>
          <w:p w:rsidR="00D63CE8" w:rsidRPr="00D63CE8" w:rsidRDefault="00D63CE8" w:rsidP="00D210B5">
            <w:pPr>
              <w:spacing w:after="0" w:line="240" w:lineRule="auto"/>
              <w:jc w:val="center"/>
              <w:rPr>
                <w:sz w:val="18"/>
                <w:szCs w:val="18"/>
              </w:rPr>
            </w:pPr>
            <w:r w:rsidRPr="00D63CE8">
              <w:rPr>
                <w:sz w:val="18"/>
                <w:szCs w:val="18"/>
              </w:rPr>
              <w:t>Reduced total seriousness of offending</w:t>
            </w:r>
          </w:p>
        </w:tc>
        <w:tc>
          <w:tcPr>
            <w:tcW w:w="2127" w:type="dxa"/>
            <w:shd w:val="clear" w:color="auto" w:fill="121F6B"/>
            <w:vAlign w:val="top"/>
          </w:tcPr>
          <w:p w:rsidR="00D63CE8" w:rsidRPr="00D63CE8" w:rsidRDefault="00D63CE8" w:rsidP="00D210B5">
            <w:pPr>
              <w:spacing w:after="0" w:line="240" w:lineRule="auto"/>
              <w:jc w:val="center"/>
              <w:rPr>
                <w:sz w:val="18"/>
                <w:szCs w:val="18"/>
              </w:rPr>
            </w:pPr>
            <w:r w:rsidRPr="00D63CE8">
              <w:rPr>
                <w:sz w:val="18"/>
                <w:szCs w:val="18"/>
              </w:rPr>
              <w:t>Reduced seriousness of most serious offence</w:t>
            </w:r>
          </w:p>
        </w:tc>
        <w:tc>
          <w:tcPr>
            <w:tcW w:w="1275" w:type="dxa"/>
            <w:shd w:val="clear" w:color="auto" w:fill="121F6B"/>
            <w:vAlign w:val="top"/>
          </w:tcPr>
          <w:p w:rsidR="00D63CE8" w:rsidRPr="00D63CE8" w:rsidRDefault="00D63CE8" w:rsidP="00D210B5">
            <w:pPr>
              <w:spacing w:after="0" w:line="240" w:lineRule="auto"/>
              <w:jc w:val="center"/>
              <w:rPr>
                <w:sz w:val="18"/>
                <w:szCs w:val="18"/>
              </w:rPr>
            </w:pPr>
            <w:r w:rsidRPr="00D63CE8">
              <w:rPr>
                <w:sz w:val="18"/>
                <w:szCs w:val="18"/>
              </w:rPr>
              <w:t>Received a custodial sentence</w:t>
            </w:r>
          </w:p>
        </w:tc>
      </w:tr>
      <w:tr w:rsidR="00D63CE8" w:rsidRPr="00D63CE8" w:rsidTr="005E1197">
        <w:tc>
          <w:tcPr>
            <w:tcW w:w="1242" w:type="dxa"/>
            <w:vAlign w:val="top"/>
          </w:tcPr>
          <w:p w:rsidR="00D63CE8" w:rsidRPr="00D63CE8" w:rsidRDefault="00D63CE8" w:rsidP="005E1197">
            <w:pPr>
              <w:spacing w:before="40" w:after="40"/>
              <w:rPr>
                <w:sz w:val="18"/>
                <w:szCs w:val="18"/>
              </w:rPr>
            </w:pPr>
            <w:r w:rsidRPr="00D63CE8">
              <w:rPr>
                <w:sz w:val="18"/>
                <w:szCs w:val="18"/>
              </w:rPr>
              <w:t>2011</w:t>
            </w:r>
          </w:p>
        </w:tc>
        <w:tc>
          <w:tcPr>
            <w:tcW w:w="567" w:type="dxa"/>
            <w:vAlign w:val="top"/>
          </w:tcPr>
          <w:p w:rsidR="00D63CE8" w:rsidRPr="00D63CE8" w:rsidRDefault="00D63CE8" w:rsidP="005E1197">
            <w:pPr>
              <w:spacing w:before="40" w:after="40"/>
              <w:rPr>
                <w:sz w:val="18"/>
                <w:szCs w:val="18"/>
              </w:rPr>
            </w:pPr>
            <w:r w:rsidRPr="00D63CE8">
              <w:rPr>
                <w:sz w:val="18"/>
                <w:szCs w:val="18"/>
              </w:rPr>
              <w:t>27</w:t>
            </w:r>
          </w:p>
        </w:tc>
        <w:tc>
          <w:tcPr>
            <w:tcW w:w="993" w:type="dxa"/>
            <w:vAlign w:val="top"/>
          </w:tcPr>
          <w:p w:rsidR="00D63CE8" w:rsidRPr="00D63CE8" w:rsidRDefault="00D63CE8" w:rsidP="005E1197">
            <w:pPr>
              <w:spacing w:before="40" w:after="40"/>
              <w:jc w:val="center"/>
              <w:rPr>
                <w:sz w:val="18"/>
                <w:szCs w:val="18"/>
              </w:rPr>
            </w:pPr>
            <w:r w:rsidRPr="00D63CE8">
              <w:rPr>
                <w:sz w:val="18"/>
                <w:szCs w:val="18"/>
              </w:rPr>
              <w:t>11%</w:t>
            </w:r>
          </w:p>
        </w:tc>
        <w:tc>
          <w:tcPr>
            <w:tcW w:w="1417" w:type="dxa"/>
            <w:vAlign w:val="top"/>
          </w:tcPr>
          <w:p w:rsidR="00D63CE8" w:rsidRPr="00D63CE8" w:rsidRDefault="00D63CE8" w:rsidP="005E1197">
            <w:pPr>
              <w:spacing w:before="40" w:after="40"/>
              <w:jc w:val="center"/>
              <w:rPr>
                <w:sz w:val="18"/>
                <w:szCs w:val="18"/>
              </w:rPr>
            </w:pPr>
            <w:r w:rsidRPr="00D63CE8">
              <w:rPr>
                <w:sz w:val="18"/>
                <w:szCs w:val="18"/>
              </w:rPr>
              <w:t>81%</w:t>
            </w:r>
          </w:p>
        </w:tc>
        <w:tc>
          <w:tcPr>
            <w:tcW w:w="1559" w:type="dxa"/>
            <w:vAlign w:val="top"/>
          </w:tcPr>
          <w:p w:rsidR="00D63CE8" w:rsidRPr="00D63CE8" w:rsidRDefault="00D63CE8" w:rsidP="005E1197">
            <w:pPr>
              <w:spacing w:before="40" w:after="40"/>
              <w:jc w:val="center"/>
              <w:rPr>
                <w:sz w:val="18"/>
                <w:szCs w:val="18"/>
              </w:rPr>
            </w:pPr>
            <w:r w:rsidRPr="00D63CE8">
              <w:rPr>
                <w:sz w:val="18"/>
                <w:szCs w:val="18"/>
              </w:rPr>
              <w:t>70%</w:t>
            </w:r>
          </w:p>
        </w:tc>
        <w:tc>
          <w:tcPr>
            <w:tcW w:w="2127" w:type="dxa"/>
            <w:vAlign w:val="top"/>
          </w:tcPr>
          <w:p w:rsidR="00D63CE8" w:rsidRPr="00D63CE8" w:rsidRDefault="00D63CE8" w:rsidP="005E1197">
            <w:pPr>
              <w:spacing w:before="40" w:after="40"/>
              <w:jc w:val="center"/>
              <w:rPr>
                <w:sz w:val="18"/>
                <w:szCs w:val="18"/>
              </w:rPr>
            </w:pPr>
            <w:r w:rsidRPr="00D63CE8">
              <w:rPr>
                <w:sz w:val="18"/>
                <w:szCs w:val="18"/>
              </w:rPr>
              <w:t>67%</w:t>
            </w:r>
          </w:p>
        </w:tc>
        <w:tc>
          <w:tcPr>
            <w:tcW w:w="1275" w:type="dxa"/>
            <w:vAlign w:val="top"/>
          </w:tcPr>
          <w:p w:rsidR="00D63CE8" w:rsidRPr="00D63CE8" w:rsidRDefault="00D63CE8" w:rsidP="005E1197">
            <w:pPr>
              <w:spacing w:before="40" w:after="40"/>
              <w:jc w:val="center"/>
              <w:rPr>
                <w:sz w:val="18"/>
                <w:szCs w:val="18"/>
              </w:rPr>
            </w:pPr>
            <w:r w:rsidRPr="00D63CE8">
              <w:rPr>
                <w:sz w:val="18"/>
                <w:szCs w:val="18"/>
              </w:rPr>
              <w:t>41%</w:t>
            </w:r>
          </w:p>
        </w:tc>
      </w:tr>
      <w:tr w:rsidR="00D63CE8" w:rsidRPr="00D63CE8" w:rsidTr="005E1197">
        <w:tc>
          <w:tcPr>
            <w:tcW w:w="1242" w:type="dxa"/>
            <w:shd w:val="clear" w:color="auto" w:fill="D8DDF8"/>
            <w:vAlign w:val="top"/>
          </w:tcPr>
          <w:p w:rsidR="00D63CE8" w:rsidRPr="00D63CE8" w:rsidRDefault="00D63CE8" w:rsidP="005E1197">
            <w:pPr>
              <w:spacing w:before="40" w:after="40"/>
              <w:rPr>
                <w:sz w:val="18"/>
                <w:szCs w:val="18"/>
              </w:rPr>
            </w:pPr>
            <w:r w:rsidRPr="00D63CE8">
              <w:rPr>
                <w:sz w:val="18"/>
                <w:szCs w:val="18"/>
              </w:rPr>
              <w:t>2012</w:t>
            </w:r>
          </w:p>
        </w:tc>
        <w:tc>
          <w:tcPr>
            <w:tcW w:w="567" w:type="dxa"/>
            <w:shd w:val="clear" w:color="auto" w:fill="D8DDF8"/>
            <w:vAlign w:val="top"/>
          </w:tcPr>
          <w:p w:rsidR="00D63CE8" w:rsidRPr="00D63CE8" w:rsidRDefault="00D63CE8" w:rsidP="005E1197">
            <w:pPr>
              <w:spacing w:before="40" w:after="40"/>
              <w:rPr>
                <w:sz w:val="18"/>
                <w:szCs w:val="18"/>
              </w:rPr>
            </w:pPr>
            <w:r w:rsidRPr="00D63CE8">
              <w:rPr>
                <w:sz w:val="18"/>
                <w:szCs w:val="18"/>
              </w:rPr>
              <w:t>30</w:t>
            </w:r>
          </w:p>
        </w:tc>
        <w:tc>
          <w:tcPr>
            <w:tcW w:w="993" w:type="dxa"/>
            <w:shd w:val="clear" w:color="auto" w:fill="D8DDF8"/>
            <w:vAlign w:val="top"/>
          </w:tcPr>
          <w:p w:rsidR="00D63CE8" w:rsidRPr="00D63CE8" w:rsidRDefault="00D63CE8" w:rsidP="005E1197">
            <w:pPr>
              <w:spacing w:before="40" w:after="40"/>
              <w:jc w:val="center"/>
              <w:rPr>
                <w:sz w:val="18"/>
                <w:szCs w:val="18"/>
              </w:rPr>
            </w:pPr>
            <w:r w:rsidRPr="00D63CE8">
              <w:rPr>
                <w:sz w:val="18"/>
                <w:szCs w:val="18"/>
              </w:rPr>
              <w:t>23%</w:t>
            </w:r>
          </w:p>
        </w:tc>
        <w:tc>
          <w:tcPr>
            <w:tcW w:w="1417" w:type="dxa"/>
            <w:shd w:val="clear" w:color="auto" w:fill="D8DDF8"/>
            <w:vAlign w:val="top"/>
          </w:tcPr>
          <w:p w:rsidR="00D63CE8" w:rsidRPr="00D63CE8" w:rsidRDefault="00D63CE8" w:rsidP="005E1197">
            <w:pPr>
              <w:spacing w:before="40" w:after="40"/>
              <w:jc w:val="center"/>
              <w:rPr>
                <w:sz w:val="18"/>
                <w:szCs w:val="18"/>
              </w:rPr>
            </w:pPr>
            <w:r w:rsidRPr="00D63CE8">
              <w:rPr>
                <w:sz w:val="18"/>
                <w:szCs w:val="18"/>
              </w:rPr>
              <w:t>77%</w:t>
            </w:r>
          </w:p>
        </w:tc>
        <w:tc>
          <w:tcPr>
            <w:tcW w:w="1559" w:type="dxa"/>
            <w:shd w:val="clear" w:color="auto" w:fill="D8DDF8"/>
            <w:vAlign w:val="top"/>
          </w:tcPr>
          <w:p w:rsidR="00D63CE8" w:rsidRPr="00D63CE8" w:rsidRDefault="00D63CE8" w:rsidP="005E1197">
            <w:pPr>
              <w:spacing w:before="40" w:after="40"/>
              <w:jc w:val="center"/>
              <w:rPr>
                <w:sz w:val="18"/>
                <w:szCs w:val="18"/>
              </w:rPr>
            </w:pPr>
            <w:r w:rsidRPr="00D63CE8">
              <w:rPr>
                <w:sz w:val="18"/>
                <w:szCs w:val="18"/>
              </w:rPr>
              <w:t>90%</w:t>
            </w:r>
          </w:p>
        </w:tc>
        <w:tc>
          <w:tcPr>
            <w:tcW w:w="2127" w:type="dxa"/>
            <w:shd w:val="clear" w:color="auto" w:fill="D8DDF8"/>
            <w:vAlign w:val="top"/>
          </w:tcPr>
          <w:p w:rsidR="00D63CE8" w:rsidRPr="00D63CE8" w:rsidRDefault="00D63CE8" w:rsidP="005E1197">
            <w:pPr>
              <w:spacing w:before="40" w:after="40"/>
              <w:jc w:val="center"/>
              <w:rPr>
                <w:sz w:val="18"/>
                <w:szCs w:val="18"/>
              </w:rPr>
            </w:pPr>
            <w:r w:rsidRPr="00D63CE8">
              <w:rPr>
                <w:sz w:val="18"/>
                <w:szCs w:val="18"/>
              </w:rPr>
              <w:t>80%</w:t>
            </w:r>
          </w:p>
        </w:tc>
        <w:tc>
          <w:tcPr>
            <w:tcW w:w="1275" w:type="dxa"/>
            <w:shd w:val="clear" w:color="auto" w:fill="D8DDF8"/>
            <w:vAlign w:val="top"/>
          </w:tcPr>
          <w:p w:rsidR="00D63CE8" w:rsidRPr="00D63CE8" w:rsidRDefault="00D63CE8" w:rsidP="005E1197">
            <w:pPr>
              <w:spacing w:before="40" w:after="40"/>
              <w:jc w:val="center"/>
              <w:rPr>
                <w:sz w:val="18"/>
                <w:szCs w:val="18"/>
              </w:rPr>
            </w:pPr>
            <w:r w:rsidRPr="00D63CE8">
              <w:rPr>
                <w:sz w:val="18"/>
                <w:szCs w:val="18"/>
              </w:rPr>
              <w:t>17%</w:t>
            </w:r>
          </w:p>
        </w:tc>
      </w:tr>
      <w:tr w:rsidR="00D63CE8" w:rsidRPr="00D63CE8" w:rsidTr="005E1197">
        <w:tc>
          <w:tcPr>
            <w:tcW w:w="1242" w:type="dxa"/>
            <w:tcBorders>
              <w:bottom w:val="single" w:sz="2" w:space="0" w:color="1F497D" w:themeColor="text2"/>
            </w:tcBorders>
            <w:vAlign w:val="top"/>
          </w:tcPr>
          <w:p w:rsidR="00D63CE8" w:rsidRPr="00D63CE8" w:rsidRDefault="00D63CE8" w:rsidP="005E1197">
            <w:pPr>
              <w:spacing w:before="40" w:after="40"/>
              <w:rPr>
                <w:sz w:val="18"/>
                <w:szCs w:val="18"/>
              </w:rPr>
            </w:pPr>
            <w:r w:rsidRPr="00D63CE8">
              <w:rPr>
                <w:sz w:val="18"/>
                <w:szCs w:val="18"/>
              </w:rPr>
              <w:t>2013</w:t>
            </w:r>
          </w:p>
        </w:tc>
        <w:tc>
          <w:tcPr>
            <w:tcW w:w="567" w:type="dxa"/>
            <w:tcBorders>
              <w:bottom w:val="single" w:sz="2" w:space="0" w:color="1F497D" w:themeColor="text2"/>
            </w:tcBorders>
            <w:vAlign w:val="top"/>
          </w:tcPr>
          <w:p w:rsidR="00D63CE8" w:rsidRPr="00D63CE8" w:rsidRDefault="00D63CE8" w:rsidP="005E1197">
            <w:pPr>
              <w:spacing w:before="40" w:after="40"/>
              <w:rPr>
                <w:sz w:val="18"/>
                <w:szCs w:val="18"/>
              </w:rPr>
            </w:pPr>
            <w:r w:rsidRPr="00D63CE8">
              <w:rPr>
                <w:sz w:val="18"/>
                <w:szCs w:val="18"/>
              </w:rPr>
              <w:t>22</w:t>
            </w:r>
          </w:p>
        </w:tc>
        <w:tc>
          <w:tcPr>
            <w:tcW w:w="993" w:type="dxa"/>
            <w:tcBorders>
              <w:bottom w:val="single" w:sz="2" w:space="0" w:color="1F497D" w:themeColor="text2"/>
            </w:tcBorders>
            <w:vAlign w:val="top"/>
          </w:tcPr>
          <w:p w:rsidR="00D63CE8" w:rsidRPr="00D63CE8" w:rsidRDefault="00D63CE8" w:rsidP="005E1197">
            <w:pPr>
              <w:spacing w:before="40" w:after="40"/>
              <w:jc w:val="center"/>
              <w:rPr>
                <w:sz w:val="18"/>
                <w:szCs w:val="18"/>
              </w:rPr>
            </w:pPr>
            <w:r w:rsidRPr="00D63CE8">
              <w:rPr>
                <w:sz w:val="18"/>
                <w:szCs w:val="18"/>
              </w:rPr>
              <w:t>5%</w:t>
            </w:r>
          </w:p>
        </w:tc>
        <w:tc>
          <w:tcPr>
            <w:tcW w:w="1417" w:type="dxa"/>
            <w:tcBorders>
              <w:bottom w:val="single" w:sz="2" w:space="0" w:color="1F497D" w:themeColor="text2"/>
            </w:tcBorders>
            <w:vAlign w:val="top"/>
          </w:tcPr>
          <w:p w:rsidR="00D63CE8" w:rsidRPr="00D63CE8" w:rsidRDefault="00D63CE8" w:rsidP="005E1197">
            <w:pPr>
              <w:spacing w:before="40" w:after="40"/>
              <w:jc w:val="center"/>
              <w:rPr>
                <w:sz w:val="18"/>
                <w:szCs w:val="18"/>
              </w:rPr>
            </w:pPr>
            <w:r w:rsidRPr="00D63CE8">
              <w:rPr>
                <w:sz w:val="18"/>
                <w:szCs w:val="18"/>
              </w:rPr>
              <w:t>68%</w:t>
            </w:r>
          </w:p>
        </w:tc>
        <w:tc>
          <w:tcPr>
            <w:tcW w:w="1559" w:type="dxa"/>
            <w:tcBorders>
              <w:bottom w:val="single" w:sz="2" w:space="0" w:color="1F497D" w:themeColor="text2"/>
            </w:tcBorders>
            <w:vAlign w:val="top"/>
          </w:tcPr>
          <w:p w:rsidR="00D63CE8" w:rsidRPr="00D63CE8" w:rsidRDefault="00D63CE8" w:rsidP="005E1197">
            <w:pPr>
              <w:spacing w:before="40" w:after="40"/>
              <w:jc w:val="center"/>
              <w:rPr>
                <w:sz w:val="18"/>
                <w:szCs w:val="18"/>
              </w:rPr>
            </w:pPr>
            <w:r w:rsidRPr="00D63CE8">
              <w:rPr>
                <w:sz w:val="18"/>
                <w:szCs w:val="18"/>
              </w:rPr>
              <w:t>73%</w:t>
            </w:r>
          </w:p>
        </w:tc>
        <w:tc>
          <w:tcPr>
            <w:tcW w:w="2127" w:type="dxa"/>
            <w:tcBorders>
              <w:bottom w:val="single" w:sz="2" w:space="0" w:color="1F497D" w:themeColor="text2"/>
            </w:tcBorders>
            <w:vAlign w:val="top"/>
          </w:tcPr>
          <w:p w:rsidR="00D63CE8" w:rsidRPr="00D63CE8" w:rsidRDefault="00D63CE8" w:rsidP="005E1197">
            <w:pPr>
              <w:spacing w:before="40" w:after="40"/>
              <w:jc w:val="center"/>
              <w:rPr>
                <w:sz w:val="18"/>
                <w:szCs w:val="18"/>
              </w:rPr>
            </w:pPr>
            <w:r w:rsidRPr="00D63CE8">
              <w:rPr>
                <w:sz w:val="18"/>
                <w:szCs w:val="18"/>
              </w:rPr>
              <w:t>64%</w:t>
            </w:r>
          </w:p>
        </w:tc>
        <w:tc>
          <w:tcPr>
            <w:tcW w:w="1275" w:type="dxa"/>
            <w:tcBorders>
              <w:bottom w:val="single" w:sz="2" w:space="0" w:color="1F497D" w:themeColor="text2"/>
            </w:tcBorders>
            <w:vAlign w:val="top"/>
          </w:tcPr>
          <w:p w:rsidR="00D63CE8" w:rsidRPr="00D63CE8" w:rsidRDefault="00D63CE8" w:rsidP="005E1197">
            <w:pPr>
              <w:spacing w:before="40" w:after="40"/>
              <w:jc w:val="center"/>
              <w:rPr>
                <w:sz w:val="18"/>
                <w:szCs w:val="18"/>
              </w:rPr>
            </w:pPr>
            <w:r w:rsidRPr="00D63CE8">
              <w:rPr>
                <w:sz w:val="18"/>
                <w:szCs w:val="18"/>
              </w:rPr>
              <w:t>36%</w:t>
            </w:r>
          </w:p>
        </w:tc>
      </w:tr>
      <w:tr w:rsidR="00D63CE8" w:rsidRPr="00D63CE8" w:rsidTr="005E1197">
        <w:tc>
          <w:tcPr>
            <w:tcW w:w="1242"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rPr>
                <w:sz w:val="18"/>
                <w:szCs w:val="18"/>
              </w:rPr>
            </w:pPr>
            <w:r>
              <w:rPr>
                <w:sz w:val="18"/>
                <w:szCs w:val="18"/>
              </w:rPr>
              <w:t>Combined</w:t>
            </w:r>
          </w:p>
        </w:tc>
        <w:tc>
          <w:tcPr>
            <w:tcW w:w="567"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rPr>
                <w:sz w:val="18"/>
                <w:szCs w:val="18"/>
              </w:rPr>
            </w:pPr>
            <w:r w:rsidRPr="00D63CE8">
              <w:rPr>
                <w:sz w:val="18"/>
                <w:szCs w:val="18"/>
              </w:rPr>
              <w:t>79</w:t>
            </w:r>
          </w:p>
        </w:tc>
        <w:tc>
          <w:tcPr>
            <w:tcW w:w="993"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jc w:val="center"/>
              <w:rPr>
                <w:sz w:val="18"/>
                <w:szCs w:val="18"/>
              </w:rPr>
            </w:pPr>
            <w:r w:rsidRPr="00D63CE8">
              <w:rPr>
                <w:sz w:val="18"/>
                <w:szCs w:val="18"/>
              </w:rPr>
              <w:t>14%</w:t>
            </w:r>
          </w:p>
        </w:tc>
        <w:tc>
          <w:tcPr>
            <w:tcW w:w="1417"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jc w:val="center"/>
              <w:rPr>
                <w:sz w:val="18"/>
                <w:szCs w:val="18"/>
              </w:rPr>
            </w:pPr>
            <w:r w:rsidRPr="00D63CE8">
              <w:rPr>
                <w:sz w:val="18"/>
                <w:szCs w:val="18"/>
              </w:rPr>
              <w:t>76%</w:t>
            </w:r>
          </w:p>
        </w:tc>
        <w:tc>
          <w:tcPr>
            <w:tcW w:w="1559"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jc w:val="center"/>
              <w:rPr>
                <w:sz w:val="18"/>
                <w:szCs w:val="18"/>
              </w:rPr>
            </w:pPr>
            <w:r w:rsidRPr="00D63CE8">
              <w:rPr>
                <w:sz w:val="18"/>
                <w:szCs w:val="18"/>
              </w:rPr>
              <w:t>78%</w:t>
            </w:r>
          </w:p>
        </w:tc>
        <w:tc>
          <w:tcPr>
            <w:tcW w:w="2127"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jc w:val="center"/>
              <w:rPr>
                <w:sz w:val="18"/>
                <w:szCs w:val="18"/>
              </w:rPr>
            </w:pPr>
            <w:r w:rsidRPr="00D63CE8">
              <w:rPr>
                <w:sz w:val="18"/>
                <w:szCs w:val="18"/>
              </w:rPr>
              <w:t>71%</w:t>
            </w:r>
          </w:p>
        </w:tc>
        <w:tc>
          <w:tcPr>
            <w:tcW w:w="1275" w:type="dxa"/>
            <w:tcBorders>
              <w:top w:val="single" w:sz="2" w:space="0" w:color="1F497D" w:themeColor="text2"/>
              <w:bottom w:val="single" w:sz="2" w:space="0" w:color="2C6365"/>
            </w:tcBorders>
            <w:shd w:val="clear" w:color="auto" w:fill="D8DDF8"/>
            <w:vAlign w:val="top"/>
          </w:tcPr>
          <w:p w:rsidR="00D63CE8" w:rsidRPr="00D63CE8" w:rsidRDefault="00D63CE8" w:rsidP="005E1197">
            <w:pPr>
              <w:spacing w:before="40" w:after="40"/>
              <w:jc w:val="center"/>
              <w:rPr>
                <w:sz w:val="18"/>
                <w:szCs w:val="18"/>
              </w:rPr>
            </w:pPr>
            <w:r w:rsidRPr="00D63CE8">
              <w:rPr>
                <w:sz w:val="18"/>
                <w:szCs w:val="18"/>
              </w:rPr>
              <w:t>30%</w:t>
            </w:r>
          </w:p>
        </w:tc>
      </w:tr>
      <w:bookmarkEnd w:id="18"/>
    </w:tbl>
    <w:p w:rsidR="002D665D" w:rsidRDefault="002D665D" w:rsidP="00C17B8A">
      <w:pPr>
        <w:spacing w:after="0"/>
      </w:pPr>
    </w:p>
    <w:p w:rsidR="006A6A49" w:rsidRPr="00CC290D" w:rsidRDefault="0035111E" w:rsidP="00CC290D">
      <w:pPr>
        <w:pStyle w:val="Heading3"/>
      </w:pPr>
      <w:bookmarkStart w:id="21" w:name="_Toc449017698"/>
      <w:r w:rsidRPr="00CC290D">
        <w:t>Further research</w:t>
      </w:r>
      <w:bookmarkEnd w:id="21"/>
    </w:p>
    <w:p w:rsidR="00A154E4" w:rsidRDefault="006A6A49" w:rsidP="002D665D">
      <w:r>
        <w:t xml:space="preserve">The reoffending outcomes seen in Table 1 for MAC graduates </w:t>
      </w:r>
      <w:r w:rsidR="000F6C30">
        <w:t>appear</w:t>
      </w:r>
      <w:r>
        <w:t xml:space="preserve"> very similar to those seen for all young people who have received </w:t>
      </w:r>
      <w:proofErr w:type="spellStart"/>
      <w:r w:rsidR="00A154E4">
        <w:t>SwR</w:t>
      </w:r>
      <w:proofErr w:type="spellEnd"/>
      <w:r>
        <w:t xml:space="preserve"> orders.</w:t>
      </w:r>
      <w:r>
        <w:rPr>
          <w:rStyle w:val="FootnoteReference"/>
        </w:rPr>
        <w:footnoteReference w:id="7"/>
      </w:r>
      <w:r>
        <w:t xml:space="preserve"> </w:t>
      </w:r>
      <w:r w:rsidR="00A154E4">
        <w:t xml:space="preserve">However caution must be taken with such a comparison, as measuring the impact of the MAC relative to </w:t>
      </w:r>
      <w:proofErr w:type="spellStart"/>
      <w:r w:rsidR="00A154E4">
        <w:t>SwR</w:t>
      </w:r>
      <w:proofErr w:type="spellEnd"/>
      <w:r w:rsidR="00A154E4">
        <w:t xml:space="preserve"> would require </w:t>
      </w:r>
      <w:r w:rsidR="00B1163F">
        <w:t>a robust statistical approach such as a matched comparison analysis</w:t>
      </w:r>
      <w:r w:rsidR="00A154E4">
        <w:t>.</w:t>
      </w:r>
      <w:r w:rsidR="00CE1408">
        <w:t xml:space="preserve"> This could usefully be undertaken in the future.</w:t>
      </w:r>
    </w:p>
    <w:p w:rsidR="0044462A" w:rsidRDefault="00AF7164" w:rsidP="002D665D">
      <w:r>
        <w:t xml:space="preserve">Some of the MAC graduates spent time out of the community on custodial remand or subject to custodial orders which may have had some effect on their rates of offending. </w:t>
      </w:r>
      <w:r w:rsidR="00A154E4">
        <w:t>T</w:t>
      </w:r>
      <w:r w:rsidR="00A154E4" w:rsidRPr="00F4382D">
        <w:t xml:space="preserve">he feasibility of </w:t>
      </w:r>
      <w:r>
        <w:t>calculating</w:t>
      </w:r>
      <w:r w:rsidR="00A154E4" w:rsidRPr="00F4382D">
        <w:t xml:space="preserve"> adjusted reoffending rates that reflect actual time spent in the community</w:t>
      </w:r>
      <w:r w:rsidR="00A154E4">
        <w:t xml:space="preserve"> </w:t>
      </w:r>
      <w:r w:rsidR="00566BA3">
        <w:t>could usefully</w:t>
      </w:r>
      <w:r w:rsidR="00A154E4">
        <w:t xml:space="preserve"> be investigated</w:t>
      </w:r>
      <w:r w:rsidR="00A154E4" w:rsidRPr="00F4382D">
        <w:t>.</w:t>
      </w:r>
    </w:p>
    <w:p w:rsidR="000171F0" w:rsidRPr="001A5C50" w:rsidRDefault="000171F0" w:rsidP="002D665D">
      <w:pPr>
        <w:rPr>
          <w:rFonts w:cs="ArialMT"/>
          <w:lang w:val="en-AU"/>
        </w:rPr>
      </w:pPr>
    </w:p>
    <w:p w:rsidR="002D665D" w:rsidRPr="008F1AFE" w:rsidRDefault="002D665D" w:rsidP="002D665D">
      <w:pPr>
        <w:rPr>
          <w:b/>
          <w:sz w:val="28"/>
          <w:szCs w:val="28"/>
        </w:rPr>
        <w:sectPr w:rsidR="002D665D" w:rsidRPr="008F1AFE" w:rsidSect="00992499">
          <w:footerReference w:type="default" r:id="rId19"/>
          <w:pgSz w:w="11906" w:h="16838"/>
          <w:pgMar w:top="1440" w:right="1440" w:bottom="1134" w:left="1440" w:header="708" w:footer="455" w:gutter="0"/>
          <w:cols w:space="708"/>
          <w:docGrid w:linePitch="360"/>
        </w:sectPr>
      </w:pPr>
    </w:p>
    <w:p w:rsidR="002D665D" w:rsidRDefault="002D665D" w:rsidP="00AF20E5">
      <w:pPr>
        <w:pStyle w:val="Heading1"/>
        <w:spacing w:before="0"/>
        <w:ind w:right="-45"/>
        <w:rPr>
          <w:lang w:val="en-GB"/>
        </w:rPr>
      </w:pPr>
      <w:bookmarkStart w:id="22" w:name="_Toc449017699"/>
      <w:bookmarkStart w:id="23" w:name="_Toc449017802"/>
      <w:r w:rsidRPr="00892FE4">
        <w:lastRenderedPageBreak/>
        <w:t>Appendix</w:t>
      </w:r>
      <w:r>
        <w:t xml:space="preserve"> </w:t>
      </w:r>
      <w:r w:rsidR="00795B56">
        <w:t>A</w:t>
      </w:r>
      <w:r>
        <w:t xml:space="preserve">:  </w:t>
      </w:r>
      <w:r w:rsidR="00C14149">
        <w:t>Measuring reoffending</w:t>
      </w:r>
      <w:bookmarkEnd w:id="22"/>
      <w:bookmarkEnd w:id="23"/>
    </w:p>
    <w:p w:rsidR="00844E9C" w:rsidRDefault="00844E9C" w:rsidP="00844E9C">
      <w:r>
        <w:t xml:space="preserve">Information on the individuals who participated in the MACs held </w:t>
      </w:r>
      <w:r w:rsidRPr="00F4382D">
        <w:t xml:space="preserve">between October 2010 and </w:t>
      </w:r>
      <w:r>
        <w:t>December</w:t>
      </w:r>
      <w:r w:rsidRPr="00F4382D">
        <w:t xml:space="preserve"> 201</w:t>
      </w:r>
      <w:r>
        <w:t xml:space="preserve">3 was provided to Insights MSD by </w:t>
      </w:r>
      <w:r w:rsidRPr="0060057B">
        <w:t>Residential and High Needs Services, CYF</w:t>
      </w:r>
      <w:r>
        <w:t>. Information on their release dates from residence was sourced from CYRAS.</w:t>
      </w:r>
      <w:r>
        <w:rPr>
          <w:rStyle w:val="FootnoteReference"/>
        </w:rPr>
        <w:footnoteReference w:id="8"/>
      </w:r>
    </w:p>
    <w:p w:rsidR="001B4471" w:rsidRPr="00CC290D" w:rsidRDefault="001B4471" w:rsidP="00CC290D">
      <w:pPr>
        <w:pStyle w:val="Heading3"/>
      </w:pPr>
      <w:bookmarkStart w:id="24" w:name="_Toc383440748"/>
      <w:bookmarkStart w:id="25" w:name="_Toc449017700"/>
      <w:r w:rsidRPr="00CC290D">
        <w:t>Estimating offending patterns</w:t>
      </w:r>
      <w:bookmarkEnd w:id="24"/>
      <w:bookmarkEnd w:id="25"/>
    </w:p>
    <w:p w:rsidR="002D665D" w:rsidRPr="00F20F79" w:rsidRDefault="002D665D" w:rsidP="002D665D">
      <w:r w:rsidRPr="0001429E">
        <w:t>Police extracte</w:t>
      </w:r>
      <w:r>
        <w:t xml:space="preserve">d occurrence data from </w:t>
      </w:r>
      <w:r w:rsidR="00092BC8">
        <w:t xml:space="preserve">the </w:t>
      </w:r>
      <w:r w:rsidR="00092BC8" w:rsidRPr="00E33DFA">
        <w:t xml:space="preserve">National Intelligence Application (NIA) </w:t>
      </w:r>
      <w:r>
        <w:t>on 3</w:t>
      </w:r>
      <w:r w:rsidR="001B4471">
        <w:t> </w:t>
      </w:r>
      <w:r>
        <w:t>March 2015</w:t>
      </w:r>
      <w:r w:rsidRPr="0001429E">
        <w:t xml:space="preserve"> for </w:t>
      </w:r>
      <w:r w:rsidR="00092BC8">
        <w:t>the</w:t>
      </w:r>
      <w:r w:rsidRPr="0001429E">
        <w:t xml:space="preserve"> MAC </w:t>
      </w:r>
      <w:r w:rsidR="00707370">
        <w:t>graduates</w:t>
      </w:r>
      <w:r w:rsidRPr="0001429E">
        <w:t>.</w:t>
      </w:r>
      <w:r w:rsidRPr="00E33DFA">
        <w:rPr>
          <w:rStyle w:val="FootnoteReference"/>
        </w:rPr>
        <w:footnoteReference w:id="9"/>
      </w:r>
      <w:r w:rsidRPr="0001429E">
        <w:t xml:space="preserve"> </w:t>
      </w:r>
      <w:r w:rsidRPr="00F20F79">
        <w:t xml:space="preserve">Occurrence data represents a history of contact with Police dating back to July 2005. Before this time, the data is less reliable as it was not compulsory for such data to be entered in NIA. An occurrence can be either an </w:t>
      </w:r>
      <w:r w:rsidRPr="00D75B0F">
        <w:rPr>
          <w:u w:val="single"/>
        </w:rPr>
        <w:t>offence</w:t>
      </w:r>
      <w:r w:rsidRPr="00F20F79">
        <w:t xml:space="preserve"> that is believed to have taken place or an </w:t>
      </w:r>
      <w:r w:rsidRPr="00D75B0F">
        <w:rPr>
          <w:u w:val="single"/>
        </w:rPr>
        <w:t>incident</w:t>
      </w:r>
      <w:r w:rsidRPr="00F20F79">
        <w:t xml:space="preserve"> where there is </w:t>
      </w:r>
      <w:r w:rsidR="007E35F1">
        <w:t>P</w:t>
      </w:r>
      <w:r w:rsidRPr="00F20F79">
        <w:t xml:space="preserve">olice contact that is not offence-related, </w:t>
      </w:r>
      <w:proofErr w:type="spellStart"/>
      <w:r w:rsidRPr="00F20F79">
        <w:t>eg</w:t>
      </w:r>
      <w:proofErr w:type="spellEnd"/>
      <w:r w:rsidRPr="00F20F79">
        <w:t xml:space="preserve"> a truant episode. Incidents (including breaches of </w:t>
      </w:r>
      <w:r w:rsidR="007E35F1">
        <w:t>P</w:t>
      </w:r>
      <w:r w:rsidRPr="00F20F79">
        <w:t>olice bail) are excluded from our analyses in this report.</w:t>
      </w:r>
    </w:p>
    <w:p w:rsidR="001B4471" w:rsidRDefault="002D665D" w:rsidP="003F07A6">
      <w:r w:rsidRPr="00F20F79">
        <w:t xml:space="preserve">An offence occurrence does not necessarily result in a charge being laid in court, or imply that the offence has been proven in any </w:t>
      </w:r>
      <w:r w:rsidR="00E57590">
        <w:t xml:space="preserve">formal </w:t>
      </w:r>
      <w:r w:rsidRPr="00F20F79">
        <w:t>way</w:t>
      </w:r>
      <w:r w:rsidR="00E57590">
        <w:t>, although proceeding by diversionary approaches such as Police Alternative Action first requires an admission of guilt by the young person</w:t>
      </w:r>
      <w:r w:rsidRPr="00F20F79">
        <w:t xml:space="preserve">. </w:t>
      </w:r>
      <w:r w:rsidR="00E57590">
        <w:t>O</w:t>
      </w:r>
      <w:r w:rsidRPr="00F20F79">
        <w:t>ffence occurrences provide a more consistent measure of offending patterns than court outcomes data for young people, given a large proportion of offences are diverted from prosecution</w:t>
      </w:r>
      <w:r w:rsidR="00092BC8">
        <w:t xml:space="preserve"> (</w:t>
      </w:r>
      <w:proofErr w:type="spellStart"/>
      <w:r w:rsidR="00092BC8">
        <w:t>eg</w:t>
      </w:r>
      <w:proofErr w:type="spellEnd"/>
      <w:r w:rsidR="00092BC8">
        <w:t xml:space="preserve"> around 70% in 2013/14 for 14</w:t>
      </w:r>
      <w:r w:rsidR="00092BC8" w:rsidRPr="00E33DFA">
        <w:t>–</w:t>
      </w:r>
      <w:r w:rsidR="00092BC8">
        <w:t>16 year olds)</w:t>
      </w:r>
      <w:r w:rsidRPr="00F20F79">
        <w:t>.</w:t>
      </w:r>
    </w:p>
    <w:p w:rsidR="00D75B0F" w:rsidRDefault="00D75B0F" w:rsidP="00D75B0F">
      <w:r w:rsidRPr="00E33DFA">
        <w:t xml:space="preserve">The date </w:t>
      </w:r>
      <w:r w:rsidR="00285FCB">
        <w:t>the</w:t>
      </w:r>
      <w:r>
        <w:t xml:space="preserve"> </w:t>
      </w:r>
      <w:r w:rsidRPr="00E33DFA">
        <w:t xml:space="preserve">offence was committed was used to assign </w:t>
      </w:r>
      <w:r w:rsidR="00285FCB">
        <w:t>each</w:t>
      </w:r>
      <w:r>
        <w:t xml:space="preserve"> </w:t>
      </w:r>
      <w:r w:rsidRPr="00E33DFA">
        <w:t xml:space="preserve">offence to </w:t>
      </w:r>
      <w:r>
        <w:t xml:space="preserve">the </w:t>
      </w:r>
      <w:r w:rsidRPr="00E33DFA">
        <w:t>period</w:t>
      </w:r>
      <w:r>
        <w:t xml:space="preserve"> before or after a MAC</w:t>
      </w:r>
      <w:r w:rsidRPr="00E33DFA">
        <w:t>.</w:t>
      </w:r>
    </w:p>
    <w:p w:rsidR="002D665D" w:rsidRPr="0001429E" w:rsidRDefault="002D665D" w:rsidP="002D665D">
      <w:r>
        <w:t xml:space="preserve">Police also extracted court outcomes data of young people who had been imprisoned (including home detention) in the District or High Courts since their intervention. This, together with </w:t>
      </w:r>
      <w:proofErr w:type="spellStart"/>
      <w:r>
        <w:t>SwR</w:t>
      </w:r>
      <w:proofErr w:type="spellEnd"/>
      <w:r>
        <w:t xml:space="preserve"> information from CYRAS</w:t>
      </w:r>
      <w:r>
        <w:rPr>
          <w:rStyle w:val="FootnoteReference"/>
        </w:rPr>
        <w:footnoteReference w:id="10"/>
      </w:r>
      <w:r>
        <w:t>, allows us to calculate a post-MAC custodial sentence rate.</w:t>
      </w:r>
    </w:p>
    <w:p w:rsidR="00DC09D0" w:rsidRPr="00E33DFA" w:rsidRDefault="00DC09D0" w:rsidP="00DC09D0">
      <w:r>
        <w:t>When examining reoffending, rather than having a single binary measure of whether the individual did or did not reoffend, it is useful to calculate multiple recidivism measures to better understand how offending patterns have changed for the cohort of interest.</w:t>
      </w:r>
    </w:p>
    <w:p w:rsidR="00AF20E5" w:rsidRDefault="00AF20E5" w:rsidP="002D665D">
      <w:r>
        <w:t>Figure 1 presents information on the reoffending rate for the MAC graduates. This is</w:t>
      </w:r>
      <w:r w:rsidRPr="00FB1B68">
        <w:t xml:space="preserve"> the time until </w:t>
      </w:r>
      <w:r>
        <w:t>they</w:t>
      </w:r>
      <w:r w:rsidRPr="00FB1B68">
        <w:t xml:space="preserve"> committed their first offence upon exiting </w:t>
      </w:r>
      <w:r>
        <w:t>residence</w:t>
      </w:r>
      <w:r w:rsidRPr="00FB1B68">
        <w:t xml:space="preserve">. Information is presented in terms of the cumulative proportion of all MAC </w:t>
      </w:r>
      <w:r>
        <w:t>graduates</w:t>
      </w:r>
      <w:r w:rsidRPr="00FB1B68">
        <w:t xml:space="preserve"> who had reoffended at each point in time over the </w:t>
      </w:r>
      <w:r>
        <w:t>12</w:t>
      </w:r>
      <w:r w:rsidRPr="00FB1B68">
        <w:t xml:space="preserve"> months since exiting </w:t>
      </w:r>
      <w:r>
        <w:t>residence</w:t>
      </w:r>
      <w:r w:rsidRPr="00FB1B68">
        <w:t>.</w:t>
      </w:r>
    </w:p>
    <w:p w:rsidR="002D665D" w:rsidRDefault="00A2746A" w:rsidP="002D665D">
      <w:r>
        <w:t xml:space="preserve">For </w:t>
      </w:r>
      <w:r w:rsidR="00F94E56">
        <w:t>the</w:t>
      </w:r>
      <w:r>
        <w:t xml:space="preserve"> analyses in Figures 2 and 3, </w:t>
      </w:r>
      <w:r w:rsidR="00F94E56">
        <w:t>f</w:t>
      </w:r>
      <w:r w:rsidR="002D665D" w:rsidRPr="00B80855">
        <w:t xml:space="preserve">requency of offence counts and total seriousness scores were calculated for each six-month period </w:t>
      </w:r>
      <w:r w:rsidR="00F94E56">
        <w:t xml:space="preserve">before and after the MACs </w:t>
      </w:r>
      <w:r w:rsidR="002D665D" w:rsidRPr="00B80855">
        <w:t xml:space="preserve">for each individual, and then were averaged across the members of each MAC cohort. </w:t>
      </w:r>
    </w:p>
    <w:p w:rsidR="00A2746A" w:rsidRPr="00B80855" w:rsidRDefault="00A2746A" w:rsidP="00295309">
      <w:pPr>
        <w:spacing w:after="170"/>
      </w:pPr>
      <w:r>
        <w:lastRenderedPageBreak/>
        <w:t xml:space="preserve">For </w:t>
      </w:r>
      <w:r w:rsidR="00AF20E5">
        <w:t>the</w:t>
      </w:r>
      <w:r>
        <w:t xml:space="preserve"> analyses </w:t>
      </w:r>
      <w:r w:rsidR="00AF20E5">
        <w:t xml:space="preserve">in </w:t>
      </w:r>
      <w:r>
        <w:t>Table</w:t>
      </w:r>
      <w:r w:rsidR="00AF20E5">
        <w:t>s</w:t>
      </w:r>
      <w:r>
        <w:t xml:space="preserve"> 1</w:t>
      </w:r>
      <w:r w:rsidR="00AF20E5">
        <w:t xml:space="preserve"> and 2</w:t>
      </w:r>
      <w:r>
        <w:t xml:space="preserve">, offending in the 12 months before the MAC was compared to offending in the 12 months after the MAC for each individual, and </w:t>
      </w:r>
      <w:r w:rsidR="00AF20E5">
        <w:t xml:space="preserve">then </w:t>
      </w:r>
      <w:r w:rsidR="00337AB3">
        <w:t xml:space="preserve">the proportion of </w:t>
      </w:r>
      <w:r w:rsidR="00D10123">
        <w:t xml:space="preserve">individuals in </w:t>
      </w:r>
      <w:r w:rsidR="00337AB3">
        <w:t xml:space="preserve">the </w:t>
      </w:r>
      <w:r w:rsidR="00D10123">
        <w:t xml:space="preserve">total </w:t>
      </w:r>
      <w:r w:rsidR="00337AB3">
        <w:t>sample who had particular outcomes</w:t>
      </w:r>
      <w:r w:rsidR="00D10123">
        <w:t xml:space="preserve"> </w:t>
      </w:r>
      <w:r w:rsidR="00F67BBE">
        <w:t xml:space="preserve">was </w:t>
      </w:r>
      <w:r w:rsidR="00D10123">
        <w:t>calculated</w:t>
      </w:r>
      <w:r>
        <w:t>.</w:t>
      </w:r>
      <w:r w:rsidR="00DC09D0">
        <w:t xml:space="preserve"> This includes the proportion who did not reoffend, the proportions who reduced the frequency or seriousness of their offending, and the proportion who reoffended and received a custodial sentence.</w:t>
      </w:r>
    </w:p>
    <w:p w:rsidR="00EF0D0D" w:rsidRPr="00566BA6" w:rsidRDefault="00EF0D0D" w:rsidP="00EF0D0D">
      <w:pPr>
        <w:rPr>
          <w:b/>
          <w:i/>
        </w:rPr>
      </w:pPr>
      <w:bookmarkStart w:id="26" w:name="_Toc314727102"/>
      <w:r>
        <w:rPr>
          <w:b/>
          <w:i/>
        </w:rPr>
        <w:t>Should some offences be excluded?</w:t>
      </w:r>
    </w:p>
    <w:p w:rsidR="00EF0D0D" w:rsidRDefault="00993B71" w:rsidP="00295309">
      <w:r>
        <w:t>Recidivism analyses take many forms, and i</w:t>
      </w:r>
      <w:r w:rsidR="007A3D2F">
        <w:t xml:space="preserve">t is not uncommon for certain types of offences to be excluded from </w:t>
      </w:r>
      <w:r>
        <w:t>such</w:t>
      </w:r>
      <w:r w:rsidR="007A3D2F">
        <w:t xml:space="preserve"> analyses. </w:t>
      </w:r>
      <w:r w:rsidR="00965BB9">
        <w:t xml:space="preserve">For example, breaching the conditions of a court order may be </w:t>
      </w:r>
      <w:r>
        <w:t>excluded</w:t>
      </w:r>
      <w:r w:rsidR="00965BB9">
        <w:t xml:space="preserve"> as </w:t>
      </w:r>
      <w:r w:rsidR="00D16BD3">
        <w:t>this is</w:t>
      </w:r>
      <w:r w:rsidR="00965BB9">
        <w:t xml:space="preserve"> not really new offending. In other cases, certain types of minor offen</w:t>
      </w:r>
      <w:r w:rsidR="00D16BD3">
        <w:t>ces</w:t>
      </w:r>
      <w:r w:rsidR="00965BB9">
        <w:t xml:space="preserve"> may be excluded from measures, particularly if the intervention is at the more serious end of the spectrum, so the person is not regarded as a reoffender if they </w:t>
      </w:r>
      <w:r>
        <w:t>only</w:t>
      </w:r>
      <w:r w:rsidR="00965BB9">
        <w:t xml:space="preserve"> commit a </w:t>
      </w:r>
      <w:r>
        <w:t>minor</w:t>
      </w:r>
      <w:r w:rsidR="00965BB9">
        <w:t xml:space="preserve"> offence. In New Zealand, for example, the Department of Corrections calculate</w:t>
      </w:r>
      <w:r w:rsidR="00D16BD3">
        <w:t>s</w:t>
      </w:r>
      <w:r w:rsidR="00965BB9">
        <w:t xml:space="preserve"> </w:t>
      </w:r>
      <w:r w:rsidR="00DC09D0">
        <w:t>‘</w:t>
      </w:r>
      <w:r w:rsidR="00965BB9">
        <w:t>reconviction</w:t>
      </w:r>
      <w:r w:rsidR="00DC09D0">
        <w:t>’</w:t>
      </w:r>
      <w:r w:rsidR="00965BB9">
        <w:t xml:space="preserve"> rates for people who receive community-based or custodial sentences that they administer. These reconviction rates exclude any convictions that do not result in a new sentence back to the Department.</w:t>
      </w:r>
    </w:p>
    <w:p w:rsidR="002D665D" w:rsidRDefault="00927B65" w:rsidP="00295309">
      <w:r>
        <w:t>In this report, m</w:t>
      </w:r>
      <w:bookmarkEnd w:id="26"/>
      <w:r w:rsidR="002D665D" w:rsidRPr="00A70764">
        <w:t>inor traffic offences and some minor non-traffic offences for which an infringement notice can be issued were excluded from the analyses. This was to avoid categorising young people as having reoffended if these were the only offences committed. Traffic offences excluded covered the following ANZSOC offence groups: regulatory driving offences, driving without a licence, driver licence related offences, registration offences, road</w:t>
      </w:r>
      <w:r w:rsidR="002D665D">
        <w:t xml:space="preserve"> </w:t>
      </w:r>
      <w:r w:rsidR="002D665D" w:rsidRPr="00A70764">
        <w:t>worthiness offences, pedestrian offences, parking offences and exceeding the legal speed limit.</w:t>
      </w:r>
      <w:r w:rsidR="002D665D" w:rsidRPr="00A70764">
        <w:rPr>
          <w:vertAlign w:val="superscript"/>
        </w:rPr>
        <w:footnoteReference w:id="11"/>
      </w:r>
      <w:r w:rsidR="002D665D" w:rsidRPr="00A70764">
        <w:t xml:space="preserve"> Non-traffic infringement offences excluded were: breaching a local liquor ban, liquor-related offences involving minors, and littering.</w:t>
      </w:r>
    </w:p>
    <w:p w:rsidR="00927B65" w:rsidRPr="00A70764" w:rsidRDefault="00927B65" w:rsidP="00295309">
      <w:r>
        <w:t xml:space="preserve">The impact of excluding some minor offences is very small. For example, of the </w:t>
      </w:r>
      <w:r w:rsidR="00DC09D0">
        <w:t>‘</w:t>
      </w:r>
      <w:r>
        <w:t>overall</w:t>
      </w:r>
      <w:r w:rsidR="00DC09D0">
        <w:t>’</w:t>
      </w:r>
      <w:r>
        <w:t xml:space="preserve"> figures seen in Table 1, four of the five figures would be exactly the same if all offences were included, and the other figure would differ by only 1%.</w:t>
      </w:r>
    </w:p>
    <w:p w:rsidR="00337AB3" w:rsidRPr="00A70764" w:rsidRDefault="00337AB3" w:rsidP="00CC290D">
      <w:pPr>
        <w:pStyle w:val="Heading3"/>
      </w:pPr>
      <w:bookmarkStart w:id="27" w:name="_Toc449017701"/>
      <w:r>
        <w:t>Measuring offence seriousness</w:t>
      </w:r>
      <w:bookmarkEnd w:id="27"/>
    </w:p>
    <w:p w:rsidR="00A74AF2" w:rsidRDefault="00A74AF2" w:rsidP="00A74AF2">
      <w:r>
        <w:t xml:space="preserve">The </w:t>
      </w:r>
      <w:r w:rsidRPr="00781B15">
        <w:t xml:space="preserve">Justice Sector Seriousness Scale </w:t>
      </w:r>
      <w:r>
        <w:t xml:space="preserve">was developed by the Ministry of Justice as a way of comparing the </w:t>
      </w:r>
      <w:r w:rsidRPr="00481F3D">
        <w:t>seriousness</w:t>
      </w:r>
      <w:r>
        <w:t xml:space="preserve"> of different types of offences based on actual court sentencing data. A seriousness score of 200 for an offence implies that, on average, the courts impose sentences that are twice as severe as those imposed on an offence with a score of 100. However caution is required with this interpretation as the way in which scores are calculated means there is sizable variance in some averages, particularly for offences of </w:t>
      </w:r>
      <w:r w:rsidR="00DC09D0">
        <w:t>‘</w:t>
      </w:r>
      <w:r>
        <w:t>moderate</w:t>
      </w:r>
      <w:r w:rsidR="00DC09D0">
        <w:t>’</w:t>
      </w:r>
      <w:r>
        <w:t xml:space="preserve"> seriousness where the types and lengths of sentences imposed can vary considerably.</w:t>
      </w:r>
      <w:r w:rsidR="00C923ED">
        <w:rPr>
          <w:rStyle w:val="FootnoteReference"/>
        </w:rPr>
        <w:footnoteReference w:id="12"/>
      </w:r>
    </w:p>
    <w:p w:rsidR="00337AB3" w:rsidRDefault="00C923ED" w:rsidP="000B73EE">
      <w:pPr>
        <w:spacing w:after="170"/>
      </w:pPr>
      <w:r>
        <w:t xml:space="preserve">In this report, total seriousness scores are calculated for a period of interest before the MACs, and compared to total seriousness scores after the MACs. </w:t>
      </w:r>
      <w:r w:rsidR="00337AB3" w:rsidRPr="00B80855">
        <w:t xml:space="preserve">For example, if a young </w:t>
      </w:r>
      <w:r w:rsidR="00337AB3" w:rsidRPr="00B80855">
        <w:lastRenderedPageBreak/>
        <w:t>person committed one of each of the offences</w:t>
      </w:r>
      <w:r w:rsidR="00337AB3">
        <w:t xml:space="preserve"> shown</w:t>
      </w:r>
      <w:r w:rsidR="00337AB3" w:rsidRPr="00B80855">
        <w:t xml:space="preserve"> in </w:t>
      </w:r>
      <w:r w:rsidR="00337AB3">
        <w:t xml:space="preserve">Table A1 </w:t>
      </w:r>
      <w:r w:rsidR="00337AB3" w:rsidRPr="00B80855">
        <w:t>in a period</w:t>
      </w:r>
      <w:r>
        <w:t xml:space="preserve"> of interest</w:t>
      </w:r>
      <w:r w:rsidR="00337AB3" w:rsidRPr="00B80855">
        <w:t xml:space="preserve">, their total seriousness score would be </w:t>
      </w:r>
      <w:r w:rsidR="00337AB3" w:rsidRPr="00573E21">
        <w:t>783.8.</w:t>
      </w:r>
    </w:p>
    <w:p w:rsidR="00337AB3" w:rsidRDefault="00337AB3" w:rsidP="00337AB3">
      <w:pPr>
        <w:pStyle w:val="Caption"/>
        <w:keepNext/>
      </w:pPr>
      <w:r>
        <w:t xml:space="preserve">Table A1: </w:t>
      </w:r>
      <w:r w:rsidRPr="00EA0CF9">
        <w:t xml:space="preserve">Examples of offence </w:t>
      </w:r>
      <w:r>
        <w:t>s</w:t>
      </w:r>
      <w:r w:rsidRPr="00EA0CF9">
        <w:t>eriousness scores</w:t>
      </w:r>
    </w:p>
    <w:tbl>
      <w:tblPr>
        <w:tblStyle w:val="MACreport"/>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5778"/>
        <w:gridCol w:w="1843"/>
      </w:tblGrid>
      <w:tr w:rsidR="00337AB3" w:rsidRPr="002A59B8" w:rsidTr="00EF0D0D">
        <w:tc>
          <w:tcPr>
            <w:tcW w:w="5778" w:type="dxa"/>
            <w:shd w:val="clear" w:color="auto" w:fill="121F6B"/>
          </w:tcPr>
          <w:p w:rsidR="00337AB3" w:rsidRPr="00FD32B3" w:rsidRDefault="00337AB3" w:rsidP="00EF0D0D">
            <w:pPr>
              <w:spacing w:after="0" w:line="240" w:lineRule="auto"/>
            </w:pPr>
            <w:r w:rsidRPr="00FD32B3">
              <w:t>Offence</w:t>
            </w:r>
          </w:p>
        </w:tc>
        <w:tc>
          <w:tcPr>
            <w:tcW w:w="1843" w:type="dxa"/>
            <w:shd w:val="clear" w:color="auto" w:fill="121F6B"/>
          </w:tcPr>
          <w:p w:rsidR="00337AB3" w:rsidRPr="00FD32B3" w:rsidRDefault="00337AB3" w:rsidP="00EF0D0D">
            <w:pPr>
              <w:spacing w:after="0" w:line="240" w:lineRule="auto"/>
              <w:jc w:val="center"/>
            </w:pPr>
            <w:r w:rsidRPr="00FD32B3">
              <w:t>Seriousness score</w:t>
            </w:r>
          </w:p>
        </w:tc>
      </w:tr>
      <w:tr w:rsidR="00337AB3" w:rsidRPr="002A59B8" w:rsidTr="00EF0D0D">
        <w:tc>
          <w:tcPr>
            <w:tcW w:w="5778" w:type="dxa"/>
          </w:tcPr>
          <w:p w:rsidR="00337AB3" w:rsidRPr="00FD32B3" w:rsidRDefault="00337AB3" w:rsidP="00EF0D0D">
            <w:pPr>
              <w:spacing w:after="60" w:line="240" w:lineRule="auto"/>
            </w:pPr>
            <w:r w:rsidRPr="00FD32B3">
              <w:t>Robbery (by assault)</w:t>
            </w:r>
          </w:p>
        </w:tc>
        <w:tc>
          <w:tcPr>
            <w:tcW w:w="1843" w:type="dxa"/>
          </w:tcPr>
          <w:p w:rsidR="00337AB3" w:rsidRPr="00FD32B3" w:rsidRDefault="00337AB3" w:rsidP="00EF0D0D">
            <w:pPr>
              <w:spacing w:after="60" w:line="240" w:lineRule="auto"/>
              <w:jc w:val="center"/>
            </w:pPr>
            <w:r w:rsidRPr="00FD32B3">
              <w:t>379.1</w:t>
            </w:r>
          </w:p>
        </w:tc>
      </w:tr>
      <w:tr w:rsidR="00337AB3" w:rsidRPr="002A59B8" w:rsidTr="00EF0D0D">
        <w:tc>
          <w:tcPr>
            <w:tcW w:w="5778" w:type="dxa"/>
            <w:shd w:val="clear" w:color="auto" w:fill="D8DDF8"/>
          </w:tcPr>
          <w:p w:rsidR="00337AB3" w:rsidRPr="00FD32B3" w:rsidRDefault="00337AB3" w:rsidP="00EF0D0D">
            <w:pPr>
              <w:spacing w:after="60" w:line="240" w:lineRule="auto"/>
            </w:pPr>
            <w:r w:rsidRPr="00FD32B3">
              <w:t>Shoplifts (estimated value of goods &lt;$500)</w:t>
            </w:r>
          </w:p>
        </w:tc>
        <w:tc>
          <w:tcPr>
            <w:tcW w:w="1843" w:type="dxa"/>
            <w:shd w:val="clear" w:color="auto" w:fill="D8DDF8"/>
          </w:tcPr>
          <w:p w:rsidR="00337AB3" w:rsidRPr="00FD32B3" w:rsidRDefault="00337AB3" w:rsidP="00EF0D0D">
            <w:pPr>
              <w:spacing w:after="60" w:line="240" w:lineRule="auto"/>
              <w:jc w:val="center"/>
            </w:pPr>
            <w:r w:rsidRPr="00FD32B3">
              <w:t>15.2</w:t>
            </w:r>
          </w:p>
        </w:tc>
      </w:tr>
      <w:tr w:rsidR="00337AB3" w:rsidRPr="002A59B8" w:rsidTr="00EF0D0D">
        <w:tc>
          <w:tcPr>
            <w:tcW w:w="5778" w:type="dxa"/>
          </w:tcPr>
          <w:p w:rsidR="00337AB3" w:rsidRPr="00FD32B3" w:rsidRDefault="00337AB3" w:rsidP="00C923ED">
            <w:pPr>
              <w:spacing w:after="60" w:line="240" w:lineRule="auto"/>
            </w:pPr>
            <w:r w:rsidRPr="00FD32B3">
              <w:t xml:space="preserve">Wilful </w:t>
            </w:r>
            <w:r w:rsidR="00C923ED">
              <w:t>d</w:t>
            </w:r>
            <w:r w:rsidRPr="00FD32B3">
              <w:t>amage</w:t>
            </w:r>
          </w:p>
        </w:tc>
        <w:tc>
          <w:tcPr>
            <w:tcW w:w="1843" w:type="dxa"/>
          </w:tcPr>
          <w:p w:rsidR="00337AB3" w:rsidRPr="00FD32B3" w:rsidRDefault="00337AB3" w:rsidP="00EF0D0D">
            <w:pPr>
              <w:spacing w:after="60" w:line="240" w:lineRule="auto"/>
              <w:jc w:val="center"/>
            </w:pPr>
            <w:r w:rsidRPr="00FD32B3">
              <w:t>9.5</w:t>
            </w:r>
          </w:p>
        </w:tc>
      </w:tr>
      <w:tr w:rsidR="00337AB3" w:rsidRPr="002A59B8" w:rsidTr="00EF0D0D">
        <w:tc>
          <w:tcPr>
            <w:tcW w:w="5778" w:type="dxa"/>
            <w:tcBorders>
              <w:bottom w:val="single" w:sz="4" w:space="0" w:color="auto"/>
            </w:tcBorders>
            <w:shd w:val="clear" w:color="auto" w:fill="D8DDF8"/>
          </w:tcPr>
          <w:p w:rsidR="00337AB3" w:rsidRPr="00FD32B3" w:rsidRDefault="00337AB3" w:rsidP="00EF0D0D">
            <w:pPr>
              <w:spacing w:after="60" w:line="240" w:lineRule="auto"/>
            </w:pPr>
            <w:r w:rsidRPr="00FD32B3">
              <w:t>Burglary (estimated value of goods $500 to $5,000)</w:t>
            </w:r>
          </w:p>
        </w:tc>
        <w:tc>
          <w:tcPr>
            <w:tcW w:w="1843" w:type="dxa"/>
            <w:tcBorders>
              <w:bottom w:val="single" w:sz="4" w:space="0" w:color="auto"/>
            </w:tcBorders>
            <w:shd w:val="clear" w:color="auto" w:fill="D8DDF8"/>
          </w:tcPr>
          <w:p w:rsidR="00337AB3" w:rsidRPr="00FD32B3" w:rsidRDefault="00337AB3" w:rsidP="00EF0D0D">
            <w:pPr>
              <w:spacing w:after="60" w:line="240" w:lineRule="auto"/>
              <w:jc w:val="center"/>
            </w:pPr>
            <w:r w:rsidRPr="00FD32B3">
              <w:t>380.0</w:t>
            </w:r>
          </w:p>
        </w:tc>
      </w:tr>
      <w:tr w:rsidR="00337AB3" w:rsidRPr="002A59B8" w:rsidTr="00EF0D0D">
        <w:tc>
          <w:tcPr>
            <w:tcW w:w="5778" w:type="dxa"/>
            <w:tcBorders>
              <w:top w:val="single" w:sz="4" w:space="0" w:color="auto"/>
              <w:bottom w:val="single" w:sz="2" w:space="0" w:color="1F497D" w:themeColor="text2"/>
            </w:tcBorders>
          </w:tcPr>
          <w:p w:rsidR="00337AB3" w:rsidRPr="00FD32B3" w:rsidRDefault="00337AB3" w:rsidP="00EF0D0D">
            <w:pPr>
              <w:spacing w:after="60" w:line="240" w:lineRule="auto"/>
            </w:pPr>
            <w:r w:rsidRPr="00FD32B3">
              <w:t>Total</w:t>
            </w:r>
          </w:p>
        </w:tc>
        <w:tc>
          <w:tcPr>
            <w:tcW w:w="1843" w:type="dxa"/>
            <w:tcBorders>
              <w:top w:val="single" w:sz="4" w:space="0" w:color="auto"/>
              <w:bottom w:val="single" w:sz="2" w:space="0" w:color="1F497D" w:themeColor="text2"/>
            </w:tcBorders>
          </w:tcPr>
          <w:p w:rsidR="00337AB3" w:rsidRDefault="00337AB3" w:rsidP="00EF0D0D">
            <w:pPr>
              <w:spacing w:after="60" w:line="240" w:lineRule="auto"/>
              <w:jc w:val="center"/>
            </w:pPr>
            <w:r w:rsidRPr="00FD32B3">
              <w:t>783.8</w:t>
            </w:r>
          </w:p>
        </w:tc>
      </w:tr>
    </w:tbl>
    <w:p w:rsidR="00337AB3" w:rsidRDefault="00337AB3" w:rsidP="00963C04"/>
    <w:p w:rsidR="004823B8" w:rsidRDefault="002D665D" w:rsidP="00963C04">
      <w:r w:rsidRPr="00A70764">
        <w:t xml:space="preserve">Seriousness scores are a statistical representation of the average number of days of imprisonment imposed by the courts for each offence. Statistical equivalences are used for people who receive community-based sentences or fines. Because of the rather convoluted methodology, it is not possible to calculate error variances for the seriousness scores. However, because it needs to be acknowledged that the raw seriousness scores and therefore summary values calculated from them have error variance, it was decided to use a 5% margin of error around total seriousness scores when comparing the pre-intervention period with the post-intervention period. </w:t>
      </w:r>
      <w:r w:rsidR="004823B8">
        <w:t xml:space="preserve">In effect this means that </w:t>
      </w:r>
      <w:r w:rsidR="00960313">
        <w:t xml:space="preserve">total </w:t>
      </w:r>
      <w:r w:rsidR="004823B8">
        <w:t>seriousness scores need to differ by more than 10% to be considered different.</w:t>
      </w:r>
    </w:p>
    <w:p w:rsidR="00152E22" w:rsidRDefault="00B122B6" w:rsidP="00963C04">
      <w:r>
        <w:t xml:space="preserve">The </w:t>
      </w:r>
      <w:r w:rsidR="00C74B5B" w:rsidRPr="00781B15">
        <w:t xml:space="preserve">Justice Sector </w:t>
      </w:r>
      <w:r>
        <w:t>Seriousness Scale is developed from</w:t>
      </w:r>
      <w:r w:rsidR="00152E22">
        <w:t xml:space="preserve"> District and High Court </w:t>
      </w:r>
      <w:r>
        <w:t>sentencing data relating to adults</w:t>
      </w:r>
      <w:r w:rsidR="00152E22">
        <w:t xml:space="preserve">. While there </w:t>
      </w:r>
      <w:r w:rsidR="004D6329">
        <w:t>could be</w:t>
      </w:r>
      <w:r w:rsidR="00152E22">
        <w:t xml:space="preserve"> debate over the applicability of the scale to offending by young people, developing a similar scale based on the diverse range of ways in which cases are dealt with in the Youth</w:t>
      </w:r>
      <w:bookmarkStart w:id="28" w:name="_GoBack"/>
      <w:bookmarkEnd w:id="28"/>
      <w:r w:rsidR="00152E22">
        <w:t xml:space="preserve"> Justice system would be </w:t>
      </w:r>
      <w:r w:rsidR="00A17AD8">
        <w:t>problematic</w:t>
      </w:r>
      <w:r w:rsidR="00152E22">
        <w:t>.</w:t>
      </w:r>
      <w:r w:rsidR="00F27E98">
        <w:t xml:space="preserve"> In any case, the interest in seriousness scores is </w:t>
      </w:r>
      <w:r w:rsidR="004D6329">
        <w:t xml:space="preserve">primarily </w:t>
      </w:r>
      <w:r w:rsidR="00F27E98">
        <w:t xml:space="preserve">in </w:t>
      </w:r>
      <w:r w:rsidR="004D6329">
        <w:t xml:space="preserve">terms of assessing </w:t>
      </w:r>
      <w:r w:rsidR="00F27E98">
        <w:t xml:space="preserve">relative changes rather than </w:t>
      </w:r>
      <w:r w:rsidR="004D6329">
        <w:t xml:space="preserve">in </w:t>
      </w:r>
      <w:r w:rsidR="00521A3F">
        <w:t xml:space="preserve">the </w:t>
      </w:r>
      <w:r w:rsidR="00F27E98">
        <w:t>absolute value</w:t>
      </w:r>
      <w:r w:rsidR="00521A3F">
        <w:t xml:space="preserve"> of the </w:t>
      </w:r>
      <w:r w:rsidR="00F27E98">
        <w:t>s</w:t>
      </w:r>
      <w:r w:rsidR="00521A3F">
        <w:t>cores</w:t>
      </w:r>
      <w:r w:rsidR="00F27E98">
        <w:t>.</w:t>
      </w:r>
    </w:p>
    <w:p w:rsidR="004823B8" w:rsidRPr="00A70764" w:rsidRDefault="004823B8" w:rsidP="00963C04"/>
    <w:p w:rsidR="002D665D" w:rsidRDefault="002D665D" w:rsidP="004823B8">
      <w:r>
        <w:br w:type="page"/>
      </w:r>
    </w:p>
    <w:p w:rsidR="002D665D" w:rsidRDefault="002D665D" w:rsidP="00B93912">
      <w:pPr>
        <w:pStyle w:val="Heading1"/>
        <w:spacing w:before="0"/>
        <w:ind w:right="96"/>
        <w:rPr>
          <w:lang w:val="en-GB"/>
        </w:rPr>
      </w:pPr>
      <w:bookmarkStart w:id="29" w:name="_Toc449017702"/>
      <w:bookmarkStart w:id="30" w:name="_Toc449017803"/>
      <w:r w:rsidRPr="00892FE4">
        <w:lastRenderedPageBreak/>
        <w:t>Appendix</w:t>
      </w:r>
      <w:r>
        <w:t xml:space="preserve"> </w:t>
      </w:r>
      <w:r w:rsidR="00795B56">
        <w:t>B</w:t>
      </w:r>
      <w:r>
        <w:t>:  ANZSOC offence divisions</w:t>
      </w:r>
      <w:bookmarkEnd w:id="29"/>
      <w:bookmarkEnd w:id="30"/>
    </w:p>
    <w:p w:rsidR="002D665D" w:rsidRDefault="00883DE5" w:rsidP="00157D35">
      <w:r>
        <w:t>T</w:t>
      </w:r>
      <w:r w:rsidR="002D665D" w:rsidRPr="00963C04">
        <w:t xml:space="preserve">he most common types of offences committed by MAC </w:t>
      </w:r>
      <w:r w:rsidR="00707370">
        <w:t>graduates</w:t>
      </w:r>
      <w:r w:rsidR="002D665D" w:rsidRPr="00963C04">
        <w:t xml:space="preserve"> </w:t>
      </w:r>
      <w:r w:rsidR="004366EB">
        <w:t>in the</w:t>
      </w:r>
      <w:r w:rsidR="002D665D" w:rsidRPr="00963C04">
        <w:t xml:space="preserve"> 12 months either side of the MACs are shown in the table below </w:t>
      </w:r>
      <w:r w:rsidR="004366EB">
        <w:t>for each</w:t>
      </w:r>
      <w:r w:rsidR="004366EB" w:rsidRPr="00963C04">
        <w:t xml:space="preserve"> </w:t>
      </w:r>
      <w:r w:rsidR="002D665D" w:rsidRPr="00963C04">
        <w:t xml:space="preserve">ANZSOC </w:t>
      </w:r>
      <w:r w:rsidR="004366EB">
        <w:t xml:space="preserve">offence </w:t>
      </w:r>
      <w:r w:rsidR="002D665D" w:rsidRPr="00963C04">
        <w:t>division.</w:t>
      </w:r>
      <w:r w:rsidR="002D665D" w:rsidRPr="00963C04">
        <w:rPr>
          <w:rStyle w:val="FootnoteReference"/>
        </w:rPr>
        <w:footnoteReference w:id="13"/>
      </w:r>
    </w:p>
    <w:p w:rsidR="00B06AD2" w:rsidRDefault="00B06AD2" w:rsidP="00BC70F1">
      <w:pPr>
        <w:pStyle w:val="Caption"/>
        <w:keepNext/>
      </w:pPr>
      <w:r w:rsidRPr="00B06AD2">
        <w:t xml:space="preserve">Table </w:t>
      </w:r>
      <w:r w:rsidR="00A74AF2">
        <w:t>B</w:t>
      </w:r>
      <w:r w:rsidRPr="00B06AD2">
        <w:t>1: Examples of offences by young people within each ANZSOC offence division</w:t>
      </w:r>
    </w:p>
    <w:tbl>
      <w:tblPr>
        <w:tblStyle w:val="MACreport"/>
        <w:tblW w:w="9039" w:type="dxa"/>
        <w:tblBorders>
          <w:top w:val="none" w:sz="0" w:space="0" w:color="auto"/>
          <w:left w:val="none" w:sz="0" w:space="0" w:color="auto"/>
          <w:right w:val="none" w:sz="0" w:space="0" w:color="auto"/>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3085"/>
        <w:gridCol w:w="1985"/>
        <w:gridCol w:w="3969"/>
      </w:tblGrid>
      <w:tr w:rsidR="00B06AD2" w:rsidRPr="0088423F" w:rsidTr="0088423F">
        <w:trPr>
          <w:trHeight w:val="20"/>
        </w:trPr>
        <w:tc>
          <w:tcPr>
            <w:tcW w:w="3085" w:type="dxa"/>
            <w:shd w:val="clear" w:color="auto" w:fill="121F6B"/>
          </w:tcPr>
          <w:p w:rsidR="00B06AD2" w:rsidRPr="0088423F" w:rsidRDefault="00B06AD2" w:rsidP="0088423F">
            <w:pPr>
              <w:spacing w:after="0" w:line="240" w:lineRule="auto"/>
              <w:ind w:right="34"/>
              <w:rPr>
                <w:sz w:val="16"/>
                <w:szCs w:val="16"/>
              </w:rPr>
            </w:pPr>
            <w:r w:rsidRPr="0088423F">
              <w:rPr>
                <w:sz w:val="16"/>
                <w:szCs w:val="16"/>
              </w:rPr>
              <w:t>ANZSOC Offence Division</w:t>
            </w:r>
          </w:p>
        </w:tc>
        <w:tc>
          <w:tcPr>
            <w:tcW w:w="1985" w:type="dxa"/>
            <w:shd w:val="clear" w:color="auto" w:fill="121F6B"/>
          </w:tcPr>
          <w:p w:rsidR="00B06AD2" w:rsidRPr="0088423F" w:rsidRDefault="00B06AD2" w:rsidP="008C5377">
            <w:pPr>
              <w:spacing w:after="0" w:line="240" w:lineRule="auto"/>
              <w:rPr>
                <w:sz w:val="16"/>
                <w:szCs w:val="16"/>
              </w:rPr>
            </w:pPr>
            <w:r w:rsidRPr="0088423F">
              <w:rPr>
                <w:sz w:val="16"/>
                <w:szCs w:val="16"/>
              </w:rPr>
              <w:t>Shortened name</w:t>
            </w:r>
          </w:p>
        </w:tc>
        <w:tc>
          <w:tcPr>
            <w:tcW w:w="3969" w:type="dxa"/>
            <w:shd w:val="clear" w:color="auto" w:fill="121F6B"/>
          </w:tcPr>
          <w:p w:rsidR="00B06AD2" w:rsidRPr="0088423F" w:rsidRDefault="00B06AD2" w:rsidP="008C5377">
            <w:pPr>
              <w:spacing w:after="0" w:line="240" w:lineRule="auto"/>
              <w:rPr>
                <w:sz w:val="16"/>
                <w:szCs w:val="16"/>
              </w:rPr>
            </w:pPr>
            <w:r w:rsidRPr="0088423F">
              <w:rPr>
                <w:sz w:val="16"/>
                <w:szCs w:val="16"/>
              </w:rPr>
              <w:t xml:space="preserve">Most common offences for MAC </w:t>
            </w:r>
            <w:r w:rsidR="00707370" w:rsidRPr="0088423F">
              <w:rPr>
                <w:sz w:val="16"/>
                <w:szCs w:val="16"/>
              </w:rPr>
              <w:t>graduates</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Homicide and related offences</w:t>
            </w:r>
          </w:p>
        </w:tc>
        <w:tc>
          <w:tcPr>
            <w:tcW w:w="1985" w:type="dxa"/>
            <w:vAlign w:val="top"/>
          </w:tcPr>
          <w:p w:rsidR="00B06AD2" w:rsidRPr="0088423F" w:rsidRDefault="00B06AD2" w:rsidP="008C5377">
            <w:pPr>
              <w:spacing w:after="0" w:line="240" w:lineRule="auto"/>
              <w:rPr>
                <w:sz w:val="16"/>
                <w:szCs w:val="16"/>
              </w:rPr>
            </w:pPr>
            <w:r w:rsidRPr="0088423F">
              <w:rPr>
                <w:sz w:val="16"/>
                <w:szCs w:val="16"/>
              </w:rPr>
              <w:t>Homicide-related</w:t>
            </w:r>
          </w:p>
        </w:tc>
        <w:tc>
          <w:tcPr>
            <w:tcW w:w="3969" w:type="dxa"/>
            <w:vAlign w:val="top"/>
          </w:tcPr>
          <w:p w:rsidR="00B06AD2" w:rsidRPr="0088423F" w:rsidRDefault="00B06AD2" w:rsidP="008C5377">
            <w:pPr>
              <w:spacing w:after="0" w:line="240" w:lineRule="auto"/>
              <w:rPr>
                <w:sz w:val="16"/>
                <w:szCs w:val="16"/>
              </w:rPr>
            </w:pPr>
            <w:r w:rsidRPr="0088423F">
              <w:rPr>
                <w:sz w:val="16"/>
                <w:szCs w:val="16"/>
              </w:rPr>
              <w:t xml:space="preserve">No such offences committed by the MAC </w:t>
            </w:r>
            <w:r w:rsidR="00707370" w:rsidRPr="0088423F">
              <w:rPr>
                <w:sz w:val="16"/>
                <w:szCs w:val="16"/>
              </w:rPr>
              <w:t>graduates</w:t>
            </w:r>
            <w:r w:rsidRPr="0088423F">
              <w:rPr>
                <w:sz w:val="16"/>
                <w:szCs w:val="16"/>
              </w:rPr>
              <w:t xml:space="preserve"> in the 12 months before or after</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Acts intended to cause injury</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Injury causing acts</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All minor, serious and grievous assaults with around half of such offences involving common assault</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Sexual assault and related offences</w:t>
            </w:r>
          </w:p>
        </w:tc>
        <w:tc>
          <w:tcPr>
            <w:tcW w:w="1985" w:type="dxa"/>
            <w:vAlign w:val="top"/>
          </w:tcPr>
          <w:p w:rsidR="00B06AD2" w:rsidRPr="0088423F" w:rsidRDefault="00B06AD2" w:rsidP="008C5377">
            <w:pPr>
              <w:spacing w:after="0" w:line="240" w:lineRule="auto"/>
              <w:rPr>
                <w:sz w:val="16"/>
                <w:szCs w:val="16"/>
              </w:rPr>
            </w:pPr>
            <w:r w:rsidRPr="0088423F">
              <w:rPr>
                <w:sz w:val="16"/>
                <w:szCs w:val="16"/>
              </w:rPr>
              <w:t>Sexual</w:t>
            </w:r>
          </w:p>
        </w:tc>
        <w:tc>
          <w:tcPr>
            <w:tcW w:w="3969" w:type="dxa"/>
            <w:vAlign w:val="top"/>
          </w:tcPr>
          <w:p w:rsidR="00B06AD2" w:rsidRPr="0088423F" w:rsidRDefault="00B06AD2" w:rsidP="008C5377">
            <w:pPr>
              <w:spacing w:after="0" w:line="240" w:lineRule="auto"/>
              <w:rPr>
                <w:sz w:val="16"/>
                <w:szCs w:val="16"/>
              </w:rPr>
            </w:pPr>
            <w:r w:rsidRPr="0088423F">
              <w:rPr>
                <w:sz w:val="16"/>
                <w:szCs w:val="16"/>
              </w:rPr>
              <w:t>Indecent assault; unlawful sexual connection; doing an indecent act; rape</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Dangerous or negligent acts endangering persons</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Dangerous acts</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Reckless, dangerous or careless driving; sustained loss of traction</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Abduction, harassment and other offences against the person</w:t>
            </w:r>
          </w:p>
        </w:tc>
        <w:tc>
          <w:tcPr>
            <w:tcW w:w="1985" w:type="dxa"/>
            <w:vAlign w:val="top"/>
          </w:tcPr>
          <w:p w:rsidR="00B06AD2" w:rsidRPr="0088423F" w:rsidRDefault="00B06AD2" w:rsidP="008C5377">
            <w:pPr>
              <w:spacing w:after="0" w:line="240" w:lineRule="auto"/>
              <w:rPr>
                <w:sz w:val="16"/>
                <w:szCs w:val="16"/>
              </w:rPr>
            </w:pPr>
            <w:r w:rsidRPr="0088423F">
              <w:rPr>
                <w:sz w:val="16"/>
                <w:szCs w:val="16"/>
              </w:rPr>
              <w:t xml:space="preserve">Abduction &amp; </w:t>
            </w:r>
            <w:r w:rsidR="002D0B18" w:rsidRPr="0088423F">
              <w:rPr>
                <w:sz w:val="16"/>
                <w:szCs w:val="16"/>
              </w:rPr>
              <w:t>harassment</w:t>
            </w:r>
          </w:p>
        </w:tc>
        <w:tc>
          <w:tcPr>
            <w:tcW w:w="3969" w:type="dxa"/>
            <w:vAlign w:val="top"/>
          </w:tcPr>
          <w:p w:rsidR="00B06AD2" w:rsidRPr="0088423F" w:rsidRDefault="00B06AD2" w:rsidP="008C5377">
            <w:pPr>
              <w:spacing w:after="0" w:line="240" w:lineRule="auto"/>
              <w:rPr>
                <w:sz w:val="16"/>
                <w:szCs w:val="16"/>
              </w:rPr>
            </w:pPr>
            <w:r w:rsidRPr="0088423F">
              <w:rPr>
                <w:sz w:val="16"/>
                <w:szCs w:val="16"/>
              </w:rPr>
              <w:t>Threatening behaviour or acts; kidnapping; criminal harassment</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Robbery, extortion and related offences</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Robbery-related</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Aggravated robbery; robbery; demands to steal; assault with intent to rob</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Unlawful entry with intent/burglary, break and enter</w:t>
            </w:r>
          </w:p>
        </w:tc>
        <w:tc>
          <w:tcPr>
            <w:tcW w:w="1985" w:type="dxa"/>
            <w:vAlign w:val="top"/>
          </w:tcPr>
          <w:p w:rsidR="00B06AD2" w:rsidRPr="0088423F" w:rsidRDefault="00B06AD2" w:rsidP="008C5377">
            <w:pPr>
              <w:spacing w:after="0" w:line="240" w:lineRule="auto"/>
              <w:rPr>
                <w:sz w:val="16"/>
                <w:szCs w:val="16"/>
              </w:rPr>
            </w:pPr>
            <w:r w:rsidRPr="0088423F">
              <w:rPr>
                <w:sz w:val="16"/>
                <w:szCs w:val="16"/>
              </w:rPr>
              <w:t>Burglary</w:t>
            </w:r>
          </w:p>
        </w:tc>
        <w:tc>
          <w:tcPr>
            <w:tcW w:w="3969" w:type="dxa"/>
            <w:vAlign w:val="top"/>
          </w:tcPr>
          <w:p w:rsidR="00B06AD2" w:rsidRPr="0088423F" w:rsidRDefault="00B06AD2" w:rsidP="008C5377">
            <w:pPr>
              <w:spacing w:after="0" w:line="240" w:lineRule="auto"/>
              <w:rPr>
                <w:sz w:val="16"/>
                <w:szCs w:val="16"/>
              </w:rPr>
            </w:pPr>
            <w:r w:rsidRPr="0088423F">
              <w:rPr>
                <w:sz w:val="16"/>
                <w:szCs w:val="16"/>
              </w:rPr>
              <w:t>Burglary</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Theft and related offences</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Theft-related</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All types of theft (with shoplifting being the most common); unlawfully takes or gets into a motor vehicle; receiving stolen property</w:t>
            </w:r>
          </w:p>
        </w:tc>
      </w:tr>
      <w:tr w:rsidR="00B06AD2" w:rsidRPr="0088423F" w:rsidTr="0088423F">
        <w:trPr>
          <w:trHeight w:val="607"/>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Fraud, deception and related offences</w:t>
            </w:r>
          </w:p>
        </w:tc>
        <w:tc>
          <w:tcPr>
            <w:tcW w:w="1985" w:type="dxa"/>
            <w:vAlign w:val="top"/>
          </w:tcPr>
          <w:p w:rsidR="00B06AD2" w:rsidRPr="0088423F" w:rsidRDefault="00B06AD2" w:rsidP="008C5377">
            <w:pPr>
              <w:spacing w:after="0" w:line="240" w:lineRule="auto"/>
              <w:rPr>
                <w:sz w:val="16"/>
                <w:szCs w:val="16"/>
              </w:rPr>
            </w:pPr>
            <w:r w:rsidRPr="0088423F">
              <w:rPr>
                <w:sz w:val="16"/>
                <w:szCs w:val="16"/>
              </w:rPr>
              <w:t>Fraud &amp; deception</w:t>
            </w:r>
          </w:p>
        </w:tc>
        <w:tc>
          <w:tcPr>
            <w:tcW w:w="3969" w:type="dxa"/>
            <w:vAlign w:val="top"/>
          </w:tcPr>
          <w:p w:rsidR="00B06AD2" w:rsidRPr="0088423F" w:rsidRDefault="00B06AD2" w:rsidP="008C5377">
            <w:pPr>
              <w:spacing w:after="0" w:line="240" w:lineRule="auto"/>
              <w:rPr>
                <w:sz w:val="16"/>
                <w:szCs w:val="16"/>
              </w:rPr>
            </w:pPr>
            <w:r w:rsidRPr="0088423F">
              <w:rPr>
                <w:sz w:val="16"/>
                <w:szCs w:val="16"/>
              </w:rPr>
              <w:t xml:space="preserve">Take, obtain or use a document or credit card for </w:t>
            </w:r>
            <w:r w:rsidR="002D0B18" w:rsidRPr="0088423F">
              <w:rPr>
                <w:sz w:val="16"/>
                <w:szCs w:val="16"/>
              </w:rPr>
              <w:t>pecuniary</w:t>
            </w:r>
            <w:r w:rsidRPr="0088423F">
              <w:rPr>
                <w:sz w:val="16"/>
                <w:szCs w:val="16"/>
              </w:rPr>
              <w:t xml:space="preserve"> advantage; obtain by deception</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Illicit drug offences</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Illicit drugs</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Possess cannabis or drug-related utensils; deal in cannabis; cultivate cannabis</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Prohibited and regulated weapons and explosives offences</w:t>
            </w:r>
          </w:p>
        </w:tc>
        <w:tc>
          <w:tcPr>
            <w:tcW w:w="1985" w:type="dxa"/>
            <w:vAlign w:val="top"/>
          </w:tcPr>
          <w:p w:rsidR="00B06AD2" w:rsidRPr="0088423F" w:rsidRDefault="00B06AD2" w:rsidP="008C5377">
            <w:pPr>
              <w:spacing w:after="0" w:line="240" w:lineRule="auto"/>
              <w:rPr>
                <w:sz w:val="16"/>
                <w:szCs w:val="16"/>
              </w:rPr>
            </w:pPr>
            <w:r w:rsidRPr="0088423F">
              <w:rPr>
                <w:sz w:val="16"/>
                <w:szCs w:val="16"/>
              </w:rPr>
              <w:t>Weapons-related</w:t>
            </w:r>
          </w:p>
        </w:tc>
        <w:tc>
          <w:tcPr>
            <w:tcW w:w="3969" w:type="dxa"/>
            <w:vAlign w:val="top"/>
          </w:tcPr>
          <w:p w:rsidR="00B06AD2" w:rsidRPr="0088423F" w:rsidRDefault="00B06AD2" w:rsidP="008C5377">
            <w:pPr>
              <w:spacing w:after="0" w:line="240" w:lineRule="auto"/>
              <w:rPr>
                <w:sz w:val="16"/>
                <w:szCs w:val="16"/>
              </w:rPr>
            </w:pPr>
            <w:r w:rsidRPr="0088423F">
              <w:rPr>
                <w:sz w:val="16"/>
                <w:szCs w:val="16"/>
              </w:rPr>
              <w:t xml:space="preserve">Possess offensive weapon or knife in a public place; possess or carry firearm or other restricted weapon; reckless </w:t>
            </w:r>
            <w:r w:rsidR="002D0B18" w:rsidRPr="0088423F">
              <w:rPr>
                <w:sz w:val="16"/>
                <w:szCs w:val="16"/>
              </w:rPr>
              <w:t>discharge</w:t>
            </w:r>
            <w:r w:rsidRPr="0088423F">
              <w:rPr>
                <w:sz w:val="16"/>
                <w:szCs w:val="16"/>
              </w:rPr>
              <w:t xml:space="preserve"> of firearm</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Property damage and environmental pollution</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Property damage</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Wilful damage including graffiti-related offences; unlawfully interfere with motor vehicles; arson; intentional damage</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Public order offences</w:t>
            </w:r>
          </w:p>
        </w:tc>
        <w:tc>
          <w:tcPr>
            <w:tcW w:w="1985" w:type="dxa"/>
            <w:vAlign w:val="top"/>
          </w:tcPr>
          <w:p w:rsidR="00B06AD2" w:rsidRPr="0088423F" w:rsidRDefault="00B06AD2" w:rsidP="008C5377">
            <w:pPr>
              <w:spacing w:after="0" w:line="240" w:lineRule="auto"/>
              <w:rPr>
                <w:sz w:val="16"/>
                <w:szCs w:val="16"/>
              </w:rPr>
            </w:pPr>
            <w:r w:rsidRPr="0088423F">
              <w:rPr>
                <w:sz w:val="16"/>
                <w:szCs w:val="16"/>
              </w:rPr>
              <w:t>Public order</w:t>
            </w:r>
          </w:p>
        </w:tc>
        <w:tc>
          <w:tcPr>
            <w:tcW w:w="3969" w:type="dxa"/>
            <w:vAlign w:val="top"/>
          </w:tcPr>
          <w:p w:rsidR="00B06AD2" w:rsidRPr="0088423F" w:rsidRDefault="00B06AD2" w:rsidP="00682E0E">
            <w:pPr>
              <w:spacing w:after="0" w:line="240" w:lineRule="auto"/>
              <w:rPr>
                <w:sz w:val="16"/>
                <w:szCs w:val="16"/>
              </w:rPr>
            </w:pPr>
            <w:r w:rsidRPr="0088423F">
              <w:rPr>
                <w:sz w:val="16"/>
                <w:szCs w:val="16"/>
              </w:rPr>
              <w:t>Wilful trespass; unlawfully in an enclosed yard, area or building; disorderly behaviour; fighting in a public place; breach of local liquor ban; possessing instruments for car conversion</w:t>
            </w:r>
          </w:p>
        </w:tc>
      </w:tr>
      <w:tr w:rsidR="00B06AD2" w:rsidRPr="0088423F" w:rsidTr="0088423F">
        <w:trPr>
          <w:trHeight w:val="20"/>
        </w:trPr>
        <w:tc>
          <w:tcPr>
            <w:tcW w:w="3085" w:type="dxa"/>
            <w:shd w:val="clear" w:color="auto" w:fill="D8DDF8"/>
            <w:vAlign w:val="top"/>
          </w:tcPr>
          <w:p w:rsidR="00B06AD2" w:rsidRPr="0088423F" w:rsidRDefault="00B06AD2" w:rsidP="0088423F">
            <w:pPr>
              <w:spacing w:after="0" w:line="240" w:lineRule="auto"/>
              <w:ind w:right="34"/>
              <w:rPr>
                <w:sz w:val="16"/>
                <w:szCs w:val="16"/>
              </w:rPr>
            </w:pPr>
            <w:r w:rsidRPr="0088423F">
              <w:rPr>
                <w:sz w:val="16"/>
                <w:szCs w:val="16"/>
              </w:rPr>
              <w:t>Traffic and vehicle regulatory offences</w:t>
            </w:r>
            <w:r w:rsidR="004366EB" w:rsidRPr="004366EB">
              <w:rPr>
                <w:sz w:val="16"/>
                <w:szCs w:val="16"/>
                <w:vertAlign w:val="superscript"/>
              </w:rPr>
              <w:t>1</w:t>
            </w:r>
          </w:p>
        </w:tc>
        <w:tc>
          <w:tcPr>
            <w:tcW w:w="1985"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Traffic</w:t>
            </w:r>
          </w:p>
        </w:tc>
        <w:tc>
          <w:tcPr>
            <w:tcW w:w="3969" w:type="dxa"/>
            <w:shd w:val="clear" w:color="auto" w:fill="D8DDF8"/>
            <w:vAlign w:val="top"/>
          </w:tcPr>
          <w:p w:rsidR="00B06AD2" w:rsidRPr="0088423F" w:rsidRDefault="00B06AD2" w:rsidP="008C5377">
            <w:pPr>
              <w:spacing w:after="0" w:line="240" w:lineRule="auto"/>
              <w:rPr>
                <w:sz w:val="16"/>
                <w:szCs w:val="16"/>
              </w:rPr>
            </w:pPr>
            <w:r w:rsidRPr="0088423F">
              <w:rPr>
                <w:sz w:val="16"/>
                <w:szCs w:val="16"/>
              </w:rPr>
              <w:t>Unlicensed driver; failing to stop; driving while disqualified; driving with excess alcohol (not involving death or injury)</w:t>
            </w:r>
          </w:p>
        </w:tc>
      </w:tr>
      <w:tr w:rsidR="00B06AD2" w:rsidRPr="0088423F" w:rsidTr="0088423F">
        <w:trPr>
          <w:trHeight w:val="20"/>
        </w:trPr>
        <w:tc>
          <w:tcPr>
            <w:tcW w:w="3085" w:type="dxa"/>
            <w:vAlign w:val="top"/>
          </w:tcPr>
          <w:p w:rsidR="00B06AD2" w:rsidRPr="0088423F" w:rsidRDefault="00B06AD2" w:rsidP="0088423F">
            <w:pPr>
              <w:spacing w:after="0" w:line="240" w:lineRule="auto"/>
              <w:ind w:right="34"/>
              <w:rPr>
                <w:sz w:val="16"/>
                <w:szCs w:val="16"/>
              </w:rPr>
            </w:pPr>
            <w:r w:rsidRPr="0088423F">
              <w:rPr>
                <w:sz w:val="16"/>
                <w:szCs w:val="16"/>
              </w:rPr>
              <w:t>Offences against government procedures, government security and government operations</w:t>
            </w:r>
          </w:p>
        </w:tc>
        <w:tc>
          <w:tcPr>
            <w:tcW w:w="1985" w:type="dxa"/>
            <w:vAlign w:val="top"/>
          </w:tcPr>
          <w:p w:rsidR="00B06AD2" w:rsidRPr="0088423F" w:rsidRDefault="00B06AD2" w:rsidP="008C5377">
            <w:pPr>
              <w:spacing w:after="0" w:line="240" w:lineRule="auto"/>
              <w:rPr>
                <w:sz w:val="16"/>
                <w:szCs w:val="16"/>
              </w:rPr>
            </w:pPr>
            <w:r w:rsidRPr="0088423F">
              <w:rPr>
                <w:sz w:val="16"/>
                <w:szCs w:val="16"/>
              </w:rPr>
              <w:t>Against justice</w:t>
            </w:r>
          </w:p>
        </w:tc>
        <w:tc>
          <w:tcPr>
            <w:tcW w:w="3969" w:type="dxa"/>
            <w:vAlign w:val="top"/>
          </w:tcPr>
          <w:p w:rsidR="00B06AD2" w:rsidRPr="0088423F" w:rsidRDefault="00B06AD2" w:rsidP="007E35F1">
            <w:pPr>
              <w:spacing w:after="0" w:line="240" w:lineRule="auto"/>
              <w:rPr>
                <w:sz w:val="16"/>
                <w:szCs w:val="16"/>
              </w:rPr>
            </w:pPr>
            <w:r w:rsidRPr="0088423F">
              <w:rPr>
                <w:sz w:val="16"/>
                <w:szCs w:val="16"/>
              </w:rPr>
              <w:t xml:space="preserve">Escaping lawful custody; resisting </w:t>
            </w:r>
            <w:r w:rsidR="007E35F1">
              <w:rPr>
                <w:sz w:val="16"/>
                <w:szCs w:val="16"/>
              </w:rPr>
              <w:t>P</w:t>
            </w:r>
            <w:r w:rsidRPr="0088423F">
              <w:rPr>
                <w:sz w:val="16"/>
                <w:szCs w:val="16"/>
              </w:rPr>
              <w:t>olice; breach of court-imposed bail; obstruct/hinder Police; failing to furnish their own name and address</w:t>
            </w:r>
          </w:p>
        </w:tc>
      </w:tr>
      <w:tr w:rsidR="002623D6" w:rsidRPr="0088423F" w:rsidTr="0088423F">
        <w:trPr>
          <w:trHeight w:val="20"/>
        </w:trPr>
        <w:tc>
          <w:tcPr>
            <w:tcW w:w="3085" w:type="dxa"/>
            <w:shd w:val="clear" w:color="auto" w:fill="D8DDF8"/>
            <w:vAlign w:val="top"/>
          </w:tcPr>
          <w:p w:rsidR="002623D6" w:rsidRPr="0088423F" w:rsidRDefault="002623D6" w:rsidP="0088423F">
            <w:pPr>
              <w:spacing w:after="0" w:line="240" w:lineRule="auto"/>
              <w:ind w:right="34"/>
              <w:rPr>
                <w:sz w:val="16"/>
                <w:szCs w:val="16"/>
              </w:rPr>
            </w:pPr>
            <w:r w:rsidRPr="0088423F">
              <w:rPr>
                <w:sz w:val="16"/>
                <w:szCs w:val="16"/>
              </w:rPr>
              <w:t>Miscellaneous offences</w:t>
            </w:r>
          </w:p>
        </w:tc>
        <w:tc>
          <w:tcPr>
            <w:tcW w:w="1985" w:type="dxa"/>
            <w:shd w:val="clear" w:color="auto" w:fill="D8DDF8"/>
            <w:vAlign w:val="top"/>
          </w:tcPr>
          <w:p w:rsidR="002623D6" w:rsidRPr="0088423F" w:rsidRDefault="002623D6" w:rsidP="008C5377">
            <w:pPr>
              <w:spacing w:after="0" w:line="240" w:lineRule="auto"/>
              <w:rPr>
                <w:sz w:val="16"/>
                <w:szCs w:val="16"/>
              </w:rPr>
            </w:pPr>
            <w:r w:rsidRPr="0088423F">
              <w:rPr>
                <w:sz w:val="16"/>
                <w:szCs w:val="16"/>
              </w:rPr>
              <w:t>Miscellaneous</w:t>
            </w:r>
          </w:p>
        </w:tc>
        <w:tc>
          <w:tcPr>
            <w:tcW w:w="3969" w:type="dxa"/>
            <w:shd w:val="clear" w:color="auto" w:fill="D8DDF8"/>
            <w:vAlign w:val="top"/>
          </w:tcPr>
          <w:p w:rsidR="002623D6" w:rsidRPr="0088423F" w:rsidRDefault="002623D6" w:rsidP="008C5377">
            <w:pPr>
              <w:spacing w:after="0" w:line="240" w:lineRule="auto"/>
              <w:rPr>
                <w:sz w:val="16"/>
                <w:szCs w:val="16"/>
              </w:rPr>
            </w:pPr>
            <w:r w:rsidRPr="0088423F">
              <w:rPr>
                <w:sz w:val="16"/>
                <w:szCs w:val="16"/>
              </w:rPr>
              <w:t>Various other offences not included in the categories above. Not reported in graphs as not enough offences.</w:t>
            </w:r>
          </w:p>
        </w:tc>
      </w:tr>
    </w:tbl>
    <w:p w:rsidR="004366EB" w:rsidRPr="00FE619E" w:rsidRDefault="004366EB" w:rsidP="004366EB">
      <w:pPr>
        <w:spacing w:after="0"/>
        <w:rPr>
          <w:sz w:val="16"/>
          <w:szCs w:val="16"/>
        </w:rPr>
      </w:pPr>
      <w:r>
        <w:rPr>
          <w:sz w:val="16"/>
          <w:szCs w:val="16"/>
        </w:rPr>
        <w:t>Note:</w:t>
      </w:r>
    </w:p>
    <w:p w:rsidR="004366EB" w:rsidRPr="00FE619E" w:rsidRDefault="004366EB" w:rsidP="004366EB">
      <w:pPr>
        <w:pStyle w:val="ListParagraph"/>
        <w:numPr>
          <w:ilvl w:val="0"/>
          <w:numId w:val="42"/>
        </w:numPr>
        <w:spacing w:after="0"/>
        <w:rPr>
          <w:sz w:val="16"/>
          <w:szCs w:val="16"/>
        </w:rPr>
      </w:pPr>
      <w:r>
        <w:rPr>
          <w:sz w:val="16"/>
          <w:szCs w:val="16"/>
        </w:rPr>
        <w:t>Note the discussion in Appendix A regarding some minor traffic offences being excluded from analyses.</w:t>
      </w:r>
    </w:p>
    <w:p w:rsidR="004366EB" w:rsidRDefault="004366EB" w:rsidP="000171F0">
      <w:pPr>
        <w:pStyle w:val="BodyText"/>
        <w:tabs>
          <w:tab w:val="center" w:pos="4513"/>
        </w:tabs>
        <w:spacing w:after="60" w:line="240" w:lineRule="auto"/>
      </w:pPr>
    </w:p>
    <w:p w:rsidR="004366EB" w:rsidRDefault="004366EB" w:rsidP="000171F0">
      <w:pPr>
        <w:pStyle w:val="BodyText"/>
        <w:tabs>
          <w:tab w:val="center" w:pos="4513"/>
        </w:tabs>
        <w:spacing w:after="60" w:line="240" w:lineRule="auto"/>
        <w:sectPr w:rsidR="004366EB" w:rsidSect="0092536F">
          <w:footerReference w:type="default" r:id="rId20"/>
          <w:pgSz w:w="11906" w:h="16838"/>
          <w:pgMar w:top="1440" w:right="1440" w:bottom="1134" w:left="1440" w:header="708" w:footer="464" w:gutter="0"/>
          <w:cols w:space="708"/>
          <w:docGrid w:linePitch="360"/>
        </w:sectPr>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6A631C" w:rsidRDefault="006A631C" w:rsidP="000171F0">
      <w:pPr>
        <w:pStyle w:val="BodyText"/>
        <w:tabs>
          <w:tab w:val="center" w:pos="4513"/>
        </w:tabs>
        <w:spacing w:after="60" w:line="240" w:lineRule="auto"/>
      </w:pPr>
    </w:p>
    <w:p w:rsidR="006A631C" w:rsidRDefault="006A631C" w:rsidP="000171F0">
      <w:pPr>
        <w:pStyle w:val="BodyText"/>
        <w:tabs>
          <w:tab w:val="center" w:pos="4513"/>
        </w:tabs>
        <w:spacing w:after="60" w:line="240" w:lineRule="auto"/>
      </w:pPr>
    </w:p>
    <w:p w:rsidR="00B93912" w:rsidRDefault="00B93912" w:rsidP="000171F0">
      <w:pPr>
        <w:pStyle w:val="BodyText"/>
        <w:tabs>
          <w:tab w:val="center" w:pos="4513"/>
        </w:tabs>
        <w:spacing w:after="60" w:line="240" w:lineRule="auto"/>
      </w:pPr>
    </w:p>
    <w:p w:rsidR="0082702E" w:rsidRPr="002D665D" w:rsidRDefault="00B93912" w:rsidP="00B93912">
      <w:pPr>
        <w:jc w:val="center"/>
      </w:pPr>
      <w:r>
        <w:rPr>
          <w:noProof/>
          <w:lang w:eastAsia="en-NZ"/>
        </w:rPr>
        <w:drawing>
          <wp:inline distT="0" distB="0" distL="0" distR="0" wp14:anchorId="1CDD89F6" wp14:editId="7A025564">
            <wp:extent cx="1438275" cy="133350"/>
            <wp:effectExtent l="0" t="0" r="9525" b="0"/>
            <wp:docPr id="64" name="Picture 64" descr="newzealand government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zealand government (bla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8275" cy="133350"/>
                    </a:xfrm>
                    <a:prstGeom prst="rect">
                      <a:avLst/>
                    </a:prstGeom>
                    <a:noFill/>
                    <a:ln>
                      <a:noFill/>
                    </a:ln>
                  </pic:spPr>
                </pic:pic>
              </a:graphicData>
            </a:graphic>
          </wp:inline>
        </w:drawing>
      </w:r>
    </w:p>
    <w:sectPr w:rsidR="0082702E" w:rsidRPr="002D665D" w:rsidSect="0092536F">
      <w:footerReference w:type="default" r:id="rId22"/>
      <w:pgSz w:w="11906" w:h="16838"/>
      <w:pgMar w:top="1440" w:right="1440" w:bottom="1134" w:left="1440" w:header="708" w:footer="4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427" w:rsidRDefault="00945427" w:rsidP="00F0678F">
      <w:r>
        <w:separator/>
      </w:r>
    </w:p>
  </w:endnote>
  <w:endnote w:type="continuationSeparator" w:id="0">
    <w:p w:rsidR="00945427" w:rsidRDefault="00945427" w:rsidP="00F0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Arial Mäori">
    <w:panose1 w:val="020B0604020202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149" w:rsidRDefault="00C14149">
    <w:pPr>
      <w:pStyle w:val="Footer"/>
      <w:jc w:val="right"/>
    </w:pPr>
  </w:p>
  <w:sdt>
    <w:sdtPr>
      <w:rPr>
        <w:sz w:val="16"/>
        <w:szCs w:val="16"/>
      </w:rPr>
      <w:id w:val="-2119372357"/>
      <w:docPartObj>
        <w:docPartGallery w:val="Page Numbers (Bottom of Page)"/>
        <w:docPartUnique/>
      </w:docPartObj>
    </w:sdtPr>
    <w:sdtEndPr>
      <w:rPr>
        <w:noProof/>
      </w:rPr>
    </w:sdtEndPr>
    <w:sdtContent>
      <w:p w:rsidR="00C14149" w:rsidRDefault="00C14149" w:rsidP="00A324CD">
        <w:pPr>
          <w:pStyle w:val="Footer"/>
        </w:pPr>
        <w:r w:rsidRPr="006B478F">
          <w:rPr>
            <w:sz w:val="16"/>
            <w:szCs w:val="16"/>
          </w:rPr>
          <w:t>Reoffending patterns of Military-style Activity Camp participants</w:t>
        </w:r>
        <w:r>
          <w:rPr>
            <w:sz w:val="16"/>
            <w:szCs w:val="16"/>
          </w:rPr>
          <w:t>:</w:t>
        </w:r>
        <w:r w:rsidRPr="006B478F">
          <w:rPr>
            <w:sz w:val="16"/>
            <w:szCs w:val="16"/>
          </w:rPr>
          <w:t xml:space="preserve"> May 2015 update</w:t>
        </w:r>
        <w:r w:rsidRPr="006B478F">
          <w:rPr>
            <w:sz w:val="16"/>
            <w:szCs w:val="16"/>
          </w:rPr>
          <w:tab/>
        </w:r>
        <w:r w:rsidRPr="00E93F21">
          <w:rPr>
            <w:sz w:val="16"/>
            <w:szCs w:val="16"/>
          </w:rPr>
          <w:fldChar w:fldCharType="begin"/>
        </w:r>
        <w:r w:rsidRPr="00E93F21">
          <w:rPr>
            <w:sz w:val="16"/>
            <w:szCs w:val="16"/>
          </w:rPr>
          <w:instrText xml:space="preserve"> PAGE   \* MERGEFORMAT </w:instrText>
        </w:r>
        <w:r w:rsidRPr="00E93F21">
          <w:rPr>
            <w:sz w:val="16"/>
            <w:szCs w:val="16"/>
          </w:rPr>
          <w:fldChar w:fldCharType="separate"/>
        </w:r>
        <w:r>
          <w:rPr>
            <w:noProof/>
            <w:sz w:val="16"/>
            <w:szCs w:val="16"/>
          </w:rPr>
          <w:t>4</w:t>
        </w:r>
        <w:r w:rsidRPr="00E93F21">
          <w:rPr>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09436"/>
      <w:docPartObj>
        <w:docPartGallery w:val="Page Numbers (Bottom of Page)"/>
        <w:docPartUnique/>
      </w:docPartObj>
    </w:sdtPr>
    <w:sdtEndPr>
      <w:rPr>
        <w:noProof/>
        <w:sz w:val="16"/>
      </w:rPr>
    </w:sdtEndPr>
    <w:sdtContent>
      <w:p w:rsidR="00C14149" w:rsidRPr="006B478F" w:rsidRDefault="00C14149" w:rsidP="00A324CD">
        <w:pPr>
          <w:pStyle w:val="Footer"/>
          <w:rPr>
            <w:sz w:val="16"/>
          </w:rPr>
        </w:pPr>
        <w:r w:rsidRPr="006B478F">
          <w:rPr>
            <w:sz w:val="16"/>
          </w:rPr>
          <w:t xml:space="preserve">Reoffending patterns of Military-style Activity Camp </w:t>
        </w:r>
        <w:r>
          <w:rPr>
            <w:sz w:val="16"/>
          </w:rPr>
          <w:t>graduates:</w:t>
        </w:r>
        <w:r w:rsidRPr="006B478F">
          <w:rPr>
            <w:noProof/>
            <w:sz w:val="16"/>
          </w:rPr>
          <w:t xml:space="preserve"> 2015 update</w:t>
        </w:r>
        <w:r w:rsidRPr="006B478F">
          <w:rPr>
            <w:sz w:val="16"/>
          </w:rPr>
          <w:tab/>
        </w:r>
        <w:r w:rsidRPr="006B478F">
          <w:rPr>
            <w:sz w:val="16"/>
          </w:rPr>
          <w:fldChar w:fldCharType="begin"/>
        </w:r>
        <w:r w:rsidRPr="006B478F">
          <w:rPr>
            <w:sz w:val="16"/>
          </w:rPr>
          <w:instrText xml:space="preserve"> PAGE   \* MERGEFORMAT </w:instrText>
        </w:r>
        <w:r w:rsidRPr="006B478F">
          <w:rPr>
            <w:sz w:val="16"/>
          </w:rPr>
          <w:fldChar w:fldCharType="separate"/>
        </w:r>
        <w:r w:rsidR="00513CA2">
          <w:rPr>
            <w:noProof/>
            <w:sz w:val="16"/>
          </w:rPr>
          <w:t>6</w:t>
        </w:r>
        <w:r w:rsidRPr="006B478F">
          <w:rPr>
            <w:noProof/>
            <w:sz w:val="16"/>
          </w:rPr>
          <w:fldChar w:fldCharType="end"/>
        </w:r>
        <w:r w:rsidRPr="006B478F">
          <w:rPr>
            <w:noProof/>
            <w:sz w:val="16"/>
          </w:rPr>
          <w:br/>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149" w:rsidRPr="009E20F2" w:rsidRDefault="00C14149" w:rsidP="00F0678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963433"/>
      <w:docPartObj>
        <w:docPartGallery w:val="Page Numbers (Bottom of Page)"/>
        <w:docPartUnique/>
      </w:docPartObj>
    </w:sdtPr>
    <w:sdtEndPr>
      <w:rPr>
        <w:noProof/>
        <w:sz w:val="16"/>
      </w:rPr>
    </w:sdtEndPr>
    <w:sdtContent>
      <w:p w:rsidR="00C14149" w:rsidRPr="003707C7" w:rsidRDefault="00C14149" w:rsidP="00695419">
        <w:pPr>
          <w:pStyle w:val="Footer"/>
          <w:rPr>
            <w:noProof/>
            <w:sz w:val="16"/>
          </w:rPr>
        </w:pPr>
        <w:r w:rsidRPr="003707C7">
          <w:rPr>
            <w:sz w:val="16"/>
          </w:rPr>
          <w:t xml:space="preserve">Reoffending patterns of Military-style Activity Camp </w:t>
        </w:r>
        <w:r>
          <w:rPr>
            <w:sz w:val="16"/>
          </w:rPr>
          <w:t>graduates:</w:t>
        </w:r>
        <w:r w:rsidRPr="003707C7">
          <w:rPr>
            <w:noProof/>
            <w:sz w:val="16"/>
          </w:rPr>
          <w:t xml:space="preserve"> 2015 update</w:t>
        </w:r>
        <w:r>
          <w:rPr>
            <w:sz w:val="16"/>
          </w:rPr>
          <w:tab/>
        </w:r>
        <w:r w:rsidRPr="003707C7">
          <w:rPr>
            <w:sz w:val="16"/>
          </w:rPr>
          <w:fldChar w:fldCharType="begin"/>
        </w:r>
        <w:r w:rsidRPr="003707C7">
          <w:rPr>
            <w:sz w:val="16"/>
          </w:rPr>
          <w:instrText xml:space="preserve"> PAGE   \* MERGEFORMAT </w:instrText>
        </w:r>
        <w:r w:rsidRPr="003707C7">
          <w:rPr>
            <w:sz w:val="16"/>
          </w:rPr>
          <w:fldChar w:fldCharType="separate"/>
        </w:r>
        <w:r w:rsidR="00513CA2">
          <w:rPr>
            <w:noProof/>
            <w:sz w:val="16"/>
          </w:rPr>
          <w:t>11</w:t>
        </w:r>
        <w:r w:rsidRPr="003707C7">
          <w:rPr>
            <w:noProof/>
            <w:sz w:val="16"/>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446990"/>
      <w:docPartObj>
        <w:docPartGallery w:val="Page Numbers (Bottom of Page)"/>
        <w:docPartUnique/>
      </w:docPartObj>
    </w:sdtPr>
    <w:sdtEndPr>
      <w:rPr>
        <w:noProof/>
        <w:sz w:val="16"/>
      </w:rPr>
    </w:sdtEndPr>
    <w:sdtContent>
      <w:p w:rsidR="00C14149" w:rsidRPr="003707C7" w:rsidRDefault="00C14149" w:rsidP="00695419">
        <w:pPr>
          <w:pStyle w:val="Footer"/>
          <w:rPr>
            <w:noProof/>
            <w:sz w:val="16"/>
          </w:rPr>
        </w:pPr>
        <w:r w:rsidRPr="003707C7">
          <w:rPr>
            <w:sz w:val="16"/>
          </w:rPr>
          <w:t xml:space="preserve">Reoffending patterns of Military-style Activity Camp </w:t>
        </w:r>
        <w:r>
          <w:rPr>
            <w:sz w:val="16"/>
          </w:rPr>
          <w:t>graduates</w:t>
        </w:r>
        <w:r w:rsidRPr="003707C7" w:rsidDel="001453B3">
          <w:rPr>
            <w:sz w:val="16"/>
          </w:rPr>
          <w:t xml:space="preserve"> </w:t>
        </w:r>
        <w:r w:rsidRPr="003707C7">
          <w:rPr>
            <w:noProof/>
            <w:sz w:val="16"/>
          </w:rPr>
          <w:t>2015 update</w:t>
        </w:r>
        <w:r>
          <w:rPr>
            <w:sz w:val="16"/>
          </w:rPr>
          <w:tab/>
        </w:r>
        <w:r w:rsidRPr="003707C7">
          <w:rPr>
            <w:sz w:val="16"/>
          </w:rPr>
          <w:fldChar w:fldCharType="begin"/>
        </w:r>
        <w:r w:rsidRPr="003707C7">
          <w:rPr>
            <w:sz w:val="16"/>
          </w:rPr>
          <w:instrText xml:space="preserve"> PAGE   \* MERGEFORMAT </w:instrText>
        </w:r>
        <w:r w:rsidRPr="003707C7">
          <w:rPr>
            <w:sz w:val="16"/>
          </w:rPr>
          <w:fldChar w:fldCharType="separate"/>
        </w:r>
        <w:r w:rsidR="00513CA2">
          <w:rPr>
            <w:noProof/>
            <w:sz w:val="16"/>
          </w:rPr>
          <w:t>14</w:t>
        </w:r>
        <w:r w:rsidRPr="003707C7">
          <w:rPr>
            <w:noProof/>
            <w:sz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149" w:rsidRPr="003707C7" w:rsidRDefault="00C14149" w:rsidP="00695419">
    <w:pPr>
      <w:pStyle w:val="Footer"/>
      <w:rPr>
        <w:noProo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427" w:rsidRDefault="00945427" w:rsidP="00F0678F">
      <w:r>
        <w:separator/>
      </w:r>
    </w:p>
  </w:footnote>
  <w:footnote w:type="continuationSeparator" w:id="0">
    <w:p w:rsidR="00945427" w:rsidRDefault="00945427" w:rsidP="00F0678F">
      <w:r>
        <w:continuationSeparator/>
      </w:r>
    </w:p>
  </w:footnote>
  <w:footnote w:id="1">
    <w:p w:rsidR="00C14149" w:rsidRPr="00963C04" w:rsidRDefault="00C14149" w:rsidP="00AE73C8">
      <w:pPr>
        <w:pStyle w:val="FootnoteText"/>
        <w:spacing w:after="60"/>
        <w:ind w:left="284" w:hanging="284"/>
        <w:rPr>
          <w:sz w:val="18"/>
          <w:szCs w:val="18"/>
        </w:rPr>
      </w:pPr>
      <w:r w:rsidRPr="00963C04">
        <w:rPr>
          <w:rStyle w:val="FootnoteReference"/>
          <w:sz w:val="18"/>
          <w:szCs w:val="18"/>
        </w:rPr>
        <w:footnoteRef/>
      </w:r>
      <w:r w:rsidRPr="00963C04">
        <w:rPr>
          <w:sz w:val="18"/>
          <w:szCs w:val="18"/>
        </w:rPr>
        <w:t xml:space="preserve"> </w:t>
      </w:r>
      <w:r w:rsidRPr="00963C04">
        <w:rPr>
          <w:sz w:val="18"/>
          <w:szCs w:val="18"/>
        </w:rPr>
        <w:tab/>
        <w:t>Attributes of offenders that are directly linked to criminal behaviour.</w:t>
      </w:r>
    </w:p>
  </w:footnote>
  <w:footnote w:id="2">
    <w:p w:rsidR="00C14149" w:rsidRPr="000506D5" w:rsidRDefault="00C14149" w:rsidP="00576D5E">
      <w:pPr>
        <w:pStyle w:val="FootnoteText"/>
        <w:ind w:left="284" w:hanging="284"/>
      </w:pPr>
      <w:r w:rsidRPr="00963C04">
        <w:rPr>
          <w:rStyle w:val="FootnoteReference"/>
          <w:sz w:val="18"/>
          <w:szCs w:val="18"/>
        </w:rPr>
        <w:footnoteRef/>
      </w:r>
      <w:r w:rsidRPr="00963C04">
        <w:rPr>
          <w:sz w:val="18"/>
          <w:szCs w:val="18"/>
        </w:rPr>
        <w:t xml:space="preserve"> </w:t>
      </w:r>
      <w:r w:rsidRPr="00963C04">
        <w:rPr>
          <w:sz w:val="18"/>
          <w:szCs w:val="18"/>
        </w:rPr>
        <w:tab/>
      </w:r>
      <w:hyperlink r:id="rId1" w:history="1">
        <w:r w:rsidRPr="00963C04">
          <w:rPr>
            <w:sz w:val="18"/>
            <w:szCs w:val="18"/>
          </w:rPr>
          <w:t>http://www.msd.govt.nz/about-msd-and-our-work/publications-resources/evaluation/military-style-activity-camp/index.html</w:t>
        </w:r>
      </w:hyperlink>
      <w:r>
        <w:rPr>
          <w:sz w:val="18"/>
          <w:szCs w:val="18"/>
        </w:rPr>
        <w:t>.</w:t>
      </w:r>
    </w:p>
  </w:footnote>
  <w:footnote w:id="3">
    <w:p w:rsidR="00C14149" w:rsidRDefault="00C14149" w:rsidP="00B02349">
      <w:pPr>
        <w:pStyle w:val="FootnoteText"/>
        <w:ind w:left="284" w:hanging="284"/>
      </w:pPr>
      <w:r>
        <w:rPr>
          <w:rStyle w:val="FootnoteReference"/>
        </w:rPr>
        <w:footnoteRef/>
      </w:r>
      <w:r>
        <w:t xml:space="preserve"> </w:t>
      </w:r>
      <w:r>
        <w:tab/>
      </w:r>
      <w:r w:rsidRPr="00795694">
        <w:rPr>
          <w:sz w:val="18"/>
          <w:szCs w:val="18"/>
        </w:rPr>
        <w:t>CYRAS is the Child, Youth and Family case management recording system, managed by MSD.</w:t>
      </w:r>
    </w:p>
  </w:footnote>
  <w:footnote w:id="4">
    <w:p w:rsidR="00C14149" w:rsidRPr="00430F93" w:rsidRDefault="00C14149" w:rsidP="00C02237">
      <w:pPr>
        <w:pStyle w:val="FootnoteText"/>
        <w:ind w:left="284" w:hanging="284"/>
      </w:pPr>
      <w:r>
        <w:rPr>
          <w:rStyle w:val="FootnoteReference"/>
        </w:rPr>
        <w:footnoteRef/>
      </w:r>
      <w:r>
        <w:t xml:space="preserve"> </w:t>
      </w:r>
      <w:r>
        <w:tab/>
      </w:r>
      <w:r w:rsidRPr="00430F93">
        <w:rPr>
          <w:sz w:val="18"/>
          <w:szCs w:val="18"/>
        </w:rPr>
        <w:t>Refer to</w:t>
      </w:r>
      <w:r>
        <w:rPr>
          <w:sz w:val="18"/>
          <w:szCs w:val="18"/>
        </w:rPr>
        <w:t xml:space="preserve"> Table B1 in</w:t>
      </w:r>
      <w:r w:rsidRPr="00430F93">
        <w:rPr>
          <w:sz w:val="18"/>
          <w:szCs w:val="18"/>
        </w:rPr>
        <w:t xml:space="preserve"> Appendix </w:t>
      </w:r>
      <w:r>
        <w:rPr>
          <w:sz w:val="18"/>
          <w:szCs w:val="18"/>
        </w:rPr>
        <w:t>B for e</w:t>
      </w:r>
      <w:r w:rsidRPr="00430F93">
        <w:rPr>
          <w:sz w:val="18"/>
          <w:szCs w:val="18"/>
        </w:rPr>
        <w:t xml:space="preserve">xamples of </w:t>
      </w:r>
      <w:r>
        <w:rPr>
          <w:sz w:val="18"/>
          <w:szCs w:val="18"/>
        </w:rPr>
        <w:t xml:space="preserve">the most common offences committed by MAC participants within each of the </w:t>
      </w:r>
      <w:r w:rsidRPr="00A41B54">
        <w:rPr>
          <w:sz w:val="18"/>
          <w:szCs w:val="18"/>
        </w:rPr>
        <w:t>Australian and New Zealand Standard Offence Classification (ANZSOC)</w:t>
      </w:r>
      <w:r w:rsidRPr="00430F93">
        <w:rPr>
          <w:sz w:val="18"/>
          <w:szCs w:val="18"/>
        </w:rPr>
        <w:t xml:space="preserve"> offence divisions</w:t>
      </w:r>
      <w:r>
        <w:rPr>
          <w:sz w:val="18"/>
          <w:szCs w:val="18"/>
        </w:rPr>
        <w:t>.</w:t>
      </w:r>
    </w:p>
  </w:footnote>
  <w:footnote w:id="5">
    <w:p w:rsidR="00C14149" w:rsidRPr="00541B14" w:rsidRDefault="00C14149" w:rsidP="009531C6">
      <w:pPr>
        <w:pStyle w:val="FootnoteText"/>
        <w:spacing w:after="60"/>
        <w:ind w:left="284" w:hanging="284"/>
        <w:rPr>
          <w:sz w:val="18"/>
          <w:szCs w:val="18"/>
        </w:rPr>
      </w:pPr>
      <w:r w:rsidRPr="00541B14">
        <w:rPr>
          <w:rStyle w:val="FootnoteReference"/>
          <w:sz w:val="18"/>
          <w:szCs w:val="18"/>
        </w:rPr>
        <w:footnoteRef/>
      </w:r>
      <w:r w:rsidRPr="00541B14">
        <w:rPr>
          <w:sz w:val="18"/>
          <w:szCs w:val="18"/>
        </w:rPr>
        <w:t xml:space="preserve"> </w:t>
      </w:r>
      <w:r w:rsidRPr="00541B14">
        <w:rPr>
          <w:sz w:val="18"/>
          <w:szCs w:val="18"/>
        </w:rPr>
        <w:tab/>
        <w:t>In other words, of the 76% who reduced their frequency of offending, 14% did not reoffend at all, and 62% did reoffend</w:t>
      </w:r>
      <w:r>
        <w:rPr>
          <w:sz w:val="18"/>
          <w:szCs w:val="18"/>
        </w:rPr>
        <w:t>,</w:t>
      </w:r>
      <w:r w:rsidRPr="00541B14">
        <w:rPr>
          <w:sz w:val="18"/>
          <w:szCs w:val="18"/>
        </w:rPr>
        <w:t xml:space="preserve"> </w:t>
      </w:r>
      <w:r>
        <w:rPr>
          <w:sz w:val="18"/>
          <w:szCs w:val="18"/>
        </w:rPr>
        <w:t>but committed</w:t>
      </w:r>
      <w:r w:rsidRPr="00541B14">
        <w:rPr>
          <w:sz w:val="18"/>
          <w:szCs w:val="18"/>
        </w:rPr>
        <w:t xml:space="preserve"> </w:t>
      </w:r>
      <w:r>
        <w:rPr>
          <w:sz w:val="18"/>
          <w:szCs w:val="18"/>
        </w:rPr>
        <w:t>fewer</w:t>
      </w:r>
      <w:r w:rsidRPr="00541B14">
        <w:rPr>
          <w:sz w:val="18"/>
          <w:szCs w:val="18"/>
        </w:rPr>
        <w:t xml:space="preserve"> offences</w:t>
      </w:r>
      <w:r>
        <w:rPr>
          <w:sz w:val="18"/>
          <w:szCs w:val="18"/>
        </w:rPr>
        <w:t xml:space="preserve"> afterwards</w:t>
      </w:r>
      <w:r w:rsidRPr="00541B14">
        <w:rPr>
          <w:sz w:val="18"/>
          <w:szCs w:val="18"/>
        </w:rPr>
        <w:t>.</w:t>
      </w:r>
    </w:p>
  </w:footnote>
  <w:footnote w:id="6">
    <w:p w:rsidR="00C14149" w:rsidRPr="00C02237" w:rsidRDefault="00C14149" w:rsidP="00FA1514">
      <w:pPr>
        <w:pStyle w:val="FootnoteText"/>
        <w:ind w:left="284" w:hanging="284"/>
        <w:rPr>
          <w:sz w:val="18"/>
          <w:szCs w:val="18"/>
        </w:rPr>
      </w:pPr>
      <w:r w:rsidRPr="00C02237">
        <w:rPr>
          <w:rStyle w:val="FootnoteReference"/>
          <w:sz w:val="18"/>
          <w:szCs w:val="18"/>
        </w:rPr>
        <w:footnoteRef/>
      </w:r>
      <w:r w:rsidRPr="00C02237">
        <w:rPr>
          <w:sz w:val="18"/>
          <w:szCs w:val="18"/>
        </w:rPr>
        <w:t xml:space="preserve"> </w:t>
      </w:r>
      <w:r w:rsidRPr="00C02237">
        <w:rPr>
          <w:sz w:val="18"/>
          <w:szCs w:val="18"/>
        </w:rPr>
        <w:tab/>
        <w:t xml:space="preserve">Sentence of imprisonment or </w:t>
      </w:r>
      <w:proofErr w:type="spellStart"/>
      <w:r>
        <w:rPr>
          <w:sz w:val="18"/>
          <w:szCs w:val="18"/>
        </w:rPr>
        <w:t>SwR</w:t>
      </w:r>
      <w:proofErr w:type="spellEnd"/>
      <w:r>
        <w:rPr>
          <w:sz w:val="18"/>
          <w:szCs w:val="18"/>
        </w:rPr>
        <w:t>.</w:t>
      </w:r>
    </w:p>
  </w:footnote>
  <w:footnote w:id="7">
    <w:p w:rsidR="00C14149" w:rsidRPr="006A6A49" w:rsidRDefault="00C14149" w:rsidP="006A6A49">
      <w:pPr>
        <w:pStyle w:val="FootnoteText"/>
        <w:ind w:left="284" w:hanging="284"/>
        <w:rPr>
          <w:sz w:val="18"/>
          <w:szCs w:val="18"/>
        </w:rPr>
      </w:pPr>
      <w:r w:rsidRPr="006A6A49">
        <w:rPr>
          <w:rStyle w:val="FootnoteReference"/>
          <w:sz w:val="18"/>
          <w:szCs w:val="18"/>
        </w:rPr>
        <w:footnoteRef/>
      </w:r>
      <w:r w:rsidRPr="006A6A49">
        <w:rPr>
          <w:sz w:val="18"/>
          <w:szCs w:val="18"/>
        </w:rPr>
        <w:t xml:space="preserve"> </w:t>
      </w:r>
      <w:r w:rsidRPr="006A6A49">
        <w:rPr>
          <w:sz w:val="18"/>
          <w:szCs w:val="18"/>
        </w:rPr>
        <w:tab/>
        <w:t xml:space="preserve">See: </w:t>
      </w:r>
      <w:r>
        <w:rPr>
          <w:sz w:val="18"/>
          <w:szCs w:val="18"/>
        </w:rPr>
        <w:t>Insights MSD (2015)</w:t>
      </w:r>
      <w:r w:rsidRPr="006A6A49">
        <w:rPr>
          <w:sz w:val="18"/>
          <w:szCs w:val="18"/>
        </w:rPr>
        <w:t>.</w:t>
      </w:r>
      <w:r>
        <w:rPr>
          <w:sz w:val="18"/>
          <w:szCs w:val="18"/>
        </w:rPr>
        <w:t xml:space="preserve"> </w:t>
      </w:r>
      <w:r w:rsidRPr="006A6A49">
        <w:rPr>
          <w:i/>
          <w:sz w:val="18"/>
          <w:szCs w:val="18"/>
        </w:rPr>
        <w:t xml:space="preserve">Offending patterns for recipients of Youth Court supervision orders: </w:t>
      </w:r>
      <w:r>
        <w:rPr>
          <w:i/>
          <w:sz w:val="18"/>
          <w:szCs w:val="18"/>
        </w:rPr>
        <w:t>2015 update</w:t>
      </w:r>
      <w:r>
        <w:rPr>
          <w:sz w:val="18"/>
          <w:szCs w:val="18"/>
        </w:rPr>
        <w:t xml:space="preserve">. Ministry of Social Development, Wellington, New Zealand. </w:t>
      </w:r>
    </w:p>
  </w:footnote>
  <w:footnote w:id="8">
    <w:p w:rsidR="00844E9C" w:rsidRDefault="00844E9C" w:rsidP="00844E9C">
      <w:pPr>
        <w:pStyle w:val="FootnoteText"/>
        <w:ind w:left="284" w:hanging="284"/>
      </w:pPr>
      <w:r>
        <w:rPr>
          <w:rStyle w:val="FootnoteReference"/>
        </w:rPr>
        <w:footnoteRef/>
      </w:r>
      <w:r>
        <w:t xml:space="preserve"> </w:t>
      </w:r>
      <w:r>
        <w:tab/>
      </w:r>
      <w:r w:rsidRPr="00795694">
        <w:rPr>
          <w:sz w:val="18"/>
          <w:szCs w:val="18"/>
        </w:rPr>
        <w:t>CYRAS is the Child, Youth and Family case management recording system, managed by MSD.</w:t>
      </w:r>
    </w:p>
  </w:footnote>
  <w:footnote w:id="9">
    <w:p w:rsidR="00C14149" w:rsidRPr="00963C04" w:rsidRDefault="00C14149" w:rsidP="00295309">
      <w:pPr>
        <w:pStyle w:val="FootnoteText"/>
        <w:spacing w:after="60"/>
        <w:ind w:left="284" w:hanging="284"/>
        <w:rPr>
          <w:sz w:val="18"/>
          <w:szCs w:val="18"/>
        </w:rPr>
      </w:pPr>
      <w:r w:rsidRPr="00963C04">
        <w:rPr>
          <w:rStyle w:val="FootnoteReference"/>
          <w:sz w:val="18"/>
          <w:szCs w:val="18"/>
        </w:rPr>
        <w:footnoteRef/>
      </w:r>
      <w:r w:rsidRPr="00963C04">
        <w:rPr>
          <w:sz w:val="18"/>
          <w:szCs w:val="18"/>
        </w:rPr>
        <w:t xml:space="preserve"> </w:t>
      </w:r>
      <w:r w:rsidRPr="00963C04">
        <w:rPr>
          <w:sz w:val="18"/>
          <w:szCs w:val="18"/>
        </w:rPr>
        <w:tab/>
        <w:t>Data are shared for statistical</w:t>
      </w:r>
      <w:r>
        <w:rPr>
          <w:sz w:val="18"/>
          <w:szCs w:val="18"/>
        </w:rPr>
        <w:t xml:space="preserve"> and </w:t>
      </w:r>
      <w:r w:rsidRPr="00963C04">
        <w:rPr>
          <w:sz w:val="18"/>
          <w:szCs w:val="18"/>
        </w:rPr>
        <w:t xml:space="preserve">research purposes under a </w:t>
      </w:r>
      <w:r>
        <w:rPr>
          <w:sz w:val="18"/>
          <w:szCs w:val="18"/>
        </w:rPr>
        <w:t>Memorandum of Understanding</w:t>
      </w:r>
      <w:r w:rsidRPr="00963C04">
        <w:rPr>
          <w:sz w:val="18"/>
          <w:szCs w:val="18"/>
        </w:rPr>
        <w:t xml:space="preserve"> between the two agencies.</w:t>
      </w:r>
    </w:p>
  </w:footnote>
  <w:footnote w:id="10">
    <w:p w:rsidR="00C14149" w:rsidRPr="00963C04" w:rsidRDefault="00C14149" w:rsidP="00295309">
      <w:pPr>
        <w:pStyle w:val="FootnoteText"/>
        <w:ind w:left="284" w:hanging="284"/>
        <w:rPr>
          <w:sz w:val="18"/>
          <w:szCs w:val="18"/>
        </w:rPr>
      </w:pPr>
      <w:r w:rsidRPr="00963C04">
        <w:rPr>
          <w:rStyle w:val="FootnoteReference"/>
          <w:sz w:val="18"/>
          <w:szCs w:val="18"/>
        </w:rPr>
        <w:footnoteRef/>
      </w:r>
      <w:r w:rsidRPr="00963C04">
        <w:rPr>
          <w:sz w:val="18"/>
          <w:szCs w:val="18"/>
        </w:rPr>
        <w:t xml:space="preserve"> </w:t>
      </w:r>
      <w:r w:rsidRPr="00963C04">
        <w:rPr>
          <w:sz w:val="18"/>
          <w:szCs w:val="18"/>
        </w:rPr>
        <w:tab/>
        <w:t>CYRAS is the Child, Youth, Residences and Adoption System database and case management recording system, managed by MSD.</w:t>
      </w:r>
    </w:p>
  </w:footnote>
  <w:footnote w:id="11">
    <w:p w:rsidR="00C14149" w:rsidRPr="00D83F62" w:rsidRDefault="00C14149" w:rsidP="002D665D">
      <w:pPr>
        <w:pStyle w:val="FootnoteText"/>
        <w:spacing w:after="60"/>
        <w:ind w:left="284" w:hanging="284"/>
        <w:rPr>
          <w:sz w:val="18"/>
          <w:szCs w:val="18"/>
        </w:rPr>
      </w:pPr>
      <w:r w:rsidRPr="00D83F62">
        <w:rPr>
          <w:rStyle w:val="FootnoteReference"/>
          <w:sz w:val="18"/>
          <w:szCs w:val="18"/>
        </w:rPr>
        <w:footnoteRef/>
      </w:r>
      <w:r w:rsidRPr="00D83F62">
        <w:rPr>
          <w:sz w:val="18"/>
          <w:szCs w:val="18"/>
        </w:rPr>
        <w:t xml:space="preserve"> </w:t>
      </w:r>
      <w:r w:rsidRPr="00D83F62">
        <w:rPr>
          <w:sz w:val="18"/>
          <w:szCs w:val="18"/>
        </w:rPr>
        <w:tab/>
        <w:t xml:space="preserve">The </w:t>
      </w:r>
      <w:r>
        <w:rPr>
          <w:sz w:val="18"/>
          <w:szCs w:val="18"/>
        </w:rPr>
        <w:t xml:space="preserve">majority of </w:t>
      </w:r>
      <w:r w:rsidRPr="00D83F62">
        <w:rPr>
          <w:sz w:val="18"/>
          <w:szCs w:val="18"/>
        </w:rPr>
        <w:t xml:space="preserve">minor traffic offences excluded involved </w:t>
      </w:r>
      <w:r>
        <w:rPr>
          <w:sz w:val="18"/>
          <w:szCs w:val="18"/>
        </w:rPr>
        <w:t xml:space="preserve">an unlicensed driver failing to comply with a prohibition, or a driver </w:t>
      </w:r>
      <w:r w:rsidRPr="00D83F62">
        <w:rPr>
          <w:sz w:val="18"/>
          <w:szCs w:val="18"/>
        </w:rPr>
        <w:t xml:space="preserve">failing to stop for </w:t>
      </w:r>
      <w:r>
        <w:rPr>
          <w:sz w:val="18"/>
          <w:szCs w:val="18"/>
        </w:rPr>
        <w:t xml:space="preserve">the flashing lights on </w:t>
      </w:r>
      <w:r w:rsidRPr="00D83F62">
        <w:rPr>
          <w:sz w:val="18"/>
          <w:szCs w:val="18"/>
        </w:rPr>
        <w:t>a police car</w:t>
      </w:r>
      <w:r>
        <w:rPr>
          <w:sz w:val="18"/>
          <w:szCs w:val="18"/>
        </w:rPr>
        <w:t>. Police offence codes that indicated that a motor vehicle was impounded were excluded from analyses as these are present in the data for statistical purposes only.</w:t>
      </w:r>
    </w:p>
  </w:footnote>
  <w:footnote w:id="12">
    <w:p w:rsidR="00C14149" w:rsidRPr="00C923ED" w:rsidRDefault="00C14149" w:rsidP="00C923ED">
      <w:pPr>
        <w:pStyle w:val="FootnoteText"/>
        <w:ind w:left="284" w:hanging="284"/>
        <w:rPr>
          <w:sz w:val="18"/>
          <w:szCs w:val="18"/>
        </w:rPr>
      </w:pPr>
      <w:r w:rsidRPr="00C923ED">
        <w:rPr>
          <w:rStyle w:val="FootnoteReference"/>
          <w:sz w:val="18"/>
          <w:szCs w:val="18"/>
        </w:rPr>
        <w:footnoteRef/>
      </w:r>
      <w:r w:rsidRPr="00C923ED">
        <w:rPr>
          <w:sz w:val="18"/>
          <w:szCs w:val="18"/>
        </w:rPr>
        <w:t xml:space="preserve"> </w:t>
      </w:r>
      <w:r w:rsidRPr="00C923ED">
        <w:rPr>
          <w:sz w:val="18"/>
          <w:szCs w:val="18"/>
        </w:rPr>
        <w:tab/>
        <w:t xml:space="preserve">For more information on the Scale see: </w:t>
      </w:r>
      <w:hyperlink r:id="rId2" w:history="1">
        <w:r w:rsidRPr="00C923ED">
          <w:rPr>
            <w:rStyle w:val="Hyperlink"/>
            <w:color w:val="0000FF"/>
            <w:sz w:val="18"/>
            <w:szCs w:val="18"/>
          </w:rPr>
          <w:t>http://www.justice.govt.nz/justice-sector/statistics/justice-sector-working-papers/justice-sector-offence-seriousness-score-faq</w:t>
        </w:r>
      </w:hyperlink>
      <w:r w:rsidRPr="00C923ED">
        <w:rPr>
          <w:sz w:val="18"/>
          <w:szCs w:val="18"/>
        </w:rPr>
        <w:t>.</w:t>
      </w:r>
    </w:p>
  </w:footnote>
  <w:footnote w:id="13">
    <w:p w:rsidR="00C14149" w:rsidRPr="00CD756D" w:rsidRDefault="00C14149" w:rsidP="00741B82">
      <w:pPr>
        <w:pStyle w:val="FootnoteText"/>
        <w:ind w:left="284" w:hanging="284"/>
      </w:pPr>
      <w:r>
        <w:rPr>
          <w:rStyle w:val="FootnoteReference"/>
        </w:rPr>
        <w:footnoteRef/>
      </w:r>
      <w:r>
        <w:t xml:space="preserve"> </w:t>
      </w:r>
      <w:r>
        <w:tab/>
      </w:r>
      <w:r w:rsidRPr="00A41B54">
        <w:rPr>
          <w:sz w:val="18"/>
          <w:szCs w:val="18"/>
        </w:rPr>
        <w:t xml:space="preserve">Offences are categorised </w:t>
      </w:r>
      <w:r>
        <w:rPr>
          <w:sz w:val="18"/>
          <w:szCs w:val="18"/>
        </w:rPr>
        <w:t>by the</w:t>
      </w:r>
      <w:r w:rsidRPr="00A41B54">
        <w:rPr>
          <w:sz w:val="18"/>
          <w:szCs w:val="18"/>
        </w:rPr>
        <w:t xml:space="preserve"> Australian and New Zealand Standard Offence Classification (ANZSOC)</w:t>
      </w:r>
      <w:r>
        <w:rPr>
          <w:sz w:val="18"/>
          <w:szCs w:val="18"/>
        </w:rPr>
        <w:t xml:space="preserve">, 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BA0BB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EE4E308"/>
    <w:lvl w:ilvl="0">
      <w:start w:val="1"/>
      <w:numFmt w:val="bullet"/>
      <w:pStyle w:val="Bullet1"/>
      <w:lvlText w:val=""/>
      <w:lvlJc w:val="left"/>
      <w:pPr>
        <w:tabs>
          <w:tab w:val="num" w:pos="360"/>
        </w:tabs>
        <w:ind w:left="360" w:hanging="360"/>
      </w:pPr>
      <w:rPr>
        <w:rFonts w:ascii="Symbol" w:hAnsi="Symbol" w:hint="default"/>
      </w:rPr>
    </w:lvl>
  </w:abstractNum>
  <w:abstractNum w:abstractNumId="2">
    <w:nsid w:val="00F13A75"/>
    <w:multiLevelType w:val="hybridMultilevel"/>
    <w:tmpl w:val="3FF4F8F2"/>
    <w:lvl w:ilvl="0" w:tplc="14090001">
      <w:start w:val="1"/>
      <w:numFmt w:val="bullet"/>
      <w:lvlText w:val=""/>
      <w:lvlJc w:val="left"/>
      <w:pPr>
        <w:ind w:left="720" w:hanging="360"/>
      </w:pPr>
      <w:rPr>
        <w:rFonts w:ascii="Symbol" w:hAnsi="Symbol" w:hint="default"/>
      </w:rPr>
    </w:lvl>
    <w:lvl w:ilvl="1" w:tplc="6DA24BE6">
      <w:start w:val="1"/>
      <w:numFmt w:val="bullet"/>
      <w:lvlText w:val="-"/>
      <w:lvlJc w:val="left"/>
      <w:pPr>
        <w:ind w:left="786"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A3966B0"/>
    <w:multiLevelType w:val="hybridMultilevel"/>
    <w:tmpl w:val="7370F4E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0AED4C4D"/>
    <w:multiLevelType w:val="hybridMultilevel"/>
    <w:tmpl w:val="ED6ABFFA"/>
    <w:lvl w:ilvl="0" w:tplc="1620214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2933EA9"/>
    <w:multiLevelType w:val="hybridMultilevel"/>
    <w:tmpl w:val="44CA63C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nsid w:val="160F04B3"/>
    <w:multiLevelType w:val="hybridMultilevel"/>
    <w:tmpl w:val="20CC9232"/>
    <w:lvl w:ilvl="0" w:tplc="1620214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179B5B06"/>
    <w:multiLevelType w:val="hybridMultilevel"/>
    <w:tmpl w:val="D4266368"/>
    <w:lvl w:ilvl="0" w:tplc="1620214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nsid w:val="1AD34A48"/>
    <w:multiLevelType w:val="hybridMultilevel"/>
    <w:tmpl w:val="43D6EE2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1C064A7F"/>
    <w:multiLevelType w:val="hybridMultilevel"/>
    <w:tmpl w:val="A43C3CF4"/>
    <w:lvl w:ilvl="0" w:tplc="E0C81680">
      <w:start w:val="1"/>
      <w:numFmt w:val="bullet"/>
      <w:lvlText w:val=""/>
      <w:lvlJc w:val="left"/>
      <w:pPr>
        <w:tabs>
          <w:tab w:val="num" w:pos="360"/>
        </w:tabs>
        <w:ind w:left="360" w:hanging="360"/>
      </w:pPr>
      <w:rPr>
        <w:rFonts w:ascii="Symbol" w:hAnsi="Symbol" w:hint="default"/>
        <w:sz w:val="22"/>
        <w:szCs w:val="22"/>
      </w:rPr>
    </w:lvl>
    <w:lvl w:ilvl="1" w:tplc="F272B56E">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E4F7B81"/>
    <w:multiLevelType w:val="hybridMultilevel"/>
    <w:tmpl w:val="BFCA5D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210D1A07"/>
    <w:multiLevelType w:val="hybridMultilevel"/>
    <w:tmpl w:val="61C4FCBE"/>
    <w:lvl w:ilvl="0" w:tplc="14090001">
      <w:start w:val="1"/>
      <w:numFmt w:val="bullet"/>
      <w:lvlText w:val=""/>
      <w:lvlJc w:val="left"/>
      <w:pPr>
        <w:ind w:left="855" w:hanging="360"/>
      </w:pPr>
      <w:rPr>
        <w:rFonts w:ascii="Symbol" w:hAnsi="Symbol" w:hint="default"/>
      </w:rPr>
    </w:lvl>
    <w:lvl w:ilvl="1" w:tplc="14090003" w:tentative="1">
      <w:start w:val="1"/>
      <w:numFmt w:val="bullet"/>
      <w:lvlText w:val="o"/>
      <w:lvlJc w:val="left"/>
      <w:pPr>
        <w:ind w:left="1575" w:hanging="360"/>
      </w:pPr>
      <w:rPr>
        <w:rFonts w:ascii="Courier New" w:hAnsi="Courier New" w:cs="Courier New" w:hint="default"/>
      </w:rPr>
    </w:lvl>
    <w:lvl w:ilvl="2" w:tplc="14090005" w:tentative="1">
      <w:start w:val="1"/>
      <w:numFmt w:val="bullet"/>
      <w:lvlText w:val=""/>
      <w:lvlJc w:val="left"/>
      <w:pPr>
        <w:ind w:left="2295" w:hanging="360"/>
      </w:pPr>
      <w:rPr>
        <w:rFonts w:ascii="Wingdings" w:hAnsi="Wingdings" w:hint="default"/>
      </w:rPr>
    </w:lvl>
    <w:lvl w:ilvl="3" w:tplc="14090001" w:tentative="1">
      <w:start w:val="1"/>
      <w:numFmt w:val="bullet"/>
      <w:lvlText w:val=""/>
      <w:lvlJc w:val="left"/>
      <w:pPr>
        <w:ind w:left="3015" w:hanging="360"/>
      </w:pPr>
      <w:rPr>
        <w:rFonts w:ascii="Symbol" w:hAnsi="Symbol" w:hint="default"/>
      </w:rPr>
    </w:lvl>
    <w:lvl w:ilvl="4" w:tplc="14090003" w:tentative="1">
      <w:start w:val="1"/>
      <w:numFmt w:val="bullet"/>
      <w:lvlText w:val="o"/>
      <w:lvlJc w:val="left"/>
      <w:pPr>
        <w:ind w:left="3735" w:hanging="360"/>
      </w:pPr>
      <w:rPr>
        <w:rFonts w:ascii="Courier New" w:hAnsi="Courier New" w:cs="Courier New" w:hint="default"/>
      </w:rPr>
    </w:lvl>
    <w:lvl w:ilvl="5" w:tplc="14090005" w:tentative="1">
      <w:start w:val="1"/>
      <w:numFmt w:val="bullet"/>
      <w:lvlText w:val=""/>
      <w:lvlJc w:val="left"/>
      <w:pPr>
        <w:ind w:left="4455" w:hanging="360"/>
      </w:pPr>
      <w:rPr>
        <w:rFonts w:ascii="Wingdings" w:hAnsi="Wingdings" w:hint="default"/>
      </w:rPr>
    </w:lvl>
    <w:lvl w:ilvl="6" w:tplc="14090001" w:tentative="1">
      <w:start w:val="1"/>
      <w:numFmt w:val="bullet"/>
      <w:lvlText w:val=""/>
      <w:lvlJc w:val="left"/>
      <w:pPr>
        <w:ind w:left="5175" w:hanging="360"/>
      </w:pPr>
      <w:rPr>
        <w:rFonts w:ascii="Symbol" w:hAnsi="Symbol" w:hint="default"/>
      </w:rPr>
    </w:lvl>
    <w:lvl w:ilvl="7" w:tplc="14090003" w:tentative="1">
      <w:start w:val="1"/>
      <w:numFmt w:val="bullet"/>
      <w:lvlText w:val="o"/>
      <w:lvlJc w:val="left"/>
      <w:pPr>
        <w:ind w:left="5895" w:hanging="360"/>
      </w:pPr>
      <w:rPr>
        <w:rFonts w:ascii="Courier New" w:hAnsi="Courier New" w:cs="Courier New" w:hint="default"/>
      </w:rPr>
    </w:lvl>
    <w:lvl w:ilvl="8" w:tplc="14090005" w:tentative="1">
      <w:start w:val="1"/>
      <w:numFmt w:val="bullet"/>
      <w:lvlText w:val=""/>
      <w:lvlJc w:val="left"/>
      <w:pPr>
        <w:ind w:left="6615" w:hanging="360"/>
      </w:pPr>
      <w:rPr>
        <w:rFonts w:ascii="Wingdings" w:hAnsi="Wingdings" w:hint="default"/>
      </w:rPr>
    </w:lvl>
  </w:abstractNum>
  <w:abstractNum w:abstractNumId="15">
    <w:nsid w:val="26471C3F"/>
    <w:multiLevelType w:val="hybridMultilevel"/>
    <w:tmpl w:val="A980308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83F3243"/>
    <w:multiLevelType w:val="hybridMultilevel"/>
    <w:tmpl w:val="7862B0E4"/>
    <w:lvl w:ilvl="0" w:tplc="C01414EA">
      <w:start w:val="1"/>
      <w:numFmt w:val="bullet"/>
      <w:pStyle w:val="bullet10"/>
      <w:lvlText w:val="•"/>
      <w:lvlJc w:val="left"/>
      <w:pPr>
        <w:tabs>
          <w:tab w:val="num" w:pos="-360"/>
        </w:tabs>
        <w:ind w:left="360" w:hanging="360"/>
      </w:pPr>
      <w:rPr>
        <w:rFonts w:ascii="Trebuchet MS" w:hAnsi="Trebuchet MS" w:hint="default"/>
        <w:color w:val="auto"/>
        <w:sz w:val="20"/>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8">
    <w:nsid w:val="2E604CF2"/>
    <w:multiLevelType w:val="hybridMultilevel"/>
    <w:tmpl w:val="30E2C08C"/>
    <w:lvl w:ilvl="0" w:tplc="11FE8C7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A9643D8"/>
    <w:multiLevelType w:val="hybridMultilevel"/>
    <w:tmpl w:val="BD4800A2"/>
    <w:lvl w:ilvl="0" w:tplc="11FE8C7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300"/>
        </w:tabs>
        <w:ind w:left="300" w:hanging="360"/>
      </w:pPr>
      <w:rPr>
        <w:rFonts w:ascii="Courier New" w:hAnsi="Courier New" w:cs="Courier New" w:hint="default"/>
      </w:rPr>
    </w:lvl>
    <w:lvl w:ilvl="2" w:tplc="0C090005" w:tentative="1">
      <w:start w:val="1"/>
      <w:numFmt w:val="bullet"/>
      <w:lvlText w:val=""/>
      <w:lvlJc w:val="left"/>
      <w:pPr>
        <w:tabs>
          <w:tab w:val="num" w:pos="1020"/>
        </w:tabs>
        <w:ind w:left="1020" w:hanging="360"/>
      </w:pPr>
      <w:rPr>
        <w:rFonts w:ascii="Wingdings" w:hAnsi="Wingdings" w:hint="default"/>
      </w:rPr>
    </w:lvl>
    <w:lvl w:ilvl="3" w:tplc="0C090001" w:tentative="1">
      <w:start w:val="1"/>
      <w:numFmt w:val="bullet"/>
      <w:lvlText w:val=""/>
      <w:lvlJc w:val="left"/>
      <w:pPr>
        <w:tabs>
          <w:tab w:val="num" w:pos="1740"/>
        </w:tabs>
        <w:ind w:left="1740" w:hanging="360"/>
      </w:pPr>
      <w:rPr>
        <w:rFonts w:ascii="Symbol" w:hAnsi="Symbol" w:hint="default"/>
      </w:rPr>
    </w:lvl>
    <w:lvl w:ilvl="4" w:tplc="0C090003" w:tentative="1">
      <w:start w:val="1"/>
      <w:numFmt w:val="bullet"/>
      <w:lvlText w:val="o"/>
      <w:lvlJc w:val="left"/>
      <w:pPr>
        <w:tabs>
          <w:tab w:val="num" w:pos="2460"/>
        </w:tabs>
        <w:ind w:left="2460" w:hanging="360"/>
      </w:pPr>
      <w:rPr>
        <w:rFonts w:ascii="Courier New" w:hAnsi="Courier New" w:cs="Courier New" w:hint="default"/>
      </w:rPr>
    </w:lvl>
    <w:lvl w:ilvl="5" w:tplc="0C090005" w:tentative="1">
      <w:start w:val="1"/>
      <w:numFmt w:val="bullet"/>
      <w:lvlText w:val=""/>
      <w:lvlJc w:val="left"/>
      <w:pPr>
        <w:tabs>
          <w:tab w:val="num" w:pos="3180"/>
        </w:tabs>
        <w:ind w:left="3180" w:hanging="360"/>
      </w:pPr>
      <w:rPr>
        <w:rFonts w:ascii="Wingdings" w:hAnsi="Wingdings" w:hint="default"/>
      </w:rPr>
    </w:lvl>
    <w:lvl w:ilvl="6" w:tplc="0C090001" w:tentative="1">
      <w:start w:val="1"/>
      <w:numFmt w:val="bullet"/>
      <w:lvlText w:val=""/>
      <w:lvlJc w:val="left"/>
      <w:pPr>
        <w:tabs>
          <w:tab w:val="num" w:pos="3900"/>
        </w:tabs>
        <w:ind w:left="3900" w:hanging="360"/>
      </w:pPr>
      <w:rPr>
        <w:rFonts w:ascii="Symbol" w:hAnsi="Symbol" w:hint="default"/>
      </w:rPr>
    </w:lvl>
    <w:lvl w:ilvl="7" w:tplc="0C090003" w:tentative="1">
      <w:start w:val="1"/>
      <w:numFmt w:val="bullet"/>
      <w:lvlText w:val="o"/>
      <w:lvlJc w:val="left"/>
      <w:pPr>
        <w:tabs>
          <w:tab w:val="num" w:pos="4620"/>
        </w:tabs>
        <w:ind w:left="4620" w:hanging="360"/>
      </w:pPr>
      <w:rPr>
        <w:rFonts w:ascii="Courier New" w:hAnsi="Courier New" w:cs="Courier New" w:hint="default"/>
      </w:rPr>
    </w:lvl>
    <w:lvl w:ilvl="8" w:tplc="0C090005" w:tentative="1">
      <w:start w:val="1"/>
      <w:numFmt w:val="bullet"/>
      <w:lvlText w:val=""/>
      <w:lvlJc w:val="left"/>
      <w:pPr>
        <w:tabs>
          <w:tab w:val="num" w:pos="5340"/>
        </w:tabs>
        <w:ind w:left="5340" w:hanging="360"/>
      </w:pPr>
      <w:rPr>
        <w:rFonts w:ascii="Wingdings" w:hAnsi="Wingdings" w:hint="default"/>
      </w:rPr>
    </w:lvl>
  </w:abstractNum>
  <w:abstractNum w:abstractNumId="20">
    <w:nsid w:val="3B6B25E8"/>
    <w:multiLevelType w:val="hybridMultilevel"/>
    <w:tmpl w:val="D4C084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nsid w:val="4253267C"/>
    <w:multiLevelType w:val="hybridMultilevel"/>
    <w:tmpl w:val="9112FA76"/>
    <w:lvl w:ilvl="0" w:tplc="1C7E98FC">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47B068DF"/>
    <w:multiLevelType w:val="hybridMultilevel"/>
    <w:tmpl w:val="039256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52A97000"/>
    <w:multiLevelType w:val="hybridMultilevel"/>
    <w:tmpl w:val="127A2BAE"/>
    <w:lvl w:ilvl="0" w:tplc="11FE8C7C">
      <w:start w:val="1"/>
      <w:numFmt w:val="bullet"/>
      <w:lvlText w:val=""/>
      <w:lvlJc w:val="left"/>
      <w:pPr>
        <w:tabs>
          <w:tab w:val="num" w:pos="357"/>
        </w:tabs>
        <w:ind w:left="357" w:hanging="357"/>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52CA44FA"/>
    <w:multiLevelType w:val="hybridMultilevel"/>
    <w:tmpl w:val="FCDAEE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56930155"/>
    <w:multiLevelType w:val="hybridMultilevel"/>
    <w:tmpl w:val="90103C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nsid w:val="5928131E"/>
    <w:multiLevelType w:val="hybridMultilevel"/>
    <w:tmpl w:val="4268DD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59ED30DA"/>
    <w:multiLevelType w:val="hybridMultilevel"/>
    <w:tmpl w:val="C3C84D4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9">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AC7CC0"/>
    <w:multiLevelType w:val="hybridMultilevel"/>
    <w:tmpl w:val="69520464"/>
    <w:lvl w:ilvl="0" w:tplc="11FE8C7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61456AD0"/>
    <w:multiLevelType w:val="hybridMultilevel"/>
    <w:tmpl w:val="E05000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nsid w:val="656D44F1"/>
    <w:multiLevelType w:val="hybridMultilevel"/>
    <w:tmpl w:val="3CD400F6"/>
    <w:lvl w:ilvl="0" w:tplc="1620214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704262B6"/>
    <w:multiLevelType w:val="hybridMultilevel"/>
    <w:tmpl w:val="74E28E4C"/>
    <w:lvl w:ilvl="0" w:tplc="1620214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70FB2FAD"/>
    <w:multiLevelType w:val="hybridMultilevel"/>
    <w:tmpl w:val="6B08A31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710A56EA"/>
    <w:multiLevelType w:val="hybridMultilevel"/>
    <w:tmpl w:val="4F54C9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72A87343"/>
    <w:multiLevelType w:val="hybridMultilevel"/>
    <w:tmpl w:val="395E4C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76D87B44"/>
    <w:multiLevelType w:val="hybridMultilevel"/>
    <w:tmpl w:val="7AD47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0"/>
  </w:num>
  <w:num w:numId="7">
    <w:abstractNumId w:val="29"/>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1"/>
  </w:num>
  <w:num w:numId="12">
    <w:abstractNumId w:val="5"/>
  </w:num>
  <w:num w:numId="13">
    <w:abstractNumId w:val="38"/>
  </w:num>
  <w:num w:numId="14">
    <w:abstractNumId w:val="25"/>
  </w:num>
  <w:num w:numId="15">
    <w:abstractNumId w:val="13"/>
  </w:num>
  <w:num w:numId="16">
    <w:abstractNumId w:val="7"/>
  </w:num>
  <w:num w:numId="17">
    <w:abstractNumId w:val="36"/>
  </w:num>
  <w:num w:numId="18">
    <w:abstractNumId w:val="35"/>
  </w:num>
  <w:num w:numId="19">
    <w:abstractNumId w:val="3"/>
  </w:num>
  <w:num w:numId="20">
    <w:abstractNumId w:val="32"/>
  </w:num>
  <w:num w:numId="21">
    <w:abstractNumId w:val="8"/>
  </w:num>
  <w:num w:numId="22">
    <w:abstractNumId w:val="4"/>
  </w:num>
  <w:num w:numId="23">
    <w:abstractNumId w:val="26"/>
  </w:num>
  <w:num w:numId="24">
    <w:abstractNumId w:val="33"/>
  </w:num>
  <w:num w:numId="25">
    <w:abstractNumId w:val="34"/>
  </w:num>
  <w:num w:numId="26">
    <w:abstractNumId w:val="27"/>
  </w:num>
  <w:num w:numId="27">
    <w:abstractNumId w:val="24"/>
  </w:num>
  <w:num w:numId="28">
    <w:abstractNumId w:val="22"/>
  </w:num>
  <w:num w:numId="29">
    <w:abstractNumId w:val="9"/>
  </w:num>
  <w:num w:numId="30">
    <w:abstractNumId w:val="37"/>
  </w:num>
  <w:num w:numId="31">
    <w:abstractNumId w:val="11"/>
  </w:num>
  <w:num w:numId="32">
    <w:abstractNumId w:val="21"/>
  </w:num>
  <w:num w:numId="33">
    <w:abstractNumId w:val="16"/>
  </w:num>
  <w:num w:numId="34">
    <w:abstractNumId w:val="2"/>
  </w:num>
  <w:num w:numId="35">
    <w:abstractNumId w:val="14"/>
  </w:num>
  <w:num w:numId="36">
    <w:abstractNumId w:val="18"/>
  </w:num>
  <w:num w:numId="37">
    <w:abstractNumId w:val="30"/>
  </w:num>
  <w:num w:numId="38">
    <w:abstractNumId w:val="19"/>
  </w:num>
  <w:num w:numId="39">
    <w:abstractNumId w:val="12"/>
  </w:num>
  <w:num w:numId="40">
    <w:abstractNumId w:val="15"/>
  </w:num>
  <w:num w:numId="41">
    <w:abstractNumId w:val="2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471"/>
    <w:rsid w:val="00000B4C"/>
    <w:rsid w:val="00004C04"/>
    <w:rsid w:val="00006C95"/>
    <w:rsid w:val="000106D0"/>
    <w:rsid w:val="000109A3"/>
    <w:rsid w:val="00012A8B"/>
    <w:rsid w:val="000130D7"/>
    <w:rsid w:val="0001675E"/>
    <w:rsid w:val="000171F0"/>
    <w:rsid w:val="00021AA5"/>
    <w:rsid w:val="00037CB0"/>
    <w:rsid w:val="00041089"/>
    <w:rsid w:val="00054B1F"/>
    <w:rsid w:val="0009140C"/>
    <w:rsid w:val="00092BC8"/>
    <w:rsid w:val="00092D3E"/>
    <w:rsid w:val="000A2A52"/>
    <w:rsid w:val="000B73EE"/>
    <w:rsid w:val="000C59CE"/>
    <w:rsid w:val="000C76D3"/>
    <w:rsid w:val="000D2D5F"/>
    <w:rsid w:val="000D2E44"/>
    <w:rsid w:val="000E3076"/>
    <w:rsid w:val="000E3BB9"/>
    <w:rsid w:val="000E5293"/>
    <w:rsid w:val="000F1D9A"/>
    <w:rsid w:val="000F685E"/>
    <w:rsid w:val="000F6C30"/>
    <w:rsid w:val="0010161F"/>
    <w:rsid w:val="00103012"/>
    <w:rsid w:val="00105988"/>
    <w:rsid w:val="00106AED"/>
    <w:rsid w:val="001133C8"/>
    <w:rsid w:val="00116C07"/>
    <w:rsid w:val="00117F18"/>
    <w:rsid w:val="001359B5"/>
    <w:rsid w:val="001400B5"/>
    <w:rsid w:val="00141592"/>
    <w:rsid w:val="0014341D"/>
    <w:rsid w:val="001453B3"/>
    <w:rsid w:val="00145865"/>
    <w:rsid w:val="00151526"/>
    <w:rsid w:val="00152E22"/>
    <w:rsid w:val="00157D35"/>
    <w:rsid w:val="00170BA9"/>
    <w:rsid w:val="0018052C"/>
    <w:rsid w:val="00181682"/>
    <w:rsid w:val="00187357"/>
    <w:rsid w:val="0018757B"/>
    <w:rsid w:val="00191B24"/>
    <w:rsid w:val="00197482"/>
    <w:rsid w:val="001A0536"/>
    <w:rsid w:val="001A0D3A"/>
    <w:rsid w:val="001B4471"/>
    <w:rsid w:val="001B6FA6"/>
    <w:rsid w:val="001C4477"/>
    <w:rsid w:val="001D1A14"/>
    <w:rsid w:val="001D1ED8"/>
    <w:rsid w:val="001D1F28"/>
    <w:rsid w:val="001D3744"/>
    <w:rsid w:val="001D507A"/>
    <w:rsid w:val="001E6371"/>
    <w:rsid w:val="001E6A20"/>
    <w:rsid w:val="001F0640"/>
    <w:rsid w:val="00201FB6"/>
    <w:rsid w:val="0020706D"/>
    <w:rsid w:val="00213846"/>
    <w:rsid w:val="00213DA6"/>
    <w:rsid w:val="00216302"/>
    <w:rsid w:val="00216BA5"/>
    <w:rsid w:val="00233348"/>
    <w:rsid w:val="00237E57"/>
    <w:rsid w:val="00241B4B"/>
    <w:rsid w:val="002457AA"/>
    <w:rsid w:val="00245A2B"/>
    <w:rsid w:val="0024792D"/>
    <w:rsid w:val="00257EE1"/>
    <w:rsid w:val="00262098"/>
    <w:rsid w:val="002623D6"/>
    <w:rsid w:val="00271515"/>
    <w:rsid w:val="00285FCB"/>
    <w:rsid w:val="0029187A"/>
    <w:rsid w:val="0029204C"/>
    <w:rsid w:val="0029271F"/>
    <w:rsid w:val="00295309"/>
    <w:rsid w:val="002A1D57"/>
    <w:rsid w:val="002A59B8"/>
    <w:rsid w:val="002B1121"/>
    <w:rsid w:val="002B3E37"/>
    <w:rsid w:val="002B4ACF"/>
    <w:rsid w:val="002B53EE"/>
    <w:rsid w:val="002B5D40"/>
    <w:rsid w:val="002B7B66"/>
    <w:rsid w:val="002B7D2D"/>
    <w:rsid w:val="002D0B18"/>
    <w:rsid w:val="002D1C62"/>
    <w:rsid w:val="002D665D"/>
    <w:rsid w:val="002F2AAA"/>
    <w:rsid w:val="002F7B98"/>
    <w:rsid w:val="00300A05"/>
    <w:rsid w:val="00305558"/>
    <w:rsid w:val="0030600D"/>
    <w:rsid w:val="0031093E"/>
    <w:rsid w:val="00312697"/>
    <w:rsid w:val="00312AEC"/>
    <w:rsid w:val="00314E6C"/>
    <w:rsid w:val="00317D0D"/>
    <w:rsid w:val="00323D27"/>
    <w:rsid w:val="0032413A"/>
    <w:rsid w:val="003316EB"/>
    <w:rsid w:val="00337AB3"/>
    <w:rsid w:val="00344919"/>
    <w:rsid w:val="00350036"/>
    <w:rsid w:val="0035111E"/>
    <w:rsid w:val="00353617"/>
    <w:rsid w:val="00354EC2"/>
    <w:rsid w:val="00355D73"/>
    <w:rsid w:val="0036003D"/>
    <w:rsid w:val="003676B5"/>
    <w:rsid w:val="003707C7"/>
    <w:rsid w:val="0037461C"/>
    <w:rsid w:val="00384330"/>
    <w:rsid w:val="00394C5E"/>
    <w:rsid w:val="003A0ACC"/>
    <w:rsid w:val="003A352B"/>
    <w:rsid w:val="003A715C"/>
    <w:rsid w:val="003B26B7"/>
    <w:rsid w:val="003B2E4E"/>
    <w:rsid w:val="003B7F9B"/>
    <w:rsid w:val="003C036F"/>
    <w:rsid w:val="003C0EE0"/>
    <w:rsid w:val="003D4EB4"/>
    <w:rsid w:val="003E0DAA"/>
    <w:rsid w:val="003E21A9"/>
    <w:rsid w:val="003E23D0"/>
    <w:rsid w:val="003E33B8"/>
    <w:rsid w:val="003F07A6"/>
    <w:rsid w:val="00403EBC"/>
    <w:rsid w:val="00407F8F"/>
    <w:rsid w:val="00414E8A"/>
    <w:rsid w:val="00420CCB"/>
    <w:rsid w:val="004227ED"/>
    <w:rsid w:val="00424E2A"/>
    <w:rsid w:val="00430253"/>
    <w:rsid w:val="004321E9"/>
    <w:rsid w:val="004366EB"/>
    <w:rsid w:val="00437012"/>
    <w:rsid w:val="00437522"/>
    <w:rsid w:val="00437DD9"/>
    <w:rsid w:val="0044462A"/>
    <w:rsid w:val="00445BCE"/>
    <w:rsid w:val="0044790D"/>
    <w:rsid w:val="0045109F"/>
    <w:rsid w:val="00454F25"/>
    <w:rsid w:val="00461211"/>
    <w:rsid w:val="00467773"/>
    <w:rsid w:val="00467B3C"/>
    <w:rsid w:val="004742A2"/>
    <w:rsid w:val="004823B8"/>
    <w:rsid w:val="004A43D8"/>
    <w:rsid w:val="004B05F2"/>
    <w:rsid w:val="004B14C9"/>
    <w:rsid w:val="004B65AD"/>
    <w:rsid w:val="004C0AC6"/>
    <w:rsid w:val="004C495D"/>
    <w:rsid w:val="004D36F6"/>
    <w:rsid w:val="004D6329"/>
    <w:rsid w:val="004E18BE"/>
    <w:rsid w:val="004E5C24"/>
    <w:rsid w:val="004F4E37"/>
    <w:rsid w:val="00500E96"/>
    <w:rsid w:val="005020F6"/>
    <w:rsid w:val="00506CE7"/>
    <w:rsid w:val="00513CA2"/>
    <w:rsid w:val="0051515A"/>
    <w:rsid w:val="00516A40"/>
    <w:rsid w:val="00521A3F"/>
    <w:rsid w:val="005222A0"/>
    <w:rsid w:val="00522AC9"/>
    <w:rsid w:val="00523104"/>
    <w:rsid w:val="00526728"/>
    <w:rsid w:val="005267CC"/>
    <w:rsid w:val="005274EA"/>
    <w:rsid w:val="00527C7D"/>
    <w:rsid w:val="00533E65"/>
    <w:rsid w:val="005348A5"/>
    <w:rsid w:val="0053535F"/>
    <w:rsid w:val="0053614E"/>
    <w:rsid w:val="00541B14"/>
    <w:rsid w:val="00541DA4"/>
    <w:rsid w:val="00546396"/>
    <w:rsid w:val="0056681E"/>
    <w:rsid w:val="00566BA3"/>
    <w:rsid w:val="00566BA6"/>
    <w:rsid w:val="00572AA9"/>
    <w:rsid w:val="00576D5E"/>
    <w:rsid w:val="0058253D"/>
    <w:rsid w:val="00583061"/>
    <w:rsid w:val="00592C87"/>
    <w:rsid w:val="00595906"/>
    <w:rsid w:val="005A5BDD"/>
    <w:rsid w:val="005A72A8"/>
    <w:rsid w:val="005B11F9"/>
    <w:rsid w:val="005B3EB7"/>
    <w:rsid w:val="005B6C9B"/>
    <w:rsid w:val="005C68D2"/>
    <w:rsid w:val="005C7E68"/>
    <w:rsid w:val="005D69FF"/>
    <w:rsid w:val="005E1197"/>
    <w:rsid w:val="005F4E10"/>
    <w:rsid w:val="0060057B"/>
    <w:rsid w:val="00604690"/>
    <w:rsid w:val="006207F6"/>
    <w:rsid w:val="00621D45"/>
    <w:rsid w:val="00625F09"/>
    <w:rsid w:val="00631D73"/>
    <w:rsid w:val="006329E4"/>
    <w:rsid w:val="00635126"/>
    <w:rsid w:val="0064015D"/>
    <w:rsid w:val="00642F9C"/>
    <w:rsid w:val="00643A88"/>
    <w:rsid w:val="006516CB"/>
    <w:rsid w:val="00654D19"/>
    <w:rsid w:val="00664704"/>
    <w:rsid w:val="006768BC"/>
    <w:rsid w:val="006809F8"/>
    <w:rsid w:val="00682E0E"/>
    <w:rsid w:val="00684A5F"/>
    <w:rsid w:val="006853C9"/>
    <w:rsid w:val="006868ED"/>
    <w:rsid w:val="00695419"/>
    <w:rsid w:val="006A1923"/>
    <w:rsid w:val="006A39FA"/>
    <w:rsid w:val="006A42BD"/>
    <w:rsid w:val="006A631C"/>
    <w:rsid w:val="006A6A49"/>
    <w:rsid w:val="006B1338"/>
    <w:rsid w:val="006B1F8F"/>
    <w:rsid w:val="006B3D10"/>
    <w:rsid w:val="006B478F"/>
    <w:rsid w:val="006B5109"/>
    <w:rsid w:val="006C0B96"/>
    <w:rsid w:val="006C5E7E"/>
    <w:rsid w:val="006C7206"/>
    <w:rsid w:val="006E1A27"/>
    <w:rsid w:val="006E5C55"/>
    <w:rsid w:val="006F74B7"/>
    <w:rsid w:val="0070040B"/>
    <w:rsid w:val="00700C1D"/>
    <w:rsid w:val="00707370"/>
    <w:rsid w:val="00712DF4"/>
    <w:rsid w:val="00715A76"/>
    <w:rsid w:val="00717298"/>
    <w:rsid w:val="00740F2E"/>
    <w:rsid w:val="00741B82"/>
    <w:rsid w:val="00745977"/>
    <w:rsid w:val="007525AF"/>
    <w:rsid w:val="00756575"/>
    <w:rsid w:val="00762A61"/>
    <w:rsid w:val="00764E15"/>
    <w:rsid w:val="00767B54"/>
    <w:rsid w:val="00772AD6"/>
    <w:rsid w:val="0077498B"/>
    <w:rsid w:val="007814CC"/>
    <w:rsid w:val="007841CE"/>
    <w:rsid w:val="00795B56"/>
    <w:rsid w:val="007A3207"/>
    <w:rsid w:val="007A3404"/>
    <w:rsid w:val="007A3554"/>
    <w:rsid w:val="007A3D2F"/>
    <w:rsid w:val="007A4EF6"/>
    <w:rsid w:val="007A75C5"/>
    <w:rsid w:val="007B0EE1"/>
    <w:rsid w:val="007B1352"/>
    <w:rsid w:val="007B201A"/>
    <w:rsid w:val="007B2AED"/>
    <w:rsid w:val="007C0C18"/>
    <w:rsid w:val="007C123C"/>
    <w:rsid w:val="007D38AD"/>
    <w:rsid w:val="007D466E"/>
    <w:rsid w:val="007E0206"/>
    <w:rsid w:val="007E33ED"/>
    <w:rsid w:val="007E35F1"/>
    <w:rsid w:val="007E47F6"/>
    <w:rsid w:val="007F2E8F"/>
    <w:rsid w:val="007F32EE"/>
    <w:rsid w:val="007F6AE8"/>
    <w:rsid w:val="008017E5"/>
    <w:rsid w:val="0080498F"/>
    <w:rsid w:val="008126C2"/>
    <w:rsid w:val="00812DAF"/>
    <w:rsid w:val="00815C80"/>
    <w:rsid w:val="00821A10"/>
    <w:rsid w:val="00822ABA"/>
    <w:rsid w:val="0082702E"/>
    <w:rsid w:val="00827DFC"/>
    <w:rsid w:val="008363FF"/>
    <w:rsid w:val="00837935"/>
    <w:rsid w:val="00844E9C"/>
    <w:rsid w:val="00851BE8"/>
    <w:rsid w:val="00852256"/>
    <w:rsid w:val="00853069"/>
    <w:rsid w:val="00854C02"/>
    <w:rsid w:val="00860654"/>
    <w:rsid w:val="008626D0"/>
    <w:rsid w:val="008649F3"/>
    <w:rsid w:val="00864F74"/>
    <w:rsid w:val="00873F4E"/>
    <w:rsid w:val="00877559"/>
    <w:rsid w:val="00883DE5"/>
    <w:rsid w:val="0088423F"/>
    <w:rsid w:val="0089060C"/>
    <w:rsid w:val="00890B32"/>
    <w:rsid w:val="00890C0C"/>
    <w:rsid w:val="008A22D7"/>
    <w:rsid w:val="008A298B"/>
    <w:rsid w:val="008A441C"/>
    <w:rsid w:val="008A6E20"/>
    <w:rsid w:val="008B1106"/>
    <w:rsid w:val="008C4B1D"/>
    <w:rsid w:val="008C5377"/>
    <w:rsid w:val="008C7F8B"/>
    <w:rsid w:val="008F1AFE"/>
    <w:rsid w:val="008F5E31"/>
    <w:rsid w:val="008F67FA"/>
    <w:rsid w:val="009019DC"/>
    <w:rsid w:val="00903467"/>
    <w:rsid w:val="00904728"/>
    <w:rsid w:val="00906EAA"/>
    <w:rsid w:val="00924251"/>
    <w:rsid w:val="0092536F"/>
    <w:rsid w:val="00927A53"/>
    <w:rsid w:val="00927B65"/>
    <w:rsid w:val="00932ED9"/>
    <w:rsid w:val="00935313"/>
    <w:rsid w:val="00945120"/>
    <w:rsid w:val="00945427"/>
    <w:rsid w:val="009531C6"/>
    <w:rsid w:val="00954390"/>
    <w:rsid w:val="009554CA"/>
    <w:rsid w:val="00960313"/>
    <w:rsid w:val="00963C04"/>
    <w:rsid w:val="00965BB9"/>
    <w:rsid w:val="00966E05"/>
    <w:rsid w:val="00966F3D"/>
    <w:rsid w:val="00970DD2"/>
    <w:rsid w:val="0097189C"/>
    <w:rsid w:val="00981BE3"/>
    <w:rsid w:val="00982A5C"/>
    <w:rsid w:val="0099078C"/>
    <w:rsid w:val="00992499"/>
    <w:rsid w:val="00992630"/>
    <w:rsid w:val="00993B71"/>
    <w:rsid w:val="009974DB"/>
    <w:rsid w:val="009A543E"/>
    <w:rsid w:val="009A6BCF"/>
    <w:rsid w:val="009A75DA"/>
    <w:rsid w:val="009C5F6B"/>
    <w:rsid w:val="009C6703"/>
    <w:rsid w:val="009C7FED"/>
    <w:rsid w:val="009D15F1"/>
    <w:rsid w:val="009D2B10"/>
    <w:rsid w:val="009E20F2"/>
    <w:rsid w:val="009E3D6F"/>
    <w:rsid w:val="009F65DB"/>
    <w:rsid w:val="00A0265A"/>
    <w:rsid w:val="00A05BFE"/>
    <w:rsid w:val="00A154E4"/>
    <w:rsid w:val="00A16CAD"/>
    <w:rsid w:val="00A17AD8"/>
    <w:rsid w:val="00A2071D"/>
    <w:rsid w:val="00A23BA7"/>
    <w:rsid w:val="00A2746A"/>
    <w:rsid w:val="00A324CD"/>
    <w:rsid w:val="00A33B21"/>
    <w:rsid w:val="00A33E0E"/>
    <w:rsid w:val="00A35350"/>
    <w:rsid w:val="00A43896"/>
    <w:rsid w:val="00A47B69"/>
    <w:rsid w:val="00A56C0A"/>
    <w:rsid w:val="00A6244E"/>
    <w:rsid w:val="00A74AF2"/>
    <w:rsid w:val="00A74F24"/>
    <w:rsid w:val="00A7776E"/>
    <w:rsid w:val="00A80DCF"/>
    <w:rsid w:val="00A81B2C"/>
    <w:rsid w:val="00A9313A"/>
    <w:rsid w:val="00A93D63"/>
    <w:rsid w:val="00A963BC"/>
    <w:rsid w:val="00A97F5D"/>
    <w:rsid w:val="00AB13C9"/>
    <w:rsid w:val="00AB7AE6"/>
    <w:rsid w:val="00AC237E"/>
    <w:rsid w:val="00AC3C24"/>
    <w:rsid w:val="00AE0F0A"/>
    <w:rsid w:val="00AE4639"/>
    <w:rsid w:val="00AE73C8"/>
    <w:rsid w:val="00AE796E"/>
    <w:rsid w:val="00AF0540"/>
    <w:rsid w:val="00AF20DB"/>
    <w:rsid w:val="00AF20E5"/>
    <w:rsid w:val="00AF3C0D"/>
    <w:rsid w:val="00AF61F8"/>
    <w:rsid w:val="00AF7164"/>
    <w:rsid w:val="00B02349"/>
    <w:rsid w:val="00B0242D"/>
    <w:rsid w:val="00B04A18"/>
    <w:rsid w:val="00B05301"/>
    <w:rsid w:val="00B068A3"/>
    <w:rsid w:val="00B06AD2"/>
    <w:rsid w:val="00B1163F"/>
    <w:rsid w:val="00B12186"/>
    <w:rsid w:val="00B122B6"/>
    <w:rsid w:val="00B15763"/>
    <w:rsid w:val="00B20E47"/>
    <w:rsid w:val="00B274D5"/>
    <w:rsid w:val="00B35615"/>
    <w:rsid w:val="00B414C9"/>
    <w:rsid w:val="00B41635"/>
    <w:rsid w:val="00B47CC6"/>
    <w:rsid w:val="00B51CB8"/>
    <w:rsid w:val="00B5357A"/>
    <w:rsid w:val="00B55860"/>
    <w:rsid w:val="00B56D45"/>
    <w:rsid w:val="00B5738F"/>
    <w:rsid w:val="00B72150"/>
    <w:rsid w:val="00B927E5"/>
    <w:rsid w:val="00B93912"/>
    <w:rsid w:val="00BA33F0"/>
    <w:rsid w:val="00BC49F4"/>
    <w:rsid w:val="00BC6ED4"/>
    <w:rsid w:val="00BC70F1"/>
    <w:rsid w:val="00BE2CA6"/>
    <w:rsid w:val="00BE76D5"/>
    <w:rsid w:val="00BF50F7"/>
    <w:rsid w:val="00BF520D"/>
    <w:rsid w:val="00BF6D6E"/>
    <w:rsid w:val="00C02237"/>
    <w:rsid w:val="00C025B7"/>
    <w:rsid w:val="00C06B00"/>
    <w:rsid w:val="00C14149"/>
    <w:rsid w:val="00C174A8"/>
    <w:rsid w:val="00C17B8A"/>
    <w:rsid w:val="00C21BF6"/>
    <w:rsid w:val="00C23E67"/>
    <w:rsid w:val="00C24EE2"/>
    <w:rsid w:val="00C26115"/>
    <w:rsid w:val="00C26D02"/>
    <w:rsid w:val="00C308DC"/>
    <w:rsid w:val="00C31617"/>
    <w:rsid w:val="00C32537"/>
    <w:rsid w:val="00C33E57"/>
    <w:rsid w:val="00C456B9"/>
    <w:rsid w:val="00C46933"/>
    <w:rsid w:val="00C46AF5"/>
    <w:rsid w:val="00C5215F"/>
    <w:rsid w:val="00C52A82"/>
    <w:rsid w:val="00C55F7A"/>
    <w:rsid w:val="00C6447D"/>
    <w:rsid w:val="00C6693F"/>
    <w:rsid w:val="00C67B80"/>
    <w:rsid w:val="00C67C42"/>
    <w:rsid w:val="00C72A4C"/>
    <w:rsid w:val="00C74B5B"/>
    <w:rsid w:val="00C923ED"/>
    <w:rsid w:val="00C93F62"/>
    <w:rsid w:val="00CA3A70"/>
    <w:rsid w:val="00CA4AD9"/>
    <w:rsid w:val="00CB2E02"/>
    <w:rsid w:val="00CB4A28"/>
    <w:rsid w:val="00CC290D"/>
    <w:rsid w:val="00CD2FDF"/>
    <w:rsid w:val="00CE1408"/>
    <w:rsid w:val="00CE1E26"/>
    <w:rsid w:val="00CE6418"/>
    <w:rsid w:val="00CE7AEC"/>
    <w:rsid w:val="00CF7D18"/>
    <w:rsid w:val="00D019D5"/>
    <w:rsid w:val="00D03D9B"/>
    <w:rsid w:val="00D0503F"/>
    <w:rsid w:val="00D10123"/>
    <w:rsid w:val="00D14C1D"/>
    <w:rsid w:val="00D16BD3"/>
    <w:rsid w:val="00D210B5"/>
    <w:rsid w:val="00D22C2B"/>
    <w:rsid w:val="00D27030"/>
    <w:rsid w:val="00D31036"/>
    <w:rsid w:val="00D3299C"/>
    <w:rsid w:val="00D34EA0"/>
    <w:rsid w:val="00D43367"/>
    <w:rsid w:val="00D47EEE"/>
    <w:rsid w:val="00D5096A"/>
    <w:rsid w:val="00D60E69"/>
    <w:rsid w:val="00D63CE8"/>
    <w:rsid w:val="00D702BF"/>
    <w:rsid w:val="00D712E8"/>
    <w:rsid w:val="00D75B0F"/>
    <w:rsid w:val="00D8664E"/>
    <w:rsid w:val="00D866B8"/>
    <w:rsid w:val="00D92A21"/>
    <w:rsid w:val="00D9374A"/>
    <w:rsid w:val="00D955F5"/>
    <w:rsid w:val="00DA6567"/>
    <w:rsid w:val="00DB01CC"/>
    <w:rsid w:val="00DB3111"/>
    <w:rsid w:val="00DC09D0"/>
    <w:rsid w:val="00DC1EFA"/>
    <w:rsid w:val="00DC2D4E"/>
    <w:rsid w:val="00DD0ADF"/>
    <w:rsid w:val="00DD5031"/>
    <w:rsid w:val="00DD6FA9"/>
    <w:rsid w:val="00DD7526"/>
    <w:rsid w:val="00DE108B"/>
    <w:rsid w:val="00DE263F"/>
    <w:rsid w:val="00DE7725"/>
    <w:rsid w:val="00E1261F"/>
    <w:rsid w:val="00E14216"/>
    <w:rsid w:val="00E210AD"/>
    <w:rsid w:val="00E23C9B"/>
    <w:rsid w:val="00E31EE8"/>
    <w:rsid w:val="00E33E05"/>
    <w:rsid w:val="00E57590"/>
    <w:rsid w:val="00E66BA8"/>
    <w:rsid w:val="00E671C3"/>
    <w:rsid w:val="00E67DD1"/>
    <w:rsid w:val="00E7129B"/>
    <w:rsid w:val="00E749D3"/>
    <w:rsid w:val="00E82D9B"/>
    <w:rsid w:val="00E90142"/>
    <w:rsid w:val="00E9269E"/>
    <w:rsid w:val="00E93F21"/>
    <w:rsid w:val="00E95C1F"/>
    <w:rsid w:val="00E97010"/>
    <w:rsid w:val="00EA0CF9"/>
    <w:rsid w:val="00EA2AF3"/>
    <w:rsid w:val="00EA50CC"/>
    <w:rsid w:val="00EB09BF"/>
    <w:rsid w:val="00EC097F"/>
    <w:rsid w:val="00EC2CE7"/>
    <w:rsid w:val="00ED3ACF"/>
    <w:rsid w:val="00ED5C16"/>
    <w:rsid w:val="00ED61B2"/>
    <w:rsid w:val="00ED7E51"/>
    <w:rsid w:val="00EE0384"/>
    <w:rsid w:val="00EE1606"/>
    <w:rsid w:val="00EE53D8"/>
    <w:rsid w:val="00EE5638"/>
    <w:rsid w:val="00EF0D0D"/>
    <w:rsid w:val="00EF570B"/>
    <w:rsid w:val="00F0678F"/>
    <w:rsid w:val="00F06901"/>
    <w:rsid w:val="00F06EE8"/>
    <w:rsid w:val="00F07349"/>
    <w:rsid w:val="00F10B08"/>
    <w:rsid w:val="00F167CA"/>
    <w:rsid w:val="00F2074C"/>
    <w:rsid w:val="00F20F79"/>
    <w:rsid w:val="00F22AE5"/>
    <w:rsid w:val="00F27E98"/>
    <w:rsid w:val="00F348FF"/>
    <w:rsid w:val="00F4382D"/>
    <w:rsid w:val="00F54D6C"/>
    <w:rsid w:val="00F6196A"/>
    <w:rsid w:val="00F67BBE"/>
    <w:rsid w:val="00F73E8F"/>
    <w:rsid w:val="00F7494B"/>
    <w:rsid w:val="00F763AA"/>
    <w:rsid w:val="00F76AFA"/>
    <w:rsid w:val="00F77618"/>
    <w:rsid w:val="00F8228F"/>
    <w:rsid w:val="00F82780"/>
    <w:rsid w:val="00F827F6"/>
    <w:rsid w:val="00F84A67"/>
    <w:rsid w:val="00F911CE"/>
    <w:rsid w:val="00F9143A"/>
    <w:rsid w:val="00F926FD"/>
    <w:rsid w:val="00F94E56"/>
    <w:rsid w:val="00F96AFE"/>
    <w:rsid w:val="00FA1514"/>
    <w:rsid w:val="00FA4138"/>
    <w:rsid w:val="00FB194B"/>
    <w:rsid w:val="00FB2ADE"/>
    <w:rsid w:val="00FC5764"/>
    <w:rsid w:val="00FD153B"/>
    <w:rsid w:val="00FD1857"/>
    <w:rsid w:val="00FE4094"/>
    <w:rsid w:val="00FE5564"/>
    <w:rsid w:val="00FE69A9"/>
    <w:rsid w:val="00FF1690"/>
    <w:rsid w:val="00FF6FC2"/>
    <w:rsid w:val="00FF7E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F0678F"/>
    <w:pPr>
      <w:spacing w:after="120" w:line="288" w:lineRule="auto"/>
    </w:pPr>
    <w:rPr>
      <w:rFonts w:ascii="Verdana" w:hAnsi="Verdana" w:cs="Arial"/>
      <w:kern w:val="28"/>
    </w:rPr>
  </w:style>
  <w:style w:type="paragraph" w:styleId="Heading1">
    <w:name w:val="heading 1"/>
    <w:basedOn w:val="Normal"/>
    <w:next w:val="Normal"/>
    <w:link w:val="Heading1Char"/>
    <w:uiPriority w:val="99"/>
    <w:qFormat/>
    <w:rsid w:val="001A0D3A"/>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36"/>
    </w:rPr>
  </w:style>
  <w:style w:type="paragraph" w:styleId="Heading2">
    <w:name w:val="heading 2"/>
    <w:basedOn w:val="Normal"/>
    <w:next w:val="Normal"/>
    <w:link w:val="Heading2Char"/>
    <w:uiPriority w:val="99"/>
    <w:qFormat/>
    <w:rsid w:val="00F0678F"/>
    <w:pPr>
      <w:spacing w:before="240"/>
      <w:outlineLvl w:val="1"/>
    </w:pPr>
    <w:rPr>
      <w:b/>
      <w:sz w:val="28"/>
      <w:szCs w:val="28"/>
    </w:rPr>
  </w:style>
  <w:style w:type="paragraph" w:styleId="Heading3">
    <w:name w:val="heading 3"/>
    <w:basedOn w:val="Normal"/>
    <w:next w:val="Normal"/>
    <w:link w:val="Heading3Char"/>
    <w:uiPriority w:val="99"/>
    <w:qFormat/>
    <w:rsid w:val="007814CC"/>
    <w:pPr>
      <w:keepNext/>
      <w:keepLines/>
      <w:spacing w:before="240"/>
      <w:outlineLvl w:val="2"/>
    </w:pPr>
    <w:rPr>
      <w:rFonts w:eastAsiaTheme="majorEastAsia"/>
      <w:b/>
      <w:bCs/>
      <w:kern w:val="0"/>
      <w:sz w:val="24"/>
      <w:szCs w:val="22"/>
      <w:lang w:eastAsia="en-AU"/>
    </w:rPr>
  </w:style>
  <w:style w:type="paragraph" w:styleId="Heading4">
    <w:name w:val="heading 4"/>
    <w:basedOn w:val="Normal"/>
    <w:next w:val="Normal"/>
    <w:link w:val="Heading4Char"/>
    <w:uiPriority w:val="99"/>
    <w:qFormat/>
    <w:rsid w:val="00F167CA"/>
    <w:pPr>
      <w:keepNext/>
      <w:keepLines/>
      <w:spacing w:before="480" w:after="480"/>
      <w:outlineLvl w:val="3"/>
    </w:pPr>
    <w:rPr>
      <w:rFonts w:ascii="Arial" w:eastAsiaTheme="majorEastAsia" w:hAnsi="Arial" w:cs="Times New Roman"/>
      <w:bCs/>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0D3A"/>
    <w:rPr>
      <w:rFonts w:ascii="Georgia" w:eastAsiaTheme="majorEastAsia" w:hAnsi="Georgia" w:cs="Arial"/>
      <w:b/>
      <w:bCs/>
      <w:color w:val="121F6B"/>
      <w:sz w:val="36"/>
      <w:szCs w:val="36"/>
    </w:rPr>
  </w:style>
  <w:style w:type="character" w:customStyle="1" w:styleId="Heading2Char">
    <w:name w:val="Heading 2 Char"/>
    <w:basedOn w:val="DefaultParagraphFont"/>
    <w:link w:val="Heading2"/>
    <w:uiPriority w:val="99"/>
    <w:rsid w:val="00F0678F"/>
    <w:rPr>
      <w:rFonts w:ascii="Verdana" w:hAnsi="Verdana" w:cs="Arial"/>
      <w:b/>
      <w:kern w:val="28"/>
      <w:sz w:val="28"/>
      <w:szCs w:val="28"/>
    </w:rPr>
  </w:style>
  <w:style w:type="character" w:customStyle="1" w:styleId="Heading3Char">
    <w:name w:val="Heading 3 Char"/>
    <w:basedOn w:val="DefaultParagraphFont"/>
    <w:link w:val="Heading3"/>
    <w:uiPriority w:val="99"/>
    <w:rsid w:val="007814CC"/>
    <w:rPr>
      <w:rFonts w:ascii="Verdana" w:eastAsiaTheme="majorEastAsia" w:hAnsi="Verdana" w:cs="Arial"/>
      <w:b/>
      <w:bCs/>
      <w:sz w:val="24"/>
      <w:szCs w:val="22"/>
      <w:lang w:eastAsia="en-AU"/>
    </w:rPr>
  </w:style>
  <w:style w:type="character" w:customStyle="1" w:styleId="Heading4Char">
    <w:name w:val="Heading 4 Char"/>
    <w:basedOn w:val="DefaultParagraphFont"/>
    <w:link w:val="Heading4"/>
    <w:uiPriority w:val="99"/>
    <w:rsid w:val="00F167CA"/>
    <w:rPr>
      <w:rFonts w:ascii="Arial" w:eastAsiaTheme="majorEastAsia" w:hAnsi="Arial"/>
      <w:bCs/>
      <w:iCs/>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qFormat/>
    <w:rsid w:val="009E3D6F"/>
    <w:pPr>
      <w:numPr>
        <w:numId w:val="9"/>
      </w:numPr>
      <w:tabs>
        <w:tab w:val="clear" w:pos="360"/>
      </w:tabs>
      <w:suppressAutoHyphens/>
      <w:autoSpaceDE w:val="0"/>
      <w:autoSpaceDN w:val="0"/>
      <w:adjustRightInd w:val="0"/>
      <w:ind w:left="284" w:hanging="284"/>
      <w:textAlignment w:val="center"/>
    </w:pPr>
    <w:rPr>
      <w:rFonts w:eastAsia="Times New Roman"/>
      <w:lang w:eastAsia="en-AU"/>
    </w:rPr>
  </w:style>
  <w:style w:type="paragraph" w:customStyle="1" w:styleId="Bullet2">
    <w:name w:val="Bullet2"/>
    <w:qFormat/>
    <w:rsid w:val="009E3D6F"/>
    <w:pPr>
      <w:numPr>
        <w:numId w:val="12"/>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394C5E"/>
    <w:pPr>
      <w:tabs>
        <w:tab w:val="right" w:leader="dot" w:pos="9016"/>
      </w:tabs>
      <w:spacing w:after="100"/>
    </w:pPr>
    <w:rPr>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D31036"/>
    <w:pPr>
      <w:spacing w:after="100"/>
      <w:ind w:left="220"/>
    </w:pPr>
  </w:style>
  <w:style w:type="paragraph" w:styleId="Caption">
    <w:name w:val="caption"/>
    <w:basedOn w:val="Normal"/>
    <w:next w:val="Normal"/>
    <w:uiPriority w:val="35"/>
    <w:unhideWhenUsed/>
    <w:qFormat/>
    <w:locked/>
    <w:rsid w:val="00BC70F1"/>
    <w:pPr>
      <w:spacing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qFormat/>
    <w:rsid w:val="00B47CC6"/>
    <w:pPr>
      <w:pBdr>
        <w:bottom w:val="single" w:sz="24" w:space="9" w:color="121F6B"/>
      </w:pBdr>
      <w:spacing w:before="9960" w:line="960" w:lineRule="exact"/>
      <w:ind w:right="-1440"/>
    </w:pPr>
    <w:rPr>
      <w:rFonts w:ascii="Georgia" w:hAnsi="Georgia" w:cs="Arial"/>
      <w:b/>
      <w:noProof/>
      <w:color w:val="121F6B"/>
      <w:kern w:val="28"/>
      <w:sz w:val="96"/>
      <w:lang w:eastAsia="en-NZ"/>
    </w:rPr>
  </w:style>
  <w:style w:type="paragraph" w:customStyle="1" w:styleId="Report2">
    <w:name w:val="Report2"/>
    <w:qFormat/>
    <w:rsid w:val="00B47CC6"/>
    <w:pPr>
      <w:spacing w:before="240"/>
    </w:pPr>
    <w:rPr>
      <w:rFonts w:ascii="Georgia" w:hAnsi="Georgia" w:cs="Arial"/>
      <w:b/>
      <w:color w:val="121F6B"/>
      <w:kern w:val="28"/>
      <w:sz w:val="40"/>
      <w:szCs w:val="40"/>
      <w:lang w:val="en-US"/>
    </w:rPr>
  </w:style>
  <w:style w:type="paragraph" w:styleId="BodyText">
    <w:name w:val="Body Text"/>
    <w:basedOn w:val="Normal"/>
    <w:link w:val="BodyTextChar1"/>
    <w:rsid w:val="00B56D45"/>
    <w:pPr>
      <w:suppressAutoHyphens/>
      <w:autoSpaceDE w:val="0"/>
      <w:autoSpaceDN w:val="0"/>
      <w:adjustRightInd w:val="0"/>
      <w:spacing w:before="240" w:after="0" w:line="280" w:lineRule="atLeast"/>
      <w:textAlignment w:val="center"/>
    </w:pPr>
    <w:rPr>
      <w:rFonts w:ascii="Arial" w:eastAsia="Times New Roman" w:hAnsi="Arial"/>
      <w:color w:val="000000"/>
      <w:kern w:val="0"/>
      <w:sz w:val="22"/>
      <w:szCs w:val="22"/>
      <w:lang w:val="en-US" w:eastAsia="en-NZ"/>
    </w:rPr>
  </w:style>
  <w:style w:type="character" w:customStyle="1" w:styleId="BodyTextChar">
    <w:name w:val="Body Text Char"/>
    <w:basedOn w:val="DefaultParagraphFont"/>
    <w:uiPriority w:val="99"/>
    <w:semiHidden/>
    <w:rsid w:val="00B56D45"/>
    <w:rPr>
      <w:rFonts w:ascii="Verdana" w:hAnsi="Verdana" w:cs="Arial"/>
      <w:kern w:val="28"/>
    </w:rPr>
  </w:style>
  <w:style w:type="character" w:customStyle="1" w:styleId="BodyTextChar1">
    <w:name w:val="Body Text Char1"/>
    <w:link w:val="BodyText"/>
    <w:rsid w:val="00B56D45"/>
    <w:rPr>
      <w:rFonts w:ascii="Arial" w:eastAsia="Times New Roman" w:hAnsi="Arial" w:cs="Arial"/>
      <w:color w:val="000000"/>
      <w:sz w:val="22"/>
      <w:szCs w:val="22"/>
      <w:lang w:val="en-US" w:eastAsia="en-NZ"/>
    </w:rPr>
  </w:style>
  <w:style w:type="paragraph" w:styleId="FootnoteText">
    <w:name w:val="footnote text"/>
    <w:aliases w:val="Footnote Text Char Char,Footnote Text Char Char2 Char Char,Footnote Text Char Char1 Char Char Char Char,Footnote Text Char1 Char Char Char Char Char Char,Footnote Text Char Char Char Char Char Char Char Char"/>
    <w:basedOn w:val="Normal"/>
    <w:link w:val="FootnoteTextChar"/>
    <w:rsid w:val="00756575"/>
    <w:pPr>
      <w:spacing w:after="0" w:line="240" w:lineRule="auto"/>
    </w:pPr>
  </w:style>
  <w:style w:type="character" w:customStyle="1" w:styleId="FootnoteTextChar">
    <w:name w:val="Footnote Text Char"/>
    <w:aliases w:val="Footnote Text Char Char Char,Footnote Text Char Char2 Char Char Char,Footnote Text Char Char1 Char Char Char Char Char,Footnote Text Char1 Char Char Char Char Char Char Char,Footnote Text Char Char Char Char Char Char Char Char Char1"/>
    <w:basedOn w:val="DefaultParagraphFont"/>
    <w:link w:val="FootnoteText"/>
    <w:rsid w:val="00756575"/>
    <w:rPr>
      <w:rFonts w:ascii="Verdana" w:hAnsi="Verdana" w:cs="Arial"/>
      <w:kern w:val="28"/>
    </w:rPr>
  </w:style>
  <w:style w:type="character" w:styleId="FootnoteReference">
    <w:name w:val="footnote reference"/>
    <w:basedOn w:val="DefaultParagraphFont"/>
    <w:rsid w:val="00756575"/>
    <w:rPr>
      <w:vertAlign w:val="superscript"/>
    </w:rPr>
  </w:style>
  <w:style w:type="character" w:styleId="CommentReference">
    <w:name w:val="annotation reference"/>
    <w:uiPriority w:val="99"/>
    <w:semiHidden/>
    <w:rsid w:val="00116C07"/>
    <w:rPr>
      <w:sz w:val="16"/>
      <w:szCs w:val="16"/>
    </w:rPr>
  </w:style>
  <w:style w:type="paragraph" w:styleId="CommentText">
    <w:name w:val="annotation text"/>
    <w:basedOn w:val="Normal"/>
    <w:link w:val="CommentTextChar"/>
    <w:uiPriority w:val="99"/>
    <w:semiHidden/>
    <w:rsid w:val="00116C07"/>
    <w:pPr>
      <w:suppressAutoHyphens/>
      <w:autoSpaceDE w:val="0"/>
      <w:autoSpaceDN w:val="0"/>
      <w:adjustRightInd w:val="0"/>
      <w:spacing w:after="170" w:line="280" w:lineRule="atLeast"/>
      <w:textAlignment w:val="center"/>
    </w:pPr>
    <w:rPr>
      <w:rFonts w:ascii="Arial" w:eastAsia="Times New Roman" w:hAnsi="Arial" w:cs="Times New Roman"/>
      <w:color w:val="000000"/>
      <w:kern w:val="0"/>
      <w:lang w:val="en-GB" w:eastAsia="x-none"/>
    </w:rPr>
  </w:style>
  <w:style w:type="character" w:customStyle="1" w:styleId="CommentTextChar">
    <w:name w:val="Comment Text Char"/>
    <w:basedOn w:val="DefaultParagraphFont"/>
    <w:link w:val="CommentText"/>
    <w:uiPriority w:val="99"/>
    <w:semiHidden/>
    <w:rsid w:val="00116C07"/>
    <w:rPr>
      <w:rFonts w:ascii="Arial" w:eastAsia="Times New Roman" w:hAnsi="Arial"/>
      <w:color w:val="000000"/>
      <w:lang w:val="en-GB" w:eastAsia="x-none"/>
    </w:rPr>
  </w:style>
  <w:style w:type="paragraph" w:customStyle="1" w:styleId="FooterText">
    <w:name w:val="Footer Text"/>
    <w:basedOn w:val="Normal"/>
    <w:semiHidden/>
    <w:qFormat/>
    <w:rsid w:val="0092536F"/>
    <w:pPr>
      <w:tabs>
        <w:tab w:val="center" w:pos="4513"/>
        <w:tab w:val="right" w:pos="9026"/>
      </w:tabs>
      <w:suppressAutoHyphens/>
      <w:autoSpaceDE w:val="0"/>
      <w:autoSpaceDN w:val="0"/>
      <w:adjustRightInd w:val="0"/>
      <w:spacing w:after="0" w:line="240" w:lineRule="auto"/>
      <w:textAlignment w:val="center"/>
    </w:pPr>
    <w:rPr>
      <w:rFonts w:ascii="Arial" w:eastAsia="Times New Roman" w:hAnsi="Arial"/>
      <w:color w:val="007073"/>
      <w:kern w:val="0"/>
      <w:sz w:val="16"/>
      <w:szCs w:val="16"/>
      <w:lang w:val="en-GB" w:eastAsia="en-NZ"/>
    </w:rPr>
  </w:style>
  <w:style w:type="paragraph" w:customStyle="1" w:styleId="Dividerline">
    <w:name w:val="Divider line"/>
    <w:basedOn w:val="Normal"/>
    <w:semiHidden/>
    <w:qFormat/>
    <w:rsid w:val="003E33B8"/>
    <w:pPr>
      <w:pBdr>
        <w:bottom w:val="single" w:sz="2" w:space="1" w:color="E6F2F3"/>
      </w:pBdr>
      <w:suppressAutoHyphens/>
      <w:autoSpaceDE w:val="0"/>
      <w:autoSpaceDN w:val="0"/>
      <w:adjustRightInd w:val="0"/>
      <w:spacing w:after="480" w:line="280" w:lineRule="atLeast"/>
      <w:ind w:left="-505" w:right="-885"/>
      <w:textAlignment w:val="center"/>
    </w:pPr>
    <w:rPr>
      <w:rFonts w:ascii="Arial" w:eastAsia="Times New Roman" w:hAnsi="Arial"/>
      <w:color w:val="000000"/>
      <w:kern w:val="0"/>
      <w:sz w:val="32"/>
      <w:szCs w:val="22"/>
      <w:lang w:val="en-GB" w:eastAsia="en-NZ"/>
    </w:rPr>
  </w:style>
  <w:style w:type="character" w:customStyle="1" w:styleId="FootnoteTextChar1">
    <w:name w:val="Footnote Text Char1"/>
    <w:aliases w:val="Footnote Text Char Char Char Char Char Char Char Char Char"/>
    <w:rsid w:val="003E33B8"/>
    <w:rPr>
      <w:rFonts w:ascii="Arial" w:hAnsi="Arial" w:cs="Arial"/>
      <w:color w:val="54534C"/>
      <w:sz w:val="16"/>
      <w:szCs w:val="16"/>
      <w:lang w:val="en-US" w:eastAsia="en-NZ" w:bidi="ar-SA"/>
    </w:rPr>
  </w:style>
  <w:style w:type="paragraph" w:customStyle="1" w:styleId="bullet10">
    <w:name w:val="bullet 1"/>
    <w:basedOn w:val="Normal"/>
    <w:rsid w:val="00F54D6C"/>
    <w:pPr>
      <w:numPr>
        <w:numId w:val="33"/>
      </w:numPr>
      <w:suppressAutoHyphens/>
      <w:autoSpaceDE w:val="0"/>
      <w:autoSpaceDN w:val="0"/>
      <w:adjustRightInd w:val="0"/>
      <w:spacing w:after="57" w:line="320" w:lineRule="atLeast"/>
      <w:ind w:left="357" w:hanging="357"/>
      <w:textAlignment w:val="center"/>
    </w:pPr>
    <w:rPr>
      <w:rFonts w:ascii="Arial" w:eastAsia="Times New Roman" w:hAnsi="Arial" w:cs="Arial (TT)"/>
      <w:kern w:val="0"/>
      <w:sz w:val="24"/>
      <w:szCs w:val="22"/>
      <w:lang w:val="en-US" w:eastAsia="en-NZ"/>
    </w:rPr>
  </w:style>
  <w:style w:type="paragraph" w:customStyle="1" w:styleId="Introduction">
    <w:name w:val="Introduction"/>
    <w:basedOn w:val="Normal"/>
    <w:rsid w:val="00ED61B2"/>
    <w:pPr>
      <w:suppressAutoHyphens/>
      <w:autoSpaceDE w:val="0"/>
      <w:autoSpaceDN w:val="0"/>
      <w:adjustRightInd w:val="0"/>
      <w:spacing w:after="283" w:line="380" w:lineRule="atLeast"/>
      <w:textAlignment w:val="center"/>
    </w:pPr>
    <w:rPr>
      <w:rFonts w:ascii="Arial" w:eastAsia="Times New Roman" w:hAnsi="Arial"/>
      <w:bCs/>
      <w:color w:val="007073"/>
      <w:kern w:val="0"/>
      <w:sz w:val="30"/>
      <w:szCs w:val="26"/>
      <w:lang w:val="en-US" w:eastAsia="en-NZ"/>
    </w:rPr>
  </w:style>
  <w:style w:type="paragraph" w:customStyle="1" w:styleId="bullet1last">
    <w:name w:val="bullet 1 last"/>
    <w:basedOn w:val="bullet10"/>
    <w:qFormat/>
    <w:rsid w:val="0031093E"/>
    <w:pPr>
      <w:numPr>
        <w:numId w:val="0"/>
      </w:numPr>
      <w:spacing w:after="170"/>
      <w:ind w:left="357" w:hanging="357"/>
    </w:pPr>
  </w:style>
  <w:style w:type="paragraph" w:styleId="NormalWeb">
    <w:name w:val="Normal (Web)"/>
    <w:basedOn w:val="Normal"/>
    <w:uiPriority w:val="99"/>
    <w:unhideWhenUsed/>
    <w:rsid w:val="0031093E"/>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rsid w:val="002D665D"/>
    <w:pPr>
      <w:suppressAutoHyphens w:val="0"/>
      <w:autoSpaceDE/>
      <w:autoSpaceDN/>
      <w:adjustRightInd/>
      <w:spacing w:after="120" w:line="240" w:lineRule="auto"/>
      <w:textAlignment w:val="auto"/>
    </w:pPr>
    <w:rPr>
      <w:rFonts w:ascii="Verdana" w:eastAsia="Calibri" w:hAnsi="Verdana" w:cs="Arial"/>
      <w:b/>
      <w:bCs/>
      <w:color w:val="auto"/>
      <w:kern w:val="28"/>
      <w:lang w:val="en-NZ" w:eastAsia="en-US"/>
    </w:rPr>
  </w:style>
  <w:style w:type="character" w:customStyle="1" w:styleId="CommentSubjectChar">
    <w:name w:val="Comment Subject Char"/>
    <w:basedOn w:val="CommentTextChar"/>
    <w:link w:val="CommentSubject"/>
    <w:uiPriority w:val="99"/>
    <w:semiHidden/>
    <w:rsid w:val="002D665D"/>
    <w:rPr>
      <w:rFonts w:ascii="Verdana" w:eastAsia="Times New Roman" w:hAnsi="Verdana" w:cs="Arial"/>
      <w:b/>
      <w:bCs/>
      <w:color w:val="000000"/>
      <w:kern w:val="28"/>
      <w:lang w:val="en-GB" w:eastAsia="x-none"/>
    </w:rPr>
  </w:style>
  <w:style w:type="character" w:customStyle="1" w:styleId="FootnoteTextChar2">
    <w:name w:val="Footnote Text Char2"/>
    <w:aliases w:val="Footnote Text Char Char Char1,Footnote Text Char Char2 Char Char Char1,Footnote Text Char Char1 Char Char Char Char Char1,Footnote Text Char1 Char Char Char Char Char Char Char1"/>
    <w:basedOn w:val="DefaultParagraphFont"/>
    <w:uiPriority w:val="99"/>
    <w:semiHidden/>
    <w:locked/>
    <w:rsid w:val="002D665D"/>
    <w:rPr>
      <w:rFonts w:ascii="Verdana" w:hAnsi="Verdana" w:cs="Arial"/>
      <w:kern w:val="28"/>
    </w:rPr>
  </w:style>
  <w:style w:type="table" w:customStyle="1" w:styleId="TableGrid1">
    <w:name w:val="Table Grid1"/>
    <w:basedOn w:val="TableNormal"/>
    <w:next w:val="TableGrid"/>
    <w:uiPriority w:val="59"/>
    <w:rsid w:val="00A23BA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Creport">
    <w:name w:val="MAC report"/>
    <w:basedOn w:val="TableNormal"/>
    <w:uiPriority w:val="59"/>
    <w:rsid w:val="00625F09"/>
    <w:rPr>
      <w:rFonts w:ascii="Verdana" w:hAnsi="Verdana"/>
    </w:rPr>
    <w:tblPr>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Pr>
    <w:tcPr>
      <w:vAlign w:val="center"/>
    </w:tcPr>
  </w:style>
  <w:style w:type="table" w:styleId="LightShading-Accent1">
    <w:name w:val="Light Shading Accent 1"/>
    <w:basedOn w:val="TableNormal"/>
    <w:uiPriority w:val="60"/>
    <w:rsid w:val="00E1261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000471"/>
    <w:rPr>
      <w:rFonts w:ascii="Verdana" w:hAnsi="Verdana" w:cs="Arial"/>
      <w:kern w:val="28"/>
    </w:rPr>
  </w:style>
  <w:style w:type="character" w:customStyle="1" w:styleId="goog-trans-section">
    <w:name w:val="goog-trans-section"/>
    <w:basedOn w:val="DefaultParagraphFont"/>
    <w:rsid w:val="00600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F0678F"/>
    <w:pPr>
      <w:spacing w:after="120" w:line="288" w:lineRule="auto"/>
    </w:pPr>
    <w:rPr>
      <w:rFonts w:ascii="Verdana" w:hAnsi="Verdana" w:cs="Arial"/>
      <w:kern w:val="28"/>
    </w:rPr>
  </w:style>
  <w:style w:type="paragraph" w:styleId="Heading1">
    <w:name w:val="heading 1"/>
    <w:basedOn w:val="Normal"/>
    <w:next w:val="Normal"/>
    <w:link w:val="Heading1Char"/>
    <w:uiPriority w:val="99"/>
    <w:qFormat/>
    <w:rsid w:val="001A0D3A"/>
    <w:pPr>
      <w:keepNext/>
      <w:keepLines/>
      <w:pBdr>
        <w:bottom w:val="single" w:sz="4" w:space="1" w:color="121F6B"/>
      </w:pBdr>
      <w:spacing w:before="360" w:after="240"/>
      <w:ind w:right="-1440"/>
      <w:outlineLvl w:val="0"/>
    </w:pPr>
    <w:rPr>
      <w:rFonts w:ascii="Georgia" w:eastAsiaTheme="majorEastAsia" w:hAnsi="Georgia"/>
      <w:b/>
      <w:bCs/>
      <w:color w:val="121F6B"/>
      <w:kern w:val="0"/>
      <w:sz w:val="36"/>
      <w:szCs w:val="36"/>
    </w:rPr>
  </w:style>
  <w:style w:type="paragraph" w:styleId="Heading2">
    <w:name w:val="heading 2"/>
    <w:basedOn w:val="Normal"/>
    <w:next w:val="Normal"/>
    <w:link w:val="Heading2Char"/>
    <w:uiPriority w:val="99"/>
    <w:qFormat/>
    <w:rsid w:val="00F0678F"/>
    <w:pPr>
      <w:spacing w:before="240"/>
      <w:outlineLvl w:val="1"/>
    </w:pPr>
    <w:rPr>
      <w:b/>
      <w:sz w:val="28"/>
      <w:szCs w:val="28"/>
    </w:rPr>
  </w:style>
  <w:style w:type="paragraph" w:styleId="Heading3">
    <w:name w:val="heading 3"/>
    <w:basedOn w:val="Normal"/>
    <w:next w:val="Normal"/>
    <w:link w:val="Heading3Char"/>
    <w:uiPriority w:val="99"/>
    <w:qFormat/>
    <w:rsid w:val="007814CC"/>
    <w:pPr>
      <w:keepNext/>
      <w:keepLines/>
      <w:spacing w:before="240"/>
      <w:outlineLvl w:val="2"/>
    </w:pPr>
    <w:rPr>
      <w:rFonts w:eastAsiaTheme="majorEastAsia"/>
      <w:b/>
      <w:bCs/>
      <w:kern w:val="0"/>
      <w:sz w:val="24"/>
      <w:szCs w:val="22"/>
      <w:lang w:eastAsia="en-AU"/>
    </w:rPr>
  </w:style>
  <w:style w:type="paragraph" w:styleId="Heading4">
    <w:name w:val="heading 4"/>
    <w:basedOn w:val="Normal"/>
    <w:next w:val="Normal"/>
    <w:link w:val="Heading4Char"/>
    <w:uiPriority w:val="99"/>
    <w:qFormat/>
    <w:rsid w:val="00F167CA"/>
    <w:pPr>
      <w:keepNext/>
      <w:keepLines/>
      <w:spacing w:before="480" w:after="480"/>
      <w:outlineLvl w:val="3"/>
    </w:pPr>
    <w:rPr>
      <w:rFonts w:ascii="Arial" w:eastAsiaTheme="majorEastAsia" w:hAnsi="Arial" w:cs="Times New Roman"/>
      <w:bCs/>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A0D3A"/>
    <w:rPr>
      <w:rFonts w:ascii="Georgia" w:eastAsiaTheme="majorEastAsia" w:hAnsi="Georgia" w:cs="Arial"/>
      <w:b/>
      <w:bCs/>
      <w:color w:val="121F6B"/>
      <w:sz w:val="36"/>
      <w:szCs w:val="36"/>
    </w:rPr>
  </w:style>
  <w:style w:type="character" w:customStyle="1" w:styleId="Heading2Char">
    <w:name w:val="Heading 2 Char"/>
    <w:basedOn w:val="DefaultParagraphFont"/>
    <w:link w:val="Heading2"/>
    <w:uiPriority w:val="99"/>
    <w:rsid w:val="00F0678F"/>
    <w:rPr>
      <w:rFonts w:ascii="Verdana" w:hAnsi="Verdana" w:cs="Arial"/>
      <w:b/>
      <w:kern w:val="28"/>
      <w:sz w:val="28"/>
      <w:szCs w:val="28"/>
    </w:rPr>
  </w:style>
  <w:style w:type="character" w:customStyle="1" w:styleId="Heading3Char">
    <w:name w:val="Heading 3 Char"/>
    <w:basedOn w:val="DefaultParagraphFont"/>
    <w:link w:val="Heading3"/>
    <w:uiPriority w:val="99"/>
    <w:rsid w:val="007814CC"/>
    <w:rPr>
      <w:rFonts w:ascii="Verdana" w:eastAsiaTheme="majorEastAsia" w:hAnsi="Verdana" w:cs="Arial"/>
      <w:b/>
      <w:bCs/>
      <w:sz w:val="24"/>
      <w:szCs w:val="22"/>
      <w:lang w:eastAsia="en-AU"/>
    </w:rPr>
  </w:style>
  <w:style w:type="character" w:customStyle="1" w:styleId="Heading4Char">
    <w:name w:val="Heading 4 Char"/>
    <w:basedOn w:val="DefaultParagraphFont"/>
    <w:link w:val="Heading4"/>
    <w:uiPriority w:val="99"/>
    <w:rsid w:val="00F167CA"/>
    <w:rPr>
      <w:rFonts w:ascii="Arial" w:eastAsiaTheme="majorEastAsia" w:hAnsi="Arial"/>
      <w:bCs/>
      <w:iCs/>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qFormat/>
    <w:rsid w:val="009E3D6F"/>
    <w:pPr>
      <w:numPr>
        <w:numId w:val="9"/>
      </w:numPr>
      <w:tabs>
        <w:tab w:val="clear" w:pos="360"/>
      </w:tabs>
      <w:suppressAutoHyphens/>
      <w:autoSpaceDE w:val="0"/>
      <w:autoSpaceDN w:val="0"/>
      <w:adjustRightInd w:val="0"/>
      <w:ind w:left="284" w:hanging="284"/>
      <w:textAlignment w:val="center"/>
    </w:pPr>
    <w:rPr>
      <w:rFonts w:eastAsia="Times New Roman"/>
      <w:lang w:eastAsia="en-AU"/>
    </w:rPr>
  </w:style>
  <w:style w:type="paragraph" w:customStyle="1" w:styleId="Bullet2">
    <w:name w:val="Bullet2"/>
    <w:qFormat/>
    <w:rsid w:val="009E3D6F"/>
    <w:pPr>
      <w:numPr>
        <w:numId w:val="12"/>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394C5E"/>
    <w:pPr>
      <w:tabs>
        <w:tab w:val="right" w:leader="dot" w:pos="9016"/>
      </w:tabs>
      <w:spacing w:after="100"/>
    </w:pPr>
    <w:rPr>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D31036"/>
    <w:pPr>
      <w:spacing w:after="100"/>
      <w:ind w:left="220"/>
    </w:pPr>
  </w:style>
  <w:style w:type="paragraph" w:styleId="Caption">
    <w:name w:val="caption"/>
    <w:basedOn w:val="Normal"/>
    <w:next w:val="Normal"/>
    <w:uiPriority w:val="35"/>
    <w:unhideWhenUsed/>
    <w:qFormat/>
    <w:locked/>
    <w:rsid w:val="00BC70F1"/>
    <w:pPr>
      <w:spacing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697"/>
    <w:rPr>
      <w:rFonts w:ascii="Verdana" w:hAnsi="Verdana" w:cs="Arial"/>
      <w:kern w:val="28"/>
      <w:sz w:val="22"/>
      <w:lang w:val="en-US"/>
    </w:rPr>
  </w:style>
  <w:style w:type="paragraph" w:customStyle="1" w:styleId="Report">
    <w:name w:val="Report"/>
    <w:qFormat/>
    <w:rsid w:val="00B47CC6"/>
    <w:pPr>
      <w:pBdr>
        <w:bottom w:val="single" w:sz="24" w:space="9" w:color="121F6B"/>
      </w:pBdr>
      <w:spacing w:before="9960" w:line="960" w:lineRule="exact"/>
      <w:ind w:right="-1440"/>
    </w:pPr>
    <w:rPr>
      <w:rFonts w:ascii="Georgia" w:hAnsi="Georgia" w:cs="Arial"/>
      <w:b/>
      <w:noProof/>
      <w:color w:val="121F6B"/>
      <w:kern w:val="28"/>
      <w:sz w:val="96"/>
      <w:lang w:eastAsia="en-NZ"/>
    </w:rPr>
  </w:style>
  <w:style w:type="paragraph" w:customStyle="1" w:styleId="Report2">
    <w:name w:val="Report2"/>
    <w:qFormat/>
    <w:rsid w:val="00B47CC6"/>
    <w:pPr>
      <w:spacing w:before="240"/>
    </w:pPr>
    <w:rPr>
      <w:rFonts w:ascii="Georgia" w:hAnsi="Georgia" w:cs="Arial"/>
      <w:b/>
      <w:color w:val="121F6B"/>
      <w:kern w:val="28"/>
      <w:sz w:val="40"/>
      <w:szCs w:val="40"/>
      <w:lang w:val="en-US"/>
    </w:rPr>
  </w:style>
  <w:style w:type="paragraph" w:styleId="BodyText">
    <w:name w:val="Body Text"/>
    <w:basedOn w:val="Normal"/>
    <w:link w:val="BodyTextChar1"/>
    <w:rsid w:val="00B56D45"/>
    <w:pPr>
      <w:suppressAutoHyphens/>
      <w:autoSpaceDE w:val="0"/>
      <w:autoSpaceDN w:val="0"/>
      <w:adjustRightInd w:val="0"/>
      <w:spacing w:before="240" w:after="0" w:line="280" w:lineRule="atLeast"/>
      <w:textAlignment w:val="center"/>
    </w:pPr>
    <w:rPr>
      <w:rFonts w:ascii="Arial" w:eastAsia="Times New Roman" w:hAnsi="Arial"/>
      <w:color w:val="000000"/>
      <w:kern w:val="0"/>
      <w:sz w:val="22"/>
      <w:szCs w:val="22"/>
      <w:lang w:val="en-US" w:eastAsia="en-NZ"/>
    </w:rPr>
  </w:style>
  <w:style w:type="character" w:customStyle="1" w:styleId="BodyTextChar">
    <w:name w:val="Body Text Char"/>
    <w:basedOn w:val="DefaultParagraphFont"/>
    <w:uiPriority w:val="99"/>
    <w:semiHidden/>
    <w:rsid w:val="00B56D45"/>
    <w:rPr>
      <w:rFonts w:ascii="Verdana" w:hAnsi="Verdana" w:cs="Arial"/>
      <w:kern w:val="28"/>
    </w:rPr>
  </w:style>
  <w:style w:type="character" w:customStyle="1" w:styleId="BodyTextChar1">
    <w:name w:val="Body Text Char1"/>
    <w:link w:val="BodyText"/>
    <w:rsid w:val="00B56D45"/>
    <w:rPr>
      <w:rFonts w:ascii="Arial" w:eastAsia="Times New Roman" w:hAnsi="Arial" w:cs="Arial"/>
      <w:color w:val="000000"/>
      <w:sz w:val="22"/>
      <w:szCs w:val="22"/>
      <w:lang w:val="en-US" w:eastAsia="en-NZ"/>
    </w:rPr>
  </w:style>
  <w:style w:type="paragraph" w:styleId="FootnoteText">
    <w:name w:val="footnote text"/>
    <w:aliases w:val="Footnote Text Char Char,Footnote Text Char Char2 Char Char,Footnote Text Char Char1 Char Char Char Char,Footnote Text Char1 Char Char Char Char Char Char,Footnote Text Char Char Char Char Char Char Char Char"/>
    <w:basedOn w:val="Normal"/>
    <w:link w:val="FootnoteTextChar"/>
    <w:rsid w:val="00756575"/>
    <w:pPr>
      <w:spacing w:after="0" w:line="240" w:lineRule="auto"/>
    </w:pPr>
  </w:style>
  <w:style w:type="character" w:customStyle="1" w:styleId="FootnoteTextChar">
    <w:name w:val="Footnote Text Char"/>
    <w:aliases w:val="Footnote Text Char Char Char,Footnote Text Char Char2 Char Char Char,Footnote Text Char Char1 Char Char Char Char Char,Footnote Text Char1 Char Char Char Char Char Char Char,Footnote Text Char Char Char Char Char Char Char Char Char1"/>
    <w:basedOn w:val="DefaultParagraphFont"/>
    <w:link w:val="FootnoteText"/>
    <w:rsid w:val="00756575"/>
    <w:rPr>
      <w:rFonts w:ascii="Verdana" w:hAnsi="Verdana" w:cs="Arial"/>
      <w:kern w:val="28"/>
    </w:rPr>
  </w:style>
  <w:style w:type="character" w:styleId="FootnoteReference">
    <w:name w:val="footnote reference"/>
    <w:basedOn w:val="DefaultParagraphFont"/>
    <w:rsid w:val="00756575"/>
    <w:rPr>
      <w:vertAlign w:val="superscript"/>
    </w:rPr>
  </w:style>
  <w:style w:type="character" w:styleId="CommentReference">
    <w:name w:val="annotation reference"/>
    <w:uiPriority w:val="99"/>
    <w:semiHidden/>
    <w:rsid w:val="00116C07"/>
    <w:rPr>
      <w:sz w:val="16"/>
      <w:szCs w:val="16"/>
    </w:rPr>
  </w:style>
  <w:style w:type="paragraph" w:styleId="CommentText">
    <w:name w:val="annotation text"/>
    <w:basedOn w:val="Normal"/>
    <w:link w:val="CommentTextChar"/>
    <w:uiPriority w:val="99"/>
    <w:semiHidden/>
    <w:rsid w:val="00116C07"/>
    <w:pPr>
      <w:suppressAutoHyphens/>
      <w:autoSpaceDE w:val="0"/>
      <w:autoSpaceDN w:val="0"/>
      <w:adjustRightInd w:val="0"/>
      <w:spacing w:after="170" w:line="280" w:lineRule="atLeast"/>
      <w:textAlignment w:val="center"/>
    </w:pPr>
    <w:rPr>
      <w:rFonts w:ascii="Arial" w:eastAsia="Times New Roman" w:hAnsi="Arial" w:cs="Times New Roman"/>
      <w:color w:val="000000"/>
      <w:kern w:val="0"/>
      <w:lang w:val="en-GB" w:eastAsia="x-none"/>
    </w:rPr>
  </w:style>
  <w:style w:type="character" w:customStyle="1" w:styleId="CommentTextChar">
    <w:name w:val="Comment Text Char"/>
    <w:basedOn w:val="DefaultParagraphFont"/>
    <w:link w:val="CommentText"/>
    <w:uiPriority w:val="99"/>
    <w:semiHidden/>
    <w:rsid w:val="00116C07"/>
    <w:rPr>
      <w:rFonts w:ascii="Arial" w:eastAsia="Times New Roman" w:hAnsi="Arial"/>
      <w:color w:val="000000"/>
      <w:lang w:val="en-GB" w:eastAsia="x-none"/>
    </w:rPr>
  </w:style>
  <w:style w:type="paragraph" w:customStyle="1" w:styleId="FooterText">
    <w:name w:val="Footer Text"/>
    <w:basedOn w:val="Normal"/>
    <w:semiHidden/>
    <w:qFormat/>
    <w:rsid w:val="0092536F"/>
    <w:pPr>
      <w:tabs>
        <w:tab w:val="center" w:pos="4513"/>
        <w:tab w:val="right" w:pos="9026"/>
      </w:tabs>
      <w:suppressAutoHyphens/>
      <w:autoSpaceDE w:val="0"/>
      <w:autoSpaceDN w:val="0"/>
      <w:adjustRightInd w:val="0"/>
      <w:spacing w:after="0" w:line="240" w:lineRule="auto"/>
      <w:textAlignment w:val="center"/>
    </w:pPr>
    <w:rPr>
      <w:rFonts w:ascii="Arial" w:eastAsia="Times New Roman" w:hAnsi="Arial"/>
      <w:color w:val="007073"/>
      <w:kern w:val="0"/>
      <w:sz w:val="16"/>
      <w:szCs w:val="16"/>
      <w:lang w:val="en-GB" w:eastAsia="en-NZ"/>
    </w:rPr>
  </w:style>
  <w:style w:type="paragraph" w:customStyle="1" w:styleId="Dividerline">
    <w:name w:val="Divider line"/>
    <w:basedOn w:val="Normal"/>
    <w:semiHidden/>
    <w:qFormat/>
    <w:rsid w:val="003E33B8"/>
    <w:pPr>
      <w:pBdr>
        <w:bottom w:val="single" w:sz="2" w:space="1" w:color="E6F2F3"/>
      </w:pBdr>
      <w:suppressAutoHyphens/>
      <w:autoSpaceDE w:val="0"/>
      <w:autoSpaceDN w:val="0"/>
      <w:adjustRightInd w:val="0"/>
      <w:spacing w:after="480" w:line="280" w:lineRule="atLeast"/>
      <w:ind w:left="-505" w:right="-885"/>
      <w:textAlignment w:val="center"/>
    </w:pPr>
    <w:rPr>
      <w:rFonts w:ascii="Arial" w:eastAsia="Times New Roman" w:hAnsi="Arial"/>
      <w:color w:val="000000"/>
      <w:kern w:val="0"/>
      <w:sz w:val="32"/>
      <w:szCs w:val="22"/>
      <w:lang w:val="en-GB" w:eastAsia="en-NZ"/>
    </w:rPr>
  </w:style>
  <w:style w:type="character" w:customStyle="1" w:styleId="FootnoteTextChar1">
    <w:name w:val="Footnote Text Char1"/>
    <w:aliases w:val="Footnote Text Char Char Char Char Char Char Char Char Char"/>
    <w:rsid w:val="003E33B8"/>
    <w:rPr>
      <w:rFonts w:ascii="Arial" w:hAnsi="Arial" w:cs="Arial"/>
      <w:color w:val="54534C"/>
      <w:sz w:val="16"/>
      <w:szCs w:val="16"/>
      <w:lang w:val="en-US" w:eastAsia="en-NZ" w:bidi="ar-SA"/>
    </w:rPr>
  </w:style>
  <w:style w:type="paragraph" w:customStyle="1" w:styleId="bullet10">
    <w:name w:val="bullet 1"/>
    <w:basedOn w:val="Normal"/>
    <w:rsid w:val="00F54D6C"/>
    <w:pPr>
      <w:numPr>
        <w:numId w:val="33"/>
      </w:numPr>
      <w:suppressAutoHyphens/>
      <w:autoSpaceDE w:val="0"/>
      <w:autoSpaceDN w:val="0"/>
      <w:adjustRightInd w:val="0"/>
      <w:spacing w:after="57" w:line="320" w:lineRule="atLeast"/>
      <w:ind w:left="357" w:hanging="357"/>
      <w:textAlignment w:val="center"/>
    </w:pPr>
    <w:rPr>
      <w:rFonts w:ascii="Arial" w:eastAsia="Times New Roman" w:hAnsi="Arial" w:cs="Arial (TT)"/>
      <w:kern w:val="0"/>
      <w:sz w:val="24"/>
      <w:szCs w:val="22"/>
      <w:lang w:val="en-US" w:eastAsia="en-NZ"/>
    </w:rPr>
  </w:style>
  <w:style w:type="paragraph" w:customStyle="1" w:styleId="Introduction">
    <w:name w:val="Introduction"/>
    <w:basedOn w:val="Normal"/>
    <w:rsid w:val="00ED61B2"/>
    <w:pPr>
      <w:suppressAutoHyphens/>
      <w:autoSpaceDE w:val="0"/>
      <w:autoSpaceDN w:val="0"/>
      <w:adjustRightInd w:val="0"/>
      <w:spacing w:after="283" w:line="380" w:lineRule="atLeast"/>
      <w:textAlignment w:val="center"/>
    </w:pPr>
    <w:rPr>
      <w:rFonts w:ascii="Arial" w:eastAsia="Times New Roman" w:hAnsi="Arial"/>
      <w:bCs/>
      <w:color w:val="007073"/>
      <w:kern w:val="0"/>
      <w:sz w:val="30"/>
      <w:szCs w:val="26"/>
      <w:lang w:val="en-US" w:eastAsia="en-NZ"/>
    </w:rPr>
  </w:style>
  <w:style w:type="paragraph" w:customStyle="1" w:styleId="bullet1last">
    <w:name w:val="bullet 1 last"/>
    <w:basedOn w:val="bullet10"/>
    <w:qFormat/>
    <w:rsid w:val="0031093E"/>
    <w:pPr>
      <w:numPr>
        <w:numId w:val="0"/>
      </w:numPr>
      <w:spacing w:after="170"/>
      <w:ind w:left="357" w:hanging="357"/>
    </w:pPr>
  </w:style>
  <w:style w:type="paragraph" w:styleId="NormalWeb">
    <w:name w:val="Normal (Web)"/>
    <w:basedOn w:val="Normal"/>
    <w:uiPriority w:val="99"/>
    <w:unhideWhenUsed/>
    <w:rsid w:val="0031093E"/>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rsid w:val="002D665D"/>
    <w:pPr>
      <w:suppressAutoHyphens w:val="0"/>
      <w:autoSpaceDE/>
      <w:autoSpaceDN/>
      <w:adjustRightInd/>
      <w:spacing w:after="120" w:line="240" w:lineRule="auto"/>
      <w:textAlignment w:val="auto"/>
    </w:pPr>
    <w:rPr>
      <w:rFonts w:ascii="Verdana" w:eastAsia="Calibri" w:hAnsi="Verdana" w:cs="Arial"/>
      <w:b/>
      <w:bCs/>
      <w:color w:val="auto"/>
      <w:kern w:val="28"/>
      <w:lang w:val="en-NZ" w:eastAsia="en-US"/>
    </w:rPr>
  </w:style>
  <w:style w:type="character" w:customStyle="1" w:styleId="CommentSubjectChar">
    <w:name w:val="Comment Subject Char"/>
    <w:basedOn w:val="CommentTextChar"/>
    <w:link w:val="CommentSubject"/>
    <w:uiPriority w:val="99"/>
    <w:semiHidden/>
    <w:rsid w:val="002D665D"/>
    <w:rPr>
      <w:rFonts w:ascii="Verdana" w:eastAsia="Times New Roman" w:hAnsi="Verdana" w:cs="Arial"/>
      <w:b/>
      <w:bCs/>
      <w:color w:val="000000"/>
      <w:kern w:val="28"/>
      <w:lang w:val="en-GB" w:eastAsia="x-none"/>
    </w:rPr>
  </w:style>
  <w:style w:type="character" w:customStyle="1" w:styleId="FootnoteTextChar2">
    <w:name w:val="Footnote Text Char2"/>
    <w:aliases w:val="Footnote Text Char Char Char1,Footnote Text Char Char2 Char Char Char1,Footnote Text Char Char1 Char Char Char Char Char1,Footnote Text Char1 Char Char Char Char Char Char Char1"/>
    <w:basedOn w:val="DefaultParagraphFont"/>
    <w:uiPriority w:val="99"/>
    <w:semiHidden/>
    <w:locked/>
    <w:rsid w:val="002D665D"/>
    <w:rPr>
      <w:rFonts w:ascii="Verdana" w:hAnsi="Verdana" w:cs="Arial"/>
      <w:kern w:val="28"/>
    </w:rPr>
  </w:style>
  <w:style w:type="table" w:customStyle="1" w:styleId="TableGrid1">
    <w:name w:val="Table Grid1"/>
    <w:basedOn w:val="TableNormal"/>
    <w:next w:val="TableGrid"/>
    <w:uiPriority w:val="59"/>
    <w:rsid w:val="00A23BA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Creport">
    <w:name w:val="MAC report"/>
    <w:basedOn w:val="TableNormal"/>
    <w:uiPriority w:val="59"/>
    <w:rsid w:val="00625F09"/>
    <w:rPr>
      <w:rFonts w:ascii="Verdana" w:hAnsi="Verdana"/>
    </w:rPr>
    <w:tblPr>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Pr>
    <w:tcPr>
      <w:vAlign w:val="center"/>
    </w:tcPr>
  </w:style>
  <w:style w:type="table" w:styleId="LightShading-Accent1">
    <w:name w:val="Light Shading Accent 1"/>
    <w:basedOn w:val="TableNormal"/>
    <w:uiPriority w:val="60"/>
    <w:rsid w:val="00E1261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000471"/>
    <w:rPr>
      <w:rFonts w:ascii="Verdana" w:hAnsi="Verdana" w:cs="Arial"/>
      <w:kern w:val="28"/>
    </w:rPr>
  </w:style>
  <w:style w:type="character" w:customStyle="1" w:styleId="goog-trans-section">
    <w:name w:val="goog-trans-section"/>
    <w:basedOn w:val="DefaultParagraphFont"/>
    <w:rsid w:val="00600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46">
      <w:bodyDiv w:val="1"/>
      <w:marLeft w:val="0"/>
      <w:marRight w:val="0"/>
      <w:marTop w:val="0"/>
      <w:marBottom w:val="0"/>
      <w:divBdr>
        <w:top w:val="none" w:sz="0" w:space="0" w:color="auto"/>
        <w:left w:val="none" w:sz="0" w:space="0" w:color="auto"/>
        <w:bottom w:val="none" w:sz="0" w:space="0" w:color="auto"/>
        <w:right w:val="none" w:sz="0" w:space="0" w:color="auto"/>
      </w:divBdr>
    </w:div>
    <w:div w:id="885526481">
      <w:bodyDiv w:val="1"/>
      <w:marLeft w:val="0"/>
      <w:marRight w:val="0"/>
      <w:marTop w:val="0"/>
      <w:marBottom w:val="0"/>
      <w:divBdr>
        <w:top w:val="none" w:sz="0" w:space="0" w:color="auto"/>
        <w:left w:val="none" w:sz="0" w:space="0" w:color="auto"/>
        <w:bottom w:val="none" w:sz="0" w:space="0" w:color="auto"/>
        <w:right w:val="none" w:sz="0" w:space="0" w:color="auto"/>
      </w:divBdr>
    </w:div>
    <w:div w:id="1070343010">
      <w:bodyDiv w:val="1"/>
      <w:marLeft w:val="0"/>
      <w:marRight w:val="0"/>
      <w:marTop w:val="0"/>
      <w:marBottom w:val="0"/>
      <w:divBdr>
        <w:top w:val="none" w:sz="0" w:space="0" w:color="auto"/>
        <w:left w:val="none" w:sz="0" w:space="0" w:color="auto"/>
        <w:bottom w:val="none" w:sz="0" w:space="0" w:color="auto"/>
        <w:right w:val="none" w:sz="0" w:space="0" w:color="auto"/>
      </w:divBdr>
    </w:div>
    <w:div w:id="1141506452">
      <w:bodyDiv w:val="1"/>
      <w:marLeft w:val="0"/>
      <w:marRight w:val="0"/>
      <w:marTop w:val="0"/>
      <w:marBottom w:val="0"/>
      <w:divBdr>
        <w:top w:val="none" w:sz="0" w:space="0" w:color="auto"/>
        <w:left w:val="none" w:sz="0" w:space="0" w:color="auto"/>
        <w:bottom w:val="none" w:sz="0" w:space="0" w:color="auto"/>
        <w:right w:val="none" w:sz="0" w:space="0" w:color="auto"/>
      </w:divBdr>
    </w:div>
    <w:div w:id="1406103342">
      <w:bodyDiv w:val="1"/>
      <w:marLeft w:val="0"/>
      <w:marRight w:val="0"/>
      <w:marTop w:val="0"/>
      <w:marBottom w:val="0"/>
      <w:divBdr>
        <w:top w:val="none" w:sz="0" w:space="0" w:color="auto"/>
        <w:left w:val="none" w:sz="0" w:space="0" w:color="auto"/>
        <w:bottom w:val="none" w:sz="0" w:space="0" w:color="auto"/>
        <w:right w:val="none" w:sz="0" w:space="0" w:color="auto"/>
      </w:divBdr>
    </w:div>
    <w:div w:id="1521119247">
      <w:bodyDiv w:val="1"/>
      <w:marLeft w:val="0"/>
      <w:marRight w:val="0"/>
      <w:marTop w:val="0"/>
      <w:marBottom w:val="0"/>
      <w:divBdr>
        <w:top w:val="none" w:sz="0" w:space="0" w:color="auto"/>
        <w:left w:val="none" w:sz="0" w:space="0" w:color="auto"/>
        <w:bottom w:val="none" w:sz="0" w:space="0" w:color="auto"/>
        <w:right w:val="none" w:sz="0" w:space="0" w:color="auto"/>
      </w:divBdr>
    </w:div>
    <w:div w:id="153677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justice.govt.nz/justice-sector/statistics/justice-sector-working-papers/justice-sector-offence-seriousness-score-faq" TargetMode="External"/><Relationship Id="rId1" Type="http://schemas.openxmlformats.org/officeDocument/2006/relationships/hyperlink" Target="http://www.msd.govt.nz/about-msd-and-our-work/publications-resources/evaluation/military-style-activity-camp/index.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577734297986696"/>
          <c:y val="1.3054830287206266E-2"/>
          <c:w val="0.68187713066039157"/>
          <c:h val="0.87067239787541395"/>
        </c:manualLayout>
      </c:layout>
      <c:barChart>
        <c:barDir val="bar"/>
        <c:grouping val="clustered"/>
        <c:varyColors val="0"/>
        <c:ser>
          <c:idx val="0"/>
          <c:order val="0"/>
          <c:tx>
            <c:strRef>
              <c:f>division_2015!$B$2</c:f>
              <c:strCache>
                <c:ptCount val="1"/>
                <c:pt idx="0">
                  <c:v>12 months prior</c:v>
                </c:pt>
              </c:strCache>
            </c:strRef>
          </c:tx>
          <c:spPr>
            <a:solidFill>
              <a:srgbClr val="99CCFF"/>
            </a:solidFill>
            <a:ln w="12700">
              <a:noFill/>
              <a:prstDash val="solid"/>
            </a:ln>
          </c:spPr>
          <c:invertIfNegative val="0"/>
          <c:cat>
            <c:strRef>
              <c:f>division_2015!$A$3:$A$16</c:f>
              <c:strCache>
                <c:ptCount val="14"/>
                <c:pt idx="0">
                  <c:v>Theft-related</c:v>
                </c:pt>
                <c:pt idx="1">
                  <c:v>Burglary</c:v>
                </c:pt>
                <c:pt idx="2">
                  <c:v>Property damage</c:v>
                </c:pt>
                <c:pt idx="3">
                  <c:v>Injury causing acts</c:v>
                </c:pt>
                <c:pt idx="4">
                  <c:v>Public order</c:v>
                </c:pt>
                <c:pt idx="5">
                  <c:v>Against justice</c:v>
                </c:pt>
                <c:pt idx="6">
                  <c:v>Robbery-related</c:v>
                </c:pt>
                <c:pt idx="7">
                  <c:v>Abduction &amp; harassment</c:v>
                </c:pt>
                <c:pt idx="8">
                  <c:v>Illicit drugs</c:v>
                </c:pt>
                <c:pt idx="9">
                  <c:v>Weapons-related</c:v>
                </c:pt>
                <c:pt idx="10">
                  <c:v>Dangerous acts</c:v>
                </c:pt>
                <c:pt idx="11">
                  <c:v>Traffic</c:v>
                </c:pt>
                <c:pt idx="12">
                  <c:v>Fraud &amp; deception</c:v>
                </c:pt>
                <c:pt idx="13">
                  <c:v>Sexual</c:v>
                </c:pt>
              </c:strCache>
            </c:strRef>
          </c:cat>
          <c:val>
            <c:numRef>
              <c:f>division_2015!$B$3:$B$16</c:f>
              <c:numCache>
                <c:formatCode>General</c:formatCode>
                <c:ptCount val="14"/>
                <c:pt idx="0">
                  <c:v>350</c:v>
                </c:pt>
                <c:pt idx="1">
                  <c:v>287</c:v>
                </c:pt>
                <c:pt idx="2">
                  <c:v>151</c:v>
                </c:pt>
                <c:pt idx="3">
                  <c:v>111</c:v>
                </c:pt>
                <c:pt idx="4">
                  <c:v>97</c:v>
                </c:pt>
                <c:pt idx="5">
                  <c:v>46</c:v>
                </c:pt>
                <c:pt idx="6">
                  <c:v>54</c:v>
                </c:pt>
                <c:pt idx="7">
                  <c:v>30</c:v>
                </c:pt>
                <c:pt idx="8">
                  <c:v>34</c:v>
                </c:pt>
                <c:pt idx="9">
                  <c:v>22</c:v>
                </c:pt>
                <c:pt idx="10">
                  <c:v>24</c:v>
                </c:pt>
                <c:pt idx="11">
                  <c:v>14</c:v>
                </c:pt>
                <c:pt idx="12">
                  <c:v>7</c:v>
                </c:pt>
                <c:pt idx="13">
                  <c:v>5</c:v>
                </c:pt>
              </c:numCache>
            </c:numRef>
          </c:val>
        </c:ser>
        <c:ser>
          <c:idx val="1"/>
          <c:order val="1"/>
          <c:tx>
            <c:strRef>
              <c:f>division_2015!$C$2</c:f>
              <c:strCache>
                <c:ptCount val="1"/>
                <c:pt idx="0">
                  <c:v>12 months after</c:v>
                </c:pt>
              </c:strCache>
            </c:strRef>
          </c:tx>
          <c:spPr>
            <a:solidFill>
              <a:srgbClr val="000080"/>
            </a:solidFill>
            <a:ln w="12700">
              <a:noFill/>
              <a:prstDash val="solid"/>
            </a:ln>
          </c:spPr>
          <c:invertIfNegative val="0"/>
          <c:cat>
            <c:strRef>
              <c:f>division_2015!$A$3:$A$16</c:f>
              <c:strCache>
                <c:ptCount val="14"/>
                <c:pt idx="0">
                  <c:v>Theft-related</c:v>
                </c:pt>
                <c:pt idx="1">
                  <c:v>Burglary</c:v>
                </c:pt>
                <c:pt idx="2">
                  <c:v>Property damage</c:v>
                </c:pt>
                <c:pt idx="3">
                  <c:v>Injury causing acts</c:v>
                </c:pt>
                <c:pt idx="4">
                  <c:v>Public order</c:v>
                </c:pt>
                <c:pt idx="5">
                  <c:v>Against justice</c:v>
                </c:pt>
                <c:pt idx="6">
                  <c:v>Robbery-related</c:v>
                </c:pt>
                <c:pt idx="7">
                  <c:v>Abduction &amp; harassment</c:v>
                </c:pt>
                <c:pt idx="8">
                  <c:v>Illicit drugs</c:v>
                </c:pt>
                <c:pt idx="9">
                  <c:v>Weapons-related</c:v>
                </c:pt>
                <c:pt idx="10">
                  <c:v>Dangerous acts</c:v>
                </c:pt>
                <c:pt idx="11">
                  <c:v>Traffic</c:v>
                </c:pt>
                <c:pt idx="12">
                  <c:v>Fraud &amp; deception</c:v>
                </c:pt>
                <c:pt idx="13">
                  <c:v>Sexual</c:v>
                </c:pt>
              </c:strCache>
            </c:strRef>
          </c:cat>
          <c:val>
            <c:numRef>
              <c:f>division_2015!$C$3:$C$16</c:f>
              <c:numCache>
                <c:formatCode>General</c:formatCode>
                <c:ptCount val="14"/>
                <c:pt idx="0">
                  <c:v>201</c:v>
                </c:pt>
                <c:pt idx="1">
                  <c:v>122</c:v>
                </c:pt>
                <c:pt idx="2">
                  <c:v>84</c:v>
                </c:pt>
                <c:pt idx="3">
                  <c:v>53</c:v>
                </c:pt>
                <c:pt idx="4">
                  <c:v>60</c:v>
                </c:pt>
                <c:pt idx="5">
                  <c:v>37</c:v>
                </c:pt>
                <c:pt idx="6">
                  <c:v>20</c:v>
                </c:pt>
                <c:pt idx="7">
                  <c:v>17</c:v>
                </c:pt>
                <c:pt idx="8">
                  <c:v>9</c:v>
                </c:pt>
                <c:pt idx="9">
                  <c:v>11</c:v>
                </c:pt>
                <c:pt idx="10">
                  <c:v>8</c:v>
                </c:pt>
                <c:pt idx="11">
                  <c:v>12</c:v>
                </c:pt>
                <c:pt idx="12">
                  <c:v>13</c:v>
                </c:pt>
                <c:pt idx="13">
                  <c:v>1</c:v>
                </c:pt>
              </c:numCache>
            </c:numRef>
          </c:val>
        </c:ser>
        <c:dLbls>
          <c:showLegendKey val="0"/>
          <c:showVal val="0"/>
          <c:showCatName val="0"/>
          <c:showSerName val="0"/>
          <c:showPercent val="0"/>
          <c:showBubbleSize val="0"/>
        </c:dLbls>
        <c:gapWidth val="150"/>
        <c:axId val="127245312"/>
        <c:axId val="141484800"/>
      </c:barChart>
      <c:catAx>
        <c:axId val="127245312"/>
        <c:scaling>
          <c:orientation val="maxMin"/>
        </c:scaling>
        <c:delete val="0"/>
        <c:axPos val="l"/>
        <c:numFmt formatCode="General" sourceLinked="1"/>
        <c:majorTickMark val="out"/>
        <c:minorTickMark val="none"/>
        <c:tickLblPos val="nextTo"/>
        <c:spPr>
          <a:ln w="3175">
            <a:solidFill>
              <a:schemeClr val="bg1">
                <a:lumMod val="50000"/>
              </a:schemeClr>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1484800"/>
        <c:crossesAt val="0"/>
        <c:auto val="1"/>
        <c:lblAlgn val="ctr"/>
        <c:lblOffset val="100"/>
        <c:tickLblSkip val="1"/>
        <c:tickMarkSkip val="1"/>
        <c:noMultiLvlLbl val="0"/>
      </c:catAx>
      <c:valAx>
        <c:axId val="141484800"/>
        <c:scaling>
          <c:orientation val="minMax"/>
          <c:min val="0"/>
        </c:scaling>
        <c:delete val="0"/>
        <c:axPos val="b"/>
        <c:majorGridlines>
          <c:spPr>
            <a:ln w="3810">
              <a:solidFill>
                <a:schemeClr val="bg1">
                  <a:lumMod val="50000"/>
                </a:schemeClr>
              </a:solidFill>
              <a:prstDash val="dash"/>
            </a:ln>
          </c:spPr>
        </c:majorGridlines>
        <c:title>
          <c:tx>
            <c:rich>
              <a:bodyPr/>
              <a:lstStyle/>
              <a:p>
                <a:pPr>
                  <a:defRPr sz="1000" b="1" i="0" u="none" strike="noStrike" baseline="0">
                    <a:solidFill>
                      <a:srgbClr val="000000"/>
                    </a:solidFill>
                    <a:latin typeface="Arial"/>
                    <a:ea typeface="Arial"/>
                    <a:cs typeface="Arial"/>
                  </a:defRPr>
                </a:pPr>
                <a:r>
                  <a:rPr lang="en-NZ"/>
                  <a:t>Number of offences</a:t>
                </a:r>
              </a:p>
            </c:rich>
          </c:tx>
          <c:layout>
            <c:manualLayout>
              <c:xMode val="edge"/>
              <c:yMode val="edge"/>
              <c:x val="0.53705274741358511"/>
              <c:y val="0.92950391644908614"/>
            </c:manualLayout>
          </c:layout>
          <c:overlay val="0"/>
          <c:spPr>
            <a:noFill/>
            <a:ln w="25400">
              <a:noFill/>
            </a:ln>
          </c:spPr>
        </c:title>
        <c:numFmt formatCode="0" sourceLinked="0"/>
        <c:majorTickMark val="none"/>
        <c:minorTickMark val="none"/>
        <c:tickLblPos val="nextTo"/>
        <c:spPr>
          <a:ln w="3175">
            <a:solidFill>
              <a:schemeClr val="bg1">
                <a:lumMod val="50000"/>
              </a:schemeClr>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27245312"/>
        <c:crosses val="max"/>
        <c:crossBetween val="between"/>
      </c:valAx>
      <c:spPr>
        <a:noFill/>
        <a:ln w="3175">
          <a:solidFill>
            <a:schemeClr val="bg1">
              <a:lumMod val="65000"/>
            </a:schemeClr>
          </a:solidFill>
          <a:prstDash val="solid"/>
        </a:ln>
      </c:spPr>
    </c:plotArea>
    <c:legend>
      <c:legendPos val="r"/>
      <c:layout>
        <c:manualLayout>
          <c:xMode val="edge"/>
          <c:yMode val="edge"/>
          <c:x val="0.79471713738369287"/>
          <c:y val="0.75195822454308092"/>
          <c:w val="0.15958931770687931"/>
          <c:h val="0.11488250652741515"/>
        </c:manualLayout>
      </c:layout>
      <c:overlay val="0"/>
      <c:spPr>
        <a:solidFill>
          <a:schemeClr val="bg1"/>
        </a:solidFill>
        <a:ln w="3175">
          <a:solidFill>
            <a:schemeClr val="bg1">
              <a:lumMod val="65000"/>
            </a:schemeClr>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9083171832436611"/>
          <c:y val="1.3054830287206266E-2"/>
          <c:w val="0.66899049837670277"/>
          <c:h val="0.85118975512676298"/>
        </c:manualLayout>
      </c:layout>
      <c:barChart>
        <c:barDir val="bar"/>
        <c:grouping val="clustered"/>
        <c:varyColors val="0"/>
        <c:ser>
          <c:idx val="0"/>
          <c:order val="0"/>
          <c:tx>
            <c:strRef>
              <c:f>division_2015!$B$22</c:f>
              <c:strCache>
                <c:ptCount val="1"/>
                <c:pt idx="0">
                  <c:v>12 months prior</c:v>
                </c:pt>
              </c:strCache>
            </c:strRef>
          </c:tx>
          <c:spPr>
            <a:solidFill>
              <a:schemeClr val="accent4">
                <a:lumMod val="40000"/>
                <a:lumOff val="60000"/>
              </a:schemeClr>
            </a:solidFill>
            <a:ln w="12700">
              <a:noFill/>
              <a:prstDash val="solid"/>
            </a:ln>
          </c:spPr>
          <c:invertIfNegative val="0"/>
          <c:cat>
            <c:strRef>
              <c:f>division_2015!$A$23:$A$36</c:f>
              <c:strCache>
                <c:ptCount val="14"/>
                <c:pt idx="0">
                  <c:v>Theft-related</c:v>
                </c:pt>
                <c:pt idx="1">
                  <c:v>Burglary</c:v>
                </c:pt>
                <c:pt idx="2">
                  <c:v>Property damage</c:v>
                </c:pt>
                <c:pt idx="3">
                  <c:v>Injury causing acts</c:v>
                </c:pt>
                <c:pt idx="4">
                  <c:v>Public order</c:v>
                </c:pt>
                <c:pt idx="5">
                  <c:v>Against justice</c:v>
                </c:pt>
                <c:pt idx="6">
                  <c:v>Robbery-related</c:v>
                </c:pt>
                <c:pt idx="7">
                  <c:v>Abduction &amp; harassment</c:v>
                </c:pt>
                <c:pt idx="8">
                  <c:v>Illicit drugs</c:v>
                </c:pt>
                <c:pt idx="9">
                  <c:v>Weapons-related</c:v>
                </c:pt>
                <c:pt idx="10">
                  <c:v>Dangerous acts</c:v>
                </c:pt>
                <c:pt idx="11">
                  <c:v>Traffic</c:v>
                </c:pt>
                <c:pt idx="12">
                  <c:v>Fraud &amp; deception</c:v>
                </c:pt>
                <c:pt idx="13">
                  <c:v>Sexual</c:v>
                </c:pt>
              </c:strCache>
            </c:strRef>
          </c:cat>
          <c:val>
            <c:numRef>
              <c:f>division_2015!$B$23:$B$36</c:f>
              <c:numCache>
                <c:formatCode>0%</c:formatCode>
                <c:ptCount val="14"/>
                <c:pt idx="0">
                  <c:v>0.79746835443037978</c:v>
                </c:pt>
                <c:pt idx="1">
                  <c:v>0.77215189873417722</c:v>
                </c:pt>
                <c:pt idx="2">
                  <c:v>0.620253164556962</c:v>
                </c:pt>
                <c:pt idx="3">
                  <c:v>0.49367088607594939</c:v>
                </c:pt>
                <c:pt idx="4">
                  <c:v>0.46835443037974683</c:v>
                </c:pt>
                <c:pt idx="5">
                  <c:v>0.34177215189873417</c:v>
                </c:pt>
                <c:pt idx="6">
                  <c:v>0.34177215189873417</c:v>
                </c:pt>
                <c:pt idx="7">
                  <c:v>0.24050632911392406</c:v>
                </c:pt>
                <c:pt idx="8">
                  <c:v>0.25316455696202533</c:v>
                </c:pt>
                <c:pt idx="9">
                  <c:v>0.21518987341772153</c:v>
                </c:pt>
                <c:pt idx="10">
                  <c:v>0.20253164556962025</c:v>
                </c:pt>
                <c:pt idx="11">
                  <c:v>8.8607594936708861E-2</c:v>
                </c:pt>
                <c:pt idx="12">
                  <c:v>3.7974683544303799E-2</c:v>
                </c:pt>
                <c:pt idx="13">
                  <c:v>6.3291139240506333E-2</c:v>
                </c:pt>
              </c:numCache>
            </c:numRef>
          </c:val>
        </c:ser>
        <c:ser>
          <c:idx val="1"/>
          <c:order val="1"/>
          <c:tx>
            <c:strRef>
              <c:f>division_2015!$C$22</c:f>
              <c:strCache>
                <c:ptCount val="1"/>
                <c:pt idx="0">
                  <c:v>12 months after</c:v>
                </c:pt>
              </c:strCache>
            </c:strRef>
          </c:tx>
          <c:spPr>
            <a:solidFill>
              <a:srgbClr val="7030A0"/>
            </a:solidFill>
            <a:ln w="12700">
              <a:noFill/>
              <a:prstDash val="solid"/>
            </a:ln>
          </c:spPr>
          <c:invertIfNegative val="0"/>
          <c:cat>
            <c:strRef>
              <c:f>division_2015!$A$23:$A$36</c:f>
              <c:strCache>
                <c:ptCount val="14"/>
                <c:pt idx="0">
                  <c:v>Theft-related</c:v>
                </c:pt>
                <c:pt idx="1">
                  <c:v>Burglary</c:v>
                </c:pt>
                <c:pt idx="2">
                  <c:v>Property damage</c:v>
                </c:pt>
                <c:pt idx="3">
                  <c:v>Injury causing acts</c:v>
                </c:pt>
                <c:pt idx="4">
                  <c:v>Public order</c:v>
                </c:pt>
                <c:pt idx="5">
                  <c:v>Against justice</c:v>
                </c:pt>
                <c:pt idx="6">
                  <c:v>Robbery-related</c:v>
                </c:pt>
                <c:pt idx="7">
                  <c:v>Abduction &amp; harassment</c:v>
                </c:pt>
                <c:pt idx="8">
                  <c:v>Illicit drugs</c:v>
                </c:pt>
                <c:pt idx="9">
                  <c:v>Weapons-related</c:v>
                </c:pt>
                <c:pt idx="10">
                  <c:v>Dangerous acts</c:v>
                </c:pt>
                <c:pt idx="11">
                  <c:v>Traffic</c:v>
                </c:pt>
                <c:pt idx="12">
                  <c:v>Fraud &amp; deception</c:v>
                </c:pt>
                <c:pt idx="13">
                  <c:v>Sexual</c:v>
                </c:pt>
              </c:strCache>
            </c:strRef>
          </c:cat>
          <c:val>
            <c:numRef>
              <c:f>division_2015!$C$23:$C$36</c:f>
              <c:numCache>
                <c:formatCode>0%</c:formatCode>
                <c:ptCount val="14"/>
                <c:pt idx="0">
                  <c:v>0.60759493670886078</c:v>
                </c:pt>
                <c:pt idx="1">
                  <c:v>0.54430379746835444</c:v>
                </c:pt>
                <c:pt idx="2">
                  <c:v>0.4050632911392405</c:v>
                </c:pt>
                <c:pt idx="3">
                  <c:v>0.39240506329113922</c:v>
                </c:pt>
                <c:pt idx="4">
                  <c:v>0.35443037974683544</c:v>
                </c:pt>
                <c:pt idx="5">
                  <c:v>0.27848101265822783</c:v>
                </c:pt>
                <c:pt idx="6">
                  <c:v>0.16455696202531644</c:v>
                </c:pt>
                <c:pt idx="7">
                  <c:v>0.12658227848101267</c:v>
                </c:pt>
                <c:pt idx="8">
                  <c:v>0.10126582278481013</c:v>
                </c:pt>
                <c:pt idx="9">
                  <c:v>0.10126582278481013</c:v>
                </c:pt>
                <c:pt idx="10">
                  <c:v>0.10126582278481013</c:v>
                </c:pt>
                <c:pt idx="11">
                  <c:v>0.10126582278481013</c:v>
                </c:pt>
                <c:pt idx="12">
                  <c:v>8.8607594936708861E-2</c:v>
                </c:pt>
                <c:pt idx="13">
                  <c:v>1.2658227848101266E-2</c:v>
                </c:pt>
              </c:numCache>
            </c:numRef>
          </c:val>
        </c:ser>
        <c:dLbls>
          <c:showLegendKey val="0"/>
          <c:showVal val="0"/>
          <c:showCatName val="0"/>
          <c:showSerName val="0"/>
          <c:showPercent val="0"/>
          <c:showBubbleSize val="0"/>
        </c:dLbls>
        <c:gapWidth val="150"/>
        <c:axId val="162787328"/>
        <c:axId val="162790016"/>
      </c:barChart>
      <c:catAx>
        <c:axId val="162787328"/>
        <c:scaling>
          <c:orientation val="maxMin"/>
        </c:scaling>
        <c:delete val="0"/>
        <c:axPos val="l"/>
        <c:numFmt formatCode="General" sourceLinked="1"/>
        <c:majorTickMark val="out"/>
        <c:minorTickMark val="none"/>
        <c:tickLblPos val="nextTo"/>
        <c:spPr>
          <a:ln w="3175">
            <a:solidFill>
              <a:schemeClr val="bg1">
                <a:lumMod val="50000"/>
              </a:schemeClr>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62790016"/>
        <c:crossesAt val="0"/>
        <c:auto val="1"/>
        <c:lblAlgn val="ctr"/>
        <c:lblOffset val="100"/>
        <c:tickLblSkip val="1"/>
        <c:tickMarkSkip val="1"/>
        <c:noMultiLvlLbl val="0"/>
      </c:catAx>
      <c:valAx>
        <c:axId val="162790016"/>
        <c:scaling>
          <c:orientation val="minMax"/>
          <c:max val="1"/>
          <c:min val="0"/>
        </c:scaling>
        <c:delete val="0"/>
        <c:axPos val="b"/>
        <c:majorGridlines>
          <c:spPr>
            <a:ln w="3810">
              <a:solidFill>
                <a:schemeClr val="bg1">
                  <a:lumMod val="50000"/>
                </a:schemeClr>
              </a:solidFill>
              <a:prstDash val="dash"/>
            </a:ln>
          </c:spPr>
        </c:majorGridlines>
        <c:title>
          <c:tx>
            <c:rich>
              <a:bodyPr/>
              <a:lstStyle/>
              <a:p>
                <a:pPr>
                  <a:defRPr sz="1000" b="1" i="0" u="none" strike="noStrike" baseline="0">
                    <a:solidFill>
                      <a:srgbClr val="000000"/>
                    </a:solidFill>
                    <a:latin typeface="Arial"/>
                    <a:ea typeface="Arial"/>
                    <a:cs typeface="Arial"/>
                  </a:defRPr>
                </a:pPr>
                <a:r>
                  <a:rPr lang="en-NZ"/>
                  <a:t>Percentage of people</a:t>
                </a:r>
              </a:p>
            </c:rich>
          </c:tx>
          <c:layout>
            <c:manualLayout>
              <c:xMode val="edge"/>
              <c:yMode val="edge"/>
              <c:x val="0.53705274741358511"/>
              <c:y val="0.92950391644908614"/>
            </c:manualLayout>
          </c:layout>
          <c:overlay val="0"/>
          <c:spPr>
            <a:noFill/>
            <a:ln w="25400">
              <a:noFill/>
            </a:ln>
          </c:spPr>
        </c:title>
        <c:numFmt formatCode="0%" sourceLinked="0"/>
        <c:majorTickMark val="out"/>
        <c:minorTickMark val="none"/>
        <c:tickLblPos val="nextTo"/>
        <c:spPr>
          <a:ln w="3175">
            <a:solidFill>
              <a:schemeClr val="bg1">
                <a:lumMod val="50000"/>
              </a:schemeClr>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62787328"/>
        <c:crosses val="max"/>
        <c:crossBetween val="between"/>
        <c:majorUnit val="0.1"/>
      </c:valAx>
      <c:spPr>
        <a:noFill/>
        <a:ln w="3175">
          <a:solidFill>
            <a:schemeClr val="bg1">
              <a:lumMod val="65000"/>
            </a:schemeClr>
          </a:solidFill>
          <a:prstDash val="solid"/>
        </a:ln>
      </c:spPr>
    </c:plotArea>
    <c:legend>
      <c:legendPos val="r"/>
      <c:layout>
        <c:manualLayout>
          <c:xMode val="edge"/>
          <c:yMode val="edge"/>
          <c:x val="0.78553775704011508"/>
          <c:y val="0.73938927558393153"/>
          <c:w val="0.15958931770687931"/>
          <c:h val="0.11488250652741515"/>
        </c:manualLayout>
      </c:layout>
      <c:overlay val="0"/>
      <c:spPr>
        <a:solidFill>
          <a:schemeClr val="bg1"/>
        </a:solidFill>
        <a:ln w="3175">
          <a:solidFill>
            <a:schemeClr val="bg1">
              <a:lumMod val="65000"/>
            </a:schemeClr>
          </a:solidFill>
          <a:prstDash val="solid"/>
        </a:ln>
      </c:spPr>
      <c:txPr>
        <a:bodyPr/>
        <a:lstStyle/>
        <a:p>
          <a:pPr>
            <a:defRPr sz="825"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55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E8398-3EBE-4954-9D05-18995097F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Philip Spier</cp:lastModifiedBy>
  <cp:revision>3</cp:revision>
  <cp:lastPrinted>2015-12-04T01:14:00Z</cp:lastPrinted>
  <dcterms:created xsi:type="dcterms:W3CDTF">2016-06-28T21:42:00Z</dcterms:created>
  <dcterms:modified xsi:type="dcterms:W3CDTF">2016-08-25T00:47:00Z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A8527718</vt:lpwstr>
  </property>
  <property fmtid="{D5CDD505-2E9C-101B-9397-08002B2CF9AE}" pid="4" name="Objective-Title">
    <vt:lpwstr>MAC offending patterns report - June 2016 for publication</vt:lpwstr>
  </property>
  <property fmtid="{D5CDD505-2E9C-101B-9397-08002B2CF9AE}" pid="5" name="Objective-Comment">
    <vt:lpwstr/>
  </property>
  <property fmtid="{D5CDD505-2E9C-101B-9397-08002B2CF9AE}" pid="6" name="Objective-CreationStamp">
    <vt:filetime>2015-12-03T02:09:35Z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2016-06-28T21:42:17Z</vt:filetime>
  </property>
  <property fmtid="{D5CDD505-2E9C-101B-9397-08002B2CF9AE}" pid="10" name="Objective-ModificationStamp">
    <vt:filetime>2016-06-28T21:42:17Z</vt:filetime>
  </property>
  <property fmtid="{D5CDD505-2E9C-101B-9397-08002B2CF9AE}" pid="11" name="Objective-Owner">
    <vt:lpwstr>Philip Spier</vt:lpwstr>
  </property>
  <property fmtid="{D5CDD505-2E9C-101B-9397-08002B2CF9AE}" pid="12" name="Objective-Path">
    <vt:lpwstr>Global Folder:MSD INFORMATION REPOSITORY:Social Research &amp; Evaluation:Youth:Fresh Start for Youth Offenders:MAC:Reporting:MAC offending  analysis April 2015:</vt:lpwstr>
  </property>
  <property fmtid="{D5CDD505-2E9C-101B-9397-08002B2CF9AE}" pid="13" name="Objective-Parent">
    <vt:lpwstr>MAC offending  analysis April 2015</vt:lpwstr>
  </property>
  <property fmtid="{D5CDD505-2E9C-101B-9397-08002B2CF9AE}" pid="14" name="Objective-State">
    <vt:lpwstr>Published</vt:lpwstr>
  </property>
  <property fmtid="{D5CDD505-2E9C-101B-9397-08002B2CF9AE}" pid="15" name="Objective-Version">
    <vt:lpwstr>21.0</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SR/YO/29/09-16974</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ies>
</file>