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71125" w14:textId="77777777" w:rsidR="00214968" w:rsidRDefault="007F7194" w:rsidP="00214968">
      <w:pPr>
        <w:jc w:val="center"/>
        <w:rPr>
          <w:rFonts w:cs="Arial"/>
          <w:sz w:val="28"/>
          <w:szCs w:val="28"/>
        </w:rPr>
      </w:pPr>
      <w:r w:rsidRPr="002A0AFE">
        <w:rPr>
          <w:rFonts w:cs="Arial"/>
          <w:sz w:val="28"/>
          <w:szCs w:val="28"/>
        </w:rPr>
        <w:t xml:space="preserve">Skilled </w:t>
      </w:r>
      <w:r w:rsidR="002A0AFE">
        <w:rPr>
          <w:rFonts w:cs="Arial"/>
          <w:sz w:val="28"/>
          <w:szCs w:val="28"/>
        </w:rPr>
        <w:t>W</w:t>
      </w:r>
      <w:r w:rsidRPr="002A0AFE">
        <w:rPr>
          <w:rFonts w:cs="Arial"/>
          <w:sz w:val="28"/>
          <w:szCs w:val="28"/>
        </w:rPr>
        <w:t xml:space="preserve">orkers in </w:t>
      </w:r>
      <w:proofErr w:type="spellStart"/>
      <w:r w:rsidRPr="002A0AFE">
        <w:rPr>
          <w:rFonts w:cs="Arial"/>
          <w:sz w:val="28"/>
          <w:szCs w:val="28"/>
        </w:rPr>
        <w:t>Ballarat</w:t>
      </w:r>
      <w:proofErr w:type="spellEnd"/>
      <w:r w:rsidRPr="002A0AFE">
        <w:rPr>
          <w:rFonts w:cs="Arial"/>
          <w:sz w:val="28"/>
          <w:szCs w:val="28"/>
        </w:rPr>
        <w:t xml:space="preserve"> and </w:t>
      </w:r>
      <w:proofErr w:type="spellStart"/>
      <w:r w:rsidRPr="002A0AFE">
        <w:rPr>
          <w:rFonts w:cs="Arial"/>
          <w:sz w:val="28"/>
          <w:szCs w:val="28"/>
        </w:rPr>
        <w:t>Bendigo</w:t>
      </w:r>
      <w:proofErr w:type="spellEnd"/>
      <w:r w:rsidR="008E29E2" w:rsidRPr="002A0AFE">
        <w:rPr>
          <w:rFonts w:cs="Arial"/>
          <w:sz w:val="28"/>
          <w:szCs w:val="28"/>
        </w:rPr>
        <w:t>:</w:t>
      </w:r>
      <w:r w:rsidRPr="002A0AFE">
        <w:rPr>
          <w:rFonts w:cs="Arial"/>
          <w:sz w:val="28"/>
          <w:szCs w:val="28"/>
        </w:rPr>
        <w:t xml:space="preserve"> </w:t>
      </w:r>
      <w:r w:rsidR="002A0AFE">
        <w:rPr>
          <w:rFonts w:cs="Arial"/>
          <w:sz w:val="28"/>
          <w:szCs w:val="28"/>
        </w:rPr>
        <w:br/>
        <w:t>W</w:t>
      </w:r>
      <w:r w:rsidRPr="002A0AFE">
        <w:rPr>
          <w:rFonts w:cs="Arial"/>
          <w:sz w:val="28"/>
          <w:szCs w:val="28"/>
        </w:rPr>
        <w:t xml:space="preserve">hy did they </w:t>
      </w:r>
      <w:r w:rsidR="002A0AFE">
        <w:rPr>
          <w:rFonts w:cs="Arial"/>
          <w:sz w:val="28"/>
          <w:szCs w:val="28"/>
        </w:rPr>
        <w:t>c</w:t>
      </w:r>
      <w:r w:rsidRPr="002A0AFE">
        <w:rPr>
          <w:rFonts w:cs="Arial"/>
          <w:sz w:val="28"/>
          <w:szCs w:val="28"/>
        </w:rPr>
        <w:t>hoose a regional location and are they likely to stay?</w:t>
      </w:r>
    </w:p>
    <w:p w14:paraId="5E454165" w14:textId="77777777" w:rsidR="00810CDB" w:rsidRDefault="00810CDB" w:rsidP="00810CDB">
      <w:pPr>
        <w:rPr>
          <w:u w:val="single"/>
        </w:rPr>
      </w:pPr>
      <w:bookmarkStart w:id="0" w:name="_GoBack"/>
      <w:bookmarkEnd w:id="0"/>
    </w:p>
    <w:p w14:paraId="21EAB79E" w14:textId="77777777" w:rsidR="00810CDB" w:rsidRDefault="00810CDB" w:rsidP="00810CDB">
      <w:pPr>
        <w:jc w:val="center"/>
      </w:pPr>
      <w:r>
        <w:rPr>
          <w:u w:val="single"/>
        </w:rPr>
        <w:t>Fiona McKenzie</w:t>
      </w:r>
      <w:r>
        <w:br/>
      </w:r>
      <w:r>
        <w:rPr>
          <w:rStyle w:val="Emphasis"/>
          <w:rFonts w:eastAsiaTheme="majorEastAsia"/>
        </w:rPr>
        <w:t>Victorian Government - DELWP, Melbourne, Australia</w:t>
      </w:r>
    </w:p>
    <w:p w14:paraId="4492E431" w14:textId="77777777" w:rsidR="00214968" w:rsidRDefault="00214968" w:rsidP="00214968">
      <w:pPr>
        <w:jc w:val="both"/>
        <w:rPr>
          <w:rFonts w:cs="Arial"/>
          <w:szCs w:val="20"/>
        </w:rPr>
      </w:pPr>
    </w:p>
    <w:p w14:paraId="524903B1" w14:textId="77777777" w:rsidR="00214968" w:rsidRDefault="002F4A4A" w:rsidP="00214968">
      <w:pPr>
        <w:jc w:val="both"/>
        <w:rPr>
          <w:rFonts w:cs="Arial"/>
          <w:szCs w:val="20"/>
          <w:lang w:val="en-AU"/>
        </w:rPr>
      </w:pPr>
      <w:r w:rsidRPr="002A0AFE">
        <w:rPr>
          <w:rFonts w:cs="Arial"/>
          <w:b/>
          <w:szCs w:val="20"/>
        </w:rPr>
        <w:t>Abstract</w:t>
      </w:r>
      <w:r w:rsidR="002A0AFE" w:rsidRPr="002A0AFE">
        <w:rPr>
          <w:rFonts w:cs="Arial"/>
          <w:szCs w:val="20"/>
        </w:rPr>
        <w:t>:</w:t>
      </w:r>
      <w:r w:rsidR="002A0AFE">
        <w:rPr>
          <w:rFonts w:cs="Arial"/>
          <w:b/>
          <w:szCs w:val="20"/>
        </w:rPr>
        <w:t xml:space="preserve"> </w:t>
      </w:r>
      <w:r w:rsidR="007F7194" w:rsidRPr="002A0AFE">
        <w:rPr>
          <w:rFonts w:cs="Arial"/>
          <w:szCs w:val="20"/>
          <w:lang w:val="en-AU"/>
        </w:rPr>
        <w:t>Capital cities like Melbourne continue to attract the majority of State population growth. This can create challenges for attracting skilled workers to, and retaining them in, regional locations. This paper reports on a survey of more than 1200 professional workers in the Victorian regional cities of Bendigo and Ballarat. The survey aimed to better understand the migration pathways and locational choices of these workers, focusing on their location at four key life stages: birth; childhood; secondary schooling</w:t>
      </w:r>
      <w:proofErr w:type="gramStart"/>
      <w:r w:rsidR="007F7194" w:rsidRPr="002A0AFE">
        <w:rPr>
          <w:rFonts w:cs="Arial"/>
          <w:szCs w:val="20"/>
          <w:lang w:val="en-AU"/>
        </w:rPr>
        <w:t>;</w:t>
      </w:r>
      <w:proofErr w:type="gramEnd"/>
      <w:r w:rsidR="007F7194" w:rsidRPr="002A0AFE">
        <w:rPr>
          <w:rFonts w:cs="Arial"/>
          <w:szCs w:val="20"/>
          <w:lang w:val="en-AU"/>
        </w:rPr>
        <w:t xml:space="preserve"> and higher education. Key motivations for choosing to live in the current location were explored along with respondents’ views on the advantages and disadvantages of that regional location. While most respondents had no intention to move away from their regional city, others were finding that career and salary progression were limited in the smaller regional economies, particularly when compared to Melbourne. Respondent age influenced the relative importance given to economic versus lifestyle considerations. Overall though, it was family factors, more than economic or amenity considerations, which were the main driver of relocation to regional cities. These findings are of relevance to policy makers concerned with attraction and retention strategies for regional areas as well as businesses seeking to recruit or retain key workers.</w:t>
      </w:r>
    </w:p>
    <w:p w14:paraId="561F799D" w14:textId="77777777" w:rsidR="00214968" w:rsidRDefault="00214968" w:rsidP="00214968">
      <w:pPr>
        <w:jc w:val="both"/>
        <w:rPr>
          <w:rFonts w:cs="Arial"/>
          <w:szCs w:val="20"/>
          <w:lang w:val="en-AU"/>
        </w:rPr>
      </w:pPr>
    </w:p>
    <w:p w14:paraId="10894D7C" w14:textId="77777777" w:rsidR="00214968" w:rsidRDefault="002F4A4A" w:rsidP="00214968">
      <w:pPr>
        <w:jc w:val="both"/>
        <w:rPr>
          <w:rFonts w:cs="Arial"/>
          <w:szCs w:val="20"/>
        </w:rPr>
      </w:pPr>
      <w:r w:rsidRPr="002A0AFE">
        <w:rPr>
          <w:rFonts w:cs="Arial"/>
          <w:b/>
          <w:szCs w:val="20"/>
        </w:rPr>
        <w:t>Keywords</w:t>
      </w:r>
      <w:r w:rsidR="002A0AFE" w:rsidRPr="002A0AFE">
        <w:rPr>
          <w:rFonts w:cs="Arial"/>
          <w:szCs w:val="20"/>
        </w:rPr>
        <w:t xml:space="preserve">: </w:t>
      </w:r>
      <w:r w:rsidRPr="002A0AFE">
        <w:rPr>
          <w:rFonts w:cs="Arial"/>
          <w:szCs w:val="20"/>
        </w:rPr>
        <w:t>Regional development; Regional policy; Human capital; Attraction and retention.</w:t>
      </w:r>
    </w:p>
    <w:p w14:paraId="7E6E5287" w14:textId="77777777" w:rsidR="00214968" w:rsidRDefault="00214968" w:rsidP="00214968">
      <w:pPr>
        <w:jc w:val="both"/>
        <w:rPr>
          <w:rFonts w:cs="Arial"/>
          <w:szCs w:val="20"/>
        </w:rPr>
      </w:pPr>
    </w:p>
    <w:p w14:paraId="696105FE" w14:textId="77777777" w:rsidR="00F80B3A" w:rsidRDefault="00F80B3A" w:rsidP="00214968">
      <w:pPr>
        <w:jc w:val="both"/>
        <w:rPr>
          <w:rFonts w:cs="Arial"/>
          <w:szCs w:val="20"/>
        </w:rPr>
      </w:pPr>
    </w:p>
    <w:p w14:paraId="4A2FD257" w14:textId="77777777" w:rsidR="00F80B3A" w:rsidRDefault="00F80B3A" w:rsidP="00214968">
      <w:pPr>
        <w:jc w:val="both"/>
        <w:rPr>
          <w:rFonts w:cs="Arial"/>
          <w:szCs w:val="20"/>
        </w:rPr>
      </w:pPr>
    </w:p>
    <w:p w14:paraId="27A5311E" w14:textId="77777777" w:rsidR="00F80B3A" w:rsidRDefault="00F80B3A" w:rsidP="00214968">
      <w:pPr>
        <w:jc w:val="both"/>
        <w:rPr>
          <w:rFonts w:cs="Arial"/>
          <w:szCs w:val="20"/>
        </w:rPr>
      </w:pPr>
    </w:p>
    <w:p w14:paraId="075A19C1" w14:textId="77777777" w:rsidR="00F80B3A" w:rsidRDefault="00F80B3A" w:rsidP="00214968">
      <w:pPr>
        <w:jc w:val="both"/>
        <w:rPr>
          <w:rFonts w:cs="Arial"/>
          <w:szCs w:val="20"/>
        </w:rPr>
      </w:pPr>
    </w:p>
    <w:p w14:paraId="269AAA07" w14:textId="77777777" w:rsidR="00214968" w:rsidRDefault="007F7194" w:rsidP="00214968">
      <w:pPr>
        <w:pStyle w:val="Heading1"/>
        <w:spacing w:before="0"/>
        <w:jc w:val="both"/>
        <w:rPr>
          <w:rFonts w:ascii="Arial" w:hAnsi="Arial" w:cs="Arial"/>
          <w:color w:val="auto"/>
          <w:sz w:val="22"/>
          <w:szCs w:val="22"/>
        </w:rPr>
      </w:pPr>
      <w:r w:rsidRPr="002A0AFE">
        <w:rPr>
          <w:rFonts w:ascii="Arial" w:hAnsi="Arial" w:cs="Arial"/>
          <w:color w:val="auto"/>
          <w:sz w:val="22"/>
          <w:szCs w:val="22"/>
        </w:rPr>
        <w:t>Introduction</w:t>
      </w:r>
    </w:p>
    <w:p w14:paraId="167988C4" w14:textId="77777777" w:rsidR="00214968" w:rsidRDefault="00AD1EF2" w:rsidP="00214968">
      <w:pPr>
        <w:jc w:val="both"/>
        <w:rPr>
          <w:rFonts w:cs="Arial"/>
          <w:spacing w:val="-2"/>
          <w:szCs w:val="20"/>
          <w:lang w:val="en-AU"/>
        </w:rPr>
      </w:pPr>
      <w:r w:rsidRPr="002A0AFE">
        <w:rPr>
          <w:rFonts w:cs="Arial"/>
          <w:spacing w:val="-2"/>
          <w:szCs w:val="20"/>
          <w:lang w:val="en-AU"/>
        </w:rPr>
        <w:t>Retention and/or attraction of young adults is central to the aspirations of many regional areas as well as policy makers seeking to support regional development. However, there is a long-standing trend of net loss of young adults from regional areas. Many school leavers seek educational and employment opportunities in capital cities (McKenzie 2010). Some of these people will return to regional areas after attaining higher education while others will make a regional move later in life. The fact that many regional areas experience skills shortages, or difficulty in recruiting skilled workers, suggests that the net loss of young adults creates ongoing difficulties maintaining adequate stocks of human capital. In turn this can have a dampening effect on regional development (</w:t>
      </w:r>
      <w:proofErr w:type="spellStart"/>
      <w:r w:rsidRPr="002A0AFE">
        <w:rPr>
          <w:rFonts w:cs="Arial"/>
          <w:spacing w:val="-2"/>
          <w:szCs w:val="20"/>
          <w:lang w:val="en-AU"/>
        </w:rPr>
        <w:t>Faggian</w:t>
      </w:r>
      <w:proofErr w:type="spellEnd"/>
      <w:r w:rsidRPr="002A0AFE">
        <w:rPr>
          <w:rFonts w:cs="Arial"/>
          <w:spacing w:val="-2"/>
          <w:szCs w:val="20"/>
          <w:lang w:val="en-AU"/>
        </w:rPr>
        <w:t xml:space="preserve"> et al. 2017; Stockdale 2016). </w:t>
      </w:r>
    </w:p>
    <w:p w14:paraId="4F807FD9" w14:textId="77777777" w:rsidR="00214968" w:rsidRDefault="00214968" w:rsidP="00214968">
      <w:pPr>
        <w:jc w:val="both"/>
        <w:rPr>
          <w:rFonts w:cs="Arial"/>
          <w:spacing w:val="-2"/>
          <w:szCs w:val="20"/>
          <w:lang w:val="en-AU"/>
        </w:rPr>
      </w:pPr>
    </w:p>
    <w:p w14:paraId="0FB58DF6" w14:textId="77777777" w:rsidR="00214968" w:rsidRDefault="007F7194" w:rsidP="00214968">
      <w:pPr>
        <w:jc w:val="both"/>
        <w:rPr>
          <w:rFonts w:cs="Arial"/>
          <w:szCs w:val="20"/>
        </w:rPr>
      </w:pPr>
      <w:r w:rsidRPr="002A0AFE">
        <w:rPr>
          <w:rFonts w:cs="Arial"/>
          <w:szCs w:val="20"/>
        </w:rPr>
        <w:t xml:space="preserve">From the beginnings of European settlement in Australia, urban development </w:t>
      </w:r>
      <w:r w:rsidR="00F5688C" w:rsidRPr="002A0AFE">
        <w:rPr>
          <w:rFonts w:cs="Arial"/>
          <w:szCs w:val="20"/>
        </w:rPr>
        <w:t xml:space="preserve">was </w:t>
      </w:r>
      <w:r w:rsidRPr="002A0AFE">
        <w:rPr>
          <w:rFonts w:cs="Arial"/>
          <w:szCs w:val="20"/>
        </w:rPr>
        <w:t xml:space="preserve">concentrated in </w:t>
      </w:r>
      <w:r w:rsidR="00F5688C" w:rsidRPr="002A0AFE">
        <w:rPr>
          <w:rFonts w:cs="Arial"/>
          <w:szCs w:val="20"/>
        </w:rPr>
        <w:t xml:space="preserve">a few </w:t>
      </w:r>
      <w:r w:rsidRPr="002A0AFE">
        <w:rPr>
          <w:rFonts w:cs="Arial"/>
          <w:szCs w:val="20"/>
        </w:rPr>
        <w:t>coastal port settlements. Melbourne was established in 1835 and, while the 1850s gold</w:t>
      </w:r>
      <w:r w:rsidR="002F4A4A" w:rsidRPr="002A0AFE">
        <w:rPr>
          <w:rFonts w:cs="Arial"/>
          <w:szCs w:val="20"/>
        </w:rPr>
        <w:t xml:space="preserve"> </w:t>
      </w:r>
      <w:r w:rsidRPr="002A0AFE">
        <w:rPr>
          <w:rFonts w:cs="Arial"/>
          <w:szCs w:val="20"/>
        </w:rPr>
        <w:t xml:space="preserve">rush enabled inland centres like </w:t>
      </w:r>
      <w:proofErr w:type="spellStart"/>
      <w:r w:rsidRPr="002A0AFE">
        <w:rPr>
          <w:rFonts w:cs="Arial"/>
          <w:szCs w:val="20"/>
        </w:rPr>
        <w:t>Bendigo</w:t>
      </w:r>
      <w:proofErr w:type="spellEnd"/>
      <w:r w:rsidRPr="002A0AFE">
        <w:rPr>
          <w:rFonts w:cs="Arial"/>
          <w:szCs w:val="20"/>
        </w:rPr>
        <w:t xml:space="preserve"> and </w:t>
      </w:r>
      <w:proofErr w:type="spellStart"/>
      <w:r w:rsidRPr="002A0AFE">
        <w:rPr>
          <w:rFonts w:cs="Arial"/>
          <w:szCs w:val="20"/>
        </w:rPr>
        <w:t>Ballarat</w:t>
      </w:r>
      <w:proofErr w:type="spellEnd"/>
      <w:r w:rsidRPr="002A0AFE">
        <w:rPr>
          <w:rFonts w:cs="Arial"/>
          <w:szCs w:val="20"/>
        </w:rPr>
        <w:t xml:space="preserve"> to flourish, Melbourne gained much of the economic benefit through being a centre of banking, commerce and trade. As gold mining declined, internal migration to Melbourne from the goldfields established Melbourne’s pre-eminence even further. From this point onwards, the share of Victoria’s population living outside the metropolitan area began to fall, a trend that has continued to the present day (figure 1). </w:t>
      </w:r>
      <w:r w:rsidR="001E090C" w:rsidRPr="002A0AFE">
        <w:rPr>
          <w:rFonts w:cs="Arial"/>
          <w:szCs w:val="20"/>
        </w:rPr>
        <w:t>As at 30 June 2016, the population of Melbourne was 4.</w:t>
      </w:r>
      <w:r w:rsidR="00981543" w:rsidRPr="002A0AFE">
        <w:rPr>
          <w:rFonts w:cs="Arial"/>
          <w:szCs w:val="20"/>
        </w:rPr>
        <w:t>6</w:t>
      </w:r>
      <w:r w:rsidR="001E090C" w:rsidRPr="002A0AFE">
        <w:rPr>
          <w:rFonts w:cs="Arial"/>
          <w:szCs w:val="20"/>
        </w:rPr>
        <w:t xml:space="preserve"> million. The Local Government Areas of </w:t>
      </w:r>
      <w:proofErr w:type="spellStart"/>
      <w:r w:rsidR="001E090C" w:rsidRPr="002A0AFE">
        <w:rPr>
          <w:rFonts w:cs="Arial"/>
          <w:szCs w:val="20"/>
        </w:rPr>
        <w:t>Ballarat</w:t>
      </w:r>
      <w:proofErr w:type="spellEnd"/>
      <w:r w:rsidR="001E090C" w:rsidRPr="002A0AFE">
        <w:rPr>
          <w:rFonts w:cs="Arial"/>
          <w:szCs w:val="20"/>
        </w:rPr>
        <w:t xml:space="preserve"> and Greater </w:t>
      </w:r>
      <w:proofErr w:type="spellStart"/>
      <w:r w:rsidR="001E090C" w:rsidRPr="002A0AFE">
        <w:rPr>
          <w:rFonts w:cs="Arial"/>
          <w:szCs w:val="20"/>
        </w:rPr>
        <w:t>Bendigo</w:t>
      </w:r>
      <w:proofErr w:type="spellEnd"/>
      <w:r w:rsidR="001E090C" w:rsidRPr="002A0AFE">
        <w:rPr>
          <w:rFonts w:cs="Arial"/>
          <w:szCs w:val="20"/>
        </w:rPr>
        <w:t xml:space="preserve"> had populations of </w:t>
      </w:r>
      <w:r w:rsidR="00981543" w:rsidRPr="002A0AFE">
        <w:rPr>
          <w:rFonts w:cs="Arial"/>
          <w:szCs w:val="20"/>
        </w:rPr>
        <w:t xml:space="preserve">104,000 </w:t>
      </w:r>
      <w:r w:rsidR="001E090C" w:rsidRPr="002A0AFE">
        <w:rPr>
          <w:rFonts w:cs="Arial"/>
          <w:szCs w:val="20"/>
        </w:rPr>
        <w:t xml:space="preserve">and </w:t>
      </w:r>
      <w:r w:rsidR="00981543" w:rsidRPr="002A0AFE">
        <w:rPr>
          <w:rFonts w:cs="Arial"/>
          <w:szCs w:val="20"/>
        </w:rPr>
        <w:t>111,000</w:t>
      </w:r>
      <w:r w:rsidR="001E090C" w:rsidRPr="002A0AFE">
        <w:rPr>
          <w:rFonts w:cs="Arial"/>
          <w:szCs w:val="20"/>
        </w:rPr>
        <w:t xml:space="preserve"> respectively</w:t>
      </w:r>
      <w:r w:rsidR="00981543" w:rsidRPr="002A0AFE">
        <w:rPr>
          <w:rFonts w:cs="Arial"/>
          <w:szCs w:val="20"/>
        </w:rPr>
        <w:t xml:space="preserve"> (ABS cat. no. 3218.0).</w:t>
      </w:r>
    </w:p>
    <w:p w14:paraId="4313DFF2" w14:textId="77777777" w:rsidR="00214968" w:rsidRDefault="00214968" w:rsidP="00214968">
      <w:pPr>
        <w:jc w:val="both"/>
        <w:rPr>
          <w:rFonts w:cs="Arial"/>
          <w:szCs w:val="20"/>
        </w:rPr>
      </w:pPr>
    </w:p>
    <w:p w14:paraId="6C832EFD" w14:textId="77777777" w:rsidR="00525775" w:rsidRDefault="00525775">
      <w:pPr>
        <w:spacing w:after="200" w:line="276" w:lineRule="auto"/>
        <w:rPr>
          <w:rFonts w:cs="Arial"/>
          <w:i/>
          <w:szCs w:val="20"/>
        </w:rPr>
      </w:pPr>
      <w:r>
        <w:rPr>
          <w:rFonts w:cs="Arial"/>
          <w:i/>
          <w:szCs w:val="20"/>
        </w:rPr>
        <w:br w:type="page"/>
      </w:r>
    </w:p>
    <w:p w14:paraId="7FAE8536" w14:textId="77777777" w:rsidR="00214968" w:rsidRPr="00525775" w:rsidRDefault="00F5688C" w:rsidP="00525775">
      <w:pPr>
        <w:jc w:val="center"/>
        <w:rPr>
          <w:rFonts w:cs="Arial"/>
          <w:b/>
          <w:szCs w:val="20"/>
        </w:rPr>
      </w:pPr>
      <w:r w:rsidRPr="00525775">
        <w:rPr>
          <w:rFonts w:cs="Arial"/>
          <w:b/>
          <w:szCs w:val="20"/>
        </w:rPr>
        <w:lastRenderedPageBreak/>
        <w:t>Figure 1: Population of Melbourne and the rest of Victoria, 1841 to 2011</w:t>
      </w:r>
    </w:p>
    <w:p w14:paraId="653958A2" w14:textId="77777777" w:rsidR="00525775" w:rsidRPr="00525775" w:rsidRDefault="00525775" w:rsidP="00525775">
      <w:pPr>
        <w:jc w:val="center"/>
        <w:rPr>
          <w:rFonts w:cs="Arial"/>
          <w:szCs w:val="20"/>
        </w:rPr>
      </w:pPr>
      <w:r w:rsidRPr="00525775">
        <w:rPr>
          <w:rFonts w:cs="Arial"/>
          <w:szCs w:val="20"/>
        </w:rPr>
        <w:t>Sources: ABS Victorian Yearbook cat 1301.2; ABS Australian Demographic Statistics cat no 3101.0</w:t>
      </w:r>
    </w:p>
    <w:p w14:paraId="640A2DF8" w14:textId="77777777" w:rsidR="00214968" w:rsidRDefault="00214968" w:rsidP="00214968">
      <w:pPr>
        <w:jc w:val="both"/>
        <w:rPr>
          <w:rFonts w:cs="Arial"/>
          <w:i/>
          <w:szCs w:val="20"/>
        </w:rPr>
      </w:pPr>
    </w:p>
    <w:p w14:paraId="75926B3E" w14:textId="77777777" w:rsidR="00214968" w:rsidRDefault="002F4A4A" w:rsidP="00525775">
      <w:pPr>
        <w:jc w:val="center"/>
        <w:rPr>
          <w:rFonts w:cs="Arial"/>
          <w:szCs w:val="20"/>
        </w:rPr>
      </w:pPr>
      <w:r w:rsidRPr="002A0AFE">
        <w:rPr>
          <w:rFonts w:cs="Arial"/>
          <w:noProof/>
          <w:szCs w:val="20"/>
          <w:lang w:val="en-US"/>
        </w:rPr>
        <w:drawing>
          <wp:inline distT="0" distB="0" distL="0" distR="0" wp14:anchorId="766D3968" wp14:editId="57403CBF">
            <wp:extent cx="3240000" cy="25978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b-ROS since 184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00" cy="2597816"/>
                    </a:xfrm>
                    <a:prstGeom prst="rect">
                      <a:avLst/>
                    </a:prstGeom>
                  </pic:spPr>
                </pic:pic>
              </a:graphicData>
            </a:graphic>
          </wp:inline>
        </w:drawing>
      </w:r>
    </w:p>
    <w:p w14:paraId="0D2915CC" w14:textId="77777777" w:rsidR="00214968" w:rsidRDefault="00214968" w:rsidP="00214968">
      <w:pPr>
        <w:jc w:val="both"/>
        <w:rPr>
          <w:rFonts w:cs="Arial"/>
          <w:szCs w:val="20"/>
        </w:rPr>
      </w:pPr>
    </w:p>
    <w:p w14:paraId="7C35F8B7" w14:textId="77777777" w:rsidR="00214968" w:rsidRDefault="00A44A11" w:rsidP="00214968">
      <w:pPr>
        <w:jc w:val="both"/>
        <w:rPr>
          <w:rFonts w:cs="Arial"/>
          <w:b/>
          <w:sz w:val="22"/>
          <w:szCs w:val="22"/>
        </w:rPr>
      </w:pPr>
      <w:r w:rsidRPr="002A0AFE">
        <w:rPr>
          <w:rFonts w:cs="Arial"/>
          <w:b/>
          <w:sz w:val="22"/>
          <w:szCs w:val="22"/>
        </w:rPr>
        <w:t>The Research Project</w:t>
      </w:r>
    </w:p>
    <w:p w14:paraId="3D937ADE" w14:textId="77777777" w:rsidR="00214968" w:rsidRDefault="001A5E9C" w:rsidP="00214968">
      <w:pPr>
        <w:jc w:val="both"/>
        <w:rPr>
          <w:rFonts w:cs="Arial"/>
          <w:bCs/>
          <w:spacing w:val="-3"/>
          <w:szCs w:val="20"/>
          <w:lang w:val="en-AU"/>
        </w:rPr>
      </w:pPr>
      <w:r w:rsidRPr="002A0AFE">
        <w:rPr>
          <w:rFonts w:cs="Arial"/>
          <w:bCs/>
          <w:spacing w:val="-3"/>
          <w:szCs w:val="20"/>
          <w:lang w:val="en-AU"/>
        </w:rPr>
        <w:t xml:space="preserve">Although many professionals are attracted to metropolitan Melbourne, others remain in, or return to, non-metropolitan locations, particularly regional cities like Bendigo and Ballarat. Understanding the migration histories and motivations of these skilled workers provides </w:t>
      </w:r>
      <w:proofErr w:type="gramStart"/>
      <w:r w:rsidRPr="002A0AFE">
        <w:rPr>
          <w:rFonts w:cs="Arial"/>
          <w:bCs/>
          <w:spacing w:val="-3"/>
          <w:szCs w:val="20"/>
          <w:lang w:val="en-AU"/>
        </w:rPr>
        <w:t>insights which</w:t>
      </w:r>
      <w:proofErr w:type="gramEnd"/>
      <w:r w:rsidRPr="002A0AFE">
        <w:rPr>
          <w:rFonts w:cs="Arial"/>
          <w:bCs/>
          <w:spacing w:val="-3"/>
          <w:szCs w:val="20"/>
          <w:lang w:val="en-AU"/>
        </w:rPr>
        <w:t xml:space="preserve"> can inform attraction and retention strategies for government or private enterprise. </w:t>
      </w:r>
      <w:r w:rsidR="00A44A11" w:rsidRPr="002A0AFE">
        <w:rPr>
          <w:rFonts w:cs="Arial"/>
          <w:bCs/>
          <w:spacing w:val="-3"/>
          <w:szCs w:val="20"/>
          <w:lang w:val="en-AU"/>
        </w:rPr>
        <w:t>In 2015, a survey was conducted within the municipality of Greater Bendigo</w:t>
      </w:r>
      <w:r w:rsidR="00CF4C12" w:rsidRPr="002A0AFE">
        <w:rPr>
          <w:rFonts w:cs="Arial"/>
          <w:bCs/>
          <w:spacing w:val="-3"/>
          <w:szCs w:val="20"/>
          <w:lang w:val="en-AU"/>
        </w:rPr>
        <w:t xml:space="preserve"> (figure 2)</w:t>
      </w:r>
      <w:r w:rsidR="00A44A11" w:rsidRPr="002A0AFE">
        <w:rPr>
          <w:rFonts w:cs="Arial"/>
          <w:bCs/>
          <w:spacing w:val="-3"/>
          <w:szCs w:val="20"/>
          <w:lang w:val="en-AU"/>
        </w:rPr>
        <w:t xml:space="preserve">. </w:t>
      </w:r>
      <w:r w:rsidR="002F4A4A" w:rsidRPr="002A0AFE">
        <w:rPr>
          <w:rFonts w:cs="Arial"/>
          <w:spacing w:val="-3"/>
          <w:szCs w:val="20"/>
          <w:lang w:val="en-AU"/>
        </w:rPr>
        <w:t>Th</w:t>
      </w:r>
      <w:r w:rsidR="00CF4C12" w:rsidRPr="002A0AFE">
        <w:rPr>
          <w:rFonts w:cs="Arial"/>
          <w:spacing w:val="-3"/>
          <w:szCs w:val="20"/>
          <w:lang w:val="en-AU"/>
        </w:rPr>
        <w:t xml:space="preserve">is formed part of </w:t>
      </w:r>
      <w:r w:rsidR="002F4A4A" w:rsidRPr="002A0AFE">
        <w:rPr>
          <w:rFonts w:cs="Arial"/>
          <w:spacing w:val="-3"/>
          <w:szCs w:val="20"/>
          <w:lang w:val="en-AU"/>
        </w:rPr>
        <w:t>a larger study</w:t>
      </w:r>
      <w:r w:rsidR="007D7AA6" w:rsidRPr="002A0AFE">
        <w:rPr>
          <w:rFonts w:cs="Arial"/>
          <w:spacing w:val="-3"/>
          <w:szCs w:val="20"/>
          <w:lang w:val="en-AU"/>
        </w:rPr>
        <w:t>,</w:t>
      </w:r>
      <w:r w:rsidR="002F4A4A" w:rsidRPr="002A0AFE">
        <w:rPr>
          <w:rFonts w:cs="Arial"/>
          <w:spacing w:val="-3"/>
          <w:szCs w:val="20"/>
          <w:lang w:val="en-AU"/>
        </w:rPr>
        <w:t xml:space="preserve"> an </w:t>
      </w:r>
      <w:r w:rsidR="002F4A4A" w:rsidRPr="002A0AFE">
        <w:rPr>
          <w:rFonts w:cs="Arial"/>
          <w:bCs/>
          <w:spacing w:val="-3"/>
          <w:szCs w:val="20"/>
          <w:lang w:val="en-AU"/>
        </w:rPr>
        <w:t>Australian Research Council (ARC) Linkage Project</w:t>
      </w:r>
      <w:r w:rsidR="002F4A4A" w:rsidRPr="002A0AFE">
        <w:rPr>
          <w:rFonts w:cs="Arial"/>
          <w:bCs/>
          <w:spacing w:val="-3"/>
          <w:szCs w:val="20"/>
          <w:vertAlign w:val="superscript"/>
          <w:lang w:val="en-AU"/>
        </w:rPr>
        <w:footnoteReference w:id="1"/>
      </w:r>
      <w:r w:rsidR="007D7AA6" w:rsidRPr="002A0AFE">
        <w:rPr>
          <w:rFonts w:cs="Arial"/>
          <w:bCs/>
          <w:spacing w:val="-3"/>
          <w:szCs w:val="20"/>
          <w:lang w:val="en-AU"/>
        </w:rPr>
        <w:t>,</w:t>
      </w:r>
      <w:r w:rsidR="002F4A4A" w:rsidRPr="002A0AFE">
        <w:rPr>
          <w:rFonts w:cs="Arial"/>
          <w:spacing w:val="-3"/>
          <w:szCs w:val="20"/>
          <w:lang w:val="en-AU"/>
        </w:rPr>
        <w:t xml:space="preserve"> </w:t>
      </w:r>
      <w:r w:rsidR="002F4A4A" w:rsidRPr="002A0AFE">
        <w:rPr>
          <w:rFonts w:cs="Arial"/>
          <w:bCs/>
          <w:spacing w:val="-3"/>
          <w:szCs w:val="20"/>
          <w:lang w:val="en-AU"/>
        </w:rPr>
        <w:t xml:space="preserve">which examined the spatial dimensions of educational and post-educational pathways. A comparative survey was conducted in 2016 in </w:t>
      </w:r>
      <w:r w:rsidR="00CF4C12" w:rsidRPr="002A0AFE">
        <w:rPr>
          <w:rFonts w:cs="Arial"/>
          <w:bCs/>
          <w:spacing w:val="-3"/>
          <w:szCs w:val="20"/>
          <w:lang w:val="en-AU"/>
        </w:rPr>
        <w:t xml:space="preserve">the City of </w:t>
      </w:r>
      <w:r w:rsidR="002F4A4A" w:rsidRPr="002A0AFE">
        <w:rPr>
          <w:rFonts w:cs="Arial"/>
          <w:bCs/>
          <w:spacing w:val="-3"/>
          <w:szCs w:val="20"/>
          <w:lang w:val="en-AU"/>
        </w:rPr>
        <w:t xml:space="preserve">Ballarat. </w:t>
      </w:r>
    </w:p>
    <w:p w14:paraId="5DDD7030" w14:textId="77777777" w:rsidR="00214968" w:rsidRDefault="00214968" w:rsidP="00214968">
      <w:pPr>
        <w:jc w:val="both"/>
        <w:rPr>
          <w:rFonts w:cs="Arial"/>
          <w:bCs/>
          <w:spacing w:val="-3"/>
          <w:szCs w:val="20"/>
          <w:lang w:val="en-AU"/>
        </w:rPr>
      </w:pPr>
    </w:p>
    <w:p w14:paraId="1325BD9A" w14:textId="77777777" w:rsidR="00214968" w:rsidRPr="00525775" w:rsidRDefault="00CF4C12" w:rsidP="00525775">
      <w:pPr>
        <w:jc w:val="center"/>
        <w:rPr>
          <w:rFonts w:cs="Arial"/>
          <w:b/>
          <w:szCs w:val="20"/>
        </w:rPr>
      </w:pPr>
      <w:r w:rsidRPr="00525775">
        <w:rPr>
          <w:rFonts w:cs="Arial"/>
          <w:b/>
          <w:szCs w:val="20"/>
        </w:rPr>
        <w:t xml:space="preserve">Figure 2: Location of </w:t>
      </w:r>
      <w:proofErr w:type="spellStart"/>
      <w:r w:rsidRPr="00525775">
        <w:rPr>
          <w:rFonts w:cs="Arial"/>
          <w:b/>
          <w:szCs w:val="20"/>
        </w:rPr>
        <w:t>Bendigo</w:t>
      </w:r>
      <w:proofErr w:type="spellEnd"/>
      <w:r w:rsidRPr="00525775">
        <w:rPr>
          <w:rFonts w:cs="Arial"/>
          <w:b/>
          <w:szCs w:val="20"/>
        </w:rPr>
        <w:t xml:space="preserve"> and </w:t>
      </w:r>
      <w:proofErr w:type="spellStart"/>
      <w:r w:rsidRPr="00525775">
        <w:rPr>
          <w:rFonts w:cs="Arial"/>
          <w:b/>
          <w:szCs w:val="20"/>
        </w:rPr>
        <w:t>Ballarat</w:t>
      </w:r>
      <w:proofErr w:type="spellEnd"/>
    </w:p>
    <w:p w14:paraId="29E78075" w14:textId="77777777" w:rsidR="00214968" w:rsidRDefault="00214968" w:rsidP="00214968">
      <w:pPr>
        <w:jc w:val="both"/>
        <w:rPr>
          <w:rFonts w:cs="Arial"/>
          <w:i/>
          <w:szCs w:val="20"/>
        </w:rPr>
      </w:pPr>
    </w:p>
    <w:p w14:paraId="3137D53B" w14:textId="77777777" w:rsidR="00214968" w:rsidRDefault="007D7AA6" w:rsidP="00525775">
      <w:pPr>
        <w:jc w:val="center"/>
        <w:rPr>
          <w:rFonts w:cs="Arial"/>
          <w:szCs w:val="20"/>
        </w:rPr>
      </w:pPr>
      <w:r w:rsidRPr="002A0AFE">
        <w:rPr>
          <w:rFonts w:cs="Arial"/>
          <w:noProof/>
          <w:szCs w:val="20"/>
          <w:lang w:val="en-US"/>
        </w:rPr>
        <w:drawing>
          <wp:inline distT="0" distB="0" distL="0" distR="0" wp14:anchorId="56674FDD" wp14:editId="546FC161">
            <wp:extent cx="2880000" cy="206824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location 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068246"/>
                    </a:xfrm>
                    <a:prstGeom prst="rect">
                      <a:avLst/>
                    </a:prstGeom>
                  </pic:spPr>
                </pic:pic>
              </a:graphicData>
            </a:graphic>
          </wp:inline>
        </w:drawing>
      </w:r>
    </w:p>
    <w:p w14:paraId="45FC1246" w14:textId="77777777" w:rsidR="00214968" w:rsidRDefault="00214968" w:rsidP="00214968">
      <w:pPr>
        <w:jc w:val="both"/>
        <w:rPr>
          <w:rFonts w:cs="Arial"/>
          <w:szCs w:val="20"/>
        </w:rPr>
      </w:pPr>
    </w:p>
    <w:p w14:paraId="7255D919" w14:textId="77777777" w:rsidR="00214968" w:rsidRDefault="007D7AA6" w:rsidP="00214968">
      <w:pPr>
        <w:jc w:val="both"/>
        <w:rPr>
          <w:rFonts w:cs="Arial"/>
          <w:spacing w:val="-2"/>
          <w:szCs w:val="20"/>
          <w:lang w:val="en-AU"/>
        </w:rPr>
      </w:pPr>
      <w:r w:rsidRPr="002A0AFE">
        <w:rPr>
          <w:rFonts w:cs="Arial"/>
          <w:spacing w:val="-2"/>
          <w:szCs w:val="20"/>
          <w:lang w:val="en-AU"/>
        </w:rPr>
        <w:t xml:space="preserve">In each location, three workforces were selected on the basis of them having a high proportion of professional workers. The focus on professionals was due to the </w:t>
      </w:r>
      <w:proofErr w:type="gramStart"/>
      <w:r w:rsidRPr="002A0AFE">
        <w:rPr>
          <w:rFonts w:cs="Arial"/>
          <w:spacing w:val="-2"/>
          <w:szCs w:val="20"/>
          <w:lang w:val="en-AU"/>
        </w:rPr>
        <w:t>oft reported</w:t>
      </w:r>
      <w:proofErr w:type="gramEnd"/>
      <w:r w:rsidRPr="002A0AFE">
        <w:rPr>
          <w:rFonts w:cs="Arial"/>
          <w:spacing w:val="-2"/>
          <w:szCs w:val="20"/>
          <w:lang w:val="en-AU"/>
        </w:rPr>
        <w:t xml:space="preserve"> difficulty in attracting and retaining such skilled workers in non-metropolitan areas (</w:t>
      </w:r>
      <w:r w:rsidR="00506117" w:rsidRPr="002A0AFE">
        <w:rPr>
          <w:rFonts w:cs="Arial"/>
          <w:spacing w:val="-2"/>
          <w:szCs w:val="20"/>
          <w:lang w:val="en-AU"/>
        </w:rPr>
        <w:t>McKenzie 2004; Miles et al. 2006)</w:t>
      </w:r>
      <w:r w:rsidRPr="002A0AFE">
        <w:rPr>
          <w:rFonts w:cs="Arial"/>
          <w:spacing w:val="-2"/>
          <w:szCs w:val="20"/>
          <w:lang w:val="en-AU"/>
        </w:rPr>
        <w:t>.</w:t>
      </w:r>
      <w:r w:rsidR="00383664" w:rsidRPr="002A0AFE">
        <w:rPr>
          <w:rFonts w:cs="Arial"/>
          <w:spacing w:val="-2"/>
          <w:szCs w:val="20"/>
          <w:lang w:val="en-AU"/>
        </w:rPr>
        <w:t xml:space="preserve"> The workforce samples included the local Council and major health service in each location along with a private business: Bendigo Bank and IBM Ballarat.</w:t>
      </w:r>
      <w:r w:rsidR="00981543" w:rsidRPr="002A0AFE">
        <w:rPr>
          <w:rFonts w:cs="Arial"/>
          <w:spacing w:val="-2"/>
          <w:szCs w:val="20"/>
          <w:lang w:val="en-AU"/>
        </w:rPr>
        <w:t xml:space="preserve"> </w:t>
      </w:r>
      <w:r w:rsidRPr="002A0AFE">
        <w:rPr>
          <w:rFonts w:cs="Arial"/>
          <w:spacing w:val="-2"/>
          <w:szCs w:val="20"/>
          <w:lang w:val="en-AU"/>
        </w:rPr>
        <w:t xml:space="preserve">The survey aimed to collect information about locational histories of </w:t>
      </w:r>
      <w:r w:rsidR="00383664" w:rsidRPr="002A0AFE">
        <w:rPr>
          <w:rFonts w:cs="Arial"/>
          <w:spacing w:val="-2"/>
          <w:szCs w:val="20"/>
          <w:lang w:val="en-AU"/>
        </w:rPr>
        <w:t>these regional workers</w:t>
      </w:r>
      <w:r w:rsidRPr="002A0AFE">
        <w:rPr>
          <w:rFonts w:cs="Arial"/>
          <w:spacing w:val="-2"/>
          <w:szCs w:val="20"/>
          <w:lang w:val="en-AU"/>
        </w:rPr>
        <w:t>. Key questions included:</w:t>
      </w:r>
    </w:p>
    <w:p w14:paraId="627693D5" w14:textId="77777777" w:rsidR="00214968" w:rsidRDefault="007D7AA6" w:rsidP="00214968">
      <w:pPr>
        <w:pStyle w:val="ListBullet"/>
        <w:jc w:val="both"/>
        <w:rPr>
          <w:rFonts w:cs="Arial"/>
          <w:szCs w:val="20"/>
          <w:lang w:val="en-AU"/>
        </w:rPr>
      </w:pPr>
      <w:r w:rsidRPr="002A0AFE">
        <w:rPr>
          <w:rFonts w:cs="Arial"/>
          <w:szCs w:val="20"/>
          <w:lang w:val="en-AU"/>
        </w:rPr>
        <w:t>Did workers originate from the local area?</w:t>
      </w:r>
    </w:p>
    <w:p w14:paraId="7A12470A" w14:textId="77777777" w:rsidR="00214968" w:rsidRDefault="007D7AA6" w:rsidP="00214968">
      <w:pPr>
        <w:pStyle w:val="ListBullet"/>
        <w:jc w:val="both"/>
        <w:rPr>
          <w:rFonts w:cs="Arial"/>
          <w:szCs w:val="20"/>
          <w:lang w:val="en-AU"/>
        </w:rPr>
      </w:pPr>
      <w:r w:rsidRPr="002A0AFE">
        <w:rPr>
          <w:rFonts w:cs="Arial"/>
          <w:szCs w:val="20"/>
          <w:lang w:val="en-AU"/>
        </w:rPr>
        <w:t>Did they train in the local area or did they train elsewhere and return?</w:t>
      </w:r>
    </w:p>
    <w:p w14:paraId="2A3C43B8" w14:textId="77777777" w:rsidR="00214968" w:rsidRDefault="007D7AA6" w:rsidP="00214968">
      <w:pPr>
        <w:pStyle w:val="ListBullet"/>
        <w:jc w:val="both"/>
        <w:rPr>
          <w:rFonts w:cs="Arial"/>
          <w:szCs w:val="20"/>
          <w:lang w:val="en-AU"/>
        </w:rPr>
      </w:pPr>
      <w:r w:rsidRPr="002A0AFE">
        <w:rPr>
          <w:rFonts w:cs="Arial"/>
          <w:szCs w:val="20"/>
          <w:lang w:val="en-AU"/>
        </w:rPr>
        <w:t>What have been the motivations for various migration decisions?</w:t>
      </w:r>
    </w:p>
    <w:p w14:paraId="64FEB1B3" w14:textId="77777777" w:rsidR="00214968" w:rsidRDefault="001A5E9C" w:rsidP="00214968">
      <w:pPr>
        <w:pStyle w:val="ListBullet"/>
        <w:jc w:val="both"/>
        <w:rPr>
          <w:rFonts w:cs="Arial"/>
          <w:szCs w:val="20"/>
          <w:lang w:val="en-AU"/>
        </w:rPr>
      </w:pPr>
      <w:r w:rsidRPr="002A0AFE">
        <w:rPr>
          <w:rFonts w:cs="Arial"/>
          <w:szCs w:val="20"/>
          <w:lang w:val="en-AU"/>
        </w:rPr>
        <w:t>What are the future intentions of these workers – are they likely to stay or leave?</w:t>
      </w:r>
    </w:p>
    <w:p w14:paraId="19F40149" w14:textId="77777777" w:rsidR="00214968" w:rsidRDefault="00214968" w:rsidP="00525775">
      <w:pPr>
        <w:pStyle w:val="ListBullet"/>
        <w:numPr>
          <w:ilvl w:val="0"/>
          <w:numId w:val="0"/>
        </w:numPr>
        <w:ind w:left="360"/>
        <w:jc w:val="both"/>
        <w:rPr>
          <w:rFonts w:cs="Arial"/>
          <w:szCs w:val="20"/>
          <w:lang w:val="en-AU"/>
        </w:rPr>
      </w:pPr>
    </w:p>
    <w:p w14:paraId="40E21E84" w14:textId="77777777" w:rsidR="00214968" w:rsidRDefault="007D7AA6" w:rsidP="00214968">
      <w:pPr>
        <w:jc w:val="both"/>
        <w:rPr>
          <w:rFonts w:cs="Arial"/>
          <w:szCs w:val="20"/>
        </w:rPr>
      </w:pPr>
      <w:r w:rsidRPr="002A0AFE">
        <w:rPr>
          <w:rFonts w:cs="Arial"/>
          <w:szCs w:val="20"/>
          <w:lang w:val="en-AU"/>
        </w:rPr>
        <w:lastRenderedPageBreak/>
        <w:t>The surveys were undertaken via a web-based survey tool</w:t>
      </w:r>
      <w:r w:rsidR="00383664" w:rsidRPr="002A0AFE">
        <w:rPr>
          <w:rFonts w:cs="Arial"/>
          <w:szCs w:val="20"/>
          <w:lang w:val="en-AU"/>
        </w:rPr>
        <w:t>. Collected data were de-identified and analysed using Excel software</w:t>
      </w:r>
      <w:r w:rsidRPr="002A0AFE">
        <w:rPr>
          <w:rFonts w:cs="Arial"/>
          <w:szCs w:val="20"/>
          <w:lang w:val="en-AU"/>
        </w:rPr>
        <w:t>.</w:t>
      </w:r>
      <w:r w:rsidR="001A5E9C" w:rsidRPr="002A0AFE">
        <w:rPr>
          <w:rFonts w:cs="Arial"/>
          <w:szCs w:val="20"/>
          <w:lang w:val="en-AU"/>
        </w:rPr>
        <w:t xml:space="preserve"> </w:t>
      </w:r>
      <w:r w:rsidR="00383664" w:rsidRPr="002A0AFE">
        <w:rPr>
          <w:rFonts w:cs="Arial"/>
          <w:szCs w:val="20"/>
        </w:rPr>
        <w:t xml:space="preserve">In total, the combined sample contains 1,271 respondents from six organisations (table 5). Both the </w:t>
      </w:r>
      <w:proofErr w:type="spellStart"/>
      <w:r w:rsidR="00383664" w:rsidRPr="002A0AFE">
        <w:rPr>
          <w:rFonts w:cs="Arial"/>
          <w:szCs w:val="20"/>
        </w:rPr>
        <w:t>Ballarat</w:t>
      </w:r>
      <w:proofErr w:type="spellEnd"/>
      <w:r w:rsidR="00383664" w:rsidRPr="002A0AFE">
        <w:rPr>
          <w:rFonts w:cs="Arial"/>
          <w:szCs w:val="20"/>
        </w:rPr>
        <w:t xml:space="preserve"> and </w:t>
      </w:r>
      <w:proofErr w:type="spellStart"/>
      <w:r w:rsidR="00383664" w:rsidRPr="002A0AFE">
        <w:rPr>
          <w:rFonts w:cs="Arial"/>
          <w:szCs w:val="20"/>
        </w:rPr>
        <w:t>Bendigo</w:t>
      </w:r>
      <w:proofErr w:type="spellEnd"/>
      <w:r w:rsidR="00383664" w:rsidRPr="002A0AFE">
        <w:rPr>
          <w:rFonts w:cs="Arial"/>
          <w:szCs w:val="20"/>
        </w:rPr>
        <w:t xml:space="preserve"> sample have a higher proportion of female than male respondents, however, there is a great deal of variation between organisations ranging from only 30 percent at the male-dominated IBM technology company to 87 percent for the female-dominated </w:t>
      </w:r>
      <w:proofErr w:type="spellStart"/>
      <w:r w:rsidR="00383664" w:rsidRPr="002A0AFE">
        <w:rPr>
          <w:rFonts w:cs="Arial"/>
          <w:szCs w:val="20"/>
        </w:rPr>
        <w:t>Ballarat</w:t>
      </w:r>
      <w:proofErr w:type="spellEnd"/>
      <w:r w:rsidR="00383664" w:rsidRPr="002A0AFE">
        <w:rPr>
          <w:rFonts w:cs="Arial"/>
          <w:szCs w:val="20"/>
        </w:rPr>
        <w:t xml:space="preserve"> Health Services. IBM is also notable for having a much younger age profile, with more than half of the respondents being less than 35 years of age. This profile has influenced the overall age profile of </w:t>
      </w:r>
      <w:proofErr w:type="spellStart"/>
      <w:proofErr w:type="gramStart"/>
      <w:r w:rsidR="00383664" w:rsidRPr="002A0AFE">
        <w:rPr>
          <w:rFonts w:cs="Arial"/>
          <w:szCs w:val="20"/>
        </w:rPr>
        <w:t>Ballarat</w:t>
      </w:r>
      <w:proofErr w:type="spellEnd"/>
      <w:r w:rsidR="00383664" w:rsidRPr="002A0AFE">
        <w:rPr>
          <w:rFonts w:cs="Arial"/>
          <w:szCs w:val="20"/>
        </w:rPr>
        <w:t xml:space="preserve"> which</w:t>
      </w:r>
      <w:proofErr w:type="gramEnd"/>
      <w:r w:rsidR="00383664" w:rsidRPr="002A0AFE">
        <w:rPr>
          <w:rFonts w:cs="Arial"/>
          <w:szCs w:val="20"/>
        </w:rPr>
        <w:t xml:space="preserve"> is younger on average than the </w:t>
      </w:r>
      <w:proofErr w:type="spellStart"/>
      <w:r w:rsidR="00383664" w:rsidRPr="002A0AFE">
        <w:rPr>
          <w:rFonts w:cs="Arial"/>
          <w:szCs w:val="20"/>
        </w:rPr>
        <w:t>Bendigo</w:t>
      </w:r>
      <w:proofErr w:type="spellEnd"/>
      <w:r w:rsidR="00383664" w:rsidRPr="002A0AFE">
        <w:rPr>
          <w:rFonts w:cs="Arial"/>
          <w:szCs w:val="20"/>
        </w:rPr>
        <w:t xml:space="preserve"> sample. </w:t>
      </w:r>
    </w:p>
    <w:p w14:paraId="3DB9955B" w14:textId="77777777" w:rsidR="00214968" w:rsidRDefault="00214968" w:rsidP="00214968">
      <w:pPr>
        <w:jc w:val="both"/>
        <w:rPr>
          <w:rFonts w:cs="Arial"/>
          <w:szCs w:val="20"/>
        </w:rPr>
      </w:pPr>
    </w:p>
    <w:p w14:paraId="13A39103" w14:textId="77777777" w:rsidR="00214968" w:rsidRPr="00525775" w:rsidRDefault="00383664" w:rsidP="00525775">
      <w:pPr>
        <w:jc w:val="center"/>
        <w:rPr>
          <w:rFonts w:cs="Arial"/>
          <w:b/>
          <w:szCs w:val="20"/>
        </w:rPr>
      </w:pPr>
      <w:r w:rsidRPr="00525775">
        <w:rPr>
          <w:rFonts w:cs="Arial"/>
          <w:b/>
          <w:szCs w:val="20"/>
        </w:rPr>
        <w:t xml:space="preserve">Table 1: Profile of survey samples, </w:t>
      </w:r>
      <w:proofErr w:type="spellStart"/>
      <w:r w:rsidRPr="00525775">
        <w:rPr>
          <w:rFonts w:cs="Arial"/>
          <w:b/>
          <w:szCs w:val="20"/>
        </w:rPr>
        <w:t>Ballarat</w:t>
      </w:r>
      <w:proofErr w:type="spellEnd"/>
      <w:r w:rsidRPr="00525775">
        <w:rPr>
          <w:rFonts w:cs="Arial"/>
          <w:b/>
          <w:szCs w:val="20"/>
        </w:rPr>
        <w:t xml:space="preserve"> 2016 and </w:t>
      </w:r>
      <w:proofErr w:type="spellStart"/>
      <w:r w:rsidRPr="00525775">
        <w:rPr>
          <w:rFonts w:cs="Arial"/>
          <w:b/>
          <w:szCs w:val="20"/>
        </w:rPr>
        <w:t>Bendigo</w:t>
      </w:r>
      <w:proofErr w:type="spellEnd"/>
      <w:r w:rsidRPr="00525775">
        <w:rPr>
          <w:rFonts w:cs="Arial"/>
          <w:b/>
          <w:szCs w:val="20"/>
        </w:rPr>
        <w:t xml:space="preserve"> 2015</w:t>
      </w:r>
    </w:p>
    <w:p w14:paraId="04FEE879" w14:textId="77777777" w:rsidR="00525775" w:rsidRPr="00525775" w:rsidRDefault="00525775" w:rsidP="00525775">
      <w:pPr>
        <w:jc w:val="center"/>
        <w:rPr>
          <w:rFonts w:cs="Arial"/>
          <w:szCs w:val="20"/>
        </w:rPr>
      </w:pPr>
      <w:r w:rsidRPr="00525775">
        <w:rPr>
          <w:rFonts w:cs="Arial"/>
          <w:szCs w:val="20"/>
        </w:rPr>
        <w:t xml:space="preserve">Sources: </w:t>
      </w:r>
      <w:proofErr w:type="spellStart"/>
      <w:r w:rsidRPr="00525775">
        <w:rPr>
          <w:rFonts w:cs="Arial"/>
          <w:szCs w:val="20"/>
        </w:rPr>
        <w:t>Ballarat</w:t>
      </w:r>
      <w:proofErr w:type="spellEnd"/>
      <w:r w:rsidRPr="00525775">
        <w:rPr>
          <w:rFonts w:cs="Arial"/>
          <w:szCs w:val="20"/>
        </w:rPr>
        <w:t xml:space="preserve"> Survey Data 2016 and </w:t>
      </w:r>
      <w:proofErr w:type="spellStart"/>
      <w:r w:rsidRPr="00525775">
        <w:rPr>
          <w:rFonts w:cs="Arial"/>
          <w:szCs w:val="20"/>
        </w:rPr>
        <w:t>Bendigo</w:t>
      </w:r>
      <w:proofErr w:type="spellEnd"/>
      <w:r w:rsidRPr="00525775">
        <w:rPr>
          <w:rFonts w:cs="Arial"/>
          <w:szCs w:val="20"/>
        </w:rPr>
        <w:t xml:space="preserve"> Survey Data 2015</w:t>
      </w:r>
    </w:p>
    <w:p w14:paraId="42292F44" w14:textId="77777777" w:rsidR="00214968" w:rsidRDefault="00214968" w:rsidP="00525775">
      <w:pPr>
        <w:jc w:val="center"/>
        <w:rPr>
          <w:rFonts w:cs="Arial"/>
          <w:i/>
          <w:szCs w:val="20"/>
        </w:rPr>
      </w:pPr>
    </w:p>
    <w:p w14:paraId="41071E37" w14:textId="77777777" w:rsidR="00214968" w:rsidRDefault="00780973" w:rsidP="00525775">
      <w:pPr>
        <w:jc w:val="center"/>
        <w:rPr>
          <w:rFonts w:cs="Arial"/>
          <w:szCs w:val="20"/>
        </w:rPr>
      </w:pPr>
      <w:r w:rsidRPr="002A0AFE">
        <w:rPr>
          <w:rFonts w:cs="Arial"/>
          <w:noProof/>
          <w:szCs w:val="20"/>
          <w:lang w:val="en-US"/>
        </w:rPr>
        <w:drawing>
          <wp:inline distT="0" distB="0" distL="0" distR="0" wp14:anchorId="5E5A75E3" wp14:editId="4F696286">
            <wp:extent cx="4320000" cy="175831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5 - Ballarat-Bendigo - Profile of respondents.png"/>
                    <pic:cNvPicPr/>
                  </pic:nvPicPr>
                  <pic:blipFill rotWithShape="1">
                    <a:blip r:embed="rId10" cstate="print">
                      <a:extLst>
                        <a:ext uri="{28A0092B-C50C-407E-A947-70E740481C1C}">
                          <a14:useLocalDpi xmlns:a14="http://schemas.microsoft.com/office/drawing/2010/main" val="0"/>
                        </a:ext>
                      </a:extLst>
                    </a:blip>
                    <a:srcRect b="15352"/>
                    <a:stretch/>
                  </pic:blipFill>
                  <pic:spPr bwMode="auto">
                    <a:xfrm>
                      <a:off x="0" y="0"/>
                      <a:ext cx="4320000" cy="1758316"/>
                    </a:xfrm>
                    <a:prstGeom prst="rect">
                      <a:avLst/>
                    </a:prstGeom>
                    <a:ln>
                      <a:noFill/>
                    </a:ln>
                    <a:extLst>
                      <a:ext uri="{53640926-AAD7-44d8-BBD7-CCE9431645EC}">
                        <a14:shadowObscured xmlns:a14="http://schemas.microsoft.com/office/drawing/2010/main"/>
                      </a:ext>
                    </a:extLst>
                  </pic:spPr>
                </pic:pic>
              </a:graphicData>
            </a:graphic>
          </wp:inline>
        </w:drawing>
      </w:r>
    </w:p>
    <w:p w14:paraId="491F0E01" w14:textId="77777777" w:rsidR="00214968" w:rsidRDefault="00214968" w:rsidP="00214968">
      <w:pPr>
        <w:jc w:val="both"/>
        <w:rPr>
          <w:rFonts w:cs="Arial"/>
          <w:szCs w:val="20"/>
        </w:rPr>
      </w:pPr>
    </w:p>
    <w:p w14:paraId="47691707" w14:textId="77777777" w:rsidR="00214968" w:rsidRDefault="00A65EE2" w:rsidP="00214968">
      <w:pPr>
        <w:jc w:val="both"/>
        <w:rPr>
          <w:rFonts w:cs="Arial"/>
          <w:szCs w:val="20"/>
        </w:rPr>
      </w:pPr>
      <w:r w:rsidRPr="002A0AFE">
        <w:rPr>
          <w:rFonts w:cs="Arial"/>
          <w:szCs w:val="20"/>
        </w:rPr>
        <w:t xml:space="preserve">Perhaps the most significant difference between the </w:t>
      </w:r>
      <w:proofErr w:type="spellStart"/>
      <w:r w:rsidRPr="002A0AFE">
        <w:rPr>
          <w:rFonts w:cs="Arial"/>
          <w:szCs w:val="20"/>
        </w:rPr>
        <w:t>Ballarat</w:t>
      </w:r>
      <w:proofErr w:type="spellEnd"/>
      <w:r w:rsidRPr="002A0AFE">
        <w:rPr>
          <w:rFonts w:cs="Arial"/>
          <w:szCs w:val="20"/>
        </w:rPr>
        <w:t xml:space="preserve"> and </w:t>
      </w:r>
      <w:proofErr w:type="spellStart"/>
      <w:r w:rsidRPr="002A0AFE">
        <w:rPr>
          <w:rFonts w:cs="Arial"/>
          <w:szCs w:val="20"/>
        </w:rPr>
        <w:t>Bendigo</w:t>
      </w:r>
      <w:proofErr w:type="spellEnd"/>
      <w:r w:rsidRPr="002A0AFE">
        <w:rPr>
          <w:rFonts w:cs="Arial"/>
          <w:szCs w:val="20"/>
        </w:rPr>
        <w:t xml:space="preserve"> samples is the proportions born overseas. None of the </w:t>
      </w:r>
      <w:proofErr w:type="spellStart"/>
      <w:r w:rsidRPr="002A0AFE">
        <w:rPr>
          <w:rFonts w:cs="Arial"/>
          <w:szCs w:val="20"/>
        </w:rPr>
        <w:t>Bendigo</w:t>
      </w:r>
      <w:proofErr w:type="spellEnd"/>
      <w:r w:rsidRPr="002A0AFE">
        <w:rPr>
          <w:rFonts w:cs="Arial"/>
          <w:szCs w:val="20"/>
        </w:rPr>
        <w:t xml:space="preserve"> samples has more than 10 percent born overseas whereas </w:t>
      </w:r>
      <w:proofErr w:type="spellStart"/>
      <w:r w:rsidRPr="002A0AFE">
        <w:rPr>
          <w:rFonts w:cs="Arial"/>
          <w:szCs w:val="20"/>
        </w:rPr>
        <w:t>Ballarat</w:t>
      </w:r>
      <w:proofErr w:type="spellEnd"/>
      <w:r w:rsidRPr="002A0AFE">
        <w:rPr>
          <w:rFonts w:cs="Arial"/>
          <w:szCs w:val="20"/>
        </w:rPr>
        <w:t xml:space="preserve"> has two organisations with more than a quarter of respondents in this category: IBM (25%) and </w:t>
      </w:r>
      <w:proofErr w:type="spellStart"/>
      <w:r w:rsidRPr="002A0AFE">
        <w:rPr>
          <w:rFonts w:cs="Arial"/>
          <w:szCs w:val="20"/>
        </w:rPr>
        <w:t>Ballarat</w:t>
      </w:r>
      <w:proofErr w:type="spellEnd"/>
      <w:r w:rsidRPr="002A0AFE">
        <w:rPr>
          <w:rFonts w:cs="Arial"/>
          <w:szCs w:val="20"/>
        </w:rPr>
        <w:t xml:space="preserve"> Health Services (28%). </w:t>
      </w:r>
    </w:p>
    <w:p w14:paraId="25A53924" w14:textId="77777777" w:rsidR="00214968" w:rsidRDefault="00214968" w:rsidP="00214968">
      <w:pPr>
        <w:jc w:val="both"/>
        <w:rPr>
          <w:rFonts w:cs="Arial"/>
          <w:szCs w:val="20"/>
        </w:rPr>
      </w:pPr>
    </w:p>
    <w:p w14:paraId="4E8DEC80" w14:textId="77777777" w:rsidR="00214968" w:rsidRDefault="002F4A4A" w:rsidP="00214968">
      <w:pPr>
        <w:jc w:val="both"/>
        <w:rPr>
          <w:rFonts w:cs="Arial"/>
          <w:b/>
          <w:sz w:val="22"/>
          <w:szCs w:val="22"/>
        </w:rPr>
      </w:pPr>
      <w:r w:rsidRPr="002A0AFE">
        <w:rPr>
          <w:rFonts w:cs="Arial"/>
          <w:b/>
          <w:sz w:val="22"/>
          <w:szCs w:val="22"/>
        </w:rPr>
        <w:t>Locational backgrounds of the respondents</w:t>
      </w:r>
    </w:p>
    <w:p w14:paraId="35B6BCD9" w14:textId="77777777" w:rsidR="00214968" w:rsidRDefault="001A1EF7" w:rsidP="00214968">
      <w:pPr>
        <w:jc w:val="both"/>
        <w:rPr>
          <w:rFonts w:cs="Arial"/>
          <w:szCs w:val="20"/>
        </w:rPr>
      </w:pPr>
      <w:r w:rsidRPr="002A0AFE">
        <w:rPr>
          <w:rFonts w:cs="Arial"/>
          <w:szCs w:val="20"/>
        </w:rPr>
        <w:t>The survey gathered information about respondents</w:t>
      </w:r>
      <w:r w:rsidR="0091699B" w:rsidRPr="002A0AFE">
        <w:rPr>
          <w:rFonts w:cs="Arial"/>
          <w:szCs w:val="20"/>
        </w:rPr>
        <w:t>’</w:t>
      </w:r>
      <w:r w:rsidRPr="002A0AFE">
        <w:rPr>
          <w:rFonts w:cs="Arial"/>
          <w:szCs w:val="20"/>
        </w:rPr>
        <w:t xml:space="preserve"> location at four key life stages: birth, childhood, </w:t>
      </w:r>
      <w:proofErr w:type="gramStart"/>
      <w:r w:rsidR="002F4A4A" w:rsidRPr="002A0AFE">
        <w:rPr>
          <w:rFonts w:cs="Arial"/>
          <w:szCs w:val="20"/>
        </w:rPr>
        <w:t>The</w:t>
      </w:r>
      <w:proofErr w:type="gramEnd"/>
      <w:r w:rsidR="002F4A4A" w:rsidRPr="002A0AFE">
        <w:rPr>
          <w:rFonts w:cs="Arial"/>
          <w:szCs w:val="20"/>
        </w:rPr>
        <w:t xml:space="preserve"> current location (</w:t>
      </w:r>
      <w:proofErr w:type="spellStart"/>
      <w:r w:rsidR="002F4A4A" w:rsidRPr="002A0AFE">
        <w:rPr>
          <w:rFonts w:cs="Arial"/>
          <w:szCs w:val="20"/>
        </w:rPr>
        <w:t>Ballarat</w:t>
      </w:r>
      <w:proofErr w:type="spellEnd"/>
      <w:r w:rsidR="002F4A4A" w:rsidRPr="002A0AFE">
        <w:rPr>
          <w:rFonts w:cs="Arial"/>
          <w:szCs w:val="20"/>
        </w:rPr>
        <w:t xml:space="preserve"> or </w:t>
      </w:r>
      <w:proofErr w:type="spellStart"/>
      <w:r w:rsidR="002F4A4A" w:rsidRPr="002A0AFE">
        <w:rPr>
          <w:rFonts w:cs="Arial"/>
          <w:szCs w:val="20"/>
        </w:rPr>
        <w:t>Bendigo</w:t>
      </w:r>
      <w:proofErr w:type="spellEnd"/>
      <w:r w:rsidR="002F4A4A" w:rsidRPr="002A0AFE">
        <w:rPr>
          <w:rFonts w:cs="Arial"/>
          <w:szCs w:val="20"/>
        </w:rPr>
        <w:t xml:space="preserve">) accounts for a higher proportion of the sample at each subsequent life stage: birthplace, childhood, schooling and higher education (figure </w:t>
      </w:r>
      <w:r w:rsidR="00331641" w:rsidRPr="002A0AFE">
        <w:rPr>
          <w:rFonts w:cs="Arial"/>
          <w:szCs w:val="20"/>
        </w:rPr>
        <w:t>3</w:t>
      </w:r>
      <w:r w:rsidR="002F4A4A" w:rsidRPr="002A0AFE">
        <w:rPr>
          <w:rFonts w:cs="Arial"/>
          <w:szCs w:val="20"/>
        </w:rPr>
        <w:t xml:space="preserve">). Nevertheless, it remains more prominent in </w:t>
      </w:r>
      <w:proofErr w:type="spellStart"/>
      <w:r w:rsidR="002F4A4A" w:rsidRPr="002A0AFE">
        <w:rPr>
          <w:rFonts w:cs="Arial"/>
          <w:szCs w:val="20"/>
        </w:rPr>
        <w:t>Bendigo</w:t>
      </w:r>
      <w:proofErr w:type="spellEnd"/>
      <w:r w:rsidR="002F4A4A" w:rsidRPr="002A0AFE">
        <w:rPr>
          <w:rFonts w:cs="Arial"/>
          <w:szCs w:val="20"/>
        </w:rPr>
        <w:t xml:space="preserve"> than </w:t>
      </w:r>
      <w:proofErr w:type="spellStart"/>
      <w:r w:rsidR="002F4A4A" w:rsidRPr="002A0AFE">
        <w:rPr>
          <w:rFonts w:cs="Arial"/>
          <w:szCs w:val="20"/>
        </w:rPr>
        <w:t>Ballarat</w:t>
      </w:r>
      <w:proofErr w:type="spellEnd"/>
      <w:r w:rsidR="002F4A4A" w:rsidRPr="002A0AFE">
        <w:rPr>
          <w:rFonts w:cs="Arial"/>
          <w:szCs w:val="20"/>
        </w:rPr>
        <w:t xml:space="preserve"> by between 5 and 9 percentage points at each stage. By the time of highest education qualification, </w:t>
      </w:r>
      <w:proofErr w:type="spellStart"/>
      <w:r w:rsidR="002F4A4A" w:rsidRPr="002A0AFE">
        <w:rPr>
          <w:rFonts w:cs="Arial"/>
          <w:szCs w:val="20"/>
        </w:rPr>
        <w:t>Ballarat</w:t>
      </w:r>
      <w:proofErr w:type="spellEnd"/>
      <w:r w:rsidR="002F4A4A" w:rsidRPr="002A0AFE">
        <w:rPr>
          <w:rFonts w:cs="Arial"/>
          <w:szCs w:val="20"/>
        </w:rPr>
        <w:t xml:space="preserve"> was home </w:t>
      </w:r>
      <w:r w:rsidRPr="002A0AFE">
        <w:rPr>
          <w:rFonts w:cs="Arial"/>
          <w:szCs w:val="20"/>
        </w:rPr>
        <w:t xml:space="preserve">for </w:t>
      </w:r>
      <w:r w:rsidR="002F4A4A" w:rsidRPr="002A0AFE">
        <w:rPr>
          <w:rFonts w:cs="Arial"/>
          <w:szCs w:val="20"/>
        </w:rPr>
        <w:t xml:space="preserve">48 percent of the </w:t>
      </w:r>
      <w:proofErr w:type="spellStart"/>
      <w:r w:rsidR="002F4A4A" w:rsidRPr="002A0AFE">
        <w:rPr>
          <w:rFonts w:cs="Arial"/>
          <w:szCs w:val="20"/>
        </w:rPr>
        <w:t>Ballarat</w:t>
      </w:r>
      <w:proofErr w:type="spellEnd"/>
      <w:r w:rsidR="002F4A4A" w:rsidRPr="002A0AFE">
        <w:rPr>
          <w:rFonts w:cs="Arial"/>
          <w:szCs w:val="20"/>
        </w:rPr>
        <w:t xml:space="preserve"> sample while </w:t>
      </w:r>
      <w:proofErr w:type="spellStart"/>
      <w:r w:rsidR="002F4A4A" w:rsidRPr="002A0AFE">
        <w:rPr>
          <w:rFonts w:cs="Arial"/>
          <w:szCs w:val="20"/>
        </w:rPr>
        <w:t>Bendigo</w:t>
      </w:r>
      <w:proofErr w:type="spellEnd"/>
      <w:r w:rsidR="002F4A4A" w:rsidRPr="002A0AFE">
        <w:rPr>
          <w:rFonts w:cs="Arial"/>
          <w:szCs w:val="20"/>
        </w:rPr>
        <w:t xml:space="preserve"> was home for 54 percent of the </w:t>
      </w:r>
      <w:proofErr w:type="spellStart"/>
      <w:r w:rsidR="002F4A4A" w:rsidRPr="002A0AFE">
        <w:rPr>
          <w:rFonts w:cs="Arial"/>
          <w:szCs w:val="20"/>
        </w:rPr>
        <w:t>Bendigo</w:t>
      </w:r>
      <w:proofErr w:type="spellEnd"/>
      <w:r w:rsidR="002F4A4A" w:rsidRPr="002A0AFE">
        <w:rPr>
          <w:rFonts w:cs="Arial"/>
          <w:szCs w:val="20"/>
        </w:rPr>
        <w:t xml:space="preserve"> sample. </w:t>
      </w:r>
      <w:r w:rsidR="0091699B" w:rsidRPr="002A0AFE">
        <w:rPr>
          <w:rFonts w:cs="Arial"/>
          <w:szCs w:val="20"/>
        </w:rPr>
        <w:t>T</w:t>
      </w:r>
      <w:r w:rsidR="002F4A4A" w:rsidRPr="002A0AFE">
        <w:rPr>
          <w:rFonts w:cs="Arial"/>
          <w:szCs w:val="20"/>
        </w:rPr>
        <w:t>he overseas category is more prominent at each life stage</w:t>
      </w:r>
      <w:r w:rsidR="0091699B" w:rsidRPr="002A0AFE">
        <w:rPr>
          <w:rFonts w:cs="Arial"/>
          <w:szCs w:val="20"/>
        </w:rPr>
        <w:t xml:space="preserve"> in </w:t>
      </w:r>
      <w:proofErr w:type="spellStart"/>
      <w:r w:rsidR="0091699B" w:rsidRPr="002A0AFE">
        <w:rPr>
          <w:rFonts w:cs="Arial"/>
          <w:szCs w:val="20"/>
        </w:rPr>
        <w:t>Ballarat</w:t>
      </w:r>
      <w:proofErr w:type="spellEnd"/>
      <w:r w:rsidR="0091699B" w:rsidRPr="002A0AFE">
        <w:rPr>
          <w:rFonts w:cs="Arial"/>
          <w:szCs w:val="20"/>
        </w:rPr>
        <w:t>.</w:t>
      </w:r>
    </w:p>
    <w:p w14:paraId="3E779C36" w14:textId="77777777" w:rsidR="00214968" w:rsidRDefault="00214968" w:rsidP="00214968">
      <w:pPr>
        <w:jc w:val="both"/>
        <w:rPr>
          <w:rFonts w:cs="Arial"/>
          <w:szCs w:val="20"/>
        </w:rPr>
      </w:pPr>
    </w:p>
    <w:p w14:paraId="0DB0931F" w14:textId="77777777" w:rsidR="00214968" w:rsidRPr="00525775" w:rsidRDefault="002F4A4A" w:rsidP="00525775">
      <w:pPr>
        <w:jc w:val="center"/>
        <w:rPr>
          <w:rFonts w:cs="Arial"/>
          <w:b/>
          <w:szCs w:val="20"/>
        </w:rPr>
      </w:pPr>
      <w:r w:rsidRPr="00525775">
        <w:rPr>
          <w:rFonts w:cs="Arial"/>
          <w:b/>
          <w:szCs w:val="20"/>
        </w:rPr>
        <w:t xml:space="preserve">Figure </w:t>
      </w:r>
      <w:r w:rsidR="00331641" w:rsidRPr="00525775">
        <w:rPr>
          <w:rFonts w:cs="Arial"/>
          <w:b/>
          <w:szCs w:val="20"/>
        </w:rPr>
        <w:t>3</w:t>
      </w:r>
      <w:r w:rsidRPr="00525775">
        <w:rPr>
          <w:rFonts w:cs="Arial"/>
          <w:b/>
          <w:szCs w:val="20"/>
        </w:rPr>
        <w:t xml:space="preserve">: Location of respondents at key life stages, combined </w:t>
      </w:r>
      <w:proofErr w:type="spellStart"/>
      <w:r w:rsidRPr="00525775">
        <w:rPr>
          <w:rFonts w:cs="Arial"/>
          <w:b/>
          <w:szCs w:val="20"/>
        </w:rPr>
        <w:t>Ballarat</w:t>
      </w:r>
      <w:proofErr w:type="spellEnd"/>
      <w:r w:rsidRPr="00525775">
        <w:rPr>
          <w:rFonts w:cs="Arial"/>
          <w:b/>
          <w:szCs w:val="20"/>
        </w:rPr>
        <w:t xml:space="preserve"> and </w:t>
      </w:r>
      <w:proofErr w:type="spellStart"/>
      <w:r w:rsidRPr="00525775">
        <w:rPr>
          <w:rFonts w:cs="Arial"/>
          <w:b/>
          <w:szCs w:val="20"/>
        </w:rPr>
        <w:t>Bendigo</w:t>
      </w:r>
      <w:proofErr w:type="spellEnd"/>
      <w:r w:rsidRPr="00525775">
        <w:rPr>
          <w:rFonts w:cs="Arial"/>
          <w:b/>
          <w:szCs w:val="20"/>
        </w:rPr>
        <w:t xml:space="preserve"> samples</w:t>
      </w:r>
    </w:p>
    <w:p w14:paraId="4A08B506" w14:textId="77777777" w:rsidR="00525775" w:rsidRPr="00525775" w:rsidRDefault="00525775" w:rsidP="00525775">
      <w:pPr>
        <w:jc w:val="center"/>
        <w:rPr>
          <w:rFonts w:cs="Arial"/>
          <w:szCs w:val="20"/>
        </w:rPr>
      </w:pPr>
      <w:r w:rsidRPr="00525775">
        <w:rPr>
          <w:rFonts w:cs="Arial"/>
          <w:szCs w:val="20"/>
        </w:rPr>
        <w:t xml:space="preserve">Sources: </w:t>
      </w:r>
      <w:proofErr w:type="spellStart"/>
      <w:r w:rsidRPr="00525775">
        <w:rPr>
          <w:rFonts w:cs="Arial"/>
          <w:szCs w:val="20"/>
        </w:rPr>
        <w:t>Ballarat</w:t>
      </w:r>
      <w:proofErr w:type="spellEnd"/>
      <w:r w:rsidRPr="00525775">
        <w:rPr>
          <w:rFonts w:cs="Arial"/>
          <w:szCs w:val="20"/>
        </w:rPr>
        <w:t xml:space="preserve"> Survey Data 2016 and </w:t>
      </w:r>
      <w:proofErr w:type="spellStart"/>
      <w:r w:rsidRPr="00525775">
        <w:rPr>
          <w:rFonts w:cs="Arial"/>
          <w:szCs w:val="20"/>
        </w:rPr>
        <w:t>Bendigo</w:t>
      </w:r>
      <w:proofErr w:type="spellEnd"/>
      <w:r w:rsidRPr="00525775">
        <w:rPr>
          <w:rFonts w:cs="Arial"/>
          <w:szCs w:val="20"/>
        </w:rPr>
        <w:t xml:space="preserve"> Survey Data 2015</w:t>
      </w:r>
    </w:p>
    <w:p w14:paraId="4B1579D3" w14:textId="77777777" w:rsidR="00214968" w:rsidRDefault="00214968" w:rsidP="00214968">
      <w:pPr>
        <w:jc w:val="both"/>
        <w:rPr>
          <w:rFonts w:cs="Arial"/>
          <w:i/>
          <w:szCs w:val="20"/>
        </w:rPr>
      </w:pPr>
    </w:p>
    <w:p w14:paraId="11EF7AE8" w14:textId="77777777" w:rsidR="00214968" w:rsidRDefault="0091699B" w:rsidP="00525775">
      <w:pPr>
        <w:jc w:val="center"/>
        <w:rPr>
          <w:rFonts w:cs="Arial"/>
          <w:szCs w:val="20"/>
        </w:rPr>
      </w:pPr>
      <w:r w:rsidRPr="002A0AFE">
        <w:rPr>
          <w:rFonts w:cs="Arial"/>
          <w:noProof/>
          <w:szCs w:val="20"/>
          <w:lang w:val="en-US"/>
        </w:rPr>
        <w:drawing>
          <wp:inline distT="0" distB="0" distL="0" distR="0" wp14:anchorId="18F59F73" wp14:editId="21F2C06B">
            <wp:extent cx="4320000" cy="285782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 Ballarat-Bendigo - Lifestage loc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2857824"/>
                    </a:xfrm>
                    <a:prstGeom prst="rect">
                      <a:avLst/>
                    </a:prstGeom>
                  </pic:spPr>
                </pic:pic>
              </a:graphicData>
            </a:graphic>
          </wp:inline>
        </w:drawing>
      </w:r>
    </w:p>
    <w:p w14:paraId="2B4AD54C" w14:textId="77777777" w:rsidR="00214968" w:rsidRDefault="00214968" w:rsidP="00214968">
      <w:pPr>
        <w:jc w:val="both"/>
        <w:rPr>
          <w:rFonts w:cs="Arial"/>
          <w:szCs w:val="20"/>
        </w:rPr>
      </w:pPr>
    </w:p>
    <w:p w14:paraId="70E5953B" w14:textId="77777777" w:rsidR="00214968" w:rsidRDefault="00BB6D9F" w:rsidP="00214968">
      <w:pPr>
        <w:jc w:val="both"/>
        <w:rPr>
          <w:rFonts w:cs="Arial"/>
          <w:szCs w:val="20"/>
        </w:rPr>
      </w:pPr>
      <w:r w:rsidRPr="002A0AFE">
        <w:rPr>
          <w:rFonts w:cs="Arial"/>
          <w:szCs w:val="20"/>
        </w:rPr>
        <w:lastRenderedPageBreak/>
        <w:t xml:space="preserve">In terms of individual workplace samples, </w:t>
      </w:r>
      <w:proofErr w:type="spellStart"/>
      <w:r w:rsidRPr="002A0AFE">
        <w:rPr>
          <w:rFonts w:cs="Arial"/>
          <w:szCs w:val="20"/>
        </w:rPr>
        <w:t>Bendigo</w:t>
      </w:r>
      <w:proofErr w:type="spellEnd"/>
      <w:r w:rsidRPr="002A0AFE">
        <w:rPr>
          <w:rFonts w:cs="Arial"/>
          <w:szCs w:val="20"/>
        </w:rPr>
        <w:t xml:space="preserve"> Bank has the most local profile with nearly 40 percent born in that regional city. </w:t>
      </w:r>
      <w:proofErr w:type="spellStart"/>
      <w:r w:rsidRPr="002A0AFE">
        <w:rPr>
          <w:rFonts w:cs="Arial"/>
          <w:szCs w:val="20"/>
        </w:rPr>
        <w:t>Ballarat</w:t>
      </w:r>
      <w:proofErr w:type="spellEnd"/>
      <w:r w:rsidRPr="002A0AFE">
        <w:rPr>
          <w:rFonts w:cs="Arial"/>
          <w:szCs w:val="20"/>
        </w:rPr>
        <w:t xml:space="preserve"> Council has a high level of local-born respondents (&gt;30%) and </w:t>
      </w:r>
      <w:proofErr w:type="spellStart"/>
      <w:r w:rsidRPr="002A0AFE">
        <w:rPr>
          <w:rFonts w:cs="Arial"/>
          <w:szCs w:val="20"/>
        </w:rPr>
        <w:t>Bendigo</w:t>
      </w:r>
      <w:proofErr w:type="spellEnd"/>
      <w:r w:rsidRPr="002A0AFE">
        <w:rPr>
          <w:rFonts w:cs="Arial"/>
          <w:szCs w:val="20"/>
        </w:rPr>
        <w:t xml:space="preserve"> Council has 25 percent in this category. Both councils have a similar proportion of overseas-born (10%). However, there are very large differences between other organisations. IBM and </w:t>
      </w:r>
      <w:proofErr w:type="spellStart"/>
      <w:r w:rsidRPr="002A0AFE">
        <w:rPr>
          <w:rFonts w:cs="Arial"/>
          <w:szCs w:val="20"/>
        </w:rPr>
        <w:t>Ballarat</w:t>
      </w:r>
      <w:proofErr w:type="spellEnd"/>
      <w:r w:rsidRPr="002A0AFE">
        <w:rPr>
          <w:rFonts w:cs="Arial"/>
          <w:szCs w:val="20"/>
        </w:rPr>
        <w:t xml:space="preserve"> Health Services have 25-30 percent of respondents born overseas while </w:t>
      </w:r>
      <w:proofErr w:type="spellStart"/>
      <w:r w:rsidRPr="002A0AFE">
        <w:rPr>
          <w:rFonts w:cs="Arial"/>
          <w:szCs w:val="20"/>
        </w:rPr>
        <w:t>Bendigo</w:t>
      </w:r>
      <w:proofErr w:type="spellEnd"/>
      <w:r w:rsidRPr="002A0AFE">
        <w:rPr>
          <w:rFonts w:cs="Arial"/>
          <w:szCs w:val="20"/>
        </w:rPr>
        <w:t xml:space="preserve"> Bank and </w:t>
      </w:r>
      <w:proofErr w:type="spellStart"/>
      <w:r w:rsidRPr="002A0AFE">
        <w:rPr>
          <w:rFonts w:cs="Arial"/>
          <w:szCs w:val="20"/>
        </w:rPr>
        <w:t>Bendigo</w:t>
      </w:r>
      <w:proofErr w:type="spellEnd"/>
      <w:r w:rsidRPr="002A0AFE">
        <w:rPr>
          <w:rFonts w:cs="Arial"/>
          <w:szCs w:val="20"/>
        </w:rPr>
        <w:t xml:space="preserve"> Health have only 5-7 percent of respondents in this category. This is a much lower figure than the Victorian average of 34 percent of working age persons (15-64 years) being born overseas (ABS Census 2011). </w:t>
      </w:r>
      <w:proofErr w:type="spellStart"/>
      <w:r w:rsidRPr="002A0AFE">
        <w:rPr>
          <w:rFonts w:cs="Arial"/>
          <w:szCs w:val="20"/>
        </w:rPr>
        <w:t>Bendigo</w:t>
      </w:r>
      <w:proofErr w:type="spellEnd"/>
      <w:r w:rsidRPr="002A0AFE">
        <w:rPr>
          <w:rFonts w:cs="Arial"/>
          <w:szCs w:val="20"/>
        </w:rPr>
        <w:t xml:space="preserve"> Health had the highest proportion of Melbourne-born (nearly 30%). All other organisations had between 15 percent and 20 percent of respondents born in Melbourne. The organisation with the highest proportion born in regional Victoria was </w:t>
      </w:r>
      <w:proofErr w:type="spellStart"/>
      <w:r w:rsidRPr="002A0AFE">
        <w:rPr>
          <w:rFonts w:cs="Arial"/>
          <w:szCs w:val="20"/>
        </w:rPr>
        <w:t>Bendigo</w:t>
      </w:r>
      <w:proofErr w:type="spellEnd"/>
      <w:r w:rsidRPr="002A0AFE">
        <w:rPr>
          <w:rFonts w:cs="Arial"/>
          <w:szCs w:val="20"/>
        </w:rPr>
        <w:t xml:space="preserve"> Health with more than 35 percent of respondents in this category.</w:t>
      </w:r>
    </w:p>
    <w:p w14:paraId="329AE35B" w14:textId="77777777" w:rsidR="00214968" w:rsidRDefault="00214968" w:rsidP="00214968">
      <w:pPr>
        <w:jc w:val="both"/>
        <w:rPr>
          <w:rFonts w:cs="Arial"/>
          <w:szCs w:val="20"/>
        </w:rPr>
      </w:pPr>
    </w:p>
    <w:p w14:paraId="7B10FBB0" w14:textId="77777777" w:rsidR="00214968" w:rsidRDefault="007B1F7C" w:rsidP="00214968">
      <w:pPr>
        <w:jc w:val="both"/>
        <w:rPr>
          <w:rFonts w:cs="Arial"/>
          <w:b/>
          <w:sz w:val="22"/>
          <w:szCs w:val="22"/>
        </w:rPr>
      </w:pPr>
      <w:r w:rsidRPr="002A0AFE">
        <w:rPr>
          <w:rFonts w:cs="Arial"/>
          <w:b/>
          <w:sz w:val="22"/>
          <w:szCs w:val="22"/>
        </w:rPr>
        <w:t>Migration pathways</w:t>
      </w:r>
    </w:p>
    <w:p w14:paraId="559482C7" w14:textId="77777777" w:rsidR="00214968" w:rsidRDefault="006B2958" w:rsidP="00214968">
      <w:pPr>
        <w:ind w:right="-188"/>
        <w:jc w:val="both"/>
        <w:rPr>
          <w:rFonts w:cs="Arial"/>
          <w:spacing w:val="-3"/>
          <w:szCs w:val="20"/>
        </w:rPr>
      </w:pPr>
      <w:r w:rsidRPr="002A0AFE">
        <w:rPr>
          <w:rFonts w:cs="Arial"/>
          <w:spacing w:val="-3"/>
          <w:szCs w:val="20"/>
        </w:rPr>
        <w:t>In presenting this data longitudinally, t</w:t>
      </w:r>
      <w:r w:rsidR="00BB6D9F" w:rsidRPr="002A0AFE">
        <w:rPr>
          <w:rFonts w:cs="Arial"/>
          <w:spacing w:val="-3"/>
          <w:szCs w:val="20"/>
        </w:rPr>
        <w:t xml:space="preserve">here were 16 migration history patterns in which more than 20 respondents from the combined samples were represented. The total number of combinations was 129, but the 16 patterns shown in figure </w:t>
      </w:r>
      <w:r w:rsidR="00331641" w:rsidRPr="002A0AFE">
        <w:rPr>
          <w:rFonts w:cs="Arial"/>
          <w:spacing w:val="-3"/>
          <w:szCs w:val="20"/>
        </w:rPr>
        <w:t>4</w:t>
      </w:r>
      <w:r w:rsidR="00BB6D9F" w:rsidRPr="002A0AFE">
        <w:rPr>
          <w:rFonts w:cs="Arial"/>
          <w:spacing w:val="-3"/>
          <w:szCs w:val="20"/>
        </w:rPr>
        <w:t xml:space="preserve"> represent 80 percent of the total sample of 1,152 useable responses.</w:t>
      </w:r>
    </w:p>
    <w:p w14:paraId="3D69DF3D" w14:textId="77777777" w:rsidR="00214968" w:rsidRDefault="00214968" w:rsidP="00214968">
      <w:pPr>
        <w:ind w:right="-188"/>
        <w:jc w:val="both"/>
        <w:rPr>
          <w:rFonts w:cs="Arial"/>
          <w:spacing w:val="-3"/>
          <w:szCs w:val="20"/>
        </w:rPr>
      </w:pPr>
    </w:p>
    <w:p w14:paraId="21A603EC" w14:textId="77777777" w:rsidR="00214968" w:rsidRPr="00525775" w:rsidRDefault="00BB6D9F" w:rsidP="00525775">
      <w:pPr>
        <w:jc w:val="center"/>
        <w:rPr>
          <w:rFonts w:cs="Arial"/>
          <w:b/>
          <w:szCs w:val="20"/>
        </w:rPr>
      </w:pPr>
      <w:r w:rsidRPr="00525775">
        <w:rPr>
          <w:rFonts w:cs="Arial"/>
          <w:b/>
          <w:szCs w:val="20"/>
        </w:rPr>
        <w:t xml:space="preserve">Figure </w:t>
      </w:r>
      <w:r w:rsidR="00331641" w:rsidRPr="00525775">
        <w:rPr>
          <w:rFonts w:cs="Arial"/>
          <w:b/>
          <w:szCs w:val="20"/>
        </w:rPr>
        <w:t>4</w:t>
      </w:r>
      <w:r w:rsidRPr="00525775">
        <w:rPr>
          <w:rFonts w:cs="Arial"/>
          <w:b/>
          <w:szCs w:val="20"/>
        </w:rPr>
        <w:t xml:space="preserve">: Migration histories for </w:t>
      </w:r>
      <w:proofErr w:type="spellStart"/>
      <w:r w:rsidRPr="00525775">
        <w:rPr>
          <w:rFonts w:cs="Arial"/>
          <w:b/>
          <w:szCs w:val="20"/>
        </w:rPr>
        <w:t>Ballarat</w:t>
      </w:r>
      <w:proofErr w:type="spellEnd"/>
      <w:r w:rsidRPr="00525775">
        <w:rPr>
          <w:rFonts w:cs="Arial"/>
          <w:b/>
          <w:szCs w:val="20"/>
        </w:rPr>
        <w:t xml:space="preserve"> and </w:t>
      </w:r>
      <w:proofErr w:type="spellStart"/>
      <w:r w:rsidRPr="00525775">
        <w:rPr>
          <w:rFonts w:cs="Arial"/>
          <w:b/>
          <w:szCs w:val="20"/>
        </w:rPr>
        <w:t>Bendigo</w:t>
      </w:r>
      <w:proofErr w:type="spellEnd"/>
      <w:r w:rsidRPr="00525775">
        <w:rPr>
          <w:rFonts w:cs="Arial"/>
          <w:b/>
          <w:szCs w:val="20"/>
        </w:rPr>
        <w:t xml:space="preserve"> samples</w:t>
      </w:r>
    </w:p>
    <w:p w14:paraId="78F149A0" w14:textId="77777777" w:rsidR="00525775" w:rsidRPr="00525775" w:rsidRDefault="00525775" w:rsidP="00525775">
      <w:pPr>
        <w:jc w:val="center"/>
        <w:rPr>
          <w:rFonts w:cs="Arial"/>
          <w:szCs w:val="20"/>
        </w:rPr>
      </w:pPr>
      <w:r w:rsidRPr="00525775">
        <w:rPr>
          <w:rFonts w:cs="Arial"/>
          <w:szCs w:val="20"/>
        </w:rPr>
        <w:t xml:space="preserve">Sources: </w:t>
      </w:r>
      <w:proofErr w:type="spellStart"/>
      <w:r w:rsidRPr="00525775">
        <w:rPr>
          <w:rFonts w:cs="Arial"/>
          <w:szCs w:val="20"/>
        </w:rPr>
        <w:t>Ballarat</w:t>
      </w:r>
      <w:proofErr w:type="spellEnd"/>
      <w:r w:rsidRPr="00525775">
        <w:rPr>
          <w:rFonts w:cs="Arial"/>
          <w:szCs w:val="20"/>
        </w:rPr>
        <w:t xml:space="preserve"> Survey Data 2016 and </w:t>
      </w:r>
      <w:proofErr w:type="spellStart"/>
      <w:r w:rsidRPr="00525775">
        <w:rPr>
          <w:rFonts w:cs="Arial"/>
          <w:szCs w:val="20"/>
        </w:rPr>
        <w:t>Bendigo</w:t>
      </w:r>
      <w:proofErr w:type="spellEnd"/>
      <w:r w:rsidRPr="00525775">
        <w:rPr>
          <w:rFonts w:cs="Arial"/>
          <w:szCs w:val="20"/>
        </w:rPr>
        <w:t xml:space="preserve"> Survey Data 2015</w:t>
      </w:r>
    </w:p>
    <w:p w14:paraId="5BA2779C" w14:textId="77777777" w:rsidR="00214968" w:rsidRDefault="00214968" w:rsidP="00214968">
      <w:pPr>
        <w:jc w:val="both"/>
        <w:rPr>
          <w:rFonts w:cs="Arial"/>
          <w:i/>
          <w:szCs w:val="20"/>
        </w:rPr>
      </w:pPr>
    </w:p>
    <w:p w14:paraId="02D37883" w14:textId="77777777" w:rsidR="00214968" w:rsidRDefault="00633DEB" w:rsidP="00525775">
      <w:pPr>
        <w:jc w:val="center"/>
        <w:rPr>
          <w:rFonts w:cs="Arial"/>
          <w:szCs w:val="20"/>
        </w:rPr>
      </w:pPr>
      <w:r w:rsidRPr="002A0AFE">
        <w:rPr>
          <w:rFonts w:cs="Arial"/>
          <w:noProof/>
          <w:szCs w:val="20"/>
          <w:lang w:val="en-US"/>
        </w:rPr>
        <w:drawing>
          <wp:inline distT="0" distB="0" distL="0" distR="0" wp14:anchorId="78CC80D7" wp14:editId="5877AC3E">
            <wp:extent cx="4320000" cy="320480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 Ballarat-Bendigo - Migration Histories.png"/>
                    <pic:cNvPicPr/>
                  </pic:nvPicPr>
                  <pic:blipFill rotWithShape="1">
                    <a:blip r:embed="rId12" cstate="print">
                      <a:extLst>
                        <a:ext uri="{28A0092B-C50C-407E-A947-70E740481C1C}">
                          <a14:useLocalDpi xmlns:a14="http://schemas.microsoft.com/office/drawing/2010/main" val="0"/>
                        </a:ext>
                      </a:extLst>
                    </a:blip>
                    <a:srcRect b="10109"/>
                    <a:stretch/>
                  </pic:blipFill>
                  <pic:spPr bwMode="auto">
                    <a:xfrm>
                      <a:off x="0" y="0"/>
                      <a:ext cx="4320000" cy="3204801"/>
                    </a:xfrm>
                    <a:prstGeom prst="rect">
                      <a:avLst/>
                    </a:prstGeom>
                    <a:ln>
                      <a:noFill/>
                    </a:ln>
                    <a:extLst>
                      <a:ext uri="{53640926-AAD7-44d8-BBD7-CCE9431645EC}">
                        <a14:shadowObscured xmlns:a14="http://schemas.microsoft.com/office/drawing/2010/main"/>
                      </a:ext>
                    </a:extLst>
                  </pic:spPr>
                </pic:pic>
              </a:graphicData>
            </a:graphic>
          </wp:inline>
        </w:drawing>
      </w:r>
    </w:p>
    <w:p w14:paraId="05C2EF18" w14:textId="77777777" w:rsidR="00214968" w:rsidRDefault="00214968" w:rsidP="00214968">
      <w:pPr>
        <w:jc w:val="both"/>
        <w:rPr>
          <w:rFonts w:cs="Arial"/>
          <w:szCs w:val="20"/>
        </w:rPr>
      </w:pPr>
    </w:p>
    <w:p w14:paraId="225B135C" w14:textId="77777777" w:rsidR="00214968" w:rsidRDefault="00FB0BA3" w:rsidP="00214968">
      <w:pPr>
        <w:jc w:val="both"/>
        <w:rPr>
          <w:rFonts w:cs="Arial"/>
          <w:szCs w:val="20"/>
        </w:rPr>
      </w:pPr>
      <w:proofErr w:type="spellStart"/>
      <w:r w:rsidRPr="002A0AFE">
        <w:rPr>
          <w:rFonts w:cs="Arial"/>
          <w:szCs w:val="20"/>
        </w:rPr>
        <w:t>Bendigo’s</w:t>
      </w:r>
      <w:proofErr w:type="spellEnd"/>
      <w:r w:rsidRPr="002A0AFE">
        <w:rPr>
          <w:rFonts w:cs="Arial"/>
          <w:szCs w:val="20"/>
        </w:rPr>
        <w:t xml:space="preserve"> profile is generally more local or regional in character, while </w:t>
      </w:r>
      <w:proofErr w:type="spellStart"/>
      <w:r w:rsidRPr="002A0AFE">
        <w:rPr>
          <w:rFonts w:cs="Arial"/>
          <w:szCs w:val="20"/>
        </w:rPr>
        <w:t>Ballarat</w:t>
      </w:r>
      <w:proofErr w:type="spellEnd"/>
      <w:r w:rsidRPr="002A0AFE">
        <w:rPr>
          <w:rFonts w:cs="Arial"/>
          <w:szCs w:val="20"/>
        </w:rPr>
        <w:t xml:space="preserve"> shows more categories containing an overseas element. In fact, taking into account all pathway combinations, 21 percent of </w:t>
      </w:r>
      <w:proofErr w:type="spellStart"/>
      <w:r w:rsidRPr="002A0AFE">
        <w:rPr>
          <w:rFonts w:cs="Arial"/>
          <w:szCs w:val="20"/>
        </w:rPr>
        <w:t>Ballarat</w:t>
      </w:r>
      <w:proofErr w:type="spellEnd"/>
      <w:r w:rsidRPr="002A0AFE">
        <w:rPr>
          <w:rFonts w:cs="Arial"/>
          <w:szCs w:val="20"/>
        </w:rPr>
        <w:t xml:space="preserve"> pathways contained at least one “O”, compared to 7 percent for all </w:t>
      </w:r>
      <w:proofErr w:type="spellStart"/>
      <w:r w:rsidRPr="002A0AFE">
        <w:rPr>
          <w:rFonts w:cs="Arial"/>
          <w:szCs w:val="20"/>
        </w:rPr>
        <w:t>Bendigo</w:t>
      </w:r>
      <w:proofErr w:type="spellEnd"/>
      <w:r w:rsidRPr="002A0AFE">
        <w:rPr>
          <w:rFonts w:cs="Arial"/>
          <w:szCs w:val="20"/>
        </w:rPr>
        <w:t xml:space="preserve"> combinations.</w:t>
      </w:r>
      <w:r w:rsidR="005F7B46" w:rsidRPr="002A0AFE">
        <w:rPr>
          <w:rFonts w:cs="Arial"/>
          <w:szCs w:val="20"/>
        </w:rPr>
        <w:t xml:space="preserve"> </w:t>
      </w:r>
      <w:r w:rsidR="00633DEB" w:rsidRPr="002A0AFE">
        <w:rPr>
          <w:rFonts w:cs="Arial"/>
          <w:szCs w:val="20"/>
        </w:rPr>
        <w:t xml:space="preserve">One </w:t>
      </w:r>
      <w:r w:rsidR="002F4A4A" w:rsidRPr="002A0AFE">
        <w:rPr>
          <w:rFonts w:cs="Arial"/>
          <w:szCs w:val="20"/>
        </w:rPr>
        <w:t>exception to this pattern</w:t>
      </w:r>
      <w:r w:rsidR="00633DEB" w:rsidRPr="002A0AFE">
        <w:rPr>
          <w:rFonts w:cs="Arial"/>
          <w:szCs w:val="20"/>
        </w:rPr>
        <w:t xml:space="preserve"> was </w:t>
      </w:r>
      <w:proofErr w:type="spellStart"/>
      <w:r w:rsidR="002F4A4A" w:rsidRPr="002A0AFE">
        <w:rPr>
          <w:rFonts w:cs="Arial"/>
          <w:szCs w:val="20"/>
        </w:rPr>
        <w:t>Ballarat</w:t>
      </w:r>
      <w:proofErr w:type="spellEnd"/>
      <w:r w:rsidR="002F4A4A" w:rsidRPr="002A0AFE">
        <w:rPr>
          <w:rFonts w:cs="Arial"/>
          <w:szCs w:val="20"/>
        </w:rPr>
        <w:t xml:space="preserve"> Health Services</w:t>
      </w:r>
      <w:r w:rsidR="00633DEB" w:rsidRPr="002A0AFE">
        <w:rPr>
          <w:rFonts w:cs="Arial"/>
          <w:szCs w:val="20"/>
        </w:rPr>
        <w:t xml:space="preserve"> for which </w:t>
      </w:r>
      <w:r w:rsidR="002F4A4A" w:rsidRPr="002A0AFE">
        <w:rPr>
          <w:rFonts w:cs="Arial"/>
          <w:szCs w:val="20"/>
        </w:rPr>
        <w:t>metropolitan locations accounted for 43 percent of respondent</w:t>
      </w:r>
      <w:r w:rsidR="00633DEB" w:rsidRPr="002A0AFE">
        <w:rPr>
          <w:rFonts w:cs="Arial"/>
          <w:szCs w:val="20"/>
        </w:rPr>
        <w:t>s</w:t>
      </w:r>
      <w:r w:rsidR="002F4A4A" w:rsidRPr="002A0AFE">
        <w:rPr>
          <w:rFonts w:cs="Arial"/>
          <w:szCs w:val="20"/>
        </w:rPr>
        <w:t xml:space="preserve"> compared to a </w:t>
      </w:r>
      <w:proofErr w:type="spellStart"/>
      <w:r w:rsidR="002F4A4A" w:rsidRPr="002A0AFE">
        <w:rPr>
          <w:rFonts w:cs="Arial"/>
          <w:szCs w:val="20"/>
        </w:rPr>
        <w:t>Ballarat</w:t>
      </w:r>
      <w:proofErr w:type="spellEnd"/>
      <w:r w:rsidR="002F4A4A" w:rsidRPr="002A0AFE">
        <w:rPr>
          <w:rFonts w:cs="Arial"/>
          <w:szCs w:val="20"/>
        </w:rPr>
        <w:t xml:space="preserve"> location </w:t>
      </w:r>
      <w:r w:rsidR="00633DEB" w:rsidRPr="002A0AFE">
        <w:rPr>
          <w:rFonts w:cs="Arial"/>
          <w:szCs w:val="20"/>
        </w:rPr>
        <w:t xml:space="preserve">of only </w:t>
      </w:r>
      <w:r w:rsidR="002F4A4A" w:rsidRPr="002A0AFE">
        <w:rPr>
          <w:rFonts w:cs="Arial"/>
          <w:szCs w:val="20"/>
        </w:rPr>
        <w:t>28</w:t>
      </w:r>
      <w:r w:rsidR="00633DEB" w:rsidRPr="002A0AFE">
        <w:rPr>
          <w:rFonts w:cs="Arial"/>
          <w:szCs w:val="20"/>
        </w:rPr>
        <w:t xml:space="preserve"> percent</w:t>
      </w:r>
      <w:r w:rsidR="002F4A4A" w:rsidRPr="002A0AFE">
        <w:rPr>
          <w:rFonts w:cs="Arial"/>
          <w:szCs w:val="20"/>
        </w:rPr>
        <w:t xml:space="preserve">. </w:t>
      </w:r>
    </w:p>
    <w:p w14:paraId="1B027E44" w14:textId="77777777" w:rsidR="00214968" w:rsidRDefault="00214968" w:rsidP="00214968">
      <w:pPr>
        <w:jc w:val="both"/>
        <w:rPr>
          <w:rFonts w:cs="Arial"/>
          <w:szCs w:val="20"/>
        </w:rPr>
      </w:pPr>
    </w:p>
    <w:p w14:paraId="49B2B6BB" w14:textId="77777777" w:rsidR="00214968" w:rsidRDefault="007F28EC" w:rsidP="00214968">
      <w:pPr>
        <w:jc w:val="both"/>
        <w:rPr>
          <w:rFonts w:cs="Arial"/>
          <w:b/>
          <w:sz w:val="22"/>
          <w:szCs w:val="22"/>
          <w:lang w:val="en-AU"/>
        </w:rPr>
      </w:pPr>
      <w:r w:rsidRPr="002A0AFE">
        <w:rPr>
          <w:rFonts w:cs="Arial"/>
          <w:b/>
          <w:sz w:val="22"/>
          <w:szCs w:val="22"/>
          <w:lang w:val="en-AU"/>
        </w:rPr>
        <w:t>Gaining human capital</w:t>
      </w:r>
    </w:p>
    <w:p w14:paraId="6818F2B8" w14:textId="77777777" w:rsidR="00214968" w:rsidRDefault="007F28EC" w:rsidP="00214968">
      <w:pPr>
        <w:jc w:val="both"/>
        <w:rPr>
          <w:rFonts w:cs="Arial"/>
          <w:szCs w:val="20"/>
        </w:rPr>
      </w:pPr>
      <w:r w:rsidRPr="002A0AFE">
        <w:rPr>
          <w:rFonts w:cs="Arial"/>
          <w:szCs w:val="20"/>
        </w:rPr>
        <w:t xml:space="preserve">The research project was concerned with issues of human capital. One assumption was that Melbourne would play an important role in offering a wide range of higher educational opportunities and therefore it would feature in the migration histories of regional professionals. However, this assumption was challenged by the </w:t>
      </w:r>
      <w:proofErr w:type="gramStart"/>
      <w:r w:rsidRPr="002A0AFE">
        <w:rPr>
          <w:rFonts w:cs="Arial"/>
          <w:szCs w:val="20"/>
        </w:rPr>
        <w:t>findings which</w:t>
      </w:r>
      <w:proofErr w:type="gramEnd"/>
      <w:r w:rsidRPr="002A0AFE">
        <w:rPr>
          <w:rFonts w:cs="Arial"/>
          <w:szCs w:val="20"/>
        </w:rPr>
        <w:t xml:space="preserve"> showed that regional areas were a significant source of higher education qualifications among the professionals surveyed. As shown earlier in figure </w:t>
      </w:r>
      <w:r w:rsidR="00331641" w:rsidRPr="002A0AFE">
        <w:rPr>
          <w:rFonts w:cs="Arial"/>
          <w:szCs w:val="20"/>
        </w:rPr>
        <w:t>3</w:t>
      </w:r>
      <w:r w:rsidRPr="002A0AFE">
        <w:rPr>
          <w:rFonts w:cs="Arial"/>
          <w:szCs w:val="20"/>
        </w:rPr>
        <w:t>, at the time of gaining higher education qualifications, more than half the respondents were located in a regional location, the majority in their respective regional city (</w:t>
      </w:r>
      <w:proofErr w:type="spellStart"/>
      <w:r w:rsidRPr="002A0AFE">
        <w:rPr>
          <w:rFonts w:cs="Arial"/>
          <w:szCs w:val="20"/>
        </w:rPr>
        <w:t>Ballarat</w:t>
      </w:r>
      <w:proofErr w:type="spellEnd"/>
      <w:r w:rsidRPr="002A0AFE">
        <w:rPr>
          <w:rFonts w:cs="Arial"/>
          <w:szCs w:val="20"/>
        </w:rPr>
        <w:t xml:space="preserve"> or </w:t>
      </w:r>
      <w:proofErr w:type="spellStart"/>
      <w:r w:rsidRPr="002A0AFE">
        <w:rPr>
          <w:rFonts w:cs="Arial"/>
          <w:szCs w:val="20"/>
        </w:rPr>
        <w:t>Bendigo</w:t>
      </w:r>
      <w:proofErr w:type="spellEnd"/>
      <w:r w:rsidRPr="002A0AFE">
        <w:rPr>
          <w:rFonts w:cs="Arial"/>
          <w:szCs w:val="20"/>
        </w:rPr>
        <w:t>).</w:t>
      </w:r>
      <w:r w:rsidR="00331641" w:rsidRPr="002A0AFE">
        <w:rPr>
          <w:rFonts w:cs="Arial"/>
          <w:szCs w:val="20"/>
        </w:rPr>
        <w:t xml:space="preserve"> </w:t>
      </w:r>
    </w:p>
    <w:p w14:paraId="202469A4" w14:textId="77777777" w:rsidR="00214968" w:rsidRDefault="00214968" w:rsidP="00214968">
      <w:pPr>
        <w:jc w:val="both"/>
        <w:rPr>
          <w:rFonts w:cs="Arial"/>
          <w:szCs w:val="20"/>
        </w:rPr>
      </w:pPr>
    </w:p>
    <w:p w14:paraId="2FF58887" w14:textId="77777777" w:rsidR="00525775" w:rsidRDefault="007F28EC" w:rsidP="00F80B3A">
      <w:pPr>
        <w:tabs>
          <w:tab w:val="num" w:pos="720"/>
        </w:tabs>
        <w:jc w:val="both"/>
        <w:rPr>
          <w:rFonts w:cs="Arial"/>
          <w:i/>
          <w:szCs w:val="20"/>
          <w:lang w:val="en-AU"/>
        </w:rPr>
      </w:pPr>
      <w:r w:rsidRPr="002A0AFE">
        <w:rPr>
          <w:rFonts w:cs="Arial"/>
          <w:szCs w:val="20"/>
        </w:rPr>
        <w:t xml:space="preserve">Further analysis of higher education is provided in Figure </w:t>
      </w:r>
      <w:proofErr w:type="gramStart"/>
      <w:r w:rsidR="00331641" w:rsidRPr="002A0AFE">
        <w:rPr>
          <w:rFonts w:cs="Arial"/>
          <w:szCs w:val="20"/>
        </w:rPr>
        <w:t>5</w:t>
      </w:r>
      <w:r w:rsidRPr="002A0AFE">
        <w:rPr>
          <w:rFonts w:cs="Arial"/>
          <w:szCs w:val="20"/>
        </w:rPr>
        <w:t xml:space="preserve"> which</w:t>
      </w:r>
      <w:proofErr w:type="gramEnd"/>
      <w:r w:rsidRPr="002A0AFE">
        <w:rPr>
          <w:rFonts w:cs="Arial"/>
          <w:szCs w:val="20"/>
        </w:rPr>
        <w:t xml:space="preserve"> looks specifically at those who had attained bachelor or postgraduate degrees.</w:t>
      </w:r>
      <w:r w:rsidR="00331641" w:rsidRPr="002A0AFE">
        <w:rPr>
          <w:rFonts w:cs="Arial"/>
          <w:szCs w:val="20"/>
        </w:rPr>
        <w:t xml:space="preserve"> The chart shows that m</w:t>
      </w:r>
      <w:r w:rsidR="00331641" w:rsidRPr="002A0AFE">
        <w:rPr>
          <w:rFonts w:cs="Arial"/>
          <w:szCs w:val="20"/>
          <w:lang w:val="en-AU"/>
        </w:rPr>
        <w:t>ore than half of respondents holding bachelor degrees had obtained them locally. While similar numbers of respondents had obtained their highest degrees in Melbourne, in proportional terms, most postgraduate degree holders had obtained their qualification in a metropolitan area (mostly Melbourne).</w:t>
      </w:r>
      <w:r w:rsidR="00525775">
        <w:rPr>
          <w:rFonts w:cs="Arial"/>
          <w:i/>
          <w:szCs w:val="20"/>
          <w:lang w:val="en-AU"/>
        </w:rPr>
        <w:br w:type="page"/>
      </w:r>
    </w:p>
    <w:p w14:paraId="7983759C" w14:textId="77777777" w:rsidR="00214968" w:rsidRPr="00525775" w:rsidRDefault="007F28EC" w:rsidP="00525775">
      <w:pPr>
        <w:jc w:val="center"/>
        <w:rPr>
          <w:rFonts w:cs="Arial"/>
          <w:b/>
          <w:szCs w:val="20"/>
          <w:lang w:val="en-AU"/>
        </w:rPr>
      </w:pPr>
      <w:r w:rsidRPr="00525775">
        <w:rPr>
          <w:rFonts w:cs="Arial"/>
          <w:b/>
          <w:szCs w:val="20"/>
          <w:lang w:val="en-AU"/>
        </w:rPr>
        <w:lastRenderedPageBreak/>
        <w:t xml:space="preserve">Figure </w:t>
      </w:r>
      <w:r w:rsidR="00331641" w:rsidRPr="00525775">
        <w:rPr>
          <w:rFonts w:cs="Arial"/>
          <w:b/>
          <w:szCs w:val="20"/>
          <w:lang w:val="en-AU"/>
        </w:rPr>
        <w:t>5</w:t>
      </w:r>
      <w:r w:rsidRPr="00525775">
        <w:rPr>
          <w:rFonts w:cs="Arial"/>
          <w:b/>
          <w:szCs w:val="20"/>
          <w:lang w:val="en-AU"/>
        </w:rPr>
        <w:t xml:space="preserve">: Location where </w:t>
      </w:r>
      <w:r w:rsidR="008E29E2" w:rsidRPr="00525775">
        <w:rPr>
          <w:rFonts w:cs="Arial"/>
          <w:b/>
          <w:szCs w:val="20"/>
          <w:lang w:val="en-AU"/>
        </w:rPr>
        <w:t xml:space="preserve">selected higher </w:t>
      </w:r>
      <w:r w:rsidRPr="00525775">
        <w:rPr>
          <w:rFonts w:cs="Arial"/>
          <w:b/>
          <w:szCs w:val="20"/>
          <w:lang w:val="en-AU"/>
        </w:rPr>
        <w:t xml:space="preserve">degrees </w:t>
      </w:r>
      <w:r w:rsidR="00525775">
        <w:rPr>
          <w:rFonts w:cs="Arial"/>
          <w:b/>
          <w:szCs w:val="20"/>
          <w:lang w:val="en-AU"/>
        </w:rPr>
        <w:br/>
      </w:r>
      <w:r w:rsidRPr="00525775">
        <w:rPr>
          <w:rFonts w:cs="Arial"/>
          <w:b/>
          <w:szCs w:val="20"/>
          <w:lang w:val="en-AU"/>
        </w:rPr>
        <w:t>were obtained, Ballarat and Bendigo samples</w:t>
      </w:r>
    </w:p>
    <w:p w14:paraId="4343E851" w14:textId="77777777" w:rsidR="00525775" w:rsidRPr="00525775" w:rsidRDefault="00525775" w:rsidP="00525775">
      <w:pPr>
        <w:jc w:val="center"/>
        <w:rPr>
          <w:rFonts w:cs="Arial"/>
          <w:szCs w:val="20"/>
        </w:rPr>
      </w:pPr>
      <w:r w:rsidRPr="00525775">
        <w:rPr>
          <w:rFonts w:cs="Arial"/>
          <w:szCs w:val="20"/>
        </w:rPr>
        <w:t xml:space="preserve">Sources: </w:t>
      </w:r>
      <w:proofErr w:type="spellStart"/>
      <w:r w:rsidRPr="00525775">
        <w:rPr>
          <w:rFonts w:cs="Arial"/>
          <w:szCs w:val="20"/>
        </w:rPr>
        <w:t>Ballarat</w:t>
      </w:r>
      <w:proofErr w:type="spellEnd"/>
      <w:r w:rsidRPr="00525775">
        <w:rPr>
          <w:rFonts w:cs="Arial"/>
          <w:szCs w:val="20"/>
        </w:rPr>
        <w:t xml:space="preserve"> Survey Data 2016 and </w:t>
      </w:r>
      <w:proofErr w:type="spellStart"/>
      <w:r w:rsidRPr="00525775">
        <w:rPr>
          <w:rFonts w:cs="Arial"/>
          <w:szCs w:val="20"/>
        </w:rPr>
        <w:t>Bendigo</w:t>
      </w:r>
      <w:proofErr w:type="spellEnd"/>
      <w:r w:rsidRPr="00525775">
        <w:rPr>
          <w:rFonts w:cs="Arial"/>
          <w:szCs w:val="20"/>
        </w:rPr>
        <w:t xml:space="preserve"> Survey Data 2015</w:t>
      </w:r>
    </w:p>
    <w:p w14:paraId="1F345501" w14:textId="77777777" w:rsidR="00214968" w:rsidRDefault="00214968" w:rsidP="00214968">
      <w:pPr>
        <w:jc w:val="both"/>
        <w:rPr>
          <w:rFonts w:cs="Arial"/>
          <w:i/>
          <w:szCs w:val="20"/>
          <w:lang w:val="en-AU"/>
        </w:rPr>
      </w:pPr>
    </w:p>
    <w:p w14:paraId="35ADB838" w14:textId="77777777" w:rsidR="00214968" w:rsidRDefault="007F28EC" w:rsidP="00F80B3A">
      <w:pPr>
        <w:jc w:val="center"/>
        <w:rPr>
          <w:rFonts w:cs="Arial"/>
          <w:szCs w:val="20"/>
        </w:rPr>
      </w:pPr>
      <w:r w:rsidRPr="002A0AFE">
        <w:rPr>
          <w:rFonts w:cs="Arial"/>
          <w:noProof/>
          <w:szCs w:val="20"/>
          <w:lang w:val="en-US"/>
        </w:rPr>
        <w:drawing>
          <wp:inline distT="0" distB="0" distL="0" distR="0" wp14:anchorId="0217B559" wp14:editId="6294BD3E">
            <wp:extent cx="3564000" cy="289252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4000" cy="2892522"/>
                    </a:xfrm>
                    <a:prstGeom prst="rect">
                      <a:avLst/>
                    </a:prstGeom>
                  </pic:spPr>
                </pic:pic>
              </a:graphicData>
            </a:graphic>
          </wp:inline>
        </w:drawing>
      </w:r>
    </w:p>
    <w:p w14:paraId="6481004D" w14:textId="77777777" w:rsidR="00214968" w:rsidRDefault="00214968" w:rsidP="00214968">
      <w:pPr>
        <w:jc w:val="both"/>
        <w:rPr>
          <w:rFonts w:cs="Arial"/>
          <w:szCs w:val="20"/>
        </w:rPr>
      </w:pPr>
    </w:p>
    <w:p w14:paraId="43F58082" w14:textId="77777777" w:rsidR="00F80B3A" w:rsidRDefault="00F80B3A" w:rsidP="00214968">
      <w:pPr>
        <w:jc w:val="both"/>
        <w:rPr>
          <w:rFonts w:cs="Arial"/>
          <w:szCs w:val="20"/>
        </w:rPr>
      </w:pPr>
    </w:p>
    <w:p w14:paraId="3C4FE2B4" w14:textId="77777777" w:rsidR="00214968" w:rsidRDefault="007B1F7C" w:rsidP="00214968">
      <w:pPr>
        <w:jc w:val="both"/>
        <w:rPr>
          <w:rFonts w:cs="Arial"/>
          <w:b/>
          <w:sz w:val="22"/>
          <w:szCs w:val="22"/>
        </w:rPr>
      </w:pPr>
      <w:r w:rsidRPr="002A0AFE">
        <w:rPr>
          <w:rFonts w:cs="Arial"/>
          <w:b/>
          <w:sz w:val="22"/>
          <w:szCs w:val="22"/>
        </w:rPr>
        <w:t xml:space="preserve">Reasons for </w:t>
      </w:r>
      <w:r w:rsidR="007F28EC" w:rsidRPr="002A0AFE">
        <w:rPr>
          <w:rFonts w:cs="Arial"/>
          <w:b/>
          <w:sz w:val="22"/>
          <w:szCs w:val="22"/>
        </w:rPr>
        <w:t>moving to a non-metropolitan location</w:t>
      </w:r>
    </w:p>
    <w:p w14:paraId="5FB8E74F" w14:textId="77777777" w:rsidR="00214968" w:rsidRDefault="007B1F7C" w:rsidP="00214968">
      <w:pPr>
        <w:jc w:val="both"/>
        <w:rPr>
          <w:rFonts w:cs="Arial"/>
          <w:szCs w:val="20"/>
        </w:rPr>
      </w:pPr>
      <w:r w:rsidRPr="002A0AFE">
        <w:rPr>
          <w:rFonts w:cs="Arial"/>
          <w:szCs w:val="20"/>
        </w:rPr>
        <w:t xml:space="preserve">In terms of reasons for moving to </w:t>
      </w:r>
      <w:proofErr w:type="spellStart"/>
      <w:r w:rsidRPr="002A0AFE">
        <w:rPr>
          <w:rFonts w:cs="Arial"/>
          <w:szCs w:val="20"/>
        </w:rPr>
        <w:t>Ballarat</w:t>
      </w:r>
      <w:proofErr w:type="spellEnd"/>
      <w:r w:rsidRPr="002A0AFE">
        <w:rPr>
          <w:rFonts w:cs="Arial"/>
          <w:szCs w:val="20"/>
        </w:rPr>
        <w:t xml:space="preserve"> or </w:t>
      </w:r>
      <w:proofErr w:type="spellStart"/>
      <w:r w:rsidRPr="002A0AFE">
        <w:rPr>
          <w:rFonts w:cs="Arial"/>
          <w:szCs w:val="20"/>
        </w:rPr>
        <w:t>Bendigo</w:t>
      </w:r>
      <w:proofErr w:type="spellEnd"/>
      <w:r w:rsidRPr="002A0AFE">
        <w:rPr>
          <w:rFonts w:cs="Arial"/>
          <w:szCs w:val="20"/>
        </w:rPr>
        <w:t xml:space="preserve">, the greatest difference was seen in relation to ‘family reasons’ with this being more important for </w:t>
      </w:r>
      <w:proofErr w:type="spellStart"/>
      <w:r w:rsidRPr="002A0AFE">
        <w:rPr>
          <w:rFonts w:cs="Arial"/>
          <w:szCs w:val="20"/>
        </w:rPr>
        <w:t>Bendigo</w:t>
      </w:r>
      <w:proofErr w:type="spellEnd"/>
      <w:r w:rsidRPr="002A0AFE">
        <w:rPr>
          <w:rFonts w:cs="Arial"/>
          <w:szCs w:val="20"/>
        </w:rPr>
        <w:t xml:space="preserve"> respondents, as was returning to region of birth (figure </w:t>
      </w:r>
      <w:r w:rsidR="00331641" w:rsidRPr="002A0AFE">
        <w:rPr>
          <w:rFonts w:cs="Arial"/>
          <w:szCs w:val="20"/>
        </w:rPr>
        <w:t>6</w:t>
      </w:r>
      <w:r w:rsidRPr="002A0AFE">
        <w:rPr>
          <w:rFonts w:cs="Arial"/>
          <w:szCs w:val="20"/>
        </w:rPr>
        <w:t xml:space="preserve">). The </w:t>
      </w:r>
      <w:proofErr w:type="spellStart"/>
      <w:r w:rsidRPr="002A0AFE">
        <w:rPr>
          <w:rFonts w:cs="Arial"/>
          <w:szCs w:val="20"/>
        </w:rPr>
        <w:t>Ballarat</w:t>
      </w:r>
      <w:proofErr w:type="spellEnd"/>
      <w:r w:rsidRPr="002A0AFE">
        <w:rPr>
          <w:rFonts w:cs="Arial"/>
          <w:szCs w:val="20"/>
        </w:rPr>
        <w:t xml:space="preserve"> sample showed a greater proportion moving to join the current organisation or for education and training. It is useful, however, to consider the organisation-level data </w:t>
      </w:r>
      <w:proofErr w:type="gramStart"/>
      <w:r w:rsidRPr="002A0AFE">
        <w:rPr>
          <w:rFonts w:cs="Arial"/>
          <w:szCs w:val="20"/>
        </w:rPr>
        <w:t>as the differences are often explained by specific workplace groups</w:t>
      </w:r>
      <w:proofErr w:type="gramEnd"/>
      <w:r w:rsidRPr="002A0AFE">
        <w:rPr>
          <w:rFonts w:cs="Arial"/>
          <w:szCs w:val="20"/>
        </w:rPr>
        <w:t xml:space="preserve"> (table </w:t>
      </w:r>
      <w:r w:rsidR="001A5E9C" w:rsidRPr="002A0AFE">
        <w:rPr>
          <w:rFonts w:cs="Arial"/>
          <w:szCs w:val="20"/>
        </w:rPr>
        <w:t>2</w:t>
      </w:r>
      <w:r w:rsidRPr="002A0AFE">
        <w:rPr>
          <w:rFonts w:cs="Arial"/>
          <w:szCs w:val="20"/>
        </w:rPr>
        <w:t>).</w:t>
      </w:r>
    </w:p>
    <w:p w14:paraId="538EAC52" w14:textId="77777777" w:rsidR="00214968" w:rsidRDefault="00214968" w:rsidP="00214968">
      <w:pPr>
        <w:jc w:val="both"/>
        <w:rPr>
          <w:rFonts w:cs="Arial"/>
          <w:i/>
          <w:szCs w:val="20"/>
        </w:rPr>
      </w:pPr>
    </w:p>
    <w:p w14:paraId="2375B1D6" w14:textId="77777777" w:rsidR="00214968" w:rsidRPr="00525775" w:rsidRDefault="006B2958" w:rsidP="00525775">
      <w:pPr>
        <w:jc w:val="center"/>
        <w:rPr>
          <w:rFonts w:cs="Arial"/>
          <w:b/>
          <w:szCs w:val="20"/>
        </w:rPr>
      </w:pPr>
      <w:r w:rsidRPr="00525775">
        <w:rPr>
          <w:rFonts w:cs="Arial"/>
          <w:b/>
          <w:szCs w:val="20"/>
        </w:rPr>
        <w:t xml:space="preserve">Figure </w:t>
      </w:r>
      <w:r w:rsidR="00331641" w:rsidRPr="00525775">
        <w:rPr>
          <w:rFonts w:cs="Arial"/>
          <w:b/>
          <w:szCs w:val="20"/>
        </w:rPr>
        <w:t>6</w:t>
      </w:r>
      <w:r w:rsidRPr="00525775">
        <w:rPr>
          <w:rFonts w:cs="Arial"/>
          <w:b/>
          <w:szCs w:val="20"/>
        </w:rPr>
        <w:t xml:space="preserve">: Reasons for moving to </w:t>
      </w:r>
      <w:proofErr w:type="spellStart"/>
      <w:r w:rsidRPr="00525775">
        <w:rPr>
          <w:rFonts w:cs="Arial"/>
          <w:b/>
          <w:szCs w:val="20"/>
        </w:rPr>
        <w:t>Ballarat</w:t>
      </w:r>
      <w:proofErr w:type="spellEnd"/>
      <w:r w:rsidR="00331641" w:rsidRPr="00525775">
        <w:rPr>
          <w:rFonts w:cs="Arial"/>
          <w:b/>
          <w:szCs w:val="20"/>
        </w:rPr>
        <w:t xml:space="preserve"> and </w:t>
      </w:r>
      <w:proofErr w:type="spellStart"/>
      <w:r w:rsidRPr="00525775">
        <w:rPr>
          <w:rFonts w:cs="Arial"/>
          <w:b/>
          <w:szCs w:val="20"/>
        </w:rPr>
        <w:t>Bendigo</w:t>
      </w:r>
      <w:proofErr w:type="spellEnd"/>
    </w:p>
    <w:p w14:paraId="753435BB" w14:textId="77777777" w:rsidR="00525775" w:rsidRPr="00525775" w:rsidRDefault="00525775" w:rsidP="00525775">
      <w:pPr>
        <w:jc w:val="center"/>
        <w:rPr>
          <w:rFonts w:cs="Arial"/>
          <w:szCs w:val="20"/>
        </w:rPr>
      </w:pPr>
      <w:r w:rsidRPr="00525775">
        <w:rPr>
          <w:rFonts w:cs="Arial"/>
          <w:szCs w:val="20"/>
        </w:rPr>
        <w:t xml:space="preserve">Sources: </w:t>
      </w:r>
      <w:proofErr w:type="spellStart"/>
      <w:r w:rsidRPr="00525775">
        <w:rPr>
          <w:rFonts w:cs="Arial"/>
          <w:szCs w:val="20"/>
        </w:rPr>
        <w:t>Ballarat</w:t>
      </w:r>
      <w:proofErr w:type="spellEnd"/>
      <w:r w:rsidRPr="00525775">
        <w:rPr>
          <w:rFonts w:cs="Arial"/>
          <w:szCs w:val="20"/>
        </w:rPr>
        <w:t xml:space="preserve"> Survey Data 2016 and </w:t>
      </w:r>
      <w:proofErr w:type="spellStart"/>
      <w:r w:rsidRPr="00525775">
        <w:rPr>
          <w:rFonts w:cs="Arial"/>
          <w:szCs w:val="20"/>
        </w:rPr>
        <w:t>Bendigo</w:t>
      </w:r>
      <w:proofErr w:type="spellEnd"/>
      <w:r w:rsidRPr="00525775">
        <w:rPr>
          <w:rFonts w:cs="Arial"/>
          <w:szCs w:val="20"/>
        </w:rPr>
        <w:t xml:space="preserve"> Survey Data 2015</w:t>
      </w:r>
    </w:p>
    <w:p w14:paraId="6EFE42B6" w14:textId="77777777" w:rsidR="00214968" w:rsidRDefault="00214968" w:rsidP="00214968">
      <w:pPr>
        <w:jc w:val="both"/>
        <w:rPr>
          <w:rFonts w:cs="Arial"/>
          <w:i/>
          <w:szCs w:val="20"/>
        </w:rPr>
      </w:pPr>
    </w:p>
    <w:p w14:paraId="2B524305" w14:textId="77777777" w:rsidR="00214968" w:rsidRDefault="006B2958" w:rsidP="00525775">
      <w:pPr>
        <w:jc w:val="center"/>
        <w:rPr>
          <w:rFonts w:cs="Arial"/>
          <w:i/>
          <w:szCs w:val="20"/>
        </w:rPr>
      </w:pPr>
      <w:r w:rsidRPr="002A0AFE">
        <w:rPr>
          <w:rFonts w:cs="Arial"/>
          <w:b/>
          <w:noProof/>
          <w:szCs w:val="20"/>
          <w:lang w:val="en-US"/>
        </w:rPr>
        <w:drawing>
          <wp:inline distT="0" distB="0" distL="0" distR="0" wp14:anchorId="7F2CF047" wp14:editId="7A0AD531">
            <wp:extent cx="3960000" cy="2757192"/>
            <wp:effectExtent l="0" t="0" r="2540"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0000" cy="2757192"/>
                    </a:xfrm>
                    <a:prstGeom prst="rect">
                      <a:avLst/>
                    </a:prstGeom>
                  </pic:spPr>
                </pic:pic>
              </a:graphicData>
            </a:graphic>
          </wp:inline>
        </w:drawing>
      </w:r>
    </w:p>
    <w:p w14:paraId="0DE1D6E2" w14:textId="77777777" w:rsidR="00214968" w:rsidRDefault="00214968" w:rsidP="00214968">
      <w:pPr>
        <w:jc w:val="both"/>
        <w:rPr>
          <w:rFonts w:cs="Arial"/>
          <w:i/>
          <w:szCs w:val="20"/>
        </w:rPr>
      </w:pPr>
    </w:p>
    <w:p w14:paraId="2BFD5B31" w14:textId="77777777" w:rsidR="00214968" w:rsidRDefault="00214968" w:rsidP="00214968">
      <w:pPr>
        <w:jc w:val="both"/>
        <w:rPr>
          <w:rFonts w:cs="Arial"/>
          <w:i/>
          <w:szCs w:val="20"/>
        </w:rPr>
      </w:pPr>
    </w:p>
    <w:p w14:paraId="31A03E65" w14:textId="77777777" w:rsidR="00525775" w:rsidRDefault="00525775">
      <w:pPr>
        <w:spacing w:after="200" w:line="276" w:lineRule="auto"/>
        <w:rPr>
          <w:rFonts w:cs="Arial"/>
          <w:i/>
          <w:szCs w:val="20"/>
        </w:rPr>
      </w:pPr>
      <w:r>
        <w:rPr>
          <w:rFonts w:cs="Arial"/>
          <w:i/>
          <w:szCs w:val="20"/>
        </w:rPr>
        <w:br w:type="page"/>
      </w:r>
    </w:p>
    <w:p w14:paraId="6B866921" w14:textId="77777777" w:rsidR="00214968" w:rsidRPr="00525775" w:rsidRDefault="006B2958" w:rsidP="00525775">
      <w:pPr>
        <w:jc w:val="center"/>
        <w:rPr>
          <w:rFonts w:cs="Arial"/>
          <w:b/>
          <w:szCs w:val="20"/>
        </w:rPr>
      </w:pPr>
      <w:r w:rsidRPr="00525775">
        <w:rPr>
          <w:rFonts w:cs="Arial"/>
          <w:b/>
          <w:szCs w:val="20"/>
        </w:rPr>
        <w:lastRenderedPageBreak/>
        <w:t xml:space="preserve">Table </w:t>
      </w:r>
      <w:r w:rsidR="001A5E9C" w:rsidRPr="00525775">
        <w:rPr>
          <w:rFonts w:cs="Arial"/>
          <w:b/>
          <w:szCs w:val="20"/>
        </w:rPr>
        <w:t>2</w:t>
      </w:r>
      <w:r w:rsidRPr="00525775">
        <w:rPr>
          <w:rFonts w:cs="Arial"/>
          <w:b/>
          <w:szCs w:val="20"/>
        </w:rPr>
        <w:t xml:space="preserve">: Reasons for moving to </w:t>
      </w:r>
      <w:proofErr w:type="spellStart"/>
      <w:r w:rsidRPr="00525775">
        <w:rPr>
          <w:rFonts w:cs="Arial"/>
          <w:b/>
          <w:szCs w:val="20"/>
        </w:rPr>
        <w:t>Ballarat</w:t>
      </w:r>
      <w:proofErr w:type="spellEnd"/>
      <w:r w:rsidR="00331641" w:rsidRPr="00525775">
        <w:rPr>
          <w:rFonts w:cs="Arial"/>
          <w:b/>
          <w:szCs w:val="20"/>
        </w:rPr>
        <w:t xml:space="preserve"> and </w:t>
      </w:r>
      <w:proofErr w:type="spellStart"/>
      <w:r w:rsidRPr="00525775">
        <w:rPr>
          <w:rFonts w:cs="Arial"/>
          <w:b/>
          <w:szCs w:val="20"/>
        </w:rPr>
        <w:t>Bendigo</w:t>
      </w:r>
      <w:proofErr w:type="spellEnd"/>
      <w:r w:rsidRPr="00525775">
        <w:rPr>
          <w:rFonts w:cs="Arial"/>
          <w:b/>
          <w:szCs w:val="20"/>
        </w:rPr>
        <w:t xml:space="preserve"> by organisation</w:t>
      </w:r>
    </w:p>
    <w:p w14:paraId="1E7BF8EC" w14:textId="77777777" w:rsidR="00525775" w:rsidRPr="00525775" w:rsidRDefault="00525775" w:rsidP="00525775">
      <w:pPr>
        <w:jc w:val="center"/>
        <w:rPr>
          <w:rFonts w:cs="Arial"/>
          <w:szCs w:val="20"/>
        </w:rPr>
      </w:pPr>
      <w:r w:rsidRPr="00525775">
        <w:rPr>
          <w:rFonts w:cs="Arial"/>
          <w:szCs w:val="20"/>
        </w:rPr>
        <w:t xml:space="preserve">Sources: </w:t>
      </w:r>
      <w:proofErr w:type="spellStart"/>
      <w:r w:rsidRPr="00525775">
        <w:rPr>
          <w:rFonts w:cs="Arial"/>
          <w:szCs w:val="20"/>
        </w:rPr>
        <w:t>Ballarat</w:t>
      </w:r>
      <w:proofErr w:type="spellEnd"/>
      <w:r w:rsidRPr="00525775">
        <w:rPr>
          <w:rFonts w:cs="Arial"/>
          <w:szCs w:val="20"/>
        </w:rPr>
        <w:t xml:space="preserve"> Survey Data 2016 and </w:t>
      </w:r>
      <w:proofErr w:type="spellStart"/>
      <w:r w:rsidRPr="00525775">
        <w:rPr>
          <w:rFonts w:cs="Arial"/>
          <w:szCs w:val="20"/>
        </w:rPr>
        <w:t>Bendigo</w:t>
      </w:r>
      <w:proofErr w:type="spellEnd"/>
      <w:r w:rsidRPr="00525775">
        <w:rPr>
          <w:rFonts w:cs="Arial"/>
          <w:szCs w:val="20"/>
        </w:rPr>
        <w:t xml:space="preserve"> Survey Data 2015</w:t>
      </w:r>
    </w:p>
    <w:p w14:paraId="150938CC" w14:textId="77777777" w:rsidR="00214968" w:rsidRDefault="00214968" w:rsidP="00214968">
      <w:pPr>
        <w:jc w:val="both"/>
        <w:rPr>
          <w:rFonts w:cs="Arial"/>
          <w:szCs w:val="20"/>
        </w:rPr>
      </w:pPr>
    </w:p>
    <w:p w14:paraId="1DD4B364" w14:textId="77777777" w:rsidR="00214968" w:rsidRDefault="006B2958" w:rsidP="00525775">
      <w:pPr>
        <w:jc w:val="center"/>
        <w:rPr>
          <w:rFonts w:cs="Arial"/>
          <w:szCs w:val="20"/>
        </w:rPr>
      </w:pPr>
      <w:r w:rsidRPr="002A0AFE">
        <w:rPr>
          <w:rFonts w:cs="Arial"/>
          <w:noProof/>
          <w:szCs w:val="20"/>
          <w:lang w:val="en-US"/>
        </w:rPr>
        <w:drawing>
          <wp:inline distT="0" distB="0" distL="0" distR="0" wp14:anchorId="0CA1AD51" wp14:editId="3182C149">
            <wp:extent cx="5040000" cy="2894437"/>
            <wp:effectExtent l="0" t="0" r="825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6 - Ballarat-Bendigo - Reasons for moving.png"/>
                    <pic:cNvPicPr/>
                  </pic:nvPicPr>
                  <pic:blipFill rotWithShape="1">
                    <a:blip r:embed="rId15" cstate="print">
                      <a:extLst>
                        <a:ext uri="{28A0092B-C50C-407E-A947-70E740481C1C}">
                          <a14:useLocalDpi xmlns:a14="http://schemas.microsoft.com/office/drawing/2010/main" val="0"/>
                        </a:ext>
                      </a:extLst>
                    </a:blip>
                    <a:srcRect b="9866"/>
                    <a:stretch/>
                  </pic:blipFill>
                  <pic:spPr bwMode="auto">
                    <a:xfrm>
                      <a:off x="0" y="0"/>
                      <a:ext cx="5040000" cy="2894437"/>
                    </a:xfrm>
                    <a:prstGeom prst="rect">
                      <a:avLst/>
                    </a:prstGeom>
                    <a:ln>
                      <a:noFill/>
                    </a:ln>
                    <a:extLst>
                      <a:ext uri="{53640926-AAD7-44d8-BBD7-CCE9431645EC}">
                        <a14:shadowObscured xmlns:a14="http://schemas.microsoft.com/office/drawing/2010/main"/>
                      </a:ext>
                    </a:extLst>
                  </pic:spPr>
                </pic:pic>
              </a:graphicData>
            </a:graphic>
          </wp:inline>
        </w:drawing>
      </w:r>
    </w:p>
    <w:p w14:paraId="03F2CF89" w14:textId="77777777" w:rsidR="00214968" w:rsidRPr="00525775" w:rsidRDefault="007F28EC" w:rsidP="00525775">
      <w:pPr>
        <w:tabs>
          <w:tab w:val="left" w:pos="567"/>
        </w:tabs>
        <w:ind w:left="567" w:right="565"/>
        <w:jc w:val="both"/>
        <w:rPr>
          <w:rFonts w:cs="Arial"/>
          <w:i/>
          <w:sz w:val="18"/>
          <w:szCs w:val="18"/>
        </w:rPr>
      </w:pPr>
      <w:r w:rsidRPr="00525775">
        <w:rPr>
          <w:rFonts w:cs="Arial"/>
          <w:i/>
          <w:sz w:val="18"/>
          <w:szCs w:val="18"/>
        </w:rPr>
        <w:t xml:space="preserve">An additional option was provided in the </w:t>
      </w:r>
      <w:proofErr w:type="spellStart"/>
      <w:r w:rsidRPr="00525775">
        <w:rPr>
          <w:rFonts w:cs="Arial"/>
          <w:i/>
          <w:sz w:val="18"/>
          <w:szCs w:val="18"/>
        </w:rPr>
        <w:t>Ballarat</w:t>
      </w:r>
      <w:proofErr w:type="spellEnd"/>
      <w:r w:rsidRPr="00525775">
        <w:rPr>
          <w:rFonts w:cs="Arial"/>
          <w:i/>
          <w:sz w:val="18"/>
          <w:szCs w:val="18"/>
        </w:rPr>
        <w:t xml:space="preserve"> survey: “My parents made the choice to move when I was young”. </w:t>
      </w:r>
      <w:r w:rsidR="00525775" w:rsidRPr="00525775">
        <w:rPr>
          <w:rFonts w:cs="Arial"/>
          <w:i/>
          <w:sz w:val="18"/>
          <w:szCs w:val="18"/>
        </w:rPr>
        <w:t xml:space="preserve"> </w:t>
      </w:r>
      <w:r w:rsidRPr="00525775">
        <w:rPr>
          <w:rFonts w:cs="Arial"/>
          <w:i/>
          <w:sz w:val="18"/>
          <w:szCs w:val="18"/>
        </w:rPr>
        <w:t xml:space="preserve">To enable comparison with </w:t>
      </w:r>
      <w:proofErr w:type="spellStart"/>
      <w:r w:rsidRPr="00525775">
        <w:rPr>
          <w:rFonts w:cs="Arial"/>
          <w:i/>
          <w:sz w:val="18"/>
          <w:szCs w:val="18"/>
        </w:rPr>
        <w:t>Bendigo</w:t>
      </w:r>
      <w:proofErr w:type="spellEnd"/>
      <w:r w:rsidRPr="00525775">
        <w:rPr>
          <w:rFonts w:cs="Arial"/>
          <w:i/>
          <w:sz w:val="18"/>
          <w:szCs w:val="18"/>
        </w:rPr>
        <w:t xml:space="preserve">, this answer was removed from analysis of reasons for moving. A total of </w:t>
      </w:r>
      <w:proofErr w:type="gramStart"/>
      <w:r w:rsidRPr="00525775">
        <w:rPr>
          <w:rFonts w:cs="Arial"/>
          <w:i/>
          <w:sz w:val="18"/>
          <w:szCs w:val="18"/>
        </w:rPr>
        <w:t xml:space="preserve">37 </w:t>
      </w:r>
      <w:r w:rsidR="00525775" w:rsidRPr="00525775">
        <w:rPr>
          <w:rFonts w:cs="Arial"/>
          <w:i/>
          <w:sz w:val="18"/>
          <w:szCs w:val="18"/>
        </w:rPr>
        <w:t xml:space="preserve"> </w:t>
      </w:r>
      <w:proofErr w:type="spellStart"/>
      <w:r w:rsidRPr="00525775">
        <w:rPr>
          <w:rFonts w:cs="Arial"/>
          <w:i/>
          <w:sz w:val="18"/>
          <w:szCs w:val="18"/>
        </w:rPr>
        <w:t>Ballarat</w:t>
      </w:r>
      <w:proofErr w:type="spellEnd"/>
      <w:proofErr w:type="gramEnd"/>
      <w:r w:rsidRPr="00525775">
        <w:rPr>
          <w:rFonts w:cs="Arial"/>
          <w:i/>
          <w:sz w:val="18"/>
          <w:szCs w:val="18"/>
        </w:rPr>
        <w:t xml:space="preserve"> survey responses </w:t>
      </w:r>
      <w:r w:rsidR="00525775" w:rsidRPr="00525775">
        <w:rPr>
          <w:rFonts w:cs="Arial"/>
          <w:i/>
          <w:sz w:val="18"/>
          <w:szCs w:val="18"/>
        </w:rPr>
        <w:t xml:space="preserve">selected </w:t>
      </w:r>
      <w:r w:rsidRPr="00525775">
        <w:rPr>
          <w:rFonts w:cs="Arial"/>
          <w:i/>
          <w:sz w:val="18"/>
          <w:szCs w:val="18"/>
        </w:rPr>
        <w:t>this option (5% of the total sample of responses).</w:t>
      </w:r>
    </w:p>
    <w:p w14:paraId="151063D5" w14:textId="77777777" w:rsidR="00214968" w:rsidRDefault="00214968" w:rsidP="00214968">
      <w:pPr>
        <w:jc w:val="both"/>
        <w:rPr>
          <w:rFonts w:cs="Arial"/>
          <w:i/>
          <w:szCs w:val="20"/>
        </w:rPr>
      </w:pPr>
    </w:p>
    <w:p w14:paraId="30D2AA89" w14:textId="77777777" w:rsidR="00214968" w:rsidRDefault="007B1F7C" w:rsidP="00214968">
      <w:pPr>
        <w:jc w:val="both"/>
        <w:rPr>
          <w:rFonts w:cs="Arial"/>
          <w:szCs w:val="20"/>
        </w:rPr>
      </w:pPr>
      <w:r w:rsidRPr="002A0AFE">
        <w:rPr>
          <w:rFonts w:cs="Arial"/>
          <w:szCs w:val="20"/>
        </w:rPr>
        <w:t>Both councils have nearly identical profiles with rank order and magnitudes being almost the same. Health services are similar although rank order and magnitude differences are seen in relation to amenity and housing affordability reasons. Like the councils, family and employment reasons rank number one and two at both health organisations.</w:t>
      </w:r>
      <w:r w:rsidR="007F28EC" w:rsidRPr="002A0AFE">
        <w:rPr>
          <w:rFonts w:cs="Arial"/>
          <w:szCs w:val="20"/>
        </w:rPr>
        <w:t xml:space="preserve"> </w:t>
      </w:r>
      <w:r w:rsidRPr="002A0AFE">
        <w:rPr>
          <w:rFonts w:cs="Arial"/>
          <w:szCs w:val="20"/>
        </w:rPr>
        <w:t xml:space="preserve">The largest differences are seen between the two private businesses with the </w:t>
      </w:r>
      <w:proofErr w:type="gramStart"/>
      <w:r w:rsidRPr="002A0AFE">
        <w:rPr>
          <w:rFonts w:cs="Arial"/>
          <w:szCs w:val="20"/>
        </w:rPr>
        <w:t>home-grown</w:t>
      </w:r>
      <w:proofErr w:type="gramEnd"/>
      <w:r w:rsidRPr="002A0AFE">
        <w:rPr>
          <w:rFonts w:cs="Arial"/>
          <w:szCs w:val="20"/>
        </w:rPr>
        <w:t xml:space="preserve"> </w:t>
      </w:r>
      <w:proofErr w:type="spellStart"/>
      <w:r w:rsidRPr="002A0AFE">
        <w:rPr>
          <w:rFonts w:cs="Arial"/>
          <w:szCs w:val="20"/>
        </w:rPr>
        <w:t>Bendigo</w:t>
      </w:r>
      <w:proofErr w:type="spellEnd"/>
      <w:r w:rsidRPr="002A0AFE">
        <w:rPr>
          <w:rFonts w:cs="Arial"/>
          <w:szCs w:val="20"/>
        </w:rPr>
        <w:t xml:space="preserve"> Bank showing much higher proportions of people having moved for family reasons. Employment reasons were of a similar magnitude to the other organisations already discussed, but amenity and housing affordability were much lower than for any other organisation. The multinational firm, IBM, has a distinctive profile with employment reasons out-ranking family as a reason for moving to </w:t>
      </w:r>
      <w:proofErr w:type="spellStart"/>
      <w:r w:rsidRPr="002A0AFE">
        <w:rPr>
          <w:rFonts w:cs="Arial"/>
          <w:szCs w:val="20"/>
        </w:rPr>
        <w:t>Ballarat</w:t>
      </w:r>
      <w:proofErr w:type="spellEnd"/>
      <w:r w:rsidRPr="002A0AFE">
        <w:rPr>
          <w:rFonts w:cs="Arial"/>
          <w:szCs w:val="20"/>
        </w:rPr>
        <w:t xml:space="preserve">. Of note also is the high proportion who moved for education or training (ranked number two). The co-location of IBM with Federation University and the use of graduates by the company (for both internships and casual staff in their call centre) may account for some of this difference. </w:t>
      </w:r>
    </w:p>
    <w:p w14:paraId="1CE5208A" w14:textId="77777777" w:rsidR="00214968" w:rsidRDefault="00214968" w:rsidP="00214968">
      <w:pPr>
        <w:jc w:val="both"/>
        <w:rPr>
          <w:rFonts w:cs="Arial"/>
          <w:szCs w:val="20"/>
        </w:rPr>
      </w:pPr>
    </w:p>
    <w:p w14:paraId="1D1E0EA6" w14:textId="77777777" w:rsidR="00214968" w:rsidRDefault="007B1F7C" w:rsidP="00214968">
      <w:pPr>
        <w:jc w:val="both"/>
        <w:rPr>
          <w:rFonts w:cs="Arial"/>
          <w:b/>
          <w:sz w:val="22"/>
          <w:szCs w:val="22"/>
        </w:rPr>
      </w:pPr>
      <w:r w:rsidRPr="002A0AFE">
        <w:rPr>
          <w:rFonts w:cs="Arial"/>
          <w:b/>
          <w:sz w:val="22"/>
          <w:szCs w:val="22"/>
        </w:rPr>
        <w:t>Advantages of being in a non-metro</w:t>
      </w:r>
      <w:r w:rsidR="008E29E2" w:rsidRPr="002A0AFE">
        <w:rPr>
          <w:rFonts w:cs="Arial"/>
          <w:b/>
          <w:sz w:val="22"/>
          <w:szCs w:val="22"/>
        </w:rPr>
        <w:t>politan</w:t>
      </w:r>
      <w:r w:rsidRPr="002A0AFE">
        <w:rPr>
          <w:rFonts w:cs="Arial"/>
          <w:b/>
          <w:sz w:val="22"/>
          <w:szCs w:val="22"/>
        </w:rPr>
        <w:t xml:space="preserve"> region</w:t>
      </w:r>
    </w:p>
    <w:p w14:paraId="2524B8D8" w14:textId="77777777" w:rsidR="00214968" w:rsidRDefault="0080060A" w:rsidP="00214968">
      <w:pPr>
        <w:autoSpaceDE w:val="0"/>
        <w:autoSpaceDN w:val="0"/>
        <w:adjustRightInd w:val="0"/>
        <w:jc w:val="both"/>
        <w:rPr>
          <w:rFonts w:eastAsiaTheme="minorHAnsi" w:cs="Arial"/>
          <w:szCs w:val="20"/>
          <w:lang w:val="en-AU"/>
        </w:rPr>
      </w:pPr>
      <w:r w:rsidRPr="002A0AFE">
        <w:rPr>
          <w:rFonts w:eastAsiaTheme="minorHAnsi" w:cs="Arial"/>
          <w:szCs w:val="20"/>
          <w:lang w:val="en-AU"/>
        </w:rPr>
        <w:t>The survey offered open</w:t>
      </w:r>
      <w:r w:rsidRPr="002A0AFE">
        <w:rPr>
          <w:rFonts w:ascii="Cambria Math" w:eastAsiaTheme="minorHAnsi" w:hAnsi="Cambria Math" w:cs="Cambria Math"/>
          <w:szCs w:val="20"/>
          <w:lang w:val="en-AU"/>
        </w:rPr>
        <w:t>‐</w:t>
      </w:r>
      <w:r w:rsidRPr="002A0AFE">
        <w:rPr>
          <w:rFonts w:eastAsiaTheme="minorHAnsi" w:cs="Arial"/>
          <w:szCs w:val="20"/>
          <w:lang w:val="en-AU"/>
        </w:rPr>
        <w:t xml:space="preserve">ended questions about the advantages and disadvantages of living in a regional city. Up to three items could be recorded and these were then grouped into broad categories for ease of analysis. Following analysis of the Ballarat sample, responses from the Bendigo sample were re-analysed to ensure alignment of thematic categorisation. The subsequent results are presented in Figure </w:t>
      </w:r>
      <w:r w:rsidR="00331641" w:rsidRPr="002A0AFE">
        <w:rPr>
          <w:rFonts w:eastAsiaTheme="minorHAnsi" w:cs="Arial"/>
          <w:szCs w:val="20"/>
          <w:lang w:val="en-AU"/>
        </w:rPr>
        <w:t>7</w:t>
      </w:r>
      <w:r w:rsidR="008E29E2" w:rsidRPr="002A0AFE">
        <w:rPr>
          <w:rFonts w:eastAsiaTheme="minorHAnsi" w:cs="Arial"/>
          <w:szCs w:val="20"/>
          <w:lang w:val="en-AU"/>
        </w:rPr>
        <w:t>.</w:t>
      </w:r>
    </w:p>
    <w:p w14:paraId="0CD3F556" w14:textId="77777777" w:rsidR="00214968" w:rsidRDefault="00214968" w:rsidP="00214968">
      <w:pPr>
        <w:autoSpaceDE w:val="0"/>
        <w:autoSpaceDN w:val="0"/>
        <w:adjustRightInd w:val="0"/>
        <w:jc w:val="both"/>
        <w:rPr>
          <w:rFonts w:eastAsiaTheme="minorHAnsi" w:cs="Arial"/>
          <w:szCs w:val="20"/>
          <w:lang w:val="en-AU"/>
        </w:rPr>
      </w:pPr>
    </w:p>
    <w:p w14:paraId="3A77A6EE" w14:textId="77777777" w:rsidR="008313EE" w:rsidRDefault="008313EE">
      <w:pPr>
        <w:spacing w:after="200" w:line="276" w:lineRule="auto"/>
        <w:rPr>
          <w:rFonts w:cs="Arial"/>
          <w:i/>
          <w:szCs w:val="20"/>
        </w:rPr>
      </w:pPr>
      <w:r>
        <w:rPr>
          <w:rFonts w:cs="Arial"/>
          <w:i/>
          <w:szCs w:val="20"/>
        </w:rPr>
        <w:br w:type="page"/>
      </w:r>
    </w:p>
    <w:p w14:paraId="1B4BC544" w14:textId="77777777" w:rsidR="00214968" w:rsidRPr="008313EE" w:rsidRDefault="0080060A" w:rsidP="008313EE">
      <w:pPr>
        <w:autoSpaceDE w:val="0"/>
        <w:autoSpaceDN w:val="0"/>
        <w:adjustRightInd w:val="0"/>
        <w:jc w:val="center"/>
        <w:rPr>
          <w:rFonts w:cs="Arial"/>
          <w:b/>
          <w:szCs w:val="20"/>
        </w:rPr>
      </w:pPr>
      <w:r w:rsidRPr="008313EE">
        <w:rPr>
          <w:rFonts w:cs="Arial"/>
          <w:b/>
          <w:szCs w:val="20"/>
        </w:rPr>
        <w:lastRenderedPageBreak/>
        <w:t xml:space="preserve">Figure </w:t>
      </w:r>
      <w:r w:rsidR="00331641" w:rsidRPr="008313EE">
        <w:rPr>
          <w:rFonts w:cs="Arial"/>
          <w:b/>
          <w:szCs w:val="20"/>
        </w:rPr>
        <w:t>7</w:t>
      </w:r>
      <w:r w:rsidRPr="008313EE">
        <w:rPr>
          <w:rFonts w:cs="Arial"/>
          <w:b/>
          <w:szCs w:val="20"/>
        </w:rPr>
        <w:t xml:space="preserve">: Reported advantages of living in </w:t>
      </w:r>
      <w:proofErr w:type="spellStart"/>
      <w:r w:rsidRPr="008313EE">
        <w:rPr>
          <w:rFonts w:cs="Arial"/>
          <w:b/>
          <w:szCs w:val="20"/>
        </w:rPr>
        <w:t>Ballarat</w:t>
      </w:r>
      <w:proofErr w:type="spellEnd"/>
      <w:r w:rsidRPr="008313EE">
        <w:rPr>
          <w:rFonts w:cs="Arial"/>
          <w:b/>
          <w:szCs w:val="20"/>
        </w:rPr>
        <w:t xml:space="preserve"> and </w:t>
      </w:r>
      <w:proofErr w:type="spellStart"/>
      <w:r w:rsidRPr="008313EE">
        <w:rPr>
          <w:rFonts w:cs="Arial"/>
          <w:b/>
          <w:szCs w:val="20"/>
        </w:rPr>
        <w:t>Bendigo</w:t>
      </w:r>
      <w:proofErr w:type="spellEnd"/>
    </w:p>
    <w:p w14:paraId="44DB7C26" w14:textId="77777777" w:rsidR="008313EE" w:rsidRPr="008313EE" w:rsidRDefault="008313EE" w:rsidP="008313EE">
      <w:pPr>
        <w:jc w:val="center"/>
        <w:rPr>
          <w:rFonts w:cs="Arial"/>
          <w:szCs w:val="20"/>
        </w:rPr>
      </w:pPr>
      <w:r w:rsidRPr="008313EE">
        <w:rPr>
          <w:rFonts w:cs="Arial"/>
          <w:szCs w:val="20"/>
        </w:rPr>
        <w:t xml:space="preserve">Sources: </w:t>
      </w:r>
      <w:proofErr w:type="spellStart"/>
      <w:r w:rsidRPr="008313EE">
        <w:rPr>
          <w:rFonts w:cs="Arial"/>
          <w:szCs w:val="20"/>
        </w:rPr>
        <w:t>Ballarat</w:t>
      </w:r>
      <w:proofErr w:type="spellEnd"/>
      <w:r w:rsidRPr="008313EE">
        <w:rPr>
          <w:rFonts w:cs="Arial"/>
          <w:szCs w:val="20"/>
        </w:rPr>
        <w:t xml:space="preserve"> Survey Data 2016 and </w:t>
      </w:r>
      <w:proofErr w:type="spellStart"/>
      <w:r w:rsidRPr="008313EE">
        <w:rPr>
          <w:rFonts w:cs="Arial"/>
          <w:szCs w:val="20"/>
        </w:rPr>
        <w:t>Bendigo</w:t>
      </w:r>
      <w:proofErr w:type="spellEnd"/>
      <w:r w:rsidRPr="008313EE">
        <w:rPr>
          <w:rFonts w:cs="Arial"/>
          <w:szCs w:val="20"/>
        </w:rPr>
        <w:t xml:space="preserve"> Survey Data 2015</w:t>
      </w:r>
    </w:p>
    <w:p w14:paraId="33368B5B" w14:textId="77777777" w:rsidR="00214968" w:rsidRDefault="00214968" w:rsidP="00214968">
      <w:pPr>
        <w:autoSpaceDE w:val="0"/>
        <w:autoSpaceDN w:val="0"/>
        <w:adjustRightInd w:val="0"/>
        <w:jc w:val="both"/>
        <w:rPr>
          <w:rFonts w:cs="Arial"/>
          <w:i/>
          <w:szCs w:val="20"/>
        </w:rPr>
      </w:pPr>
    </w:p>
    <w:p w14:paraId="4E8CFBD2" w14:textId="77777777" w:rsidR="00214968" w:rsidRDefault="007B1F7C" w:rsidP="008313EE">
      <w:pPr>
        <w:jc w:val="center"/>
        <w:rPr>
          <w:rFonts w:cs="Arial"/>
          <w:b/>
          <w:szCs w:val="20"/>
        </w:rPr>
      </w:pPr>
      <w:r w:rsidRPr="002A0AFE">
        <w:rPr>
          <w:rFonts w:cs="Arial"/>
          <w:b/>
          <w:noProof/>
          <w:szCs w:val="20"/>
          <w:lang w:val="en-US"/>
        </w:rPr>
        <w:drawing>
          <wp:inline distT="0" distB="0" distL="0" distR="0" wp14:anchorId="003DE497" wp14:editId="61772AE1">
            <wp:extent cx="4320000" cy="2846766"/>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2846766"/>
                    </a:xfrm>
                    <a:prstGeom prst="rect">
                      <a:avLst/>
                    </a:prstGeom>
                  </pic:spPr>
                </pic:pic>
              </a:graphicData>
            </a:graphic>
          </wp:inline>
        </w:drawing>
      </w:r>
    </w:p>
    <w:p w14:paraId="11A5985C" w14:textId="77777777" w:rsidR="00214968" w:rsidRDefault="00214968" w:rsidP="00214968">
      <w:pPr>
        <w:jc w:val="both"/>
        <w:rPr>
          <w:rFonts w:cs="Arial"/>
          <w:b/>
          <w:szCs w:val="20"/>
        </w:rPr>
      </w:pPr>
    </w:p>
    <w:p w14:paraId="18D2B892" w14:textId="77777777" w:rsidR="00214968" w:rsidRDefault="00EC10F4" w:rsidP="00214968">
      <w:pPr>
        <w:tabs>
          <w:tab w:val="num" w:pos="360"/>
        </w:tabs>
        <w:jc w:val="both"/>
        <w:rPr>
          <w:rFonts w:cs="Arial"/>
          <w:spacing w:val="-2"/>
          <w:szCs w:val="20"/>
          <w:lang w:val="en-AU"/>
        </w:rPr>
      </w:pPr>
      <w:r w:rsidRPr="002A0AFE">
        <w:rPr>
          <w:rFonts w:cs="Arial"/>
          <w:spacing w:val="-2"/>
          <w:szCs w:val="20"/>
          <w:lang w:val="en-AU"/>
        </w:rPr>
        <w:t>In Ballarat, the ease of getting around town and lack of congestion ranked as the greatest advantage of being in the city. This theme ranked third in the Bendigo sample.</w:t>
      </w:r>
      <w:r w:rsidR="0080060A" w:rsidRPr="002A0AFE">
        <w:rPr>
          <w:rFonts w:cs="Arial"/>
          <w:spacing w:val="-2"/>
          <w:szCs w:val="20"/>
          <w:lang w:val="en-AU"/>
        </w:rPr>
        <w:t xml:space="preserve"> </w:t>
      </w:r>
      <w:r w:rsidRPr="002A0AFE">
        <w:rPr>
          <w:rFonts w:cs="Arial"/>
          <w:spacing w:val="-2"/>
          <w:szCs w:val="20"/>
          <w:lang w:val="en-AU"/>
        </w:rPr>
        <w:t xml:space="preserve">Ballarat respondents placed greater emphasis on housing affordability than their Bendigo </w:t>
      </w:r>
      <w:proofErr w:type="gramStart"/>
      <w:r w:rsidRPr="002A0AFE">
        <w:rPr>
          <w:rFonts w:cs="Arial"/>
          <w:spacing w:val="-2"/>
          <w:szCs w:val="20"/>
          <w:lang w:val="en-AU"/>
        </w:rPr>
        <w:t>counterparts which</w:t>
      </w:r>
      <w:proofErr w:type="gramEnd"/>
      <w:r w:rsidRPr="002A0AFE">
        <w:rPr>
          <w:rFonts w:cs="Arial"/>
          <w:spacing w:val="-2"/>
          <w:szCs w:val="20"/>
          <w:lang w:val="en-AU"/>
        </w:rPr>
        <w:t xml:space="preserve"> may reflect the younger age profile of the Ballarat sample, many of whom may be seeking their first home. Bendigo respondents were more likely to list lifestyle and quality of life factors than their Ballarat counterparts. Proximity to Melbourne ranked third for both samples, yet this theme also appeared in the list of disadvantages, showing how perceptions of closeness or distance can vary between individuals. </w:t>
      </w:r>
      <w:r w:rsidR="00806BB1" w:rsidRPr="002A0AFE">
        <w:rPr>
          <w:rFonts w:cs="Arial"/>
          <w:spacing w:val="-2"/>
          <w:szCs w:val="20"/>
          <w:lang w:val="en-AU"/>
        </w:rPr>
        <w:t xml:space="preserve">It is perhaps interesting that </w:t>
      </w:r>
      <w:r w:rsidR="00806BB1" w:rsidRPr="002A0AFE">
        <w:rPr>
          <w:rFonts w:cs="Arial"/>
          <w:i/>
          <w:spacing w:val="-2"/>
          <w:szCs w:val="20"/>
          <w:lang w:val="en-AU"/>
        </w:rPr>
        <w:t>natural</w:t>
      </w:r>
      <w:r w:rsidR="00806BB1" w:rsidRPr="002A0AFE">
        <w:rPr>
          <w:rFonts w:cs="Arial"/>
          <w:spacing w:val="-2"/>
          <w:szCs w:val="20"/>
          <w:lang w:val="en-AU"/>
        </w:rPr>
        <w:t xml:space="preserve"> amenity ranks low in each of the samples. Although many non-metropolitan areas consider their natural amenity to be a strong selling point, non-natural amenities (services, and the more generic ‘lifestyle’ factors) seem to be a more significant measure of individual welfare.</w:t>
      </w:r>
    </w:p>
    <w:p w14:paraId="66FF86E3" w14:textId="77777777" w:rsidR="00214968" w:rsidRDefault="00214968" w:rsidP="00214968">
      <w:pPr>
        <w:tabs>
          <w:tab w:val="num" w:pos="360"/>
        </w:tabs>
        <w:jc w:val="both"/>
        <w:rPr>
          <w:rFonts w:cs="Arial"/>
          <w:spacing w:val="-2"/>
          <w:szCs w:val="20"/>
          <w:lang w:val="en-AU"/>
        </w:rPr>
      </w:pPr>
    </w:p>
    <w:p w14:paraId="73E6A819" w14:textId="77777777" w:rsidR="00214968" w:rsidRDefault="007B1F7C" w:rsidP="00214968">
      <w:pPr>
        <w:jc w:val="both"/>
        <w:rPr>
          <w:rFonts w:cs="Arial"/>
          <w:b/>
          <w:sz w:val="22"/>
          <w:szCs w:val="22"/>
        </w:rPr>
      </w:pPr>
      <w:r w:rsidRPr="002A0AFE">
        <w:rPr>
          <w:rFonts w:cs="Arial"/>
          <w:b/>
          <w:sz w:val="22"/>
          <w:szCs w:val="22"/>
        </w:rPr>
        <w:t>Disadvantages of being in a non-metro region</w:t>
      </w:r>
    </w:p>
    <w:p w14:paraId="72CBCE06" w14:textId="77777777" w:rsidR="00214968" w:rsidRDefault="00EB53D1" w:rsidP="00214968">
      <w:pPr>
        <w:jc w:val="both"/>
        <w:rPr>
          <w:rFonts w:cs="Arial"/>
          <w:szCs w:val="20"/>
          <w:lang w:val="en-AU"/>
        </w:rPr>
      </w:pPr>
      <w:r w:rsidRPr="002A0AFE">
        <w:rPr>
          <w:rFonts w:cs="Arial"/>
          <w:szCs w:val="20"/>
          <w:lang w:val="en-AU"/>
        </w:rPr>
        <w:t>Access to services and the (cold) weather provided the greatest dissatisfaction for Ballarat survey participants, followed by employment issues related to limited career opportunities (figure 8). For Bendigo, infrastructure issues such as parking and congestion ranked highly, followed by limited career opportunities in the region and also the (hot) weather and associated issues around lack of recreational water.</w:t>
      </w:r>
    </w:p>
    <w:p w14:paraId="0FABC1A1" w14:textId="77777777" w:rsidR="00214968" w:rsidRDefault="00214968" w:rsidP="00214968">
      <w:pPr>
        <w:jc w:val="both"/>
        <w:rPr>
          <w:rFonts w:cs="Arial"/>
          <w:szCs w:val="20"/>
          <w:lang w:val="en-AU"/>
        </w:rPr>
      </w:pPr>
    </w:p>
    <w:p w14:paraId="4B30044C" w14:textId="77777777" w:rsidR="00214968" w:rsidRPr="008313EE" w:rsidRDefault="00331641" w:rsidP="008313EE">
      <w:pPr>
        <w:autoSpaceDE w:val="0"/>
        <w:autoSpaceDN w:val="0"/>
        <w:adjustRightInd w:val="0"/>
        <w:jc w:val="center"/>
        <w:rPr>
          <w:rFonts w:cs="Arial"/>
          <w:b/>
          <w:szCs w:val="20"/>
        </w:rPr>
      </w:pPr>
      <w:r w:rsidRPr="008313EE">
        <w:rPr>
          <w:rFonts w:cs="Arial"/>
          <w:b/>
          <w:szCs w:val="20"/>
        </w:rPr>
        <w:t xml:space="preserve">Figure 8: Reported disadvantages of living in </w:t>
      </w:r>
      <w:proofErr w:type="spellStart"/>
      <w:r w:rsidRPr="008313EE">
        <w:rPr>
          <w:rFonts w:cs="Arial"/>
          <w:b/>
          <w:szCs w:val="20"/>
        </w:rPr>
        <w:t>Ballarat</w:t>
      </w:r>
      <w:proofErr w:type="spellEnd"/>
      <w:r w:rsidRPr="008313EE">
        <w:rPr>
          <w:rFonts w:cs="Arial"/>
          <w:b/>
          <w:szCs w:val="20"/>
        </w:rPr>
        <w:t xml:space="preserve"> and </w:t>
      </w:r>
      <w:proofErr w:type="spellStart"/>
      <w:r w:rsidRPr="008313EE">
        <w:rPr>
          <w:rFonts w:cs="Arial"/>
          <w:b/>
          <w:szCs w:val="20"/>
        </w:rPr>
        <w:t>Bendigo</w:t>
      </w:r>
      <w:proofErr w:type="spellEnd"/>
    </w:p>
    <w:p w14:paraId="0C21A40A" w14:textId="77777777" w:rsidR="008313EE" w:rsidRPr="008313EE" w:rsidRDefault="008313EE" w:rsidP="008313EE">
      <w:pPr>
        <w:jc w:val="center"/>
        <w:rPr>
          <w:rFonts w:cs="Arial"/>
          <w:szCs w:val="20"/>
        </w:rPr>
      </w:pPr>
      <w:r w:rsidRPr="008313EE">
        <w:rPr>
          <w:rFonts w:cs="Arial"/>
          <w:szCs w:val="20"/>
        </w:rPr>
        <w:t xml:space="preserve">Sources: </w:t>
      </w:r>
      <w:proofErr w:type="spellStart"/>
      <w:r w:rsidRPr="008313EE">
        <w:rPr>
          <w:rFonts w:cs="Arial"/>
          <w:szCs w:val="20"/>
        </w:rPr>
        <w:t>Ballarat</w:t>
      </w:r>
      <w:proofErr w:type="spellEnd"/>
      <w:r w:rsidRPr="008313EE">
        <w:rPr>
          <w:rFonts w:cs="Arial"/>
          <w:szCs w:val="20"/>
        </w:rPr>
        <w:t xml:space="preserve"> Survey Data 2016 and </w:t>
      </w:r>
      <w:proofErr w:type="spellStart"/>
      <w:r w:rsidRPr="008313EE">
        <w:rPr>
          <w:rFonts w:cs="Arial"/>
          <w:szCs w:val="20"/>
        </w:rPr>
        <w:t>Bendigo</w:t>
      </w:r>
      <w:proofErr w:type="spellEnd"/>
      <w:r w:rsidRPr="008313EE">
        <w:rPr>
          <w:rFonts w:cs="Arial"/>
          <w:szCs w:val="20"/>
        </w:rPr>
        <w:t xml:space="preserve"> Survey Data 2015</w:t>
      </w:r>
    </w:p>
    <w:p w14:paraId="019ED19A" w14:textId="77777777" w:rsidR="00214968" w:rsidRDefault="00214968" w:rsidP="00214968">
      <w:pPr>
        <w:autoSpaceDE w:val="0"/>
        <w:autoSpaceDN w:val="0"/>
        <w:adjustRightInd w:val="0"/>
        <w:jc w:val="both"/>
        <w:rPr>
          <w:rFonts w:cs="Arial"/>
          <w:i/>
          <w:szCs w:val="20"/>
        </w:rPr>
      </w:pPr>
    </w:p>
    <w:p w14:paraId="44DBBCBD" w14:textId="77777777" w:rsidR="00214968" w:rsidRDefault="007B1F7C" w:rsidP="008313EE">
      <w:pPr>
        <w:jc w:val="center"/>
        <w:rPr>
          <w:rFonts w:cs="Arial"/>
          <w:b/>
          <w:szCs w:val="20"/>
        </w:rPr>
      </w:pPr>
      <w:r w:rsidRPr="002A0AFE">
        <w:rPr>
          <w:rFonts w:cs="Arial"/>
          <w:b/>
          <w:noProof/>
          <w:szCs w:val="20"/>
          <w:lang w:val="en-US"/>
        </w:rPr>
        <w:drawing>
          <wp:inline distT="0" distB="0" distL="0" distR="0" wp14:anchorId="33B4D228" wp14:editId="3AEF1748">
            <wp:extent cx="4320000" cy="2520923"/>
            <wp:effectExtent l="0" t="0" r="444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2520923"/>
                    </a:xfrm>
                    <a:prstGeom prst="rect">
                      <a:avLst/>
                    </a:prstGeom>
                  </pic:spPr>
                </pic:pic>
              </a:graphicData>
            </a:graphic>
          </wp:inline>
        </w:drawing>
      </w:r>
    </w:p>
    <w:p w14:paraId="3CE4768D" w14:textId="77777777" w:rsidR="00214968" w:rsidRDefault="00214968" w:rsidP="00214968">
      <w:pPr>
        <w:jc w:val="both"/>
        <w:rPr>
          <w:rFonts w:cs="Arial"/>
          <w:b/>
          <w:szCs w:val="20"/>
        </w:rPr>
      </w:pPr>
    </w:p>
    <w:p w14:paraId="23A4E700" w14:textId="77777777" w:rsidR="00214968" w:rsidRDefault="00331641" w:rsidP="00214968">
      <w:pPr>
        <w:jc w:val="both"/>
        <w:rPr>
          <w:rFonts w:cs="Arial"/>
          <w:szCs w:val="20"/>
          <w:lang w:val="en-AU"/>
        </w:rPr>
      </w:pPr>
      <w:r w:rsidRPr="002A0AFE">
        <w:rPr>
          <w:rFonts w:cs="Arial"/>
          <w:szCs w:val="20"/>
          <w:lang w:val="en-AU"/>
        </w:rPr>
        <w:lastRenderedPageBreak/>
        <w:t xml:space="preserve">In both cases, the issue </w:t>
      </w:r>
      <w:r w:rsidR="00EC10F4" w:rsidRPr="002A0AFE">
        <w:rPr>
          <w:rFonts w:cs="Arial"/>
          <w:szCs w:val="20"/>
          <w:lang w:val="en-AU"/>
        </w:rPr>
        <w:t xml:space="preserve">of limited career opportunities is related to city size. Many respondents compare their city to Melbourne, yet Melbourne is vastly larger in size and can therefore offer a range of career </w:t>
      </w:r>
      <w:proofErr w:type="gramStart"/>
      <w:r w:rsidR="00EC10F4" w:rsidRPr="002A0AFE">
        <w:rPr>
          <w:rFonts w:cs="Arial"/>
          <w:szCs w:val="20"/>
          <w:lang w:val="en-AU"/>
        </w:rPr>
        <w:t>choices which</w:t>
      </w:r>
      <w:proofErr w:type="gramEnd"/>
      <w:r w:rsidR="00EC10F4" w:rsidRPr="002A0AFE">
        <w:rPr>
          <w:rFonts w:cs="Arial"/>
          <w:szCs w:val="20"/>
          <w:lang w:val="en-AU"/>
        </w:rPr>
        <w:t xml:space="preserve"> are </w:t>
      </w:r>
      <w:r w:rsidRPr="002A0AFE">
        <w:rPr>
          <w:rFonts w:cs="Arial"/>
          <w:szCs w:val="20"/>
          <w:lang w:val="en-AU"/>
        </w:rPr>
        <w:t xml:space="preserve">inevitably </w:t>
      </w:r>
      <w:r w:rsidR="00EC10F4" w:rsidRPr="002A0AFE">
        <w:rPr>
          <w:rFonts w:cs="Arial"/>
          <w:szCs w:val="20"/>
          <w:lang w:val="en-AU"/>
        </w:rPr>
        <w:t xml:space="preserve">more limited in smaller </w:t>
      </w:r>
      <w:r w:rsidRPr="002A0AFE">
        <w:rPr>
          <w:rFonts w:cs="Arial"/>
          <w:szCs w:val="20"/>
          <w:lang w:val="en-AU"/>
        </w:rPr>
        <w:t>cities like Bendigo and Ballarat</w:t>
      </w:r>
      <w:r w:rsidR="00EB53D1" w:rsidRPr="002A0AFE">
        <w:rPr>
          <w:rFonts w:cs="Arial"/>
          <w:szCs w:val="20"/>
          <w:lang w:val="en-AU"/>
        </w:rPr>
        <w:t xml:space="preserve">. </w:t>
      </w:r>
    </w:p>
    <w:p w14:paraId="083EB46F" w14:textId="77777777" w:rsidR="00214968" w:rsidRDefault="00214968" w:rsidP="00214968">
      <w:pPr>
        <w:jc w:val="both"/>
        <w:rPr>
          <w:rFonts w:cs="Arial"/>
          <w:szCs w:val="20"/>
          <w:lang w:val="en-AU"/>
        </w:rPr>
      </w:pPr>
    </w:p>
    <w:p w14:paraId="689CBA19" w14:textId="77777777" w:rsidR="00214968" w:rsidRDefault="00EB53D1" w:rsidP="00214968">
      <w:pPr>
        <w:jc w:val="both"/>
        <w:rPr>
          <w:rFonts w:cs="Arial"/>
          <w:szCs w:val="20"/>
          <w:lang w:val="en-AU"/>
        </w:rPr>
      </w:pPr>
      <w:r w:rsidRPr="002A0AFE">
        <w:rPr>
          <w:rFonts w:cs="Arial"/>
          <w:szCs w:val="20"/>
          <w:lang w:val="en-AU"/>
        </w:rPr>
        <w:t xml:space="preserve">It is interesting that </w:t>
      </w:r>
      <w:proofErr w:type="gramStart"/>
      <w:r w:rsidRPr="002A0AFE">
        <w:rPr>
          <w:rFonts w:cs="Arial"/>
          <w:szCs w:val="20"/>
          <w:lang w:val="en-AU"/>
        </w:rPr>
        <w:t>many expressed</w:t>
      </w:r>
      <w:proofErr w:type="gramEnd"/>
      <w:r w:rsidRPr="002A0AFE">
        <w:rPr>
          <w:rFonts w:cs="Arial"/>
          <w:szCs w:val="20"/>
          <w:lang w:val="en-AU"/>
        </w:rPr>
        <w:t xml:space="preserve"> dissatisfaction with immutable factors like climate. High proportions reported cold weather as a disadvantage of Ballarat and hot weather conditions and lack of water as a disadvantage of Bendigo. Although the existence of such climatic conditions cannot be changed, it may be that in both centres there are </w:t>
      </w:r>
      <w:proofErr w:type="gramStart"/>
      <w:r w:rsidRPr="002A0AFE">
        <w:rPr>
          <w:rFonts w:cs="Arial"/>
          <w:szCs w:val="20"/>
          <w:lang w:val="en-AU"/>
        </w:rPr>
        <w:t>measures which</w:t>
      </w:r>
      <w:proofErr w:type="gramEnd"/>
      <w:r w:rsidRPr="002A0AFE">
        <w:rPr>
          <w:rFonts w:cs="Arial"/>
          <w:szCs w:val="20"/>
          <w:lang w:val="en-AU"/>
        </w:rPr>
        <w:t xml:space="preserve"> can be taken to make life more comfortable. This may take the form of improvements in building insulation and heating systems in Ballarat, or developing opportunities for water-based recreation in Bendigo.</w:t>
      </w:r>
    </w:p>
    <w:p w14:paraId="5F9C3EA0" w14:textId="77777777" w:rsidR="00214968" w:rsidRDefault="00214968" w:rsidP="00214968">
      <w:pPr>
        <w:jc w:val="both"/>
        <w:rPr>
          <w:rFonts w:cs="Arial"/>
          <w:szCs w:val="20"/>
          <w:lang w:val="en-AU"/>
        </w:rPr>
      </w:pPr>
    </w:p>
    <w:p w14:paraId="081B6F66" w14:textId="77777777" w:rsidR="00214968" w:rsidRDefault="007B1F7C" w:rsidP="00214968">
      <w:pPr>
        <w:jc w:val="both"/>
        <w:rPr>
          <w:rFonts w:cs="Arial"/>
          <w:b/>
          <w:sz w:val="22"/>
          <w:szCs w:val="22"/>
          <w:lang w:val="en-AU"/>
        </w:rPr>
      </w:pPr>
      <w:r w:rsidRPr="002A0AFE">
        <w:rPr>
          <w:rFonts w:cs="Arial"/>
          <w:b/>
          <w:sz w:val="22"/>
          <w:szCs w:val="22"/>
          <w:lang w:val="en-AU"/>
        </w:rPr>
        <w:t>Intention</w:t>
      </w:r>
      <w:r w:rsidR="001A5E9C" w:rsidRPr="002A0AFE">
        <w:rPr>
          <w:rFonts w:cs="Arial"/>
          <w:b/>
          <w:sz w:val="22"/>
          <w:szCs w:val="22"/>
          <w:lang w:val="en-AU"/>
        </w:rPr>
        <w:t>s</w:t>
      </w:r>
      <w:r w:rsidRPr="002A0AFE">
        <w:rPr>
          <w:rFonts w:cs="Arial"/>
          <w:b/>
          <w:sz w:val="22"/>
          <w:szCs w:val="22"/>
          <w:lang w:val="en-AU"/>
        </w:rPr>
        <w:t xml:space="preserve"> to stay or leave</w:t>
      </w:r>
    </w:p>
    <w:p w14:paraId="1F8D456B" w14:textId="77777777" w:rsidR="00214968" w:rsidRDefault="008F3483" w:rsidP="00214968">
      <w:pPr>
        <w:jc w:val="both"/>
        <w:rPr>
          <w:rFonts w:cs="Arial"/>
          <w:szCs w:val="20"/>
          <w:lang w:val="en-AU"/>
        </w:rPr>
      </w:pPr>
      <w:r w:rsidRPr="002A0AFE">
        <w:rPr>
          <w:rFonts w:cs="Arial"/>
          <w:szCs w:val="20"/>
          <w:lang w:val="en-AU"/>
        </w:rPr>
        <w:t>In both samples, most respondents intended to stay in their regional city and were generally happy with the lifestyle that their location afforded (figure 9). A relatively high proportion of Bendigo respondents (86%) indicated that they did not intend to leave the area in the near future compared to Ballarat (62%). The proportion indicating they intended to move showed very little difference between the two samples: 12 percent in Ballarat</w:t>
      </w:r>
      <w:proofErr w:type="gramStart"/>
      <w:r w:rsidRPr="002A0AFE">
        <w:rPr>
          <w:rFonts w:cs="Arial"/>
          <w:szCs w:val="20"/>
          <w:lang w:val="en-AU"/>
        </w:rPr>
        <w:t>;</w:t>
      </w:r>
      <w:proofErr w:type="gramEnd"/>
      <w:r w:rsidRPr="002A0AFE">
        <w:rPr>
          <w:rFonts w:cs="Arial"/>
          <w:szCs w:val="20"/>
          <w:lang w:val="en-AU"/>
        </w:rPr>
        <w:t xml:space="preserve"> and 14 percent in Bendigo. However, there </w:t>
      </w:r>
      <w:proofErr w:type="gramStart"/>
      <w:r w:rsidRPr="002A0AFE">
        <w:rPr>
          <w:rFonts w:cs="Arial"/>
          <w:szCs w:val="20"/>
          <w:lang w:val="en-AU"/>
        </w:rPr>
        <w:t>was</w:t>
      </w:r>
      <w:proofErr w:type="gramEnd"/>
      <w:r w:rsidRPr="002A0AFE">
        <w:rPr>
          <w:rFonts w:cs="Arial"/>
          <w:szCs w:val="20"/>
          <w:lang w:val="en-AU"/>
        </w:rPr>
        <w:t xml:space="preserve"> a large proportion (27%) of Ballarat respondents who were unsure about their future intentions. </w:t>
      </w:r>
    </w:p>
    <w:p w14:paraId="09ACD78A" w14:textId="77777777" w:rsidR="00F80B3A" w:rsidRDefault="00F80B3A" w:rsidP="00214968">
      <w:pPr>
        <w:jc w:val="both"/>
        <w:rPr>
          <w:rFonts w:cs="Arial"/>
          <w:szCs w:val="20"/>
          <w:lang w:val="en-AU"/>
        </w:rPr>
      </w:pPr>
    </w:p>
    <w:p w14:paraId="46D58F6A" w14:textId="77777777" w:rsidR="00214968" w:rsidRPr="008313EE" w:rsidRDefault="008F3483" w:rsidP="008313EE">
      <w:pPr>
        <w:jc w:val="center"/>
        <w:rPr>
          <w:rFonts w:cs="Arial"/>
          <w:b/>
          <w:szCs w:val="20"/>
          <w:lang w:val="en-AU"/>
        </w:rPr>
      </w:pPr>
      <w:r w:rsidRPr="008313EE">
        <w:rPr>
          <w:rFonts w:cs="Arial"/>
          <w:b/>
          <w:szCs w:val="20"/>
          <w:lang w:val="en-AU"/>
        </w:rPr>
        <w:t>Figure 9: Intention to stay or leave by organisation</w:t>
      </w:r>
    </w:p>
    <w:p w14:paraId="09EBBDE3" w14:textId="77777777" w:rsidR="008313EE" w:rsidRPr="008313EE" w:rsidRDefault="008313EE" w:rsidP="008313EE">
      <w:pPr>
        <w:jc w:val="center"/>
        <w:rPr>
          <w:rFonts w:cs="Arial"/>
          <w:szCs w:val="20"/>
        </w:rPr>
      </w:pPr>
      <w:r w:rsidRPr="008313EE">
        <w:rPr>
          <w:rFonts w:cs="Arial"/>
          <w:szCs w:val="20"/>
        </w:rPr>
        <w:t xml:space="preserve">Sources: </w:t>
      </w:r>
      <w:proofErr w:type="spellStart"/>
      <w:r w:rsidRPr="008313EE">
        <w:rPr>
          <w:rFonts w:cs="Arial"/>
          <w:szCs w:val="20"/>
        </w:rPr>
        <w:t>Ballarat</w:t>
      </w:r>
      <w:proofErr w:type="spellEnd"/>
      <w:r w:rsidRPr="008313EE">
        <w:rPr>
          <w:rFonts w:cs="Arial"/>
          <w:szCs w:val="20"/>
        </w:rPr>
        <w:t xml:space="preserve"> Survey Data 2016 and </w:t>
      </w:r>
      <w:proofErr w:type="spellStart"/>
      <w:r w:rsidRPr="008313EE">
        <w:rPr>
          <w:rFonts w:cs="Arial"/>
          <w:szCs w:val="20"/>
        </w:rPr>
        <w:t>Bendigo</w:t>
      </w:r>
      <w:proofErr w:type="spellEnd"/>
      <w:r w:rsidRPr="008313EE">
        <w:rPr>
          <w:rFonts w:cs="Arial"/>
          <w:szCs w:val="20"/>
        </w:rPr>
        <w:t xml:space="preserve"> Survey Data 2015</w:t>
      </w:r>
    </w:p>
    <w:p w14:paraId="33E061EA" w14:textId="77777777" w:rsidR="00214968" w:rsidRDefault="00214968" w:rsidP="00214968">
      <w:pPr>
        <w:jc w:val="both"/>
        <w:rPr>
          <w:rFonts w:cs="Arial"/>
          <w:i/>
          <w:szCs w:val="20"/>
          <w:lang w:val="en-AU"/>
        </w:rPr>
      </w:pPr>
    </w:p>
    <w:p w14:paraId="42192D8B" w14:textId="77777777" w:rsidR="00214968" w:rsidRDefault="00647E09" w:rsidP="008313EE">
      <w:pPr>
        <w:jc w:val="center"/>
        <w:rPr>
          <w:rFonts w:cs="Arial"/>
          <w:b/>
          <w:szCs w:val="20"/>
        </w:rPr>
      </w:pPr>
      <w:r w:rsidRPr="002A0AFE">
        <w:rPr>
          <w:rFonts w:cs="Arial"/>
          <w:b/>
          <w:noProof/>
          <w:szCs w:val="20"/>
          <w:lang w:val="en-US"/>
        </w:rPr>
        <w:drawing>
          <wp:inline distT="0" distB="0" distL="0" distR="0" wp14:anchorId="015CFB54" wp14:editId="672274A5">
            <wp:extent cx="4320000" cy="2514177"/>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or leave by organis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2514177"/>
                    </a:xfrm>
                    <a:prstGeom prst="rect">
                      <a:avLst/>
                    </a:prstGeom>
                  </pic:spPr>
                </pic:pic>
              </a:graphicData>
            </a:graphic>
          </wp:inline>
        </w:drawing>
      </w:r>
    </w:p>
    <w:p w14:paraId="5AF4F7AC" w14:textId="77777777" w:rsidR="00214968" w:rsidRDefault="00214968" w:rsidP="00214968">
      <w:pPr>
        <w:jc w:val="both"/>
        <w:rPr>
          <w:rFonts w:cs="Arial"/>
          <w:b/>
          <w:szCs w:val="20"/>
        </w:rPr>
      </w:pPr>
    </w:p>
    <w:p w14:paraId="02CE7AF2" w14:textId="77777777" w:rsidR="00214968" w:rsidRDefault="008F3483" w:rsidP="00214968">
      <w:pPr>
        <w:jc w:val="both"/>
        <w:rPr>
          <w:rFonts w:cs="Arial"/>
          <w:szCs w:val="20"/>
          <w:lang w:val="en-AU"/>
        </w:rPr>
      </w:pPr>
      <w:r w:rsidRPr="002A0AFE">
        <w:rPr>
          <w:rFonts w:cs="Arial"/>
          <w:szCs w:val="20"/>
          <w:lang w:val="en-AU"/>
        </w:rPr>
        <w:t>With a younger age profile than the Bendigo sample, it might be expected to see a higher level of potential mobility for the Ballarat sample, as young adults are more likely to move than older adults. In fact, cross-tabulation of the combined data samples highlights the correspondence of both “intend to leave” and “unsure”, with younger age groups (figure 10). Higher proportions “unsure” can be seen as a risk or an opportunity – while some will choose to leave, there are opportunities to encourage them to stay if they are yet to make up their mind.</w:t>
      </w:r>
    </w:p>
    <w:p w14:paraId="464F5A40" w14:textId="77777777" w:rsidR="00214968" w:rsidRPr="00525775" w:rsidRDefault="00214968" w:rsidP="00214968">
      <w:pPr>
        <w:jc w:val="both"/>
        <w:rPr>
          <w:rFonts w:cs="Arial"/>
          <w:b/>
          <w:szCs w:val="20"/>
          <w:lang w:val="en-AU"/>
        </w:rPr>
      </w:pPr>
    </w:p>
    <w:p w14:paraId="6D4615E7" w14:textId="77777777" w:rsidR="00F80B3A" w:rsidRDefault="00F80B3A">
      <w:pPr>
        <w:spacing w:after="200" w:line="276" w:lineRule="auto"/>
        <w:rPr>
          <w:rFonts w:cs="Arial"/>
          <w:b/>
          <w:szCs w:val="20"/>
          <w:lang w:val="en-AU"/>
        </w:rPr>
      </w:pPr>
      <w:r>
        <w:rPr>
          <w:rFonts w:cs="Arial"/>
          <w:b/>
          <w:szCs w:val="20"/>
          <w:lang w:val="en-AU"/>
        </w:rPr>
        <w:br w:type="page"/>
      </w:r>
    </w:p>
    <w:p w14:paraId="34C328CB" w14:textId="77777777" w:rsidR="00214968" w:rsidRPr="00525775" w:rsidRDefault="008F3483" w:rsidP="00525775">
      <w:pPr>
        <w:jc w:val="center"/>
        <w:rPr>
          <w:rFonts w:cs="Arial"/>
          <w:b/>
          <w:szCs w:val="20"/>
          <w:lang w:val="en-AU"/>
        </w:rPr>
      </w:pPr>
      <w:r w:rsidRPr="00525775">
        <w:rPr>
          <w:rFonts w:cs="Arial"/>
          <w:b/>
          <w:szCs w:val="20"/>
          <w:lang w:val="en-AU"/>
        </w:rPr>
        <w:lastRenderedPageBreak/>
        <w:t xml:space="preserve">Figure 10: </w:t>
      </w:r>
      <w:r w:rsidR="007B1F7C" w:rsidRPr="00525775">
        <w:rPr>
          <w:rFonts w:cs="Arial"/>
          <w:b/>
          <w:szCs w:val="20"/>
          <w:lang w:val="en-AU"/>
        </w:rPr>
        <w:t>Intention to stay or leave by age (combined sample)</w:t>
      </w:r>
    </w:p>
    <w:p w14:paraId="3E00C08C" w14:textId="77777777" w:rsidR="00525775" w:rsidRPr="00525775" w:rsidRDefault="00525775" w:rsidP="00525775">
      <w:pPr>
        <w:jc w:val="center"/>
        <w:rPr>
          <w:rFonts w:cs="Arial"/>
          <w:szCs w:val="20"/>
        </w:rPr>
      </w:pPr>
      <w:r w:rsidRPr="00525775">
        <w:rPr>
          <w:rFonts w:cs="Arial"/>
          <w:szCs w:val="20"/>
        </w:rPr>
        <w:t xml:space="preserve">Sources: </w:t>
      </w:r>
      <w:proofErr w:type="spellStart"/>
      <w:r w:rsidRPr="00525775">
        <w:rPr>
          <w:rFonts w:cs="Arial"/>
          <w:szCs w:val="20"/>
        </w:rPr>
        <w:t>Ballarat</w:t>
      </w:r>
      <w:proofErr w:type="spellEnd"/>
      <w:r w:rsidRPr="00525775">
        <w:rPr>
          <w:rFonts w:cs="Arial"/>
          <w:szCs w:val="20"/>
        </w:rPr>
        <w:t xml:space="preserve"> Survey Data 2016 and </w:t>
      </w:r>
      <w:proofErr w:type="spellStart"/>
      <w:r w:rsidRPr="00525775">
        <w:rPr>
          <w:rFonts w:cs="Arial"/>
          <w:szCs w:val="20"/>
        </w:rPr>
        <w:t>Bendigo</w:t>
      </w:r>
      <w:proofErr w:type="spellEnd"/>
      <w:r w:rsidRPr="00525775">
        <w:rPr>
          <w:rFonts w:cs="Arial"/>
          <w:szCs w:val="20"/>
        </w:rPr>
        <w:t xml:space="preserve"> Survey Data 2015</w:t>
      </w:r>
    </w:p>
    <w:p w14:paraId="3DE79BAB" w14:textId="77777777" w:rsidR="00214968" w:rsidRDefault="00214968" w:rsidP="00214968">
      <w:pPr>
        <w:jc w:val="both"/>
        <w:rPr>
          <w:rFonts w:cs="Arial"/>
          <w:i/>
          <w:szCs w:val="20"/>
          <w:lang w:val="en-AU"/>
        </w:rPr>
      </w:pPr>
    </w:p>
    <w:p w14:paraId="794BBCAB" w14:textId="77777777" w:rsidR="00214968" w:rsidRDefault="00647E09" w:rsidP="00525775">
      <w:pPr>
        <w:jc w:val="center"/>
        <w:rPr>
          <w:rFonts w:cs="Arial"/>
          <w:szCs w:val="20"/>
          <w:lang w:val="en-AU"/>
        </w:rPr>
      </w:pPr>
      <w:r w:rsidRPr="002A0AFE">
        <w:rPr>
          <w:rFonts w:cs="Arial"/>
          <w:noProof/>
          <w:szCs w:val="20"/>
          <w:lang w:val="en-US"/>
        </w:rPr>
        <w:drawing>
          <wp:inline distT="0" distB="0" distL="0" distR="0" wp14:anchorId="2FE1C173" wp14:editId="02C7201D">
            <wp:extent cx="4320000" cy="2442911"/>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or leave by age.png"/>
                    <pic:cNvPicPr/>
                  </pic:nvPicPr>
                  <pic:blipFill rotWithShape="1">
                    <a:blip r:embed="rId19" cstate="print">
                      <a:extLst>
                        <a:ext uri="{28A0092B-C50C-407E-A947-70E740481C1C}">
                          <a14:useLocalDpi xmlns:a14="http://schemas.microsoft.com/office/drawing/2010/main" val="0"/>
                        </a:ext>
                      </a:extLst>
                    </a:blip>
                    <a:srcRect b="6655"/>
                    <a:stretch/>
                  </pic:blipFill>
                  <pic:spPr bwMode="auto">
                    <a:xfrm>
                      <a:off x="0" y="0"/>
                      <a:ext cx="4320000" cy="2442911"/>
                    </a:xfrm>
                    <a:prstGeom prst="rect">
                      <a:avLst/>
                    </a:prstGeom>
                    <a:ln>
                      <a:noFill/>
                    </a:ln>
                    <a:extLst>
                      <a:ext uri="{53640926-AAD7-44d8-BBD7-CCE9431645EC}">
                        <a14:shadowObscured xmlns:a14="http://schemas.microsoft.com/office/drawing/2010/main"/>
                      </a:ext>
                    </a:extLst>
                  </pic:spPr>
                </pic:pic>
              </a:graphicData>
            </a:graphic>
          </wp:inline>
        </w:drawing>
      </w:r>
    </w:p>
    <w:p w14:paraId="6991EC3F" w14:textId="77777777" w:rsidR="00214968" w:rsidRDefault="00214968" w:rsidP="00214968">
      <w:pPr>
        <w:jc w:val="both"/>
        <w:rPr>
          <w:rFonts w:cs="Arial"/>
          <w:szCs w:val="20"/>
          <w:lang w:val="en-AU"/>
        </w:rPr>
      </w:pPr>
    </w:p>
    <w:p w14:paraId="1E211E1B" w14:textId="77777777" w:rsidR="008313EE" w:rsidRDefault="00647E09" w:rsidP="008313EE">
      <w:pPr>
        <w:jc w:val="both"/>
        <w:rPr>
          <w:rFonts w:cs="Arial"/>
          <w:szCs w:val="20"/>
          <w:lang w:val="en-AU"/>
        </w:rPr>
      </w:pPr>
      <w:r w:rsidRPr="002A0AFE">
        <w:rPr>
          <w:rFonts w:cs="Arial"/>
          <w:szCs w:val="20"/>
          <w:lang w:val="en-AU"/>
        </w:rPr>
        <w:t xml:space="preserve">Because of the relatively small numbers of respondents indicating an intention </w:t>
      </w:r>
      <w:r w:rsidR="008F3483" w:rsidRPr="002A0AFE">
        <w:rPr>
          <w:rFonts w:cs="Arial"/>
          <w:szCs w:val="20"/>
          <w:lang w:val="en-AU"/>
        </w:rPr>
        <w:t>to leave</w:t>
      </w:r>
      <w:r w:rsidRPr="002A0AFE">
        <w:rPr>
          <w:rFonts w:cs="Arial"/>
          <w:szCs w:val="20"/>
          <w:lang w:val="en-AU"/>
        </w:rPr>
        <w:t>,</w:t>
      </w:r>
      <w:r w:rsidR="008F3483" w:rsidRPr="002A0AFE">
        <w:rPr>
          <w:rFonts w:cs="Arial"/>
          <w:szCs w:val="20"/>
          <w:lang w:val="en-AU"/>
        </w:rPr>
        <w:t xml:space="preserve"> and </w:t>
      </w:r>
      <w:r w:rsidRPr="002A0AFE">
        <w:rPr>
          <w:rFonts w:cs="Arial"/>
          <w:szCs w:val="20"/>
          <w:lang w:val="en-AU"/>
        </w:rPr>
        <w:t xml:space="preserve">the even smaller number with </w:t>
      </w:r>
      <w:r w:rsidR="008F3483" w:rsidRPr="002A0AFE">
        <w:rPr>
          <w:rFonts w:cs="Arial"/>
          <w:szCs w:val="20"/>
          <w:lang w:val="en-AU"/>
        </w:rPr>
        <w:t>a clear view about potential destination</w:t>
      </w:r>
      <w:r w:rsidRPr="002A0AFE">
        <w:rPr>
          <w:rFonts w:cs="Arial"/>
          <w:szCs w:val="20"/>
          <w:lang w:val="en-AU"/>
        </w:rPr>
        <w:t>, an analysis of destinations was not possible at the level of individual organisations</w:t>
      </w:r>
      <w:r w:rsidR="008F3483" w:rsidRPr="002A0AFE">
        <w:rPr>
          <w:rFonts w:cs="Arial"/>
          <w:szCs w:val="20"/>
          <w:lang w:val="en-AU"/>
        </w:rPr>
        <w:t>. However, the combined Ballarat and Bendigo sample provides a total of 126 people who indicated an intended destination</w:t>
      </w:r>
      <w:r w:rsidRPr="002A0AFE">
        <w:rPr>
          <w:rFonts w:cs="Arial"/>
          <w:szCs w:val="20"/>
          <w:lang w:val="en-AU"/>
        </w:rPr>
        <w:t>:</w:t>
      </w:r>
      <w:r w:rsidR="008F3483" w:rsidRPr="002A0AFE">
        <w:rPr>
          <w:rFonts w:cs="Arial"/>
          <w:szCs w:val="20"/>
          <w:lang w:val="en-AU"/>
        </w:rPr>
        <w:t xml:space="preserve"> a large enough sample to analyse</w:t>
      </w:r>
      <w:r w:rsidRPr="002A0AFE">
        <w:rPr>
          <w:rFonts w:cs="Arial"/>
          <w:szCs w:val="20"/>
          <w:lang w:val="en-AU"/>
        </w:rPr>
        <w:t xml:space="preserve"> (figure 11)</w:t>
      </w:r>
      <w:r w:rsidR="008F3483" w:rsidRPr="002A0AFE">
        <w:rPr>
          <w:rFonts w:cs="Arial"/>
          <w:szCs w:val="20"/>
          <w:lang w:val="en-AU"/>
        </w:rPr>
        <w:t xml:space="preserve">. Metropolitan areas were the most common intended destination, accounting for 65 respondents (43%), of which 55 indicated Melbourne as their intended destination. This was followed by regional </w:t>
      </w:r>
      <w:proofErr w:type="gramStart"/>
      <w:r w:rsidR="008F3483" w:rsidRPr="002A0AFE">
        <w:rPr>
          <w:rFonts w:cs="Arial"/>
          <w:szCs w:val="20"/>
          <w:lang w:val="en-AU"/>
        </w:rPr>
        <w:t>destinations which</w:t>
      </w:r>
      <w:proofErr w:type="gramEnd"/>
      <w:r w:rsidR="008F3483" w:rsidRPr="002A0AFE">
        <w:rPr>
          <w:rFonts w:cs="Arial"/>
          <w:szCs w:val="20"/>
          <w:lang w:val="en-AU"/>
        </w:rPr>
        <w:t xml:space="preserve"> accounted for 47 respondents (31%), 36 in Victoria and 11 interstate. Overseas destinations accounted for 14 responses (9%) and the remaining 27 (18%) were unsure of their potential destination.</w:t>
      </w:r>
    </w:p>
    <w:p w14:paraId="778CB6E4" w14:textId="77777777" w:rsidR="00F80B3A" w:rsidRDefault="00F80B3A" w:rsidP="008313EE">
      <w:pPr>
        <w:jc w:val="both"/>
        <w:rPr>
          <w:rFonts w:cs="Arial"/>
          <w:szCs w:val="20"/>
          <w:lang w:val="en-AU"/>
        </w:rPr>
      </w:pPr>
    </w:p>
    <w:p w14:paraId="6C5134CC" w14:textId="77777777" w:rsidR="00214968" w:rsidRDefault="008E29E2" w:rsidP="00214968">
      <w:pPr>
        <w:jc w:val="center"/>
        <w:rPr>
          <w:rFonts w:cs="Arial"/>
          <w:b/>
          <w:szCs w:val="20"/>
          <w:lang w:val="en-AU"/>
        </w:rPr>
      </w:pPr>
      <w:r w:rsidRPr="00214968">
        <w:rPr>
          <w:rFonts w:cs="Arial"/>
          <w:b/>
          <w:szCs w:val="20"/>
          <w:lang w:val="en-AU"/>
        </w:rPr>
        <w:t>Figure 11: Inten</w:t>
      </w:r>
      <w:r w:rsidR="00525775">
        <w:rPr>
          <w:rFonts w:cs="Arial"/>
          <w:b/>
          <w:szCs w:val="20"/>
          <w:lang w:val="en-AU"/>
        </w:rPr>
        <w:t xml:space="preserve">ded destination </w:t>
      </w:r>
      <w:r w:rsidRPr="00214968">
        <w:rPr>
          <w:rFonts w:cs="Arial"/>
          <w:b/>
          <w:szCs w:val="20"/>
          <w:lang w:val="en-AU"/>
        </w:rPr>
        <w:t>(combined sample)</w:t>
      </w:r>
    </w:p>
    <w:p w14:paraId="02636C93" w14:textId="77777777" w:rsidR="00525775" w:rsidRPr="00525775" w:rsidRDefault="00525775" w:rsidP="00525775">
      <w:pPr>
        <w:jc w:val="center"/>
        <w:rPr>
          <w:rFonts w:cs="Arial"/>
          <w:szCs w:val="20"/>
        </w:rPr>
      </w:pPr>
      <w:r w:rsidRPr="00525775">
        <w:rPr>
          <w:rFonts w:cs="Arial"/>
          <w:szCs w:val="20"/>
        </w:rPr>
        <w:t xml:space="preserve">Sources: </w:t>
      </w:r>
      <w:proofErr w:type="spellStart"/>
      <w:r w:rsidRPr="00525775">
        <w:rPr>
          <w:rFonts w:cs="Arial"/>
          <w:szCs w:val="20"/>
        </w:rPr>
        <w:t>Ballarat</w:t>
      </w:r>
      <w:proofErr w:type="spellEnd"/>
      <w:r w:rsidRPr="00525775">
        <w:rPr>
          <w:rFonts w:cs="Arial"/>
          <w:szCs w:val="20"/>
        </w:rPr>
        <w:t xml:space="preserve"> Survey Data 2016 and </w:t>
      </w:r>
      <w:proofErr w:type="spellStart"/>
      <w:r w:rsidRPr="00525775">
        <w:rPr>
          <w:rFonts w:cs="Arial"/>
          <w:szCs w:val="20"/>
        </w:rPr>
        <w:t>Bendigo</w:t>
      </w:r>
      <w:proofErr w:type="spellEnd"/>
      <w:r w:rsidRPr="00525775">
        <w:rPr>
          <w:rFonts w:cs="Arial"/>
          <w:szCs w:val="20"/>
        </w:rPr>
        <w:t xml:space="preserve"> Survey Data 2015</w:t>
      </w:r>
    </w:p>
    <w:p w14:paraId="3B48FD9F" w14:textId="77777777" w:rsidR="00214968" w:rsidRDefault="00214968" w:rsidP="00214968">
      <w:pPr>
        <w:jc w:val="center"/>
        <w:rPr>
          <w:rFonts w:cs="Arial"/>
          <w:b/>
          <w:szCs w:val="20"/>
          <w:lang w:val="en-AU"/>
        </w:rPr>
      </w:pPr>
    </w:p>
    <w:p w14:paraId="7A369BC5" w14:textId="77777777" w:rsidR="00214968" w:rsidRDefault="008E29E2" w:rsidP="00525775">
      <w:pPr>
        <w:jc w:val="center"/>
        <w:rPr>
          <w:rFonts w:cs="Arial"/>
          <w:szCs w:val="20"/>
          <w:lang w:val="en-AU"/>
        </w:rPr>
      </w:pPr>
      <w:r w:rsidRPr="002A0AFE">
        <w:rPr>
          <w:rFonts w:cs="Arial"/>
          <w:noProof/>
          <w:szCs w:val="20"/>
          <w:lang w:val="en-US"/>
        </w:rPr>
        <w:drawing>
          <wp:inline distT="0" distB="0" distL="0" distR="0" wp14:anchorId="2C27A904" wp14:editId="088BC5F1">
            <wp:extent cx="3240000" cy="253313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sample - Intended destin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533135"/>
                    </a:xfrm>
                    <a:prstGeom prst="rect">
                      <a:avLst/>
                    </a:prstGeom>
                  </pic:spPr>
                </pic:pic>
              </a:graphicData>
            </a:graphic>
          </wp:inline>
        </w:drawing>
      </w:r>
    </w:p>
    <w:p w14:paraId="1C02D1B3" w14:textId="77777777" w:rsidR="00214968" w:rsidRDefault="00214968" w:rsidP="00214968">
      <w:pPr>
        <w:jc w:val="both"/>
        <w:rPr>
          <w:rFonts w:cs="Arial"/>
          <w:szCs w:val="20"/>
          <w:lang w:val="en-AU"/>
        </w:rPr>
      </w:pPr>
    </w:p>
    <w:p w14:paraId="333380B1" w14:textId="77777777" w:rsidR="00214968" w:rsidRDefault="007B1F7C" w:rsidP="00214968">
      <w:pPr>
        <w:jc w:val="both"/>
        <w:rPr>
          <w:rFonts w:cs="Arial"/>
          <w:b/>
          <w:sz w:val="22"/>
          <w:szCs w:val="22"/>
        </w:rPr>
      </w:pPr>
      <w:proofErr w:type="gramStart"/>
      <w:r w:rsidRPr="002A0AFE">
        <w:rPr>
          <w:rFonts w:cs="Arial"/>
          <w:b/>
          <w:sz w:val="22"/>
          <w:szCs w:val="22"/>
        </w:rPr>
        <w:t>Retention, attraction, or re-attraction?</w:t>
      </w:r>
      <w:proofErr w:type="gramEnd"/>
    </w:p>
    <w:p w14:paraId="59DCD6C6" w14:textId="77777777" w:rsidR="00214968" w:rsidRDefault="002F4A4A" w:rsidP="00214968">
      <w:pPr>
        <w:jc w:val="both"/>
        <w:rPr>
          <w:rFonts w:cs="Arial"/>
          <w:szCs w:val="20"/>
        </w:rPr>
      </w:pPr>
      <w:r w:rsidRPr="002A0AFE">
        <w:rPr>
          <w:rFonts w:cs="Arial"/>
          <w:szCs w:val="20"/>
        </w:rPr>
        <w:t xml:space="preserve">Given that many regional locations experience skills shortages, knowing the most effective ways to attract skilled workers to, and retain them in, a regional location is important. </w:t>
      </w:r>
      <w:r w:rsidR="00685132" w:rsidRPr="002A0AFE">
        <w:rPr>
          <w:rFonts w:cs="Arial"/>
          <w:szCs w:val="20"/>
        </w:rPr>
        <w:t xml:space="preserve">The findings of the </w:t>
      </w:r>
      <w:proofErr w:type="spellStart"/>
      <w:r w:rsidR="00685132" w:rsidRPr="002A0AFE">
        <w:rPr>
          <w:rFonts w:cs="Arial"/>
          <w:szCs w:val="20"/>
        </w:rPr>
        <w:t>Ballarat</w:t>
      </w:r>
      <w:proofErr w:type="spellEnd"/>
      <w:r w:rsidR="00685132" w:rsidRPr="002A0AFE">
        <w:rPr>
          <w:rFonts w:cs="Arial"/>
          <w:szCs w:val="20"/>
        </w:rPr>
        <w:t xml:space="preserve"> and </w:t>
      </w:r>
      <w:proofErr w:type="spellStart"/>
      <w:r w:rsidR="00685132" w:rsidRPr="002A0AFE">
        <w:rPr>
          <w:rFonts w:cs="Arial"/>
          <w:szCs w:val="20"/>
        </w:rPr>
        <w:t>Bendigo</w:t>
      </w:r>
      <w:proofErr w:type="spellEnd"/>
      <w:r w:rsidR="00685132" w:rsidRPr="002A0AFE">
        <w:rPr>
          <w:rFonts w:cs="Arial"/>
          <w:szCs w:val="20"/>
        </w:rPr>
        <w:t xml:space="preserve"> surveys contribute to our u</w:t>
      </w:r>
      <w:r w:rsidRPr="002A0AFE">
        <w:rPr>
          <w:rFonts w:cs="Arial"/>
          <w:szCs w:val="20"/>
        </w:rPr>
        <w:t xml:space="preserve">nderstanding </w:t>
      </w:r>
      <w:r w:rsidR="00685132" w:rsidRPr="002A0AFE">
        <w:rPr>
          <w:rFonts w:cs="Arial"/>
          <w:szCs w:val="20"/>
        </w:rPr>
        <w:t xml:space="preserve">of </w:t>
      </w:r>
      <w:r w:rsidRPr="002A0AFE">
        <w:rPr>
          <w:rFonts w:cs="Arial"/>
          <w:szCs w:val="20"/>
        </w:rPr>
        <w:t xml:space="preserve">the pathways and motivations of professional workers in regional </w:t>
      </w:r>
      <w:proofErr w:type="gramStart"/>
      <w:r w:rsidRPr="002A0AFE">
        <w:rPr>
          <w:rFonts w:cs="Arial"/>
          <w:szCs w:val="20"/>
        </w:rPr>
        <w:t>Victoria</w:t>
      </w:r>
      <w:r w:rsidR="00685132" w:rsidRPr="002A0AFE">
        <w:rPr>
          <w:rFonts w:cs="Arial"/>
          <w:szCs w:val="20"/>
        </w:rPr>
        <w:t xml:space="preserve"> which</w:t>
      </w:r>
      <w:proofErr w:type="gramEnd"/>
      <w:r w:rsidR="00685132" w:rsidRPr="002A0AFE">
        <w:rPr>
          <w:rFonts w:cs="Arial"/>
          <w:szCs w:val="20"/>
        </w:rPr>
        <w:t xml:space="preserve">, in turn, </w:t>
      </w:r>
      <w:r w:rsidRPr="002A0AFE">
        <w:rPr>
          <w:rFonts w:cs="Arial"/>
          <w:szCs w:val="20"/>
        </w:rPr>
        <w:t>can inform attraction and retention strategies.</w:t>
      </w:r>
    </w:p>
    <w:p w14:paraId="082846EB" w14:textId="77777777" w:rsidR="00214968" w:rsidRDefault="00214968" w:rsidP="00214968">
      <w:pPr>
        <w:jc w:val="both"/>
        <w:rPr>
          <w:rFonts w:cs="Arial"/>
          <w:szCs w:val="20"/>
        </w:rPr>
      </w:pPr>
    </w:p>
    <w:p w14:paraId="0C3568CF" w14:textId="77777777" w:rsidR="00214968" w:rsidRDefault="002F4A4A" w:rsidP="00214968">
      <w:pPr>
        <w:ind w:right="-188"/>
        <w:jc w:val="both"/>
        <w:rPr>
          <w:rFonts w:cs="Arial"/>
          <w:spacing w:val="-2"/>
          <w:szCs w:val="20"/>
        </w:rPr>
      </w:pPr>
      <w:r w:rsidRPr="002A0AFE">
        <w:rPr>
          <w:rFonts w:cs="Arial"/>
          <w:spacing w:val="-2"/>
          <w:szCs w:val="20"/>
        </w:rPr>
        <w:t xml:space="preserve">This </w:t>
      </w:r>
      <w:r w:rsidR="00685132" w:rsidRPr="002A0AFE">
        <w:rPr>
          <w:rFonts w:cs="Arial"/>
          <w:spacing w:val="-2"/>
          <w:szCs w:val="20"/>
        </w:rPr>
        <w:t xml:space="preserve">paper </w:t>
      </w:r>
      <w:r w:rsidRPr="002A0AFE">
        <w:rPr>
          <w:rFonts w:cs="Arial"/>
          <w:spacing w:val="-2"/>
          <w:szCs w:val="20"/>
        </w:rPr>
        <w:t xml:space="preserve">has </w:t>
      </w:r>
      <w:r w:rsidR="00685132" w:rsidRPr="002A0AFE">
        <w:rPr>
          <w:rFonts w:cs="Arial"/>
          <w:spacing w:val="-2"/>
          <w:szCs w:val="20"/>
        </w:rPr>
        <w:t xml:space="preserve">revealed </w:t>
      </w:r>
      <w:r w:rsidRPr="002A0AFE">
        <w:rPr>
          <w:rFonts w:cs="Arial"/>
          <w:spacing w:val="-2"/>
          <w:szCs w:val="20"/>
        </w:rPr>
        <w:t xml:space="preserve">that many of those currently working in </w:t>
      </w:r>
      <w:r w:rsidR="00825ED3" w:rsidRPr="002A0AFE">
        <w:rPr>
          <w:rFonts w:cs="Arial"/>
          <w:spacing w:val="-2"/>
          <w:szCs w:val="20"/>
        </w:rPr>
        <w:t xml:space="preserve">non-metropolitan </w:t>
      </w:r>
      <w:r w:rsidRPr="002A0AFE">
        <w:rPr>
          <w:rFonts w:cs="Arial"/>
          <w:spacing w:val="-2"/>
          <w:szCs w:val="20"/>
        </w:rPr>
        <w:t xml:space="preserve">locations have regional backgrounds. For those who </w:t>
      </w:r>
      <w:r w:rsidR="000D096C" w:rsidRPr="002A0AFE">
        <w:rPr>
          <w:rFonts w:cs="Arial"/>
          <w:spacing w:val="-2"/>
          <w:szCs w:val="20"/>
        </w:rPr>
        <w:t xml:space="preserve">had </w:t>
      </w:r>
      <w:r w:rsidRPr="002A0AFE">
        <w:rPr>
          <w:rFonts w:cs="Arial"/>
          <w:spacing w:val="-2"/>
          <w:szCs w:val="20"/>
        </w:rPr>
        <w:t xml:space="preserve">moved to </w:t>
      </w:r>
      <w:proofErr w:type="spellStart"/>
      <w:r w:rsidR="000D096C" w:rsidRPr="002A0AFE">
        <w:rPr>
          <w:rFonts w:cs="Arial"/>
          <w:spacing w:val="-2"/>
          <w:szCs w:val="20"/>
        </w:rPr>
        <w:t>Bendigo</w:t>
      </w:r>
      <w:proofErr w:type="spellEnd"/>
      <w:r w:rsidR="000D096C" w:rsidRPr="002A0AFE">
        <w:rPr>
          <w:rFonts w:cs="Arial"/>
          <w:spacing w:val="-2"/>
          <w:szCs w:val="20"/>
        </w:rPr>
        <w:t xml:space="preserve"> or </w:t>
      </w:r>
      <w:proofErr w:type="spellStart"/>
      <w:r w:rsidR="000D096C" w:rsidRPr="002A0AFE">
        <w:rPr>
          <w:rFonts w:cs="Arial"/>
          <w:spacing w:val="-2"/>
          <w:szCs w:val="20"/>
        </w:rPr>
        <w:t>Ballarat</w:t>
      </w:r>
      <w:proofErr w:type="spellEnd"/>
      <w:r w:rsidRPr="002A0AFE">
        <w:rPr>
          <w:rFonts w:cs="Arial"/>
          <w:spacing w:val="-2"/>
          <w:szCs w:val="20"/>
        </w:rPr>
        <w:t>, it was most commonly for reasons of family</w:t>
      </w:r>
      <w:r w:rsidR="000D096C" w:rsidRPr="002A0AFE">
        <w:rPr>
          <w:rFonts w:cs="Arial"/>
          <w:spacing w:val="-2"/>
          <w:szCs w:val="20"/>
        </w:rPr>
        <w:t>:</w:t>
      </w:r>
      <w:r w:rsidRPr="002A0AFE">
        <w:rPr>
          <w:rFonts w:cs="Arial"/>
          <w:spacing w:val="-2"/>
          <w:szCs w:val="20"/>
        </w:rPr>
        <w:t xml:space="preserve"> following a spouse or partner; wishing to raise children in </w:t>
      </w:r>
      <w:r w:rsidR="000D096C" w:rsidRPr="002A0AFE">
        <w:rPr>
          <w:rFonts w:cs="Arial"/>
          <w:spacing w:val="-2"/>
          <w:szCs w:val="20"/>
        </w:rPr>
        <w:t>a non-metropolitan location</w:t>
      </w:r>
      <w:r w:rsidRPr="002A0AFE">
        <w:rPr>
          <w:rFonts w:cs="Arial"/>
          <w:spacing w:val="-2"/>
          <w:szCs w:val="20"/>
        </w:rPr>
        <w:t xml:space="preserve">; or </w:t>
      </w:r>
      <w:r w:rsidR="000D096C" w:rsidRPr="002A0AFE">
        <w:rPr>
          <w:rFonts w:cs="Arial"/>
          <w:spacing w:val="-2"/>
          <w:szCs w:val="20"/>
        </w:rPr>
        <w:t xml:space="preserve">a desire to </w:t>
      </w:r>
      <w:r w:rsidRPr="002A0AFE">
        <w:rPr>
          <w:rFonts w:cs="Arial"/>
          <w:spacing w:val="-2"/>
          <w:szCs w:val="20"/>
        </w:rPr>
        <w:t>return</w:t>
      </w:r>
      <w:r w:rsidR="000D096C" w:rsidRPr="002A0AFE">
        <w:rPr>
          <w:rFonts w:cs="Arial"/>
          <w:spacing w:val="-2"/>
          <w:szCs w:val="20"/>
        </w:rPr>
        <w:t xml:space="preserve"> </w:t>
      </w:r>
      <w:r w:rsidRPr="002A0AFE">
        <w:rPr>
          <w:rFonts w:cs="Arial"/>
          <w:spacing w:val="-2"/>
          <w:szCs w:val="20"/>
        </w:rPr>
        <w:t>to the</w:t>
      </w:r>
      <w:r w:rsidR="000D096C" w:rsidRPr="002A0AFE">
        <w:rPr>
          <w:rFonts w:cs="Arial"/>
          <w:spacing w:val="-2"/>
          <w:szCs w:val="20"/>
        </w:rPr>
        <w:t>ir</w:t>
      </w:r>
      <w:r w:rsidRPr="002A0AFE">
        <w:rPr>
          <w:rFonts w:cs="Arial"/>
          <w:spacing w:val="-2"/>
          <w:szCs w:val="20"/>
        </w:rPr>
        <w:t xml:space="preserve"> region of birth. These motivations highlight the importance of having connections with a </w:t>
      </w:r>
      <w:r w:rsidRPr="002A0AFE">
        <w:rPr>
          <w:rFonts w:cs="Arial"/>
          <w:spacing w:val="-2"/>
          <w:szCs w:val="20"/>
        </w:rPr>
        <w:lastRenderedPageBreak/>
        <w:t xml:space="preserve">location through friends, family or past experience. </w:t>
      </w:r>
      <w:r w:rsidR="00EF16E0" w:rsidRPr="002A0AFE">
        <w:rPr>
          <w:rFonts w:cs="Arial"/>
          <w:spacing w:val="-2"/>
          <w:szCs w:val="20"/>
        </w:rPr>
        <w:t>This is likely to mean that</w:t>
      </w:r>
      <w:r w:rsidRPr="002A0AFE">
        <w:rPr>
          <w:rFonts w:cs="Arial"/>
          <w:spacing w:val="-2"/>
          <w:szCs w:val="20"/>
        </w:rPr>
        <w:t xml:space="preserve"> attraction strategies </w:t>
      </w:r>
      <w:r w:rsidR="00EF16E0" w:rsidRPr="002A0AFE">
        <w:rPr>
          <w:rFonts w:cs="Arial"/>
          <w:spacing w:val="-2"/>
          <w:szCs w:val="20"/>
        </w:rPr>
        <w:t xml:space="preserve">will </w:t>
      </w:r>
      <w:r w:rsidRPr="002A0AFE">
        <w:rPr>
          <w:rFonts w:cs="Arial"/>
          <w:spacing w:val="-2"/>
          <w:szCs w:val="20"/>
        </w:rPr>
        <w:t>be more effective if targeted to those who already have experience of country life.</w:t>
      </w:r>
    </w:p>
    <w:p w14:paraId="780292F4" w14:textId="77777777" w:rsidR="00214968" w:rsidRDefault="00214968" w:rsidP="00214968">
      <w:pPr>
        <w:ind w:right="-188"/>
        <w:jc w:val="both"/>
        <w:rPr>
          <w:rFonts w:cs="Arial"/>
          <w:spacing w:val="-2"/>
          <w:szCs w:val="20"/>
        </w:rPr>
      </w:pPr>
    </w:p>
    <w:p w14:paraId="15CC9EF8" w14:textId="77777777" w:rsidR="00214968" w:rsidRDefault="002F4A4A" w:rsidP="00214968">
      <w:pPr>
        <w:jc w:val="both"/>
        <w:rPr>
          <w:rFonts w:cs="Arial"/>
          <w:szCs w:val="20"/>
        </w:rPr>
      </w:pPr>
      <w:r w:rsidRPr="002A0AFE">
        <w:rPr>
          <w:rFonts w:cs="Arial"/>
          <w:szCs w:val="20"/>
        </w:rPr>
        <w:t>Economic factors are also important drivers of migration</w:t>
      </w:r>
      <w:r w:rsidR="00EF16E0" w:rsidRPr="002A0AFE">
        <w:rPr>
          <w:rFonts w:cs="Arial"/>
          <w:szCs w:val="20"/>
        </w:rPr>
        <w:t>, particularly employment</w:t>
      </w:r>
      <w:r w:rsidRPr="002A0AFE">
        <w:rPr>
          <w:rFonts w:cs="Arial"/>
          <w:szCs w:val="20"/>
        </w:rPr>
        <w:t xml:space="preserve">. </w:t>
      </w:r>
      <w:r w:rsidR="00EF16E0" w:rsidRPr="002A0AFE">
        <w:rPr>
          <w:rFonts w:cs="Arial"/>
          <w:szCs w:val="20"/>
        </w:rPr>
        <w:t xml:space="preserve">However, a </w:t>
      </w:r>
      <w:r w:rsidRPr="002A0AFE">
        <w:rPr>
          <w:rFonts w:cs="Arial"/>
          <w:szCs w:val="20"/>
        </w:rPr>
        <w:t xml:space="preserve">challenge for those working in professional roles is that the smaller job markets of regional cities (compared to metropolitan areas) makes it less likely that </w:t>
      </w:r>
      <w:proofErr w:type="gramStart"/>
      <w:r w:rsidRPr="002A0AFE">
        <w:rPr>
          <w:rFonts w:cs="Arial"/>
          <w:szCs w:val="20"/>
        </w:rPr>
        <w:t>a wide selection of alternative jobs are</w:t>
      </w:r>
      <w:proofErr w:type="gramEnd"/>
      <w:r w:rsidRPr="002A0AFE">
        <w:rPr>
          <w:rFonts w:cs="Arial"/>
          <w:szCs w:val="20"/>
        </w:rPr>
        <w:t xml:space="preserve"> available. This is </w:t>
      </w:r>
      <w:r w:rsidR="00EF16E0" w:rsidRPr="002A0AFE">
        <w:rPr>
          <w:rFonts w:cs="Arial"/>
          <w:szCs w:val="20"/>
        </w:rPr>
        <w:t xml:space="preserve">a particular </w:t>
      </w:r>
      <w:r w:rsidRPr="002A0AFE">
        <w:rPr>
          <w:rFonts w:cs="Arial"/>
          <w:szCs w:val="20"/>
        </w:rPr>
        <w:t xml:space="preserve">issue for </w:t>
      </w:r>
      <w:r w:rsidR="00EF16E0" w:rsidRPr="002A0AFE">
        <w:rPr>
          <w:rFonts w:cs="Arial"/>
          <w:szCs w:val="20"/>
        </w:rPr>
        <w:t xml:space="preserve">workers </w:t>
      </w:r>
      <w:r w:rsidRPr="002A0AFE">
        <w:rPr>
          <w:rFonts w:cs="Arial"/>
          <w:szCs w:val="20"/>
        </w:rPr>
        <w:t xml:space="preserve">at the start of their career. </w:t>
      </w:r>
      <w:r w:rsidR="00EF16E0" w:rsidRPr="002A0AFE">
        <w:rPr>
          <w:rFonts w:cs="Arial"/>
          <w:szCs w:val="20"/>
        </w:rPr>
        <w:t xml:space="preserve">This is likely to explain why </w:t>
      </w:r>
      <w:r w:rsidRPr="002A0AFE">
        <w:rPr>
          <w:rFonts w:cs="Arial"/>
          <w:szCs w:val="20"/>
        </w:rPr>
        <w:t xml:space="preserve">respondents from IBM </w:t>
      </w:r>
      <w:r w:rsidR="00EF16E0" w:rsidRPr="002A0AFE">
        <w:rPr>
          <w:rFonts w:cs="Arial"/>
          <w:szCs w:val="20"/>
        </w:rPr>
        <w:t xml:space="preserve">(with its younger age profile) </w:t>
      </w:r>
      <w:r w:rsidRPr="002A0AFE">
        <w:rPr>
          <w:rFonts w:cs="Arial"/>
          <w:szCs w:val="20"/>
        </w:rPr>
        <w:t xml:space="preserve">tended to have higher levels of uncertainty about whether they would stay in </w:t>
      </w:r>
      <w:proofErr w:type="spellStart"/>
      <w:r w:rsidRPr="002A0AFE">
        <w:rPr>
          <w:rFonts w:cs="Arial"/>
          <w:szCs w:val="20"/>
        </w:rPr>
        <w:t>Ballarat</w:t>
      </w:r>
      <w:proofErr w:type="spellEnd"/>
      <w:r w:rsidRPr="002A0AFE">
        <w:rPr>
          <w:rFonts w:cs="Arial"/>
          <w:szCs w:val="20"/>
        </w:rPr>
        <w:t xml:space="preserve">, and a greater likelihood to report the lack of employment opportunities in </w:t>
      </w:r>
      <w:proofErr w:type="spellStart"/>
      <w:r w:rsidRPr="002A0AFE">
        <w:rPr>
          <w:rFonts w:cs="Arial"/>
          <w:szCs w:val="20"/>
        </w:rPr>
        <w:t>Ballarat</w:t>
      </w:r>
      <w:proofErr w:type="spellEnd"/>
      <w:r w:rsidRPr="002A0AFE">
        <w:rPr>
          <w:rFonts w:cs="Arial"/>
          <w:szCs w:val="20"/>
        </w:rPr>
        <w:t xml:space="preserve"> as a problem. </w:t>
      </w:r>
    </w:p>
    <w:p w14:paraId="65FB3B2D" w14:textId="77777777" w:rsidR="00214968" w:rsidRDefault="00214968" w:rsidP="00214968">
      <w:pPr>
        <w:jc w:val="both"/>
        <w:rPr>
          <w:rFonts w:cs="Arial"/>
          <w:szCs w:val="20"/>
        </w:rPr>
      </w:pPr>
    </w:p>
    <w:p w14:paraId="721A1831" w14:textId="77777777" w:rsidR="00214968" w:rsidRDefault="00EF16E0" w:rsidP="00214968">
      <w:pPr>
        <w:jc w:val="both"/>
        <w:rPr>
          <w:rFonts w:cs="Arial"/>
          <w:szCs w:val="20"/>
          <w:lang w:val="en-AU"/>
        </w:rPr>
      </w:pPr>
      <w:r w:rsidRPr="002A0AFE">
        <w:rPr>
          <w:rFonts w:cs="Arial"/>
          <w:szCs w:val="20"/>
          <w:lang w:val="en-AU"/>
        </w:rPr>
        <w:t xml:space="preserve">There are limits to the range and depth of services that a city of 100,000 can provide compared to a city the size of Melbourne (4.4 million population). This will always be a challenge for Australia’s regional cities given the primacy of Australian state capitals. Nevertheless, the finding that regional cities like Ballarat and Bendigo are now large enough to provide the basis for skilled career development is a positive one. It is worth noting that in both locations, private companies like IBM and Bendigo Bank had proactively sought and helped develop training courses through partnerships with local universities. This provides a useful model for planners seeking to address specific skills shortages in regional areas. </w:t>
      </w:r>
    </w:p>
    <w:p w14:paraId="6E1F10C0" w14:textId="77777777" w:rsidR="00214968" w:rsidRDefault="00214968" w:rsidP="00214968">
      <w:pPr>
        <w:jc w:val="both"/>
        <w:rPr>
          <w:rFonts w:cs="Arial"/>
          <w:szCs w:val="20"/>
          <w:lang w:val="en-AU"/>
        </w:rPr>
      </w:pPr>
    </w:p>
    <w:p w14:paraId="38D286D1" w14:textId="77777777" w:rsidR="00214968" w:rsidRDefault="002F4A4A" w:rsidP="00214968">
      <w:pPr>
        <w:jc w:val="both"/>
        <w:rPr>
          <w:rFonts w:cs="Arial"/>
          <w:szCs w:val="20"/>
        </w:rPr>
      </w:pPr>
      <w:r w:rsidRPr="002A0AFE">
        <w:rPr>
          <w:rFonts w:cs="Arial"/>
          <w:szCs w:val="20"/>
        </w:rPr>
        <w:t xml:space="preserve">In response to </w:t>
      </w:r>
      <w:r w:rsidR="00B15D86" w:rsidRPr="002A0AFE">
        <w:rPr>
          <w:rFonts w:cs="Arial"/>
          <w:szCs w:val="20"/>
        </w:rPr>
        <w:t xml:space="preserve">the dual challenge of </w:t>
      </w:r>
      <w:r w:rsidRPr="002A0AFE">
        <w:rPr>
          <w:rFonts w:cs="Arial"/>
          <w:szCs w:val="20"/>
        </w:rPr>
        <w:t>smaller labour markets and skills</w:t>
      </w:r>
      <w:r w:rsidR="00B15D86" w:rsidRPr="002A0AFE">
        <w:rPr>
          <w:rFonts w:cs="Arial"/>
          <w:szCs w:val="20"/>
        </w:rPr>
        <w:t xml:space="preserve"> shortages</w:t>
      </w:r>
      <w:r w:rsidRPr="002A0AFE">
        <w:rPr>
          <w:rFonts w:cs="Arial"/>
          <w:szCs w:val="20"/>
        </w:rPr>
        <w:t xml:space="preserve">, local business can play an important role in ‘growing their own’ employees. Developing and maintaining close partnerships with local training providers and universities is one way of ensuring skills training is available to locals. </w:t>
      </w:r>
      <w:r w:rsidR="00B15D86" w:rsidRPr="002A0AFE">
        <w:rPr>
          <w:rFonts w:cs="Arial"/>
          <w:szCs w:val="20"/>
        </w:rPr>
        <w:t xml:space="preserve">This is a strategy used by IBM </w:t>
      </w:r>
      <w:proofErr w:type="spellStart"/>
      <w:r w:rsidR="00B15D86" w:rsidRPr="002A0AFE">
        <w:rPr>
          <w:rFonts w:cs="Arial"/>
          <w:szCs w:val="20"/>
        </w:rPr>
        <w:t>Ballarat</w:t>
      </w:r>
      <w:proofErr w:type="spellEnd"/>
      <w:r w:rsidR="00B15D86" w:rsidRPr="002A0AFE">
        <w:rPr>
          <w:rFonts w:cs="Arial"/>
          <w:szCs w:val="20"/>
        </w:rPr>
        <w:t xml:space="preserve"> and the </w:t>
      </w:r>
      <w:proofErr w:type="spellStart"/>
      <w:r w:rsidR="00B15D86" w:rsidRPr="002A0AFE">
        <w:rPr>
          <w:rFonts w:cs="Arial"/>
          <w:szCs w:val="20"/>
        </w:rPr>
        <w:t>Bendigo</w:t>
      </w:r>
      <w:proofErr w:type="spellEnd"/>
      <w:r w:rsidR="00B15D86" w:rsidRPr="002A0AFE">
        <w:rPr>
          <w:rFonts w:cs="Arial"/>
          <w:szCs w:val="20"/>
        </w:rPr>
        <w:t xml:space="preserve"> Bank. In addition, both organisations use </w:t>
      </w:r>
      <w:r w:rsidRPr="002A0AFE">
        <w:rPr>
          <w:rFonts w:cs="Arial"/>
          <w:szCs w:val="20"/>
        </w:rPr>
        <w:t xml:space="preserve">internships and scholarships, </w:t>
      </w:r>
      <w:r w:rsidR="00B15D86" w:rsidRPr="002A0AFE">
        <w:rPr>
          <w:rFonts w:cs="Arial"/>
          <w:szCs w:val="20"/>
        </w:rPr>
        <w:t xml:space="preserve">both of which </w:t>
      </w:r>
      <w:r w:rsidR="00000510" w:rsidRPr="002A0AFE">
        <w:rPr>
          <w:rFonts w:cs="Arial"/>
          <w:szCs w:val="20"/>
        </w:rPr>
        <w:t xml:space="preserve">can provide </w:t>
      </w:r>
      <w:r w:rsidRPr="002A0AFE">
        <w:rPr>
          <w:rFonts w:cs="Arial"/>
          <w:szCs w:val="20"/>
        </w:rPr>
        <w:t>career pathways for local youth. Communicating these pathways to those still at secondary school may assist in retaining young adults in the local labour force. While they may still spend some time away to gain wider work experience in their chosen career, having a regional start to their working life may be important in showing that a regional career is possible – either to develop or to return to at a later date.</w:t>
      </w:r>
    </w:p>
    <w:p w14:paraId="7F8ADD82" w14:textId="77777777" w:rsidR="00214968" w:rsidRDefault="00214968" w:rsidP="00214968">
      <w:pPr>
        <w:jc w:val="both"/>
        <w:rPr>
          <w:rFonts w:cs="Arial"/>
          <w:szCs w:val="20"/>
        </w:rPr>
      </w:pPr>
    </w:p>
    <w:p w14:paraId="0D60BF69" w14:textId="77777777" w:rsidR="00214968" w:rsidRDefault="007F28EC" w:rsidP="00214968">
      <w:pPr>
        <w:jc w:val="both"/>
        <w:rPr>
          <w:rFonts w:cs="Arial"/>
          <w:szCs w:val="20"/>
          <w:lang w:val="en-AU"/>
        </w:rPr>
      </w:pPr>
      <w:r w:rsidRPr="002A0AFE">
        <w:rPr>
          <w:rFonts w:cs="Arial"/>
          <w:szCs w:val="20"/>
          <w:lang w:val="en-AU"/>
        </w:rPr>
        <w:t xml:space="preserve">The Ballarat and Bendigo surveys provide a unique insight into the pathways and motivations of professional workers who end up living in a regional location. Based on a combined sample of more than 1000 respondents, the results clearly indicate that regional </w:t>
      </w:r>
      <w:r w:rsidR="00000510" w:rsidRPr="002A0AFE">
        <w:rPr>
          <w:rFonts w:cs="Arial"/>
          <w:szCs w:val="20"/>
          <w:lang w:val="en-AU"/>
        </w:rPr>
        <w:t xml:space="preserve">cities </w:t>
      </w:r>
      <w:r w:rsidRPr="002A0AFE">
        <w:rPr>
          <w:rFonts w:cs="Arial"/>
          <w:szCs w:val="20"/>
          <w:lang w:val="en-AU"/>
        </w:rPr>
        <w:t>can provide successful career pathways across a range of professional occupations. In addition, the advantages of a regional location, such as a more relaxed lifestyle and lower levels of congestion than metropolitan areas, leads to a high level of satisfaction as seen by the majority of respondents who do not intend to leave their regional city in the near future.</w:t>
      </w:r>
    </w:p>
    <w:p w14:paraId="539BEA4C" w14:textId="77777777" w:rsidR="00214968" w:rsidRDefault="00214968" w:rsidP="00214968">
      <w:pPr>
        <w:jc w:val="both"/>
        <w:rPr>
          <w:rFonts w:cs="Arial"/>
          <w:szCs w:val="20"/>
          <w:lang w:val="en-AU"/>
        </w:rPr>
      </w:pPr>
    </w:p>
    <w:p w14:paraId="1F784692" w14:textId="77777777" w:rsidR="00214968" w:rsidRDefault="00214968" w:rsidP="00214968">
      <w:pPr>
        <w:jc w:val="both"/>
        <w:rPr>
          <w:rFonts w:cs="Arial"/>
          <w:szCs w:val="20"/>
          <w:lang w:val="en-AU"/>
        </w:rPr>
      </w:pPr>
    </w:p>
    <w:p w14:paraId="64380429" w14:textId="77777777" w:rsidR="00214968" w:rsidRDefault="002F4A4A" w:rsidP="00214968">
      <w:pPr>
        <w:jc w:val="both"/>
        <w:rPr>
          <w:rFonts w:cs="Arial"/>
          <w:b/>
          <w:sz w:val="22"/>
          <w:szCs w:val="22"/>
        </w:rPr>
      </w:pPr>
      <w:r w:rsidRPr="002A0AFE">
        <w:rPr>
          <w:rFonts w:cs="Arial"/>
          <w:b/>
          <w:sz w:val="22"/>
          <w:szCs w:val="22"/>
        </w:rPr>
        <w:t>References</w:t>
      </w:r>
    </w:p>
    <w:p w14:paraId="540490C7" w14:textId="77777777" w:rsidR="00214968" w:rsidRDefault="001E090C" w:rsidP="00214968">
      <w:pPr>
        <w:ind w:left="720" w:hanging="720"/>
        <w:jc w:val="both"/>
        <w:rPr>
          <w:rFonts w:cs="Arial"/>
          <w:i/>
          <w:szCs w:val="20"/>
        </w:rPr>
      </w:pPr>
      <w:r w:rsidRPr="002A0AFE">
        <w:rPr>
          <w:rFonts w:cs="Arial"/>
          <w:szCs w:val="20"/>
        </w:rPr>
        <w:t xml:space="preserve">ABS (Australian Bureau of Statistics) </w:t>
      </w:r>
      <w:r w:rsidRPr="002A0AFE">
        <w:rPr>
          <w:rFonts w:cs="Arial"/>
          <w:i/>
          <w:szCs w:val="20"/>
        </w:rPr>
        <w:t xml:space="preserve">Australian Demographic Statistics, </w:t>
      </w:r>
      <w:r w:rsidRPr="002A0AFE">
        <w:rPr>
          <w:rFonts w:cs="Arial"/>
          <w:szCs w:val="20"/>
        </w:rPr>
        <w:t xml:space="preserve">cat. </w:t>
      </w:r>
      <w:proofErr w:type="gramStart"/>
      <w:r w:rsidRPr="002A0AFE">
        <w:rPr>
          <w:rFonts w:cs="Arial"/>
          <w:szCs w:val="20"/>
        </w:rPr>
        <w:t>no</w:t>
      </w:r>
      <w:proofErr w:type="gramEnd"/>
      <w:r w:rsidRPr="002A0AFE">
        <w:rPr>
          <w:rFonts w:cs="Arial"/>
          <w:szCs w:val="20"/>
        </w:rPr>
        <w:t>. 1301.0</w:t>
      </w:r>
      <w:r w:rsidR="00214968">
        <w:rPr>
          <w:rFonts w:cs="Arial"/>
          <w:szCs w:val="20"/>
        </w:rPr>
        <w:t xml:space="preserve"> (Canberra, ABS)</w:t>
      </w:r>
      <w:r w:rsidR="00214968" w:rsidRPr="002A0AFE">
        <w:rPr>
          <w:rFonts w:cs="Arial"/>
          <w:szCs w:val="20"/>
        </w:rPr>
        <w:t>.</w:t>
      </w:r>
    </w:p>
    <w:p w14:paraId="4E33141C" w14:textId="77777777" w:rsidR="00214968" w:rsidRDefault="001E090C" w:rsidP="00214968">
      <w:pPr>
        <w:ind w:left="720" w:hanging="720"/>
        <w:jc w:val="both"/>
        <w:rPr>
          <w:rFonts w:cs="Arial"/>
          <w:i/>
          <w:szCs w:val="20"/>
        </w:rPr>
      </w:pPr>
      <w:proofErr w:type="gramStart"/>
      <w:r w:rsidRPr="002A0AFE">
        <w:rPr>
          <w:rFonts w:cs="Arial"/>
          <w:szCs w:val="20"/>
        </w:rPr>
        <w:t xml:space="preserve">ABS (Australian Bureau of Statistics) </w:t>
      </w:r>
      <w:r w:rsidRPr="002A0AFE">
        <w:rPr>
          <w:rFonts w:cs="Arial"/>
          <w:i/>
          <w:szCs w:val="20"/>
        </w:rPr>
        <w:t xml:space="preserve">Regional Population Growth, </w:t>
      </w:r>
      <w:r w:rsidR="00214968">
        <w:rPr>
          <w:rFonts w:cs="Arial"/>
          <w:szCs w:val="20"/>
        </w:rPr>
        <w:t>cat.</w:t>
      </w:r>
      <w:proofErr w:type="gramEnd"/>
      <w:r w:rsidR="00214968">
        <w:rPr>
          <w:rFonts w:cs="Arial"/>
          <w:szCs w:val="20"/>
        </w:rPr>
        <w:t xml:space="preserve"> </w:t>
      </w:r>
      <w:proofErr w:type="gramStart"/>
      <w:r w:rsidR="00214968">
        <w:rPr>
          <w:rFonts w:cs="Arial"/>
          <w:szCs w:val="20"/>
        </w:rPr>
        <w:t>no</w:t>
      </w:r>
      <w:proofErr w:type="gramEnd"/>
      <w:r w:rsidR="00214968">
        <w:rPr>
          <w:rFonts w:cs="Arial"/>
          <w:szCs w:val="20"/>
        </w:rPr>
        <w:t>. 3218.0 (Canberra, ABS)</w:t>
      </w:r>
      <w:r w:rsidR="00214968" w:rsidRPr="002A0AFE">
        <w:rPr>
          <w:rFonts w:cs="Arial"/>
          <w:szCs w:val="20"/>
        </w:rPr>
        <w:t>.</w:t>
      </w:r>
    </w:p>
    <w:p w14:paraId="18974CA4" w14:textId="77777777" w:rsidR="00214968" w:rsidRDefault="001E090C" w:rsidP="00214968">
      <w:pPr>
        <w:ind w:left="720" w:hanging="720"/>
        <w:jc w:val="both"/>
        <w:rPr>
          <w:rFonts w:cs="Arial"/>
          <w:i/>
          <w:szCs w:val="20"/>
        </w:rPr>
      </w:pPr>
      <w:proofErr w:type="gramStart"/>
      <w:r w:rsidRPr="002A0AFE">
        <w:rPr>
          <w:rFonts w:cs="Arial"/>
          <w:szCs w:val="20"/>
        </w:rPr>
        <w:t xml:space="preserve">ABS (Australian Bureau of Statistics) </w:t>
      </w:r>
      <w:r w:rsidRPr="002A0AFE">
        <w:rPr>
          <w:rFonts w:cs="Arial"/>
          <w:i/>
          <w:szCs w:val="20"/>
        </w:rPr>
        <w:t xml:space="preserve">Victorian Yearbook, </w:t>
      </w:r>
      <w:r w:rsidRPr="002A0AFE">
        <w:rPr>
          <w:rFonts w:cs="Arial"/>
          <w:szCs w:val="20"/>
        </w:rPr>
        <w:t>cat.</w:t>
      </w:r>
      <w:proofErr w:type="gramEnd"/>
      <w:r w:rsidRPr="002A0AFE">
        <w:rPr>
          <w:rFonts w:cs="Arial"/>
          <w:szCs w:val="20"/>
        </w:rPr>
        <w:t xml:space="preserve"> </w:t>
      </w:r>
      <w:proofErr w:type="gramStart"/>
      <w:r w:rsidRPr="002A0AFE">
        <w:rPr>
          <w:rFonts w:cs="Arial"/>
          <w:szCs w:val="20"/>
        </w:rPr>
        <w:t>no</w:t>
      </w:r>
      <w:proofErr w:type="gramEnd"/>
      <w:r w:rsidRPr="002A0AFE">
        <w:rPr>
          <w:rFonts w:cs="Arial"/>
          <w:szCs w:val="20"/>
        </w:rPr>
        <w:t>. 1301.2</w:t>
      </w:r>
      <w:r w:rsidR="00214968">
        <w:rPr>
          <w:rFonts w:cs="Arial"/>
          <w:szCs w:val="20"/>
        </w:rPr>
        <w:t xml:space="preserve"> (Canberra, ABS)</w:t>
      </w:r>
      <w:r w:rsidRPr="002A0AFE">
        <w:rPr>
          <w:rFonts w:cs="Arial"/>
          <w:szCs w:val="20"/>
        </w:rPr>
        <w:t>.</w:t>
      </w:r>
    </w:p>
    <w:p w14:paraId="7F63FA94" w14:textId="77777777" w:rsidR="00214968" w:rsidRDefault="001E090C" w:rsidP="00214968">
      <w:pPr>
        <w:ind w:left="720" w:hanging="720"/>
        <w:jc w:val="both"/>
        <w:rPr>
          <w:rFonts w:cs="Arial"/>
          <w:szCs w:val="20"/>
        </w:rPr>
      </w:pPr>
      <w:r w:rsidRPr="002A0AFE">
        <w:rPr>
          <w:rFonts w:cs="Arial"/>
          <w:szCs w:val="20"/>
        </w:rPr>
        <w:t xml:space="preserve">DELWP (Department of Environment, Land, Water and Planning) </w:t>
      </w:r>
      <w:r w:rsidR="00214968">
        <w:rPr>
          <w:rFonts w:cs="Arial"/>
          <w:szCs w:val="20"/>
        </w:rPr>
        <w:t>(</w:t>
      </w:r>
      <w:r w:rsidRPr="002A0AFE">
        <w:rPr>
          <w:rFonts w:cs="Arial"/>
          <w:szCs w:val="20"/>
        </w:rPr>
        <w:t>2016</w:t>
      </w:r>
      <w:r w:rsidR="00214968">
        <w:rPr>
          <w:rFonts w:cs="Arial"/>
          <w:szCs w:val="20"/>
        </w:rPr>
        <w:t>)</w:t>
      </w:r>
      <w:r w:rsidRPr="002A0AFE">
        <w:rPr>
          <w:rFonts w:cs="Arial"/>
          <w:szCs w:val="20"/>
        </w:rPr>
        <w:t xml:space="preserve"> </w:t>
      </w:r>
      <w:r w:rsidRPr="002A0AFE">
        <w:rPr>
          <w:rFonts w:cs="Arial"/>
          <w:i/>
          <w:szCs w:val="20"/>
        </w:rPr>
        <w:t xml:space="preserve">A Regional Career: Migration Histories of Professionals Working in </w:t>
      </w:r>
      <w:proofErr w:type="spellStart"/>
      <w:r w:rsidRPr="002A0AFE">
        <w:rPr>
          <w:rFonts w:cs="Arial"/>
          <w:i/>
          <w:szCs w:val="20"/>
        </w:rPr>
        <w:t>Bendigo</w:t>
      </w:r>
      <w:proofErr w:type="spellEnd"/>
      <w:r w:rsidRPr="002A0AFE">
        <w:rPr>
          <w:rFonts w:cs="Arial"/>
          <w:i/>
          <w:szCs w:val="20"/>
        </w:rPr>
        <w:t>, Victoria</w:t>
      </w:r>
      <w:r w:rsidRPr="002A0AFE">
        <w:rPr>
          <w:rFonts w:cs="Arial"/>
          <w:szCs w:val="20"/>
        </w:rPr>
        <w:t>, report prepared by Fiona McKenzie</w:t>
      </w:r>
      <w:r w:rsidR="00214968">
        <w:rPr>
          <w:rFonts w:cs="Arial"/>
          <w:szCs w:val="20"/>
        </w:rPr>
        <w:t xml:space="preserve"> (Melbourne, Victorian Government).</w:t>
      </w:r>
    </w:p>
    <w:p w14:paraId="3990F926" w14:textId="77777777" w:rsidR="00214968" w:rsidRDefault="001E090C" w:rsidP="00214968">
      <w:pPr>
        <w:ind w:left="720" w:hanging="720"/>
        <w:jc w:val="both"/>
        <w:rPr>
          <w:rFonts w:cs="Arial"/>
          <w:szCs w:val="20"/>
        </w:rPr>
      </w:pPr>
      <w:r w:rsidRPr="002A0AFE">
        <w:rPr>
          <w:rFonts w:cs="Arial"/>
          <w:szCs w:val="20"/>
        </w:rPr>
        <w:t xml:space="preserve">DELWP (Department of Environment, Land, Water and Planning) </w:t>
      </w:r>
      <w:r w:rsidR="00214968">
        <w:rPr>
          <w:rFonts w:cs="Arial"/>
          <w:szCs w:val="20"/>
        </w:rPr>
        <w:t>(</w:t>
      </w:r>
      <w:r w:rsidRPr="002A0AFE">
        <w:rPr>
          <w:rFonts w:cs="Arial"/>
          <w:szCs w:val="20"/>
        </w:rPr>
        <w:t>2017</w:t>
      </w:r>
      <w:r w:rsidR="00214968">
        <w:rPr>
          <w:rFonts w:cs="Arial"/>
          <w:szCs w:val="20"/>
        </w:rPr>
        <w:t>)</w:t>
      </w:r>
      <w:r w:rsidRPr="002A0AFE">
        <w:rPr>
          <w:rFonts w:cs="Arial"/>
          <w:szCs w:val="20"/>
        </w:rPr>
        <w:t xml:space="preserve"> </w:t>
      </w:r>
      <w:r w:rsidRPr="002A0AFE">
        <w:rPr>
          <w:rFonts w:cs="Arial"/>
          <w:i/>
          <w:szCs w:val="20"/>
        </w:rPr>
        <w:t xml:space="preserve">A Regional Career: Migration Histories of Professionals Working in </w:t>
      </w:r>
      <w:proofErr w:type="spellStart"/>
      <w:r w:rsidRPr="002A0AFE">
        <w:rPr>
          <w:rFonts w:cs="Arial"/>
          <w:i/>
          <w:szCs w:val="20"/>
        </w:rPr>
        <w:t>Ballarat</w:t>
      </w:r>
      <w:proofErr w:type="spellEnd"/>
      <w:r w:rsidRPr="002A0AFE">
        <w:rPr>
          <w:rFonts w:cs="Arial"/>
          <w:i/>
          <w:szCs w:val="20"/>
        </w:rPr>
        <w:t>, Victoria</w:t>
      </w:r>
      <w:r w:rsidRPr="002A0AFE">
        <w:rPr>
          <w:rFonts w:cs="Arial"/>
          <w:szCs w:val="20"/>
        </w:rPr>
        <w:t>, report prepared by Fio</w:t>
      </w:r>
      <w:r w:rsidR="00214968">
        <w:rPr>
          <w:rFonts w:cs="Arial"/>
          <w:szCs w:val="20"/>
        </w:rPr>
        <w:t xml:space="preserve">na McKenzie and Fiona </w:t>
      </w:r>
      <w:proofErr w:type="spellStart"/>
      <w:r w:rsidR="00214968">
        <w:rPr>
          <w:rFonts w:cs="Arial"/>
          <w:szCs w:val="20"/>
        </w:rPr>
        <w:t>Koutsivos</w:t>
      </w:r>
      <w:proofErr w:type="spellEnd"/>
      <w:r w:rsidR="00214968">
        <w:rPr>
          <w:rFonts w:cs="Arial"/>
          <w:szCs w:val="20"/>
        </w:rPr>
        <w:t xml:space="preserve"> (Melbourne, Victorian Government).</w:t>
      </w:r>
    </w:p>
    <w:p w14:paraId="09B30A8A" w14:textId="77777777" w:rsidR="00214968" w:rsidRDefault="001E090C" w:rsidP="00214968">
      <w:pPr>
        <w:ind w:left="720" w:hanging="720"/>
        <w:jc w:val="both"/>
        <w:rPr>
          <w:rFonts w:cs="Arial"/>
          <w:szCs w:val="20"/>
          <w:lang w:val="en-AU"/>
        </w:rPr>
      </w:pPr>
      <w:proofErr w:type="spellStart"/>
      <w:r w:rsidRPr="002A0AFE">
        <w:rPr>
          <w:rFonts w:cs="Arial"/>
          <w:szCs w:val="20"/>
          <w:lang w:val="en-AU"/>
        </w:rPr>
        <w:t>Faggian</w:t>
      </w:r>
      <w:proofErr w:type="spellEnd"/>
      <w:r w:rsidRPr="002A0AFE">
        <w:rPr>
          <w:rFonts w:cs="Arial"/>
          <w:szCs w:val="20"/>
          <w:lang w:val="en-AU"/>
        </w:rPr>
        <w:t xml:space="preserve">, A., </w:t>
      </w:r>
      <w:proofErr w:type="spellStart"/>
      <w:r w:rsidRPr="002A0AFE">
        <w:rPr>
          <w:rFonts w:cs="Arial"/>
          <w:szCs w:val="20"/>
          <w:lang w:val="en-AU"/>
        </w:rPr>
        <w:t>Rajbhandari</w:t>
      </w:r>
      <w:proofErr w:type="spellEnd"/>
      <w:r w:rsidRPr="002A0AFE">
        <w:rPr>
          <w:rFonts w:cs="Arial"/>
          <w:szCs w:val="20"/>
          <w:lang w:val="en-AU"/>
        </w:rPr>
        <w:t xml:space="preserve">, I. and </w:t>
      </w:r>
      <w:proofErr w:type="spellStart"/>
      <w:r w:rsidRPr="002A0AFE">
        <w:rPr>
          <w:rFonts w:cs="Arial"/>
          <w:szCs w:val="20"/>
          <w:lang w:val="en-AU"/>
        </w:rPr>
        <w:t>Dotzel</w:t>
      </w:r>
      <w:proofErr w:type="spellEnd"/>
      <w:r w:rsidRPr="002A0AFE">
        <w:rPr>
          <w:rFonts w:cs="Arial"/>
          <w:szCs w:val="20"/>
          <w:lang w:val="en-AU"/>
        </w:rPr>
        <w:t xml:space="preserve">, K. </w:t>
      </w:r>
      <w:r w:rsidR="00214968">
        <w:rPr>
          <w:rFonts w:cs="Arial"/>
          <w:szCs w:val="20"/>
          <w:lang w:val="en-AU"/>
        </w:rPr>
        <w:t>(</w:t>
      </w:r>
      <w:r w:rsidRPr="002A0AFE">
        <w:rPr>
          <w:rFonts w:cs="Arial"/>
          <w:szCs w:val="20"/>
          <w:lang w:val="en-AU"/>
        </w:rPr>
        <w:t>2017</w:t>
      </w:r>
      <w:r w:rsidR="00214968">
        <w:rPr>
          <w:rFonts w:cs="Arial"/>
          <w:szCs w:val="20"/>
          <w:lang w:val="en-AU"/>
        </w:rPr>
        <w:t>)</w:t>
      </w:r>
      <w:r w:rsidRPr="002A0AFE">
        <w:rPr>
          <w:rFonts w:cs="Arial"/>
          <w:szCs w:val="20"/>
          <w:lang w:val="en-AU"/>
        </w:rPr>
        <w:t xml:space="preserve"> The interregional migration of human capital and its regional consequences: a review, </w:t>
      </w:r>
      <w:r w:rsidRPr="002A0AFE">
        <w:rPr>
          <w:rFonts w:cs="Arial"/>
          <w:i/>
          <w:iCs/>
          <w:szCs w:val="20"/>
          <w:lang w:val="en-AU"/>
        </w:rPr>
        <w:t xml:space="preserve">Regional Studies, </w:t>
      </w:r>
      <w:r w:rsidRPr="002A0AFE">
        <w:rPr>
          <w:rFonts w:cs="Arial"/>
          <w:szCs w:val="20"/>
          <w:lang w:val="en-AU"/>
        </w:rPr>
        <w:t>DOI: 10.1080/00343404.2016.1263388.</w:t>
      </w:r>
    </w:p>
    <w:p w14:paraId="34A7FA8B" w14:textId="77777777" w:rsidR="00214968" w:rsidRDefault="00506117" w:rsidP="00214968">
      <w:pPr>
        <w:ind w:left="720" w:hanging="720"/>
        <w:jc w:val="both"/>
        <w:rPr>
          <w:rFonts w:cs="Arial"/>
          <w:szCs w:val="20"/>
          <w:lang w:val="en-AU"/>
        </w:rPr>
      </w:pPr>
      <w:r w:rsidRPr="002A0AFE">
        <w:rPr>
          <w:rFonts w:cs="Arial"/>
          <w:szCs w:val="20"/>
          <w:lang w:val="en-AU"/>
        </w:rPr>
        <w:t xml:space="preserve">McKenzie, F. </w:t>
      </w:r>
      <w:r w:rsidR="00214968">
        <w:rPr>
          <w:rFonts w:cs="Arial"/>
          <w:szCs w:val="20"/>
          <w:lang w:val="en-AU"/>
        </w:rPr>
        <w:t>(</w:t>
      </w:r>
      <w:r w:rsidRPr="002A0AFE">
        <w:rPr>
          <w:rFonts w:cs="Arial"/>
          <w:szCs w:val="20"/>
          <w:lang w:val="en-AU"/>
        </w:rPr>
        <w:t>2004</w:t>
      </w:r>
      <w:r w:rsidR="00214968">
        <w:rPr>
          <w:rFonts w:cs="Arial"/>
          <w:szCs w:val="20"/>
          <w:lang w:val="en-AU"/>
        </w:rPr>
        <w:t>)</w:t>
      </w:r>
      <w:r w:rsidRPr="002A0AFE">
        <w:rPr>
          <w:rFonts w:cs="Arial"/>
          <w:szCs w:val="20"/>
          <w:lang w:val="en-AU"/>
        </w:rPr>
        <w:t xml:space="preserve"> Understanding regional skills shortages: a review of recent Australian Government policy, </w:t>
      </w:r>
      <w:r w:rsidRPr="002A0AFE">
        <w:rPr>
          <w:rFonts w:cs="Arial"/>
          <w:i/>
          <w:iCs/>
          <w:szCs w:val="20"/>
          <w:lang w:val="en-AU"/>
        </w:rPr>
        <w:t>Australasian Journal of Regional Studies</w:t>
      </w:r>
      <w:r w:rsidRPr="002A0AFE">
        <w:rPr>
          <w:rFonts w:cs="Arial"/>
          <w:szCs w:val="20"/>
          <w:lang w:val="en-AU"/>
        </w:rPr>
        <w:t xml:space="preserve">, 10(3), </w:t>
      </w:r>
      <w:r w:rsidR="00214968">
        <w:rPr>
          <w:rFonts w:cs="Arial"/>
          <w:szCs w:val="20"/>
          <w:lang w:val="en-AU"/>
        </w:rPr>
        <w:t xml:space="preserve">pp. </w:t>
      </w:r>
      <w:r w:rsidRPr="002A0AFE">
        <w:rPr>
          <w:rFonts w:cs="Arial"/>
          <w:szCs w:val="20"/>
          <w:lang w:val="en-AU"/>
        </w:rPr>
        <w:t>331-353.</w:t>
      </w:r>
    </w:p>
    <w:p w14:paraId="2B4378FE" w14:textId="77777777" w:rsidR="00214968" w:rsidRDefault="001E090C" w:rsidP="00214968">
      <w:pPr>
        <w:ind w:left="720" w:hanging="720"/>
        <w:jc w:val="both"/>
        <w:rPr>
          <w:rFonts w:cs="Arial"/>
          <w:szCs w:val="20"/>
        </w:rPr>
      </w:pPr>
      <w:r w:rsidRPr="002A0AFE">
        <w:rPr>
          <w:rFonts w:cs="Arial"/>
          <w:szCs w:val="20"/>
        </w:rPr>
        <w:t xml:space="preserve">McKenzie, F. </w:t>
      </w:r>
      <w:r w:rsidR="00214968">
        <w:rPr>
          <w:rFonts w:cs="Arial"/>
          <w:szCs w:val="20"/>
        </w:rPr>
        <w:t>(</w:t>
      </w:r>
      <w:r w:rsidRPr="002A0AFE">
        <w:rPr>
          <w:rFonts w:cs="Arial"/>
          <w:szCs w:val="20"/>
        </w:rPr>
        <w:t>2010</w:t>
      </w:r>
      <w:r w:rsidR="00214968">
        <w:rPr>
          <w:rFonts w:cs="Arial"/>
          <w:szCs w:val="20"/>
        </w:rPr>
        <w:t>)</w:t>
      </w:r>
      <w:r w:rsidRPr="002A0AFE">
        <w:rPr>
          <w:rFonts w:cs="Arial"/>
          <w:szCs w:val="20"/>
        </w:rPr>
        <w:t xml:space="preserve"> The influence of tertiary institutions on regional youth migration in Victoria, in </w:t>
      </w:r>
      <w:proofErr w:type="spellStart"/>
      <w:r w:rsidRPr="002A0AFE">
        <w:rPr>
          <w:rFonts w:cs="Arial"/>
          <w:szCs w:val="20"/>
        </w:rPr>
        <w:t>Dalziel</w:t>
      </w:r>
      <w:proofErr w:type="spellEnd"/>
      <w:r w:rsidRPr="002A0AFE">
        <w:rPr>
          <w:rFonts w:cs="Arial"/>
          <w:szCs w:val="20"/>
        </w:rPr>
        <w:t xml:space="preserve">, P. (ed.), </w:t>
      </w:r>
      <w:r w:rsidRPr="002A0AFE">
        <w:rPr>
          <w:rFonts w:cs="Arial"/>
          <w:i/>
          <w:szCs w:val="20"/>
        </w:rPr>
        <w:t>Innovation and Regions: Theory, Practice and Policy. Refereed Proceedings of the 34th Annual Conference of the Australia and New Zealand Regional Science Association International</w:t>
      </w:r>
      <w:r w:rsidRPr="002A0AFE">
        <w:rPr>
          <w:rFonts w:cs="Arial"/>
          <w:szCs w:val="20"/>
        </w:rPr>
        <w:t xml:space="preserve">, </w:t>
      </w:r>
      <w:r w:rsidRPr="002A0AFE">
        <w:rPr>
          <w:rFonts w:cs="Arial"/>
          <w:i/>
          <w:szCs w:val="20"/>
        </w:rPr>
        <w:t>7-10 December 2010</w:t>
      </w:r>
      <w:r w:rsidRPr="002A0AFE">
        <w:rPr>
          <w:rFonts w:cs="Arial"/>
          <w:szCs w:val="20"/>
        </w:rPr>
        <w:t xml:space="preserve">, </w:t>
      </w:r>
      <w:r w:rsidRPr="002A0AFE">
        <w:rPr>
          <w:rFonts w:cs="Arial"/>
          <w:i/>
          <w:szCs w:val="20"/>
        </w:rPr>
        <w:t>Melbourne</w:t>
      </w:r>
      <w:r w:rsidRPr="002A0AFE">
        <w:rPr>
          <w:rFonts w:cs="Arial"/>
          <w:szCs w:val="20"/>
        </w:rPr>
        <w:t>, AERU Research Unit, Lincoln University, New Zealand: pp. 144-160.</w:t>
      </w:r>
    </w:p>
    <w:p w14:paraId="56858196" w14:textId="77777777" w:rsidR="00214968" w:rsidRDefault="00506117" w:rsidP="00214968">
      <w:pPr>
        <w:ind w:left="720" w:hanging="720"/>
        <w:jc w:val="both"/>
        <w:rPr>
          <w:rFonts w:cs="Arial"/>
          <w:szCs w:val="20"/>
          <w:lang w:val="en-AU"/>
        </w:rPr>
      </w:pPr>
      <w:r w:rsidRPr="002A0AFE">
        <w:rPr>
          <w:rFonts w:cs="Arial"/>
          <w:szCs w:val="20"/>
          <w:lang w:val="en-AU"/>
        </w:rPr>
        <w:t xml:space="preserve">Miles, R., Marshall, C., Rolfe, J. and Noonan, S. </w:t>
      </w:r>
      <w:r w:rsidR="00214968">
        <w:rPr>
          <w:rFonts w:cs="Arial"/>
          <w:szCs w:val="20"/>
          <w:lang w:val="en-AU"/>
        </w:rPr>
        <w:t>(</w:t>
      </w:r>
      <w:r w:rsidRPr="002A0AFE">
        <w:rPr>
          <w:rFonts w:cs="Arial"/>
          <w:szCs w:val="20"/>
          <w:lang w:val="en-AU"/>
        </w:rPr>
        <w:t>2006</w:t>
      </w:r>
      <w:r w:rsidR="00214968">
        <w:rPr>
          <w:rFonts w:cs="Arial"/>
          <w:szCs w:val="20"/>
          <w:lang w:val="en-AU"/>
        </w:rPr>
        <w:t>)</w:t>
      </w:r>
      <w:r w:rsidRPr="002A0AFE">
        <w:rPr>
          <w:rFonts w:cs="Arial"/>
          <w:szCs w:val="20"/>
          <w:lang w:val="en-AU"/>
        </w:rPr>
        <w:t xml:space="preserve"> </w:t>
      </w:r>
      <w:proofErr w:type="gramStart"/>
      <w:r w:rsidRPr="002A0AFE">
        <w:rPr>
          <w:rFonts w:cs="Arial"/>
          <w:szCs w:val="20"/>
          <w:lang w:val="en-AU"/>
        </w:rPr>
        <w:t>The</w:t>
      </w:r>
      <w:proofErr w:type="gramEnd"/>
      <w:r w:rsidRPr="002A0AFE">
        <w:rPr>
          <w:rFonts w:cs="Arial"/>
          <w:szCs w:val="20"/>
          <w:lang w:val="en-AU"/>
        </w:rPr>
        <w:t xml:space="preserve"> attraction and retention of professionals to regional areas, </w:t>
      </w:r>
      <w:r w:rsidRPr="002A0AFE">
        <w:rPr>
          <w:rFonts w:cs="Arial"/>
          <w:i/>
          <w:iCs/>
          <w:szCs w:val="20"/>
          <w:lang w:val="en-AU"/>
        </w:rPr>
        <w:t xml:space="preserve">Australasian Journal of Regional Studies, </w:t>
      </w:r>
      <w:r w:rsidRPr="002A0AFE">
        <w:rPr>
          <w:rFonts w:cs="Arial"/>
          <w:szCs w:val="20"/>
          <w:lang w:val="en-AU"/>
        </w:rPr>
        <w:t>12(2)</w:t>
      </w:r>
      <w:r w:rsidR="00214968">
        <w:rPr>
          <w:rFonts w:cs="Arial"/>
          <w:szCs w:val="20"/>
          <w:lang w:val="en-AU"/>
        </w:rPr>
        <w:t>, pp.</w:t>
      </w:r>
      <w:r w:rsidRPr="002A0AFE">
        <w:rPr>
          <w:rFonts w:cs="Arial"/>
          <w:szCs w:val="20"/>
          <w:lang w:val="en-AU"/>
        </w:rPr>
        <w:t xml:space="preserve"> 129-152.</w:t>
      </w:r>
    </w:p>
    <w:p w14:paraId="5AC9451C" w14:textId="77777777" w:rsidR="00214968" w:rsidRDefault="001E090C" w:rsidP="00214968">
      <w:pPr>
        <w:ind w:left="720" w:hanging="720"/>
        <w:jc w:val="both"/>
        <w:rPr>
          <w:rFonts w:cs="Arial"/>
          <w:szCs w:val="20"/>
          <w:lang w:val="en-AU"/>
        </w:rPr>
      </w:pPr>
      <w:r w:rsidRPr="002A0AFE">
        <w:rPr>
          <w:rFonts w:cs="Arial"/>
          <w:szCs w:val="20"/>
          <w:lang w:val="en-AU"/>
        </w:rPr>
        <w:t xml:space="preserve">Stockdale, A. </w:t>
      </w:r>
      <w:r w:rsidR="00214968">
        <w:rPr>
          <w:rFonts w:cs="Arial"/>
          <w:szCs w:val="20"/>
          <w:lang w:val="en-AU"/>
        </w:rPr>
        <w:t>(</w:t>
      </w:r>
      <w:r w:rsidRPr="002A0AFE">
        <w:rPr>
          <w:rFonts w:cs="Arial"/>
          <w:szCs w:val="20"/>
          <w:lang w:val="en-AU"/>
        </w:rPr>
        <w:t>2006</w:t>
      </w:r>
      <w:r w:rsidR="00214968">
        <w:rPr>
          <w:rFonts w:cs="Arial"/>
          <w:szCs w:val="20"/>
          <w:lang w:val="en-AU"/>
        </w:rPr>
        <w:t>)</w:t>
      </w:r>
      <w:r w:rsidRPr="002A0AFE">
        <w:rPr>
          <w:rFonts w:cs="Arial"/>
          <w:szCs w:val="20"/>
          <w:lang w:val="en-AU"/>
        </w:rPr>
        <w:t xml:space="preserve"> Migration: pre-requisite for rural economic regeneration? </w:t>
      </w:r>
      <w:r w:rsidRPr="002A0AFE">
        <w:rPr>
          <w:rFonts w:cs="Arial"/>
          <w:i/>
          <w:iCs/>
          <w:szCs w:val="20"/>
          <w:lang w:val="en-AU"/>
        </w:rPr>
        <w:t>Journal of Rural Studies</w:t>
      </w:r>
      <w:r w:rsidRPr="002A0AFE">
        <w:rPr>
          <w:rFonts w:cs="Arial"/>
          <w:szCs w:val="20"/>
          <w:lang w:val="en-AU"/>
        </w:rPr>
        <w:t>, 22(3)</w:t>
      </w:r>
      <w:r w:rsidR="00214968">
        <w:rPr>
          <w:rFonts w:cs="Arial"/>
          <w:szCs w:val="20"/>
          <w:lang w:val="en-AU"/>
        </w:rPr>
        <w:t>, pp.</w:t>
      </w:r>
      <w:r w:rsidRPr="002A0AFE">
        <w:rPr>
          <w:rFonts w:cs="Arial"/>
          <w:szCs w:val="20"/>
          <w:lang w:val="en-AU"/>
        </w:rPr>
        <w:t xml:space="preserve"> 354-366.</w:t>
      </w:r>
    </w:p>
    <w:sectPr w:rsidR="00214968" w:rsidSect="002A0AFE">
      <w:headerReference w:type="default" r:id="rId21"/>
      <w:footerReference w:type="default" r:id="rId22"/>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EEE89" w14:textId="77777777" w:rsidR="002F4A4A" w:rsidRDefault="002F4A4A" w:rsidP="002F4A4A">
      <w:r>
        <w:separator/>
      </w:r>
    </w:p>
  </w:endnote>
  <w:endnote w:type="continuationSeparator" w:id="0">
    <w:p w14:paraId="282AD930" w14:textId="77777777" w:rsidR="002F4A4A" w:rsidRDefault="002F4A4A" w:rsidP="002F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334204"/>
      <w:docPartObj>
        <w:docPartGallery w:val="Page Numbers (Bottom of Page)"/>
        <w:docPartUnique/>
      </w:docPartObj>
    </w:sdtPr>
    <w:sdtEndPr>
      <w:rPr>
        <w:rFonts w:ascii="Calibri Light" w:hAnsi="Calibri Light"/>
        <w:noProof/>
      </w:rPr>
    </w:sdtEndPr>
    <w:sdtContent>
      <w:p w14:paraId="60448724" w14:textId="77777777" w:rsidR="00214968" w:rsidRDefault="008E29E2">
        <w:pPr>
          <w:pStyle w:val="Footer"/>
          <w:jc w:val="right"/>
          <w:rPr>
            <w:rFonts w:ascii="Calibri Light" w:hAnsi="Calibri Light"/>
          </w:rPr>
        </w:pPr>
        <w:r w:rsidRPr="0095216E">
          <w:rPr>
            <w:rFonts w:ascii="Calibri Light" w:hAnsi="Calibri Light"/>
          </w:rPr>
          <w:fldChar w:fldCharType="begin"/>
        </w:r>
        <w:r w:rsidRPr="0095216E">
          <w:rPr>
            <w:rFonts w:ascii="Calibri Light" w:hAnsi="Calibri Light"/>
          </w:rPr>
          <w:instrText xml:space="preserve"> PAGE   \* MERGEFORMAT </w:instrText>
        </w:r>
        <w:r w:rsidRPr="0095216E">
          <w:rPr>
            <w:rFonts w:ascii="Calibri Light" w:hAnsi="Calibri Light"/>
          </w:rPr>
          <w:fldChar w:fldCharType="separate"/>
        </w:r>
        <w:r w:rsidR="00223131">
          <w:rPr>
            <w:rFonts w:ascii="Calibri Light" w:hAnsi="Calibri Light"/>
            <w:noProof/>
          </w:rPr>
          <w:t>2</w:t>
        </w:r>
        <w:r w:rsidRPr="0095216E">
          <w:rPr>
            <w:rFonts w:ascii="Calibri Light" w:hAnsi="Calibri Light"/>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55D9A" w14:textId="77777777" w:rsidR="002F4A4A" w:rsidRDefault="002F4A4A" w:rsidP="002F4A4A">
      <w:r>
        <w:separator/>
      </w:r>
    </w:p>
  </w:footnote>
  <w:footnote w:type="continuationSeparator" w:id="0">
    <w:p w14:paraId="221C47E6" w14:textId="77777777" w:rsidR="002F4A4A" w:rsidRDefault="002F4A4A" w:rsidP="002F4A4A">
      <w:r>
        <w:continuationSeparator/>
      </w:r>
    </w:p>
  </w:footnote>
  <w:footnote w:id="1">
    <w:p w14:paraId="58DD19F6" w14:textId="77777777" w:rsidR="002F4A4A" w:rsidRPr="00F80B3A" w:rsidRDefault="002F4A4A" w:rsidP="002F4A4A">
      <w:pPr>
        <w:pStyle w:val="FootnoteText"/>
        <w:rPr>
          <w:rFonts w:cs="Arial"/>
          <w:sz w:val="18"/>
          <w:szCs w:val="18"/>
        </w:rPr>
      </w:pPr>
      <w:r w:rsidRPr="00F80B3A">
        <w:rPr>
          <w:rStyle w:val="FootnoteReference"/>
          <w:rFonts w:cs="Arial"/>
          <w:sz w:val="18"/>
          <w:szCs w:val="18"/>
        </w:rPr>
        <w:footnoteRef/>
      </w:r>
      <w:r w:rsidRPr="00F80B3A">
        <w:rPr>
          <w:rFonts w:cs="Arial"/>
          <w:sz w:val="18"/>
          <w:szCs w:val="18"/>
        </w:rPr>
        <w:t xml:space="preserve"> </w:t>
      </w:r>
      <w:r w:rsidRPr="00F80B3A">
        <w:rPr>
          <w:rFonts w:cs="Arial"/>
          <w:i/>
          <w:sz w:val="18"/>
          <w:szCs w:val="18"/>
        </w:rPr>
        <w:t xml:space="preserve">ARC Linkage Project LP </w:t>
      </w:r>
      <w:r w:rsidRPr="00F80B3A">
        <w:rPr>
          <w:rFonts w:cs="Arial"/>
          <w:bCs/>
          <w:i/>
          <w:sz w:val="18"/>
          <w:szCs w:val="18"/>
        </w:rPr>
        <w:t xml:space="preserve">LP120100212 ‘Attraction and Retention: The role of mobility in educational pathways and human capital development’, involving a partnership between the Victorian Government, University of Queensland, Graduate Careers Australia and Latrobe University </w:t>
      </w:r>
      <w:proofErr w:type="spellStart"/>
      <w:r w:rsidRPr="00F80B3A">
        <w:rPr>
          <w:rFonts w:cs="Arial"/>
          <w:bCs/>
          <w:i/>
          <w:sz w:val="18"/>
          <w:szCs w:val="18"/>
        </w:rPr>
        <w:t>Bendigo</w:t>
      </w:r>
      <w:proofErr w:type="spellEnd"/>
      <w:r w:rsidRPr="00F80B3A">
        <w:rPr>
          <w:rFonts w:cs="Arial"/>
          <w:bCs/>
          <w:i/>
          <w:sz w:val="18"/>
          <w:szCs w:val="18"/>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E1CE8" w14:textId="518814F9" w:rsidR="00AD1EF2" w:rsidRPr="006E4992" w:rsidRDefault="006E4992" w:rsidP="006E4992">
    <w:pPr>
      <w:pStyle w:val="Header"/>
      <w:tabs>
        <w:tab w:val="left" w:pos="1072"/>
      </w:tabs>
    </w:pPr>
    <w:r w:rsidRPr="006E4992">
      <w:t>SOAC 2017</w:t>
    </w:r>
    <w:r w:rsidRPr="006E4992">
      <w:tab/>
    </w:r>
    <w:r w:rsidRPr="006E4992">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1A954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5C4BB1"/>
    <w:multiLevelType w:val="hybridMultilevel"/>
    <w:tmpl w:val="172C5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740D0C"/>
    <w:multiLevelType w:val="hybridMultilevel"/>
    <w:tmpl w:val="6692491C"/>
    <w:lvl w:ilvl="0" w:tplc="03DA31A4">
      <w:start w:val="1"/>
      <w:numFmt w:val="bullet"/>
      <w:lvlText w:val="•"/>
      <w:lvlJc w:val="left"/>
      <w:pPr>
        <w:tabs>
          <w:tab w:val="num" w:pos="720"/>
        </w:tabs>
        <w:ind w:left="720" w:hanging="360"/>
      </w:pPr>
      <w:rPr>
        <w:rFonts w:ascii="Arial" w:hAnsi="Arial" w:hint="default"/>
      </w:rPr>
    </w:lvl>
    <w:lvl w:ilvl="1" w:tplc="B8ECB1CA" w:tentative="1">
      <w:start w:val="1"/>
      <w:numFmt w:val="bullet"/>
      <w:lvlText w:val="•"/>
      <w:lvlJc w:val="left"/>
      <w:pPr>
        <w:tabs>
          <w:tab w:val="num" w:pos="1440"/>
        </w:tabs>
        <w:ind w:left="1440" w:hanging="360"/>
      </w:pPr>
      <w:rPr>
        <w:rFonts w:ascii="Arial" w:hAnsi="Arial" w:hint="default"/>
      </w:rPr>
    </w:lvl>
    <w:lvl w:ilvl="2" w:tplc="1C3A3328" w:tentative="1">
      <w:start w:val="1"/>
      <w:numFmt w:val="bullet"/>
      <w:lvlText w:val="•"/>
      <w:lvlJc w:val="left"/>
      <w:pPr>
        <w:tabs>
          <w:tab w:val="num" w:pos="2160"/>
        </w:tabs>
        <w:ind w:left="2160" w:hanging="360"/>
      </w:pPr>
      <w:rPr>
        <w:rFonts w:ascii="Arial" w:hAnsi="Arial" w:hint="default"/>
      </w:rPr>
    </w:lvl>
    <w:lvl w:ilvl="3" w:tplc="FAE0303E" w:tentative="1">
      <w:start w:val="1"/>
      <w:numFmt w:val="bullet"/>
      <w:lvlText w:val="•"/>
      <w:lvlJc w:val="left"/>
      <w:pPr>
        <w:tabs>
          <w:tab w:val="num" w:pos="2880"/>
        </w:tabs>
        <w:ind w:left="2880" w:hanging="360"/>
      </w:pPr>
      <w:rPr>
        <w:rFonts w:ascii="Arial" w:hAnsi="Arial" w:hint="default"/>
      </w:rPr>
    </w:lvl>
    <w:lvl w:ilvl="4" w:tplc="36C20F12" w:tentative="1">
      <w:start w:val="1"/>
      <w:numFmt w:val="bullet"/>
      <w:lvlText w:val="•"/>
      <w:lvlJc w:val="left"/>
      <w:pPr>
        <w:tabs>
          <w:tab w:val="num" w:pos="3600"/>
        </w:tabs>
        <w:ind w:left="3600" w:hanging="360"/>
      </w:pPr>
      <w:rPr>
        <w:rFonts w:ascii="Arial" w:hAnsi="Arial" w:hint="default"/>
      </w:rPr>
    </w:lvl>
    <w:lvl w:ilvl="5" w:tplc="90B888F4" w:tentative="1">
      <w:start w:val="1"/>
      <w:numFmt w:val="bullet"/>
      <w:lvlText w:val="•"/>
      <w:lvlJc w:val="left"/>
      <w:pPr>
        <w:tabs>
          <w:tab w:val="num" w:pos="4320"/>
        </w:tabs>
        <w:ind w:left="4320" w:hanging="360"/>
      </w:pPr>
      <w:rPr>
        <w:rFonts w:ascii="Arial" w:hAnsi="Arial" w:hint="default"/>
      </w:rPr>
    </w:lvl>
    <w:lvl w:ilvl="6" w:tplc="62FCB788" w:tentative="1">
      <w:start w:val="1"/>
      <w:numFmt w:val="bullet"/>
      <w:lvlText w:val="•"/>
      <w:lvlJc w:val="left"/>
      <w:pPr>
        <w:tabs>
          <w:tab w:val="num" w:pos="5040"/>
        </w:tabs>
        <w:ind w:left="5040" w:hanging="360"/>
      </w:pPr>
      <w:rPr>
        <w:rFonts w:ascii="Arial" w:hAnsi="Arial" w:hint="default"/>
      </w:rPr>
    </w:lvl>
    <w:lvl w:ilvl="7" w:tplc="51CA3A66" w:tentative="1">
      <w:start w:val="1"/>
      <w:numFmt w:val="bullet"/>
      <w:lvlText w:val="•"/>
      <w:lvlJc w:val="left"/>
      <w:pPr>
        <w:tabs>
          <w:tab w:val="num" w:pos="5760"/>
        </w:tabs>
        <w:ind w:left="5760" w:hanging="360"/>
      </w:pPr>
      <w:rPr>
        <w:rFonts w:ascii="Arial" w:hAnsi="Arial" w:hint="default"/>
      </w:rPr>
    </w:lvl>
    <w:lvl w:ilvl="8" w:tplc="C778EC52" w:tentative="1">
      <w:start w:val="1"/>
      <w:numFmt w:val="bullet"/>
      <w:lvlText w:val="•"/>
      <w:lvlJc w:val="left"/>
      <w:pPr>
        <w:tabs>
          <w:tab w:val="num" w:pos="6480"/>
        </w:tabs>
        <w:ind w:left="6480" w:hanging="360"/>
      </w:pPr>
      <w:rPr>
        <w:rFonts w:ascii="Arial" w:hAnsi="Arial" w:hint="default"/>
      </w:rPr>
    </w:lvl>
  </w:abstractNum>
  <w:abstractNum w:abstractNumId="3">
    <w:nsid w:val="1C3B31A2"/>
    <w:multiLevelType w:val="hybridMultilevel"/>
    <w:tmpl w:val="AE986A46"/>
    <w:lvl w:ilvl="0" w:tplc="9432DE76">
      <w:start w:val="1"/>
      <w:numFmt w:val="bullet"/>
      <w:lvlText w:val="•"/>
      <w:lvlJc w:val="left"/>
      <w:pPr>
        <w:tabs>
          <w:tab w:val="num" w:pos="720"/>
        </w:tabs>
        <w:ind w:left="720" w:hanging="360"/>
      </w:pPr>
      <w:rPr>
        <w:rFonts w:ascii="Arial" w:hAnsi="Arial" w:hint="default"/>
      </w:rPr>
    </w:lvl>
    <w:lvl w:ilvl="1" w:tplc="02281026" w:tentative="1">
      <w:start w:val="1"/>
      <w:numFmt w:val="bullet"/>
      <w:lvlText w:val="•"/>
      <w:lvlJc w:val="left"/>
      <w:pPr>
        <w:tabs>
          <w:tab w:val="num" w:pos="1440"/>
        </w:tabs>
        <w:ind w:left="1440" w:hanging="360"/>
      </w:pPr>
      <w:rPr>
        <w:rFonts w:ascii="Arial" w:hAnsi="Arial" w:hint="default"/>
      </w:rPr>
    </w:lvl>
    <w:lvl w:ilvl="2" w:tplc="00BC8546" w:tentative="1">
      <w:start w:val="1"/>
      <w:numFmt w:val="bullet"/>
      <w:lvlText w:val="•"/>
      <w:lvlJc w:val="left"/>
      <w:pPr>
        <w:tabs>
          <w:tab w:val="num" w:pos="2160"/>
        </w:tabs>
        <w:ind w:left="2160" w:hanging="360"/>
      </w:pPr>
      <w:rPr>
        <w:rFonts w:ascii="Arial" w:hAnsi="Arial" w:hint="default"/>
      </w:rPr>
    </w:lvl>
    <w:lvl w:ilvl="3" w:tplc="3F9806F4" w:tentative="1">
      <w:start w:val="1"/>
      <w:numFmt w:val="bullet"/>
      <w:lvlText w:val="•"/>
      <w:lvlJc w:val="left"/>
      <w:pPr>
        <w:tabs>
          <w:tab w:val="num" w:pos="2880"/>
        </w:tabs>
        <w:ind w:left="2880" w:hanging="360"/>
      </w:pPr>
      <w:rPr>
        <w:rFonts w:ascii="Arial" w:hAnsi="Arial" w:hint="default"/>
      </w:rPr>
    </w:lvl>
    <w:lvl w:ilvl="4" w:tplc="2B6C1484" w:tentative="1">
      <w:start w:val="1"/>
      <w:numFmt w:val="bullet"/>
      <w:lvlText w:val="•"/>
      <w:lvlJc w:val="left"/>
      <w:pPr>
        <w:tabs>
          <w:tab w:val="num" w:pos="3600"/>
        </w:tabs>
        <w:ind w:left="3600" w:hanging="360"/>
      </w:pPr>
      <w:rPr>
        <w:rFonts w:ascii="Arial" w:hAnsi="Arial" w:hint="default"/>
      </w:rPr>
    </w:lvl>
    <w:lvl w:ilvl="5" w:tplc="8F5AEFA4" w:tentative="1">
      <w:start w:val="1"/>
      <w:numFmt w:val="bullet"/>
      <w:lvlText w:val="•"/>
      <w:lvlJc w:val="left"/>
      <w:pPr>
        <w:tabs>
          <w:tab w:val="num" w:pos="4320"/>
        </w:tabs>
        <w:ind w:left="4320" w:hanging="360"/>
      </w:pPr>
      <w:rPr>
        <w:rFonts w:ascii="Arial" w:hAnsi="Arial" w:hint="default"/>
      </w:rPr>
    </w:lvl>
    <w:lvl w:ilvl="6" w:tplc="1F660A3C" w:tentative="1">
      <w:start w:val="1"/>
      <w:numFmt w:val="bullet"/>
      <w:lvlText w:val="•"/>
      <w:lvlJc w:val="left"/>
      <w:pPr>
        <w:tabs>
          <w:tab w:val="num" w:pos="5040"/>
        </w:tabs>
        <w:ind w:left="5040" w:hanging="360"/>
      </w:pPr>
      <w:rPr>
        <w:rFonts w:ascii="Arial" w:hAnsi="Arial" w:hint="default"/>
      </w:rPr>
    </w:lvl>
    <w:lvl w:ilvl="7" w:tplc="E07C9216" w:tentative="1">
      <w:start w:val="1"/>
      <w:numFmt w:val="bullet"/>
      <w:lvlText w:val="•"/>
      <w:lvlJc w:val="left"/>
      <w:pPr>
        <w:tabs>
          <w:tab w:val="num" w:pos="5760"/>
        </w:tabs>
        <w:ind w:left="5760" w:hanging="360"/>
      </w:pPr>
      <w:rPr>
        <w:rFonts w:ascii="Arial" w:hAnsi="Arial" w:hint="default"/>
      </w:rPr>
    </w:lvl>
    <w:lvl w:ilvl="8" w:tplc="E8082A44" w:tentative="1">
      <w:start w:val="1"/>
      <w:numFmt w:val="bullet"/>
      <w:lvlText w:val="•"/>
      <w:lvlJc w:val="left"/>
      <w:pPr>
        <w:tabs>
          <w:tab w:val="num" w:pos="6480"/>
        </w:tabs>
        <w:ind w:left="6480" w:hanging="360"/>
      </w:pPr>
      <w:rPr>
        <w:rFonts w:ascii="Arial" w:hAnsi="Arial" w:hint="default"/>
      </w:rPr>
    </w:lvl>
  </w:abstractNum>
  <w:abstractNum w:abstractNumId="4">
    <w:nsid w:val="480E71E3"/>
    <w:multiLevelType w:val="hybridMultilevel"/>
    <w:tmpl w:val="E110C8FA"/>
    <w:lvl w:ilvl="0" w:tplc="9CC259DC">
      <w:start w:val="1"/>
      <w:numFmt w:val="bullet"/>
      <w:lvlText w:val="•"/>
      <w:lvlJc w:val="left"/>
      <w:pPr>
        <w:tabs>
          <w:tab w:val="num" w:pos="720"/>
        </w:tabs>
        <w:ind w:left="720" w:hanging="360"/>
      </w:pPr>
      <w:rPr>
        <w:rFonts w:ascii="Arial" w:hAnsi="Arial" w:hint="default"/>
      </w:rPr>
    </w:lvl>
    <w:lvl w:ilvl="1" w:tplc="E752EBA2" w:tentative="1">
      <w:start w:val="1"/>
      <w:numFmt w:val="bullet"/>
      <w:lvlText w:val="•"/>
      <w:lvlJc w:val="left"/>
      <w:pPr>
        <w:tabs>
          <w:tab w:val="num" w:pos="1440"/>
        </w:tabs>
        <w:ind w:left="1440" w:hanging="360"/>
      </w:pPr>
      <w:rPr>
        <w:rFonts w:ascii="Arial" w:hAnsi="Arial" w:hint="default"/>
      </w:rPr>
    </w:lvl>
    <w:lvl w:ilvl="2" w:tplc="59AC9CFC" w:tentative="1">
      <w:start w:val="1"/>
      <w:numFmt w:val="bullet"/>
      <w:lvlText w:val="•"/>
      <w:lvlJc w:val="left"/>
      <w:pPr>
        <w:tabs>
          <w:tab w:val="num" w:pos="2160"/>
        </w:tabs>
        <w:ind w:left="2160" w:hanging="360"/>
      </w:pPr>
      <w:rPr>
        <w:rFonts w:ascii="Arial" w:hAnsi="Arial" w:hint="default"/>
      </w:rPr>
    </w:lvl>
    <w:lvl w:ilvl="3" w:tplc="01BCE2B8" w:tentative="1">
      <w:start w:val="1"/>
      <w:numFmt w:val="bullet"/>
      <w:lvlText w:val="•"/>
      <w:lvlJc w:val="left"/>
      <w:pPr>
        <w:tabs>
          <w:tab w:val="num" w:pos="2880"/>
        </w:tabs>
        <w:ind w:left="2880" w:hanging="360"/>
      </w:pPr>
      <w:rPr>
        <w:rFonts w:ascii="Arial" w:hAnsi="Arial" w:hint="default"/>
      </w:rPr>
    </w:lvl>
    <w:lvl w:ilvl="4" w:tplc="607CE996" w:tentative="1">
      <w:start w:val="1"/>
      <w:numFmt w:val="bullet"/>
      <w:lvlText w:val="•"/>
      <w:lvlJc w:val="left"/>
      <w:pPr>
        <w:tabs>
          <w:tab w:val="num" w:pos="3600"/>
        </w:tabs>
        <w:ind w:left="3600" w:hanging="360"/>
      </w:pPr>
      <w:rPr>
        <w:rFonts w:ascii="Arial" w:hAnsi="Arial" w:hint="default"/>
      </w:rPr>
    </w:lvl>
    <w:lvl w:ilvl="5" w:tplc="AAB6A172" w:tentative="1">
      <w:start w:val="1"/>
      <w:numFmt w:val="bullet"/>
      <w:lvlText w:val="•"/>
      <w:lvlJc w:val="left"/>
      <w:pPr>
        <w:tabs>
          <w:tab w:val="num" w:pos="4320"/>
        </w:tabs>
        <w:ind w:left="4320" w:hanging="360"/>
      </w:pPr>
      <w:rPr>
        <w:rFonts w:ascii="Arial" w:hAnsi="Arial" w:hint="default"/>
      </w:rPr>
    </w:lvl>
    <w:lvl w:ilvl="6" w:tplc="180CDD88" w:tentative="1">
      <w:start w:val="1"/>
      <w:numFmt w:val="bullet"/>
      <w:lvlText w:val="•"/>
      <w:lvlJc w:val="left"/>
      <w:pPr>
        <w:tabs>
          <w:tab w:val="num" w:pos="5040"/>
        </w:tabs>
        <w:ind w:left="5040" w:hanging="360"/>
      </w:pPr>
      <w:rPr>
        <w:rFonts w:ascii="Arial" w:hAnsi="Arial" w:hint="default"/>
      </w:rPr>
    </w:lvl>
    <w:lvl w:ilvl="7" w:tplc="4582F02E" w:tentative="1">
      <w:start w:val="1"/>
      <w:numFmt w:val="bullet"/>
      <w:lvlText w:val="•"/>
      <w:lvlJc w:val="left"/>
      <w:pPr>
        <w:tabs>
          <w:tab w:val="num" w:pos="5760"/>
        </w:tabs>
        <w:ind w:left="5760" w:hanging="360"/>
      </w:pPr>
      <w:rPr>
        <w:rFonts w:ascii="Arial" w:hAnsi="Arial" w:hint="default"/>
      </w:rPr>
    </w:lvl>
    <w:lvl w:ilvl="8" w:tplc="D40A3908" w:tentative="1">
      <w:start w:val="1"/>
      <w:numFmt w:val="bullet"/>
      <w:lvlText w:val="•"/>
      <w:lvlJc w:val="left"/>
      <w:pPr>
        <w:tabs>
          <w:tab w:val="num" w:pos="6480"/>
        </w:tabs>
        <w:ind w:left="6480" w:hanging="360"/>
      </w:pPr>
      <w:rPr>
        <w:rFonts w:ascii="Arial" w:hAnsi="Arial" w:hint="default"/>
      </w:rPr>
    </w:lvl>
  </w:abstractNum>
  <w:abstractNum w:abstractNumId="5">
    <w:nsid w:val="519809B3"/>
    <w:multiLevelType w:val="hybridMultilevel"/>
    <w:tmpl w:val="6EB813E4"/>
    <w:lvl w:ilvl="0" w:tplc="5BF438BA">
      <w:start w:val="1"/>
      <w:numFmt w:val="bullet"/>
      <w:lvlText w:val="•"/>
      <w:lvlJc w:val="left"/>
      <w:pPr>
        <w:tabs>
          <w:tab w:val="num" w:pos="720"/>
        </w:tabs>
        <w:ind w:left="720" w:hanging="360"/>
      </w:pPr>
      <w:rPr>
        <w:rFonts w:ascii="Arial" w:hAnsi="Arial" w:hint="default"/>
      </w:rPr>
    </w:lvl>
    <w:lvl w:ilvl="1" w:tplc="A0508BC6" w:tentative="1">
      <w:start w:val="1"/>
      <w:numFmt w:val="bullet"/>
      <w:lvlText w:val="•"/>
      <w:lvlJc w:val="left"/>
      <w:pPr>
        <w:tabs>
          <w:tab w:val="num" w:pos="1440"/>
        </w:tabs>
        <w:ind w:left="1440" w:hanging="360"/>
      </w:pPr>
      <w:rPr>
        <w:rFonts w:ascii="Arial" w:hAnsi="Arial" w:hint="default"/>
      </w:rPr>
    </w:lvl>
    <w:lvl w:ilvl="2" w:tplc="BC2450C0" w:tentative="1">
      <w:start w:val="1"/>
      <w:numFmt w:val="bullet"/>
      <w:lvlText w:val="•"/>
      <w:lvlJc w:val="left"/>
      <w:pPr>
        <w:tabs>
          <w:tab w:val="num" w:pos="2160"/>
        </w:tabs>
        <w:ind w:left="2160" w:hanging="360"/>
      </w:pPr>
      <w:rPr>
        <w:rFonts w:ascii="Arial" w:hAnsi="Arial" w:hint="default"/>
      </w:rPr>
    </w:lvl>
    <w:lvl w:ilvl="3" w:tplc="666A8C52" w:tentative="1">
      <w:start w:val="1"/>
      <w:numFmt w:val="bullet"/>
      <w:lvlText w:val="•"/>
      <w:lvlJc w:val="left"/>
      <w:pPr>
        <w:tabs>
          <w:tab w:val="num" w:pos="2880"/>
        </w:tabs>
        <w:ind w:left="2880" w:hanging="360"/>
      </w:pPr>
      <w:rPr>
        <w:rFonts w:ascii="Arial" w:hAnsi="Arial" w:hint="default"/>
      </w:rPr>
    </w:lvl>
    <w:lvl w:ilvl="4" w:tplc="9C1A2C12" w:tentative="1">
      <w:start w:val="1"/>
      <w:numFmt w:val="bullet"/>
      <w:lvlText w:val="•"/>
      <w:lvlJc w:val="left"/>
      <w:pPr>
        <w:tabs>
          <w:tab w:val="num" w:pos="3600"/>
        </w:tabs>
        <w:ind w:left="3600" w:hanging="360"/>
      </w:pPr>
      <w:rPr>
        <w:rFonts w:ascii="Arial" w:hAnsi="Arial" w:hint="default"/>
      </w:rPr>
    </w:lvl>
    <w:lvl w:ilvl="5" w:tplc="03064086" w:tentative="1">
      <w:start w:val="1"/>
      <w:numFmt w:val="bullet"/>
      <w:lvlText w:val="•"/>
      <w:lvlJc w:val="left"/>
      <w:pPr>
        <w:tabs>
          <w:tab w:val="num" w:pos="4320"/>
        </w:tabs>
        <w:ind w:left="4320" w:hanging="360"/>
      </w:pPr>
      <w:rPr>
        <w:rFonts w:ascii="Arial" w:hAnsi="Arial" w:hint="default"/>
      </w:rPr>
    </w:lvl>
    <w:lvl w:ilvl="6" w:tplc="BE1CCFC8" w:tentative="1">
      <w:start w:val="1"/>
      <w:numFmt w:val="bullet"/>
      <w:lvlText w:val="•"/>
      <w:lvlJc w:val="left"/>
      <w:pPr>
        <w:tabs>
          <w:tab w:val="num" w:pos="5040"/>
        </w:tabs>
        <w:ind w:left="5040" w:hanging="360"/>
      </w:pPr>
      <w:rPr>
        <w:rFonts w:ascii="Arial" w:hAnsi="Arial" w:hint="default"/>
      </w:rPr>
    </w:lvl>
    <w:lvl w:ilvl="7" w:tplc="BBE6DFCA" w:tentative="1">
      <w:start w:val="1"/>
      <w:numFmt w:val="bullet"/>
      <w:lvlText w:val="•"/>
      <w:lvlJc w:val="left"/>
      <w:pPr>
        <w:tabs>
          <w:tab w:val="num" w:pos="5760"/>
        </w:tabs>
        <w:ind w:left="5760" w:hanging="360"/>
      </w:pPr>
      <w:rPr>
        <w:rFonts w:ascii="Arial" w:hAnsi="Arial" w:hint="default"/>
      </w:rPr>
    </w:lvl>
    <w:lvl w:ilvl="8" w:tplc="E3A49F62" w:tentative="1">
      <w:start w:val="1"/>
      <w:numFmt w:val="bullet"/>
      <w:lvlText w:val="•"/>
      <w:lvlJc w:val="left"/>
      <w:pPr>
        <w:tabs>
          <w:tab w:val="num" w:pos="6480"/>
        </w:tabs>
        <w:ind w:left="6480" w:hanging="360"/>
      </w:pPr>
      <w:rPr>
        <w:rFonts w:ascii="Arial" w:hAnsi="Arial" w:hint="default"/>
      </w:rPr>
    </w:lvl>
  </w:abstractNum>
  <w:abstractNum w:abstractNumId="6">
    <w:nsid w:val="59B53923"/>
    <w:multiLevelType w:val="hybridMultilevel"/>
    <w:tmpl w:val="5FEA1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6DB2558"/>
    <w:multiLevelType w:val="hybridMultilevel"/>
    <w:tmpl w:val="C25CD3D4"/>
    <w:lvl w:ilvl="0" w:tplc="EA1017DA">
      <w:start w:val="1"/>
      <w:numFmt w:val="bullet"/>
      <w:lvlText w:val="•"/>
      <w:lvlJc w:val="left"/>
      <w:pPr>
        <w:tabs>
          <w:tab w:val="num" w:pos="720"/>
        </w:tabs>
        <w:ind w:left="720" w:hanging="360"/>
      </w:pPr>
      <w:rPr>
        <w:rFonts w:ascii="Arial" w:hAnsi="Arial" w:hint="default"/>
      </w:rPr>
    </w:lvl>
    <w:lvl w:ilvl="1" w:tplc="7060A770" w:tentative="1">
      <w:start w:val="1"/>
      <w:numFmt w:val="bullet"/>
      <w:lvlText w:val="•"/>
      <w:lvlJc w:val="left"/>
      <w:pPr>
        <w:tabs>
          <w:tab w:val="num" w:pos="1440"/>
        </w:tabs>
        <w:ind w:left="1440" w:hanging="360"/>
      </w:pPr>
      <w:rPr>
        <w:rFonts w:ascii="Arial" w:hAnsi="Arial" w:hint="default"/>
      </w:rPr>
    </w:lvl>
    <w:lvl w:ilvl="2" w:tplc="09ECF110" w:tentative="1">
      <w:start w:val="1"/>
      <w:numFmt w:val="bullet"/>
      <w:lvlText w:val="•"/>
      <w:lvlJc w:val="left"/>
      <w:pPr>
        <w:tabs>
          <w:tab w:val="num" w:pos="2160"/>
        </w:tabs>
        <w:ind w:left="2160" w:hanging="360"/>
      </w:pPr>
      <w:rPr>
        <w:rFonts w:ascii="Arial" w:hAnsi="Arial" w:hint="default"/>
      </w:rPr>
    </w:lvl>
    <w:lvl w:ilvl="3" w:tplc="AAFABBAC" w:tentative="1">
      <w:start w:val="1"/>
      <w:numFmt w:val="bullet"/>
      <w:lvlText w:val="•"/>
      <w:lvlJc w:val="left"/>
      <w:pPr>
        <w:tabs>
          <w:tab w:val="num" w:pos="2880"/>
        </w:tabs>
        <w:ind w:left="2880" w:hanging="360"/>
      </w:pPr>
      <w:rPr>
        <w:rFonts w:ascii="Arial" w:hAnsi="Arial" w:hint="default"/>
      </w:rPr>
    </w:lvl>
    <w:lvl w:ilvl="4" w:tplc="4CC0BE22" w:tentative="1">
      <w:start w:val="1"/>
      <w:numFmt w:val="bullet"/>
      <w:lvlText w:val="•"/>
      <w:lvlJc w:val="left"/>
      <w:pPr>
        <w:tabs>
          <w:tab w:val="num" w:pos="3600"/>
        </w:tabs>
        <w:ind w:left="3600" w:hanging="360"/>
      </w:pPr>
      <w:rPr>
        <w:rFonts w:ascii="Arial" w:hAnsi="Arial" w:hint="default"/>
      </w:rPr>
    </w:lvl>
    <w:lvl w:ilvl="5" w:tplc="C19CEFA0" w:tentative="1">
      <w:start w:val="1"/>
      <w:numFmt w:val="bullet"/>
      <w:lvlText w:val="•"/>
      <w:lvlJc w:val="left"/>
      <w:pPr>
        <w:tabs>
          <w:tab w:val="num" w:pos="4320"/>
        </w:tabs>
        <w:ind w:left="4320" w:hanging="360"/>
      </w:pPr>
      <w:rPr>
        <w:rFonts w:ascii="Arial" w:hAnsi="Arial" w:hint="default"/>
      </w:rPr>
    </w:lvl>
    <w:lvl w:ilvl="6" w:tplc="65CA8FDE" w:tentative="1">
      <w:start w:val="1"/>
      <w:numFmt w:val="bullet"/>
      <w:lvlText w:val="•"/>
      <w:lvlJc w:val="left"/>
      <w:pPr>
        <w:tabs>
          <w:tab w:val="num" w:pos="5040"/>
        </w:tabs>
        <w:ind w:left="5040" w:hanging="360"/>
      </w:pPr>
      <w:rPr>
        <w:rFonts w:ascii="Arial" w:hAnsi="Arial" w:hint="default"/>
      </w:rPr>
    </w:lvl>
    <w:lvl w:ilvl="7" w:tplc="9B6A9D3E" w:tentative="1">
      <w:start w:val="1"/>
      <w:numFmt w:val="bullet"/>
      <w:lvlText w:val="•"/>
      <w:lvlJc w:val="left"/>
      <w:pPr>
        <w:tabs>
          <w:tab w:val="num" w:pos="5760"/>
        </w:tabs>
        <w:ind w:left="5760" w:hanging="360"/>
      </w:pPr>
      <w:rPr>
        <w:rFonts w:ascii="Arial" w:hAnsi="Arial" w:hint="default"/>
      </w:rPr>
    </w:lvl>
    <w:lvl w:ilvl="8" w:tplc="DD2432E8" w:tentative="1">
      <w:start w:val="1"/>
      <w:numFmt w:val="bullet"/>
      <w:lvlText w:val="•"/>
      <w:lvlJc w:val="left"/>
      <w:pPr>
        <w:tabs>
          <w:tab w:val="num" w:pos="6480"/>
        </w:tabs>
        <w:ind w:left="6480" w:hanging="360"/>
      </w:pPr>
      <w:rPr>
        <w:rFonts w:ascii="Arial" w:hAnsi="Arial" w:hint="default"/>
      </w:rPr>
    </w:lvl>
  </w:abstractNum>
  <w:abstractNum w:abstractNumId="8">
    <w:nsid w:val="7C6D3E5D"/>
    <w:multiLevelType w:val="hybridMultilevel"/>
    <w:tmpl w:val="6F0ECE84"/>
    <w:lvl w:ilvl="0" w:tplc="17B85736">
      <w:start w:val="1"/>
      <w:numFmt w:val="bullet"/>
      <w:lvlText w:val="•"/>
      <w:lvlJc w:val="left"/>
      <w:pPr>
        <w:tabs>
          <w:tab w:val="num" w:pos="720"/>
        </w:tabs>
        <w:ind w:left="720" w:hanging="360"/>
      </w:pPr>
      <w:rPr>
        <w:rFonts w:ascii="Arial" w:hAnsi="Arial" w:hint="default"/>
      </w:rPr>
    </w:lvl>
    <w:lvl w:ilvl="1" w:tplc="17D6B1EC" w:tentative="1">
      <w:start w:val="1"/>
      <w:numFmt w:val="bullet"/>
      <w:lvlText w:val="•"/>
      <w:lvlJc w:val="left"/>
      <w:pPr>
        <w:tabs>
          <w:tab w:val="num" w:pos="1440"/>
        </w:tabs>
        <w:ind w:left="1440" w:hanging="360"/>
      </w:pPr>
      <w:rPr>
        <w:rFonts w:ascii="Arial" w:hAnsi="Arial" w:hint="default"/>
      </w:rPr>
    </w:lvl>
    <w:lvl w:ilvl="2" w:tplc="576C587E" w:tentative="1">
      <w:start w:val="1"/>
      <w:numFmt w:val="bullet"/>
      <w:lvlText w:val="•"/>
      <w:lvlJc w:val="left"/>
      <w:pPr>
        <w:tabs>
          <w:tab w:val="num" w:pos="2160"/>
        </w:tabs>
        <w:ind w:left="2160" w:hanging="360"/>
      </w:pPr>
      <w:rPr>
        <w:rFonts w:ascii="Arial" w:hAnsi="Arial" w:hint="default"/>
      </w:rPr>
    </w:lvl>
    <w:lvl w:ilvl="3" w:tplc="6F86C0AE" w:tentative="1">
      <w:start w:val="1"/>
      <w:numFmt w:val="bullet"/>
      <w:lvlText w:val="•"/>
      <w:lvlJc w:val="left"/>
      <w:pPr>
        <w:tabs>
          <w:tab w:val="num" w:pos="2880"/>
        </w:tabs>
        <w:ind w:left="2880" w:hanging="360"/>
      </w:pPr>
      <w:rPr>
        <w:rFonts w:ascii="Arial" w:hAnsi="Arial" w:hint="default"/>
      </w:rPr>
    </w:lvl>
    <w:lvl w:ilvl="4" w:tplc="8D08155C" w:tentative="1">
      <w:start w:val="1"/>
      <w:numFmt w:val="bullet"/>
      <w:lvlText w:val="•"/>
      <w:lvlJc w:val="left"/>
      <w:pPr>
        <w:tabs>
          <w:tab w:val="num" w:pos="3600"/>
        </w:tabs>
        <w:ind w:left="3600" w:hanging="360"/>
      </w:pPr>
      <w:rPr>
        <w:rFonts w:ascii="Arial" w:hAnsi="Arial" w:hint="default"/>
      </w:rPr>
    </w:lvl>
    <w:lvl w:ilvl="5" w:tplc="D90C55B0" w:tentative="1">
      <w:start w:val="1"/>
      <w:numFmt w:val="bullet"/>
      <w:lvlText w:val="•"/>
      <w:lvlJc w:val="left"/>
      <w:pPr>
        <w:tabs>
          <w:tab w:val="num" w:pos="4320"/>
        </w:tabs>
        <w:ind w:left="4320" w:hanging="360"/>
      </w:pPr>
      <w:rPr>
        <w:rFonts w:ascii="Arial" w:hAnsi="Arial" w:hint="default"/>
      </w:rPr>
    </w:lvl>
    <w:lvl w:ilvl="6" w:tplc="BFB2B4C6" w:tentative="1">
      <w:start w:val="1"/>
      <w:numFmt w:val="bullet"/>
      <w:lvlText w:val="•"/>
      <w:lvlJc w:val="left"/>
      <w:pPr>
        <w:tabs>
          <w:tab w:val="num" w:pos="5040"/>
        </w:tabs>
        <w:ind w:left="5040" w:hanging="360"/>
      </w:pPr>
      <w:rPr>
        <w:rFonts w:ascii="Arial" w:hAnsi="Arial" w:hint="default"/>
      </w:rPr>
    </w:lvl>
    <w:lvl w:ilvl="7" w:tplc="87F2B216" w:tentative="1">
      <w:start w:val="1"/>
      <w:numFmt w:val="bullet"/>
      <w:lvlText w:val="•"/>
      <w:lvlJc w:val="left"/>
      <w:pPr>
        <w:tabs>
          <w:tab w:val="num" w:pos="5760"/>
        </w:tabs>
        <w:ind w:left="5760" w:hanging="360"/>
      </w:pPr>
      <w:rPr>
        <w:rFonts w:ascii="Arial" w:hAnsi="Arial" w:hint="default"/>
      </w:rPr>
    </w:lvl>
    <w:lvl w:ilvl="8" w:tplc="A8DCA282" w:tentative="1">
      <w:start w:val="1"/>
      <w:numFmt w:val="bullet"/>
      <w:lvlText w:val="•"/>
      <w:lvlJc w:val="left"/>
      <w:pPr>
        <w:tabs>
          <w:tab w:val="num" w:pos="6480"/>
        </w:tabs>
        <w:ind w:left="6480" w:hanging="360"/>
      </w:pPr>
      <w:rPr>
        <w:rFonts w:ascii="Arial" w:hAnsi="Arial" w:hint="default"/>
      </w:rPr>
    </w:lvl>
  </w:abstractNum>
  <w:abstractNum w:abstractNumId="9">
    <w:nsid w:val="7CCD23DB"/>
    <w:multiLevelType w:val="hybridMultilevel"/>
    <w:tmpl w:val="65F4A4AA"/>
    <w:lvl w:ilvl="0" w:tplc="B9BE3980">
      <w:start w:val="1"/>
      <w:numFmt w:val="bullet"/>
      <w:lvlText w:val="•"/>
      <w:lvlJc w:val="left"/>
      <w:pPr>
        <w:tabs>
          <w:tab w:val="num" w:pos="720"/>
        </w:tabs>
        <w:ind w:left="720" w:hanging="360"/>
      </w:pPr>
      <w:rPr>
        <w:rFonts w:ascii="Arial" w:hAnsi="Arial" w:hint="default"/>
      </w:rPr>
    </w:lvl>
    <w:lvl w:ilvl="1" w:tplc="5E902AB2" w:tentative="1">
      <w:start w:val="1"/>
      <w:numFmt w:val="bullet"/>
      <w:lvlText w:val="•"/>
      <w:lvlJc w:val="left"/>
      <w:pPr>
        <w:tabs>
          <w:tab w:val="num" w:pos="1440"/>
        </w:tabs>
        <w:ind w:left="1440" w:hanging="360"/>
      </w:pPr>
      <w:rPr>
        <w:rFonts w:ascii="Arial" w:hAnsi="Arial" w:hint="default"/>
      </w:rPr>
    </w:lvl>
    <w:lvl w:ilvl="2" w:tplc="469A08B8" w:tentative="1">
      <w:start w:val="1"/>
      <w:numFmt w:val="bullet"/>
      <w:lvlText w:val="•"/>
      <w:lvlJc w:val="left"/>
      <w:pPr>
        <w:tabs>
          <w:tab w:val="num" w:pos="2160"/>
        </w:tabs>
        <w:ind w:left="2160" w:hanging="360"/>
      </w:pPr>
      <w:rPr>
        <w:rFonts w:ascii="Arial" w:hAnsi="Arial" w:hint="default"/>
      </w:rPr>
    </w:lvl>
    <w:lvl w:ilvl="3" w:tplc="EB6C3AD6" w:tentative="1">
      <w:start w:val="1"/>
      <w:numFmt w:val="bullet"/>
      <w:lvlText w:val="•"/>
      <w:lvlJc w:val="left"/>
      <w:pPr>
        <w:tabs>
          <w:tab w:val="num" w:pos="2880"/>
        </w:tabs>
        <w:ind w:left="2880" w:hanging="360"/>
      </w:pPr>
      <w:rPr>
        <w:rFonts w:ascii="Arial" w:hAnsi="Arial" w:hint="default"/>
      </w:rPr>
    </w:lvl>
    <w:lvl w:ilvl="4" w:tplc="9CC0E7F6" w:tentative="1">
      <w:start w:val="1"/>
      <w:numFmt w:val="bullet"/>
      <w:lvlText w:val="•"/>
      <w:lvlJc w:val="left"/>
      <w:pPr>
        <w:tabs>
          <w:tab w:val="num" w:pos="3600"/>
        </w:tabs>
        <w:ind w:left="3600" w:hanging="360"/>
      </w:pPr>
      <w:rPr>
        <w:rFonts w:ascii="Arial" w:hAnsi="Arial" w:hint="default"/>
      </w:rPr>
    </w:lvl>
    <w:lvl w:ilvl="5" w:tplc="714A9E0E" w:tentative="1">
      <w:start w:val="1"/>
      <w:numFmt w:val="bullet"/>
      <w:lvlText w:val="•"/>
      <w:lvlJc w:val="left"/>
      <w:pPr>
        <w:tabs>
          <w:tab w:val="num" w:pos="4320"/>
        </w:tabs>
        <w:ind w:left="4320" w:hanging="360"/>
      </w:pPr>
      <w:rPr>
        <w:rFonts w:ascii="Arial" w:hAnsi="Arial" w:hint="default"/>
      </w:rPr>
    </w:lvl>
    <w:lvl w:ilvl="6" w:tplc="E56A9102" w:tentative="1">
      <w:start w:val="1"/>
      <w:numFmt w:val="bullet"/>
      <w:lvlText w:val="•"/>
      <w:lvlJc w:val="left"/>
      <w:pPr>
        <w:tabs>
          <w:tab w:val="num" w:pos="5040"/>
        </w:tabs>
        <w:ind w:left="5040" w:hanging="360"/>
      </w:pPr>
      <w:rPr>
        <w:rFonts w:ascii="Arial" w:hAnsi="Arial" w:hint="default"/>
      </w:rPr>
    </w:lvl>
    <w:lvl w:ilvl="7" w:tplc="81587590" w:tentative="1">
      <w:start w:val="1"/>
      <w:numFmt w:val="bullet"/>
      <w:lvlText w:val="•"/>
      <w:lvlJc w:val="left"/>
      <w:pPr>
        <w:tabs>
          <w:tab w:val="num" w:pos="5760"/>
        </w:tabs>
        <w:ind w:left="5760" w:hanging="360"/>
      </w:pPr>
      <w:rPr>
        <w:rFonts w:ascii="Arial" w:hAnsi="Arial" w:hint="default"/>
      </w:rPr>
    </w:lvl>
    <w:lvl w:ilvl="8" w:tplc="807CA62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7"/>
  </w:num>
  <w:num w:numId="4">
    <w:abstractNumId w:val="5"/>
  </w:num>
  <w:num w:numId="5">
    <w:abstractNumId w:val="9"/>
  </w:num>
  <w:num w:numId="6">
    <w:abstractNumId w:val="4"/>
  </w:num>
  <w:num w:numId="7">
    <w:abstractNumId w:val="2"/>
  </w:num>
  <w:num w:numId="8">
    <w:abstractNumId w:val="8"/>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194"/>
    <w:rsid w:val="00000510"/>
    <w:rsid w:val="000335BF"/>
    <w:rsid w:val="000C590E"/>
    <w:rsid w:val="000D096C"/>
    <w:rsid w:val="000F1524"/>
    <w:rsid w:val="000F63FF"/>
    <w:rsid w:val="0015189B"/>
    <w:rsid w:val="001A1EF7"/>
    <w:rsid w:val="001A5E9C"/>
    <w:rsid w:val="001E090C"/>
    <w:rsid w:val="001E1873"/>
    <w:rsid w:val="00214968"/>
    <w:rsid w:val="00223131"/>
    <w:rsid w:val="002A0AFE"/>
    <w:rsid w:val="002B53AB"/>
    <w:rsid w:val="002E09E2"/>
    <w:rsid w:val="002F4A4A"/>
    <w:rsid w:val="00331641"/>
    <w:rsid w:val="00366E04"/>
    <w:rsid w:val="00383664"/>
    <w:rsid w:val="00452683"/>
    <w:rsid w:val="004C0DEF"/>
    <w:rsid w:val="004E6EAF"/>
    <w:rsid w:val="00506117"/>
    <w:rsid w:val="00513849"/>
    <w:rsid w:val="00525775"/>
    <w:rsid w:val="005F7B46"/>
    <w:rsid w:val="006151AF"/>
    <w:rsid w:val="00633DEB"/>
    <w:rsid w:val="00647E09"/>
    <w:rsid w:val="006747D2"/>
    <w:rsid w:val="00685132"/>
    <w:rsid w:val="006B08C0"/>
    <w:rsid w:val="006B12FD"/>
    <w:rsid w:val="006B2958"/>
    <w:rsid w:val="006E4618"/>
    <w:rsid w:val="006E4992"/>
    <w:rsid w:val="007070FD"/>
    <w:rsid w:val="00722E82"/>
    <w:rsid w:val="00780973"/>
    <w:rsid w:val="00780D20"/>
    <w:rsid w:val="007B1F7C"/>
    <w:rsid w:val="007B4C6A"/>
    <w:rsid w:val="007B7180"/>
    <w:rsid w:val="007D7AA6"/>
    <w:rsid w:val="007E1A77"/>
    <w:rsid w:val="007F28EC"/>
    <w:rsid w:val="007F6E46"/>
    <w:rsid w:val="007F7194"/>
    <w:rsid w:val="0080060A"/>
    <w:rsid w:val="00806BB1"/>
    <w:rsid w:val="00810CDB"/>
    <w:rsid w:val="00825ED3"/>
    <w:rsid w:val="0082744D"/>
    <w:rsid w:val="008313EE"/>
    <w:rsid w:val="00834F3E"/>
    <w:rsid w:val="00855DB2"/>
    <w:rsid w:val="0088768F"/>
    <w:rsid w:val="008C46FB"/>
    <w:rsid w:val="008E29E2"/>
    <w:rsid w:val="008F3483"/>
    <w:rsid w:val="009157A0"/>
    <w:rsid w:val="0091699B"/>
    <w:rsid w:val="0095216E"/>
    <w:rsid w:val="00981543"/>
    <w:rsid w:val="009F006E"/>
    <w:rsid w:val="00A44A11"/>
    <w:rsid w:val="00A51F76"/>
    <w:rsid w:val="00A65EE2"/>
    <w:rsid w:val="00A756CE"/>
    <w:rsid w:val="00AB68B9"/>
    <w:rsid w:val="00AD1EF2"/>
    <w:rsid w:val="00AD6A64"/>
    <w:rsid w:val="00B15D86"/>
    <w:rsid w:val="00B90725"/>
    <w:rsid w:val="00BB6D9F"/>
    <w:rsid w:val="00C20F67"/>
    <w:rsid w:val="00CF4C12"/>
    <w:rsid w:val="00D062AC"/>
    <w:rsid w:val="00DC1559"/>
    <w:rsid w:val="00E1133E"/>
    <w:rsid w:val="00E20617"/>
    <w:rsid w:val="00E61331"/>
    <w:rsid w:val="00EB53D1"/>
    <w:rsid w:val="00EC0CF7"/>
    <w:rsid w:val="00EC10F4"/>
    <w:rsid w:val="00EF16E0"/>
    <w:rsid w:val="00F5688C"/>
    <w:rsid w:val="00F733CE"/>
    <w:rsid w:val="00F80B3A"/>
    <w:rsid w:val="00FB0BA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FC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194"/>
    <w:pPr>
      <w:spacing w:after="0" w:line="240" w:lineRule="auto"/>
    </w:pPr>
    <w:rPr>
      <w:rFonts w:ascii="Arial" w:eastAsia="Times New Roman" w:hAnsi="Arial" w:cs="Times New Roman"/>
      <w:sz w:val="20"/>
      <w:szCs w:val="24"/>
      <w:lang w:val="en-GB"/>
    </w:rPr>
  </w:style>
  <w:style w:type="paragraph" w:styleId="Heading1">
    <w:name w:val="heading 1"/>
    <w:basedOn w:val="Normal"/>
    <w:next w:val="Normal"/>
    <w:link w:val="Heading1Char"/>
    <w:uiPriority w:val="9"/>
    <w:qFormat/>
    <w:rsid w:val="00A51F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1F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iPriority w:val="9"/>
    <w:semiHidden/>
    <w:unhideWhenUsed/>
    <w:qFormat/>
    <w:rsid w:val="002F4A4A"/>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F76"/>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A51F76"/>
    <w:rPr>
      <w:rFonts w:asciiTheme="majorHAnsi" w:eastAsiaTheme="majorEastAsia" w:hAnsiTheme="majorHAnsi" w:cstheme="majorBidi"/>
      <w:b/>
      <w:bCs/>
      <w:color w:val="4F81BD" w:themeColor="accent1"/>
      <w:sz w:val="26"/>
      <w:szCs w:val="26"/>
      <w:lang w:val="en-GB"/>
    </w:rPr>
  </w:style>
  <w:style w:type="character" w:customStyle="1" w:styleId="Heading8Char">
    <w:name w:val="Heading 8 Char"/>
    <w:basedOn w:val="DefaultParagraphFont"/>
    <w:link w:val="Heading8"/>
    <w:uiPriority w:val="9"/>
    <w:semiHidden/>
    <w:rsid w:val="002F4A4A"/>
    <w:rPr>
      <w:rFonts w:asciiTheme="majorHAnsi" w:eastAsiaTheme="majorEastAsia" w:hAnsiTheme="majorHAnsi" w:cstheme="majorBidi"/>
      <w:color w:val="404040" w:themeColor="text1" w:themeTint="BF"/>
      <w:sz w:val="20"/>
      <w:szCs w:val="20"/>
      <w:lang w:val="en-GB"/>
    </w:rPr>
  </w:style>
  <w:style w:type="paragraph" w:styleId="BalloonText">
    <w:name w:val="Balloon Text"/>
    <w:basedOn w:val="Normal"/>
    <w:link w:val="BalloonTextChar"/>
    <w:uiPriority w:val="99"/>
    <w:semiHidden/>
    <w:unhideWhenUsed/>
    <w:rsid w:val="002F4A4A"/>
    <w:rPr>
      <w:rFonts w:ascii="Tahoma" w:hAnsi="Tahoma" w:cs="Tahoma"/>
      <w:sz w:val="16"/>
      <w:szCs w:val="16"/>
    </w:rPr>
  </w:style>
  <w:style w:type="character" w:customStyle="1" w:styleId="BalloonTextChar">
    <w:name w:val="Balloon Text Char"/>
    <w:basedOn w:val="DefaultParagraphFont"/>
    <w:link w:val="BalloonText"/>
    <w:uiPriority w:val="99"/>
    <w:semiHidden/>
    <w:rsid w:val="002F4A4A"/>
    <w:rPr>
      <w:rFonts w:ascii="Tahoma" w:eastAsia="Times New Roman" w:hAnsi="Tahoma" w:cs="Tahoma"/>
      <w:sz w:val="16"/>
      <w:szCs w:val="16"/>
      <w:lang w:val="en-GB"/>
    </w:rPr>
  </w:style>
  <w:style w:type="paragraph" w:styleId="FootnoteText">
    <w:name w:val="footnote text"/>
    <w:basedOn w:val="Normal"/>
    <w:link w:val="FootnoteTextChar"/>
    <w:uiPriority w:val="99"/>
    <w:semiHidden/>
    <w:unhideWhenUsed/>
    <w:rsid w:val="002F4A4A"/>
    <w:rPr>
      <w:szCs w:val="20"/>
    </w:rPr>
  </w:style>
  <w:style w:type="character" w:customStyle="1" w:styleId="FootnoteTextChar">
    <w:name w:val="Footnote Text Char"/>
    <w:basedOn w:val="DefaultParagraphFont"/>
    <w:link w:val="FootnoteText"/>
    <w:uiPriority w:val="99"/>
    <w:semiHidden/>
    <w:rsid w:val="002F4A4A"/>
    <w:rPr>
      <w:rFonts w:ascii="Arial" w:eastAsia="Times New Roman" w:hAnsi="Arial" w:cs="Times New Roman"/>
      <w:sz w:val="20"/>
      <w:szCs w:val="20"/>
      <w:lang w:val="en-GB"/>
    </w:rPr>
  </w:style>
  <w:style w:type="character" w:styleId="FootnoteReference">
    <w:name w:val="footnote reference"/>
    <w:basedOn w:val="DefaultParagraphFont"/>
    <w:rsid w:val="002F4A4A"/>
    <w:rPr>
      <w:color w:val="000000" w:themeColor="text1"/>
      <w:vertAlign w:val="superscript"/>
    </w:rPr>
  </w:style>
  <w:style w:type="paragraph" w:styleId="ListBullet">
    <w:name w:val="List Bullet"/>
    <w:basedOn w:val="Normal"/>
    <w:uiPriority w:val="99"/>
    <w:unhideWhenUsed/>
    <w:rsid w:val="00383664"/>
    <w:pPr>
      <w:numPr>
        <w:numId w:val="2"/>
      </w:numPr>
      <w:contextualSpacing/>
    </w:pPr>
  </w:style>
  <w:style w:type="paragraph" w:styleId="ListParagraph">
    <w:name w:val="List Paragraph"/>
    <w:basedOn w:val="Normal"/>
    <w:uiPriority w:val="34"/>
    <w:qFormat/>
    <w:rsid w:val="007B1F7C"/>
    <w:pPr>
      <w:ind w:left="720"/>
      <w:contextualSpacing/>
    </w:pPr>
  </w:style>
  <w:style w:type="paragraph" w:styleId="Header">
    <w:name w:val="header"/>
    <w:basedOn w:val="Normal"/>
    <w:link w:val="HeaderChar"/>
    <w:uiPriority w:val="99"/>
    <w:unhideWhenUsed/>
    <w:rsid w:val="008E29E2"/>
    <w:pPr>
      <w:tabs>
        <w:tab w:val="center" w:pos="4513"/>
        <w:tab w:val="right" w:pos="9026"/>
      </w:tabs>
    </w:pPr>
  </w:style>
  <w:style w:type="character" w:customStyle="1" w:styleId="HeaderChar">
    <w:name w:val="Header Char"/>
    <w:basedOn w:val="DefaultParagraphFont"/>
    <w:link w:val="Header"/>
    <w:uiPriority w:val="99"/>
    <w:rsid w:val="008E29E2"/>
    <w:rPr>
      <w:rFonts w:ascii="Arial" w:eastAsia="Times New Roman" w:hAnsi="Arial" w:cs="Times New Roman"/>
      <w:sz w:val="20"/>
      <w:szCs w:val="24"/>
      <w:lang w:val="en-GB"/>
    </w:rPr>
  </w:style>
  <w:style w:type="paragraph" w:styleId="Footer">
    <w:name w:val="footer"/>
    <w:basedOn w:val="Normal"/>
    <w:link w:val="FooterChar"/>
    <w:uiPriority w:val="99"/>
    <w:unhideWhenUsed/>
    <w:rsid w:val="008E29E2"/>
    <w:pPr>
      <w:tabs>
        <w:tab w:val="center" w:pos="4513"/>
        <w:tab w:val="right" w:pos="9026"/>
      </w:tabs>
    </w:pPr>
  </w:style>
  <w:style w:type="character" w:customStyle="1" w:styleId="FooterChar">
    <w:name w:val="Footer Char"/>
    <w:basedOn w:val="DefaultParagraphFont"/>
    <w:link w:val="Footer"/>
    <w:uiPriority w:val="99"/>
    <w:rsid w:val="008E29E2"/>
    <w:rPr>
      <w:rFonts w:ascii="Arial" w:eastAsia="Times New Roman" w:hAnsi="Arial" w:cs="Times New Roman"/>
      <w:sz w:val="20"/>
      <w:szCs w:val="24"/>
      <w:lang w:val="en-GB"/>
    </w:rPr>
  </w:style>
  <w:style w:type="character" w:styleId="Emphasis">
    <w:name w:val="Emphasis"/>
    <w:basedOn w:val="DefaultParagraphFont"/>
    <w:uiPriority w:val="20"/>
    <w:qFormat/>
    <w:rsid w:val="00810CD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194"/>
    <w:pPr>
      <w:spacing w:after="0" w:line="240" w:lineRule="auto"/>
    </w:pPr>
    <w:rPr>
      <w:rFonts w:ascii="Arial" w:eastAsia="Times New Roman" w:hAnsi="Arial" w:cs="Times New Roman"/>
      <w:sz w:val="20"/>
      <w:szCs w:val="24"/>
      <w:lang w:val="en-GB"/>
    </w:rPr>
  </w:style>
  <w:style w:type="paragraph" w:styleId="Heading1">
    <w:name w:val="heading 1"/>
    <w:basedOn w:val="Normal"/>
    <w:next w:val="Normal"/>
    <w:link w:val="Heading1Char"/>
    <w:uiPriority w:val="9"/>
    <w:qFormat/>
    <w:rsid w:val="00A51F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1F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iPriority w:val="9"/>
    <w:semiHidden/>
    <w:unhideWhenUsed/>
    <w:qFormat/>
    <w:rsid w:val="002F4A4A"/>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F76"/>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A51F76"/>
    <w:rPr>
      <w:rFonts w:asciiTheme="majorHAnsi" w:eastAsiaTheme="majorEastAsia" w:hAnsiTheme="majorHAnsi" w:cstheme="majorBidi"/>
      <w:b/>
      <w:bCs/>
      <w:color w:val="4F81BD" w:themeColor="accent1"/>
      <w:sz w:val="26"/>
      <w:szCs w:val="26"/>
      <w:lang w:val="en-GB"/>
    </w:rPr>
  </w:style>
  <w:style w:type="character" w:customStyle="1" w:styleId="Heading8Char">
    <w:name w:val="Heading 8 Char"/>
    <w:basedOn w:val="DefaultParagraphFont"/>
    <w:link w:val="Heading8"/>
    <w:uiPriority w:val="9"/>
    <w:semiHidden/>
    <w:rsid w:val="002F4A4A"/>
    <w:rPr>
      <w:rFonts w:asciiTheme="majorHAnsi" w:eastAsiaTheme="majorEastAsia" w:hAnsiTheme="majorHAnsi" w:cstheme="majorBidi"/>
      <w:color w:val="404040" w:themeColor="text1" w:themeTint="BF"/>
      <w:sz w:val="20"/>
      <w:szCs w:val="20"/>
      <w:lang w:val="en-GB"/>
    </w:rPr>
  </w:style>
  <w:style w:type="paragraph" w:styleId="BalloonText">
    <w:name w:val="Balloon Text"/>
    <w:basedOn w:val="Normal"/>
    <w:link w:val="BalloonTextChar"/>
    <w:uiPriority w:val="99"/>
    <w:semiHidden/>
    <w:unhideWhenUsed/>
    <w:rsid w:val="002F4A4A"/>
    <w:rPr>
      <w:rFonts w:ascii="Tahoma" w:hAnsi="Tahoma" w:cs="Tahoma"/>
      <w:sz w:val="16"/>
      <w:szCs w:val="16"/>
    </w:rPr>
  </w:style>
  <w:style w:type="character" w:customStyle="1" w:styleId="BalloonTextChar">
    <w:name w:val="Balloon Text Char"/>
    <w:basedOn w:val="DefaultParagraphFont"/>
    <w:link w:val="BalloonText"/>
    <w:uiPriority w:val="99"/>
    <w:semiHidden/>
    <w:rsid w:val="002F4A4A"/>
    <w:rPr>
      <w:rFonts w:ascii="Tahoma" w:eastAsia="Times New Roman" w:hAnsi="Tahoma" w:cs="Tahoma"/>
      <w:sz w:val="16"/>
      <w:szCs w:val="16"/>
      <w:lang w:val="en-GB"/>
    </w:rPr>
  </w:style>
  <w:style w:type="paragraph" w:styleId="FootnoteText">
    <w:name w:val="footnote text"/>
    <w:basedOn w:val="Normal"/>
    <w:link w:val="FootnoteTextChar"/>
    <w:uiPriority w:val="99"/>
    <w:semiHidden/>
    <w:unhideWhenUsed/>
    <w:rsid w:val="002F4A4A"/>
    <w:rPr>
      <w:szCs w:val="20"/>
    </w:rPr>
  </w:style>
  <w:style w:type="character" w:customStyle="1" w:styleId="FootnoteTextChar">
    <w:name w:val="Footnote Text Char"/>
    <w:basedOn w:val="DefaultParagraphFont"/>
    <w:link w:val="FootnoteText"/>
    <w:uiPriority w:val="99"/>
    <w:semiHidden/>
    <w:rsid w:val="002F4A4A"/>
    <w:rPr>
      <w:rFonts w:ascii="Arial" w:eastAsia="Times New Roman" w:hAnsi="Arial" w:cs="Times New Roman"/>
      <w:sz w:val="20"/>
      <w:szCs w:val="20"/>
      <w:lang w:val="en-GB"/>
    </w:rPr>
  </w:style>
  <w:style w:type="character" w:styleId="FootnoteReference">
    <w:name w:val="footnote reference"/>
    <w:basedOn w:val="DefaultParagraphFont"/>
    <w:rsid w:val="002F4A4A"/>
    <w:rPr>
      <w:color w:val="000000" w:themeColor="text1"/>
      <w:vertAlign w:val="superscript"/>
    </w:rPr>
  </w:style>
  <w:style w:type="paragraph" w:styleId="ListBullet">
    <w:name w:val="List Bullet"/>
    <w:basedOn w:val="Normal"/>
    <w:uiPriority w:val="99"/>
    <w:unhideWhenUsed/>
    <w:rsid w:val="00383664"/>
    <w:pPr>
      <w:numPr>
        <w:numId w:val="2"/>
      </w:numPr>
      <w:contextualSpacing/>
    </w:pPr>
  </w:style>
  <w:style w:type="paragraph" w:styleId="ListParagraph">
    <w:name w:val="List Paragraph"/>
    <w:basedOn w:val="Normal"/>
    <w:uiPriority w:val="34"/>
    <w:qFormat/>
    <w:rsid w:val="007B1F7C"/>
    <w:pPr>
      <w:ind w:left="720"/>
      <w:contextualSpacing/>
    </w:pPr>
  </w:style>
  <w:style w:type="paragraph" w:styleId="Header">
    <w:name w:val="header"/>
    <w:basedOn w:val="Normal"/>
    <w:link w:val="HeaderChar"/>
    <w:uiPriority w:val="99"/>
    <w:unhideWhenUsed/>
    <w:rsid w:val="008E29E2"/>
    <w:pPr>
      <w:tabs>
        <w:tab w:val="center" w:pos="4513"/>
        <w:tab w:val="right" w:pos="9026"/>
      </w:tabs>
    </w:pPr>
  </w:style>
  <w:style w:type="character" w:customStyle="1" w:styleId="HeaderChar">
    <w:name w:val="Header Char"/>
    <w:basedOn w:val="DefaultParagraphFont"/>
    <w:link w:val="Header"/>
    <w:uiPriority w:val="99"/>
    <w:rsid w:val="008E29E2"/>
    <w:rPr>
      <w:rFonts w:ascii="Arial" w:eastAsia="Times New Roman" w:hAnsi="Arial" w:cs="Times New Roman"/>
      <w:sz w:val="20"/>
      <w:szCs w:val="24"/>
      <w:lang w:val="en-GB"/>
    </w:rPr>
  </w:style>
  <w:style w:type="paragraph" w:styleId="Footer">
    <w:name w:val="footer"/>
    <w:basedOn w:val="Normal"/>
    <w:link w:val="FooterChar"/>
    <w:uiPriority w:val="99"/>
    <w:unhideWhenUsed/>
    <w:rsid w:val="008E29E2"/>
    <w:pPr>
      <w:tabs>
        <w:tab w:val="center" w:pos="4513"/>
        <w:tab w:val="right" w:pos="9026"/>
      </w:tabs>
    </w:pPr>
  </w:style>
  <w:style w:type="character" w:customStyle="1" w:styleId="FooterChar">
    <w:name w:val="Footer Char"/>
    <w:basedOn w:val="DefaultParagraphFont"/>
    <w:link w:val="Footer"/>
    <w:uiPriority w:val="99"/>
    <w:rsid w:val="008E29E2"/>
    <w:rPr>
      <w:rFonts w:ascii="Arial" w:eastAsia="Times New Roman" w:hAnsi="Arial" w:cs="Times New Roman"/>
      <w:sz w:val="20"/>
      <w:szCs w:val="24"/>
      <w:lang w:val="en-GB"/>
    </w:rPr>
  </w:style>
  <w:style w:type="character" w:styleId="Emphasis">
    <w:name w:val="Emphasis"/>
    <w:basedOn w:val="DefaultParagraphFont"/>
    <w:uiPriority w:val="20"/>
    <w:qFormat/>
    <w:rsid w:val="00810C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846091">
      <w:bodyDiv w:val="1"/>
      <w:marLeft w:val="0"/>
      <w:marRight w:val="0"/>
      <w:marTop w:val="0"/>
      <w:marBottom w:val="0"/>
      <w:divBdr>
        <w:top w:val="none" w:sz="0" w:space="0" w:color="auto"/>
        <w:left w:val="none" w:sz="0" w:space="0" w:color="auto"/>
        <w:bottom w:val="none" w:sz="0" w:space="0" w:color="auto"/>
        <w:right w:val="none" w:sz="0" w:space="0" w:color="auto"/>
      </w:divBdr>
      <w:divsChild>
        <w:div w:id="243613809">
          <w:marLeft w:val="446"/>
          <w:marRight w:val="0"/>
          <w:marTop w:val="0"/>
          <w:marBottom w:val="120"/>
          <w:divBdr>
            <w:top w:val="none" w:sz="0" w:space="0" w:color="auto"/>
            <w:left w:val="none" w:sz="0" w:space="0" w:color="auto"/>
            <w:bottom w:val="none" w:sz="0" w:space="0" w:color="auto"/>
            <w:right w:val="none" w:sz="0" w:space="0" w:color="auto"/>
          </w:divBdr>
        </w:div>
        <w:div w:id="538595260">
          <w:marLeft w:val="446"/>
          <w:marRight w:val="0"/>
          <w:marTop w:val="0"/>
          <w:marBottom w:val="120"/>
          <w:divBdr>
            <w:top w:val="none" w:sz="0" w:space="0" w:color="auto"/>
            <w:left w:val="none" w:sz="0" w:space="0" w:color="auto"/>
            <w:bottom w:val="none" w:sz="0" w:space="0" w:color="auto"/>
            <w:right w:val="none" w:sz="0" w:space="0" w:color="auto"/>
          </w:divBdr>
        </w:div>
        <w:div w:id="335034853">
          <w:marLeft w:val="446"/>
          <w:marRight w:val="0"/>
          <w:marTop w:val="0"/>
          <w:marBottom w:val="120"/>
          <w:divBdr>
            <w:top w:val="none" w:sz="0" w:space="0" w:color="auto"/>
            <w:left w:val="none" w:sz="0" w:space="0" w:color="auto"/>
            <w:bottom w:val="none" w:sz="0" w:space="0" w:color="auto"/>
            <w:right w:val="none" w:sz="0" w:space="0" w:color="auto"/>
          </w:divBdr>
        </w:div>
        <w:div w:id="173157337">
          <w:marLeft w:val="446"/>
          <w:marRight w:val="0"/>
          <w:marTop w:val="0"/>
          <w:marBottom w:val="120"/>
          <w:divBdr>
            <w:top w:val="none" w:sz="0" w:space="0" w:color="auto"/>
            <w:left w:val="none" w:sz="0" w:space="0" w:color="auto"/>
            <w:bottom w:val="none" w:sz="0" w:space="0" w:color="auto"/>
            <w:right w:val="none" w:sz="0" w:space="0" w:color="auto"/>
          </w:divBdr>
        </w:div>
        <w:div w:id="13381604">
          <w:marLeft w:val="446"/>
          <w:marRight w:val="0"/>
          <w:marTop w:val="0"/>
          <w:marBottom w:val="120"/>
          <w:divBdr>
            <w:top w:val="none" w:sz="0" w:space="0" w:color="auto"/>
            <w:left w:val="none" w:sz="0" w:space="0" w:color="auto"/>
            <w:bottom w:val="none" w:sz="0" w:space="0" w:color="auto"/>
            <w:right w:val="none" w:sz="0" w:space="0" w:color="auto"/>
          </w:divBdr>
        </w:div>
        <w:div w:id="201403606">
          <w:marLeft w:val="446"/>
          <w:marRight w:val="0"/>
          <w:marTop w:val="0"/>
          <w:marBottom w:val="120"/>
          <w:divBdr>
            <w:top w:val="none" w:sz="0" w:space="0" w:color="auto"/>
            <w:left w:val="none" w:sz="0" w:space="0" w:color="auto"/>
            <w:bottom w:val="none" w:sz="0" w:space="0" w:color="auto"/>
            <w:right w:val="none" w:sz="0" w:space="0" w:color="auto"/>
          </w:divBdr>
        </w:div>
      </w:divsChild>
    </w:div>
    <w:div w:id="420640168">
      <w:bodyDiv w:val="1"/>
      <w:marLeft w:val="0"/>
      <w:marRight w:val="0"/>
      <w:marTop w:val="0"/>
      <w:marBottom w:val="0"/>
      <w:divBdr>
        <w:top w:val="none" w:sz="0" w:space="0" w:color="auto"/>
        <w:left w:val="none" w:sz="0" w:space="0" w:color="auto"/>
        <w:bottom w:val="none" w:sz="0" w:space="0" w:color="auto"/>
        <w:right w:val="none" w:sz="0" w:space="0" w:color="auto"/>
      </w:divBdr>
      <w:divsChild>
        <w:div w:id="223152159">
          <w:marLeft w:val="0"/>
          <w:marRight w:val="0"/>
          <w:marTop w:val="0"/>
          <w:marBottom w:val="0"/>
          <w:divBdr>
            <w:top w:val="none" w:sz="0" w:space="0" w:color="auto"/>
            <w:left w:val="none" w:sz="0" w:space="0" w:color="auto"/>
            <w:bottom w:val="none" w:sz="0" w:space="0" w:color="auto"/>
            <w:right w:val="none" w:sz="0" w:space="0" w:color="auto"/>
          </w:divBdr>
        </w:div>
      </w:divsChild>
    </w:div>
    <w:div w:id="534778765">
      <w:bodyDiv w:val="1"/>
      <w:marLeft w:val="0"/>
      <w:marRight w:val="0"/>
      <w:marTop w:val="0"/>
      <w:marBottom w:val="0"/>
      <w:divBdr>
        <w:top w:val="none" w:sz="0" w:space="0" w:color="auto"/>
        <w:left w:val="none" w:sz="0" w:space="0" w:color="auto"/>
        <w:bottom w:val="none" w:sz="0" w:space="0" w:color="auto"/>
        <w:right w:val="none" w:sz="0" w:space="0" w:color="auto"/>
      </w:divBdr>
      <w:divsChild>
        <w:div w:id="1845245201">
          <w:marLeft w:val="274"/>
          <w:marRight w:val="0"/>
          <w:marTop w:val="0"/>
          <w:marBottom w:val="0"/>
          <w:divBdr>
            <w:top w:val="none" w:sz="0" w:space="0" w:color="auto"/>
            <w:left w:val="none" w:sz="0" w:space="0" w:color="auto"/>
            <w:bottom w:val="none" w:sz="0" w:space="0" w:color="auto"/>
            <w:right w:val="none" w:sz="0" w:space="0" w:color="auto"/>
          </w:divBdr>
        </w:div>
        <w:div w:id="1651249039">
          <w:marLeft w:val="274"/>
          <w:marRight w:val="0"/>
          <w:marTop w:val="0"/>
          <w:marBottom w:val="0"/>
          <w:divBdr>
            <w:top w:val="none" w:sz="0" w:space="0" w:color="auto"/>
            <w:left w:val="none" w:sz="0" w:space="0" w:color="auto"/>
            <w:bottom w:val="none" w:sz="0" w:space="0" w:color="auto"/>
            <w:right w:val="none" w:sz="0" w:space="0" w:color="auto"/>
          </w:divBdr>
        </w:div>
        <w:div w:id="375735675">
          <w:marLeft w:val="274"/>
          <w:marRight w:val="0"/>
          <w:marTop w:val="0"/>
          <w:marBottom w:val="0"/>
          <w:divBdr>
            <w:top w:val="none" w:sz="0" w:space="0" w:color="auto"/>
            <w:left w:val="none" w:sz="0" w:space="0" w:color="auto"/>
            <w:bottom w:val="none" w:sz="0" w:space="0" w:color="auto"/>
            <w:right w:val="none" w:sz="0" w:space="0" w:color="auto"/>
          </w:divBdr>
        </w:div>
        <w:div w:id="542988208">
          <w:marLeft w:val="274"/>
          <w:marRight w:val="0"/>
          <w:marTop w:val="0"/>
          <w:marBottom w:val="0"/>
          <w:divBdr>
            <w:top w:val="none" w:sz="0" w:space="0" w:color="auto"/>
            <w:left w:val="none" w:sz="0" w:space="0" w:color="auto"/>
            <w:bottom w:val="none" w:sz="0" w:space="0" w:color="auto"/>
            <w:right w:val="none" w:sz="0" w:space="0" w:color="auto"/>
          </w:divBdr>
        </w:div>
        <w:div w:id="1478886004">
          <w:marLeft w:val="274"/>
          <w:marRight w:val="0"/>
          <w:marTop w:val="0"/>
          <w:marBottom w:val="0"/>
          <w:divBdr>
            <w:top w:val="none" w:sz="0" w:space="0" w:color="auto"/>
            <w:left w:val="none" w:sz="0" w:space="0" w:color="auto"/>
            <w:bottom w:val="none" w:sz="0" w:space="0" w:color="auto"/>
            <w:right w:val="none" w:sz="0" w:space="0" w:color="auto"/>
          </w:divBdr>
        </w:div>
      </w:divsChild>
    </w:div>
    <w:div w:id="643048537">
      <w:bodyDiv w:val="1"/>
      <w:marLeft w:val="0"/>
      <w:marRight w:val="0"/>
      <w:marTop w:val="0"/>
      <w:marBottom w:val="0"/>
      <w:divBdr>
        <w:top w:val="none" w:sz="0" w:space="0" w:color="auto"/>
        <w:left w:val="none" w:sz="0" w:space="0" w:color="auto"/>
        <w:bottom w:val="none" w:sz="0" w:space="0" w:color="auto"/>
        <w:right w:val="none" w:sz="0" w:space="0" w:color="auto"/>
      </w:divBdr>
      <w:divsChild>
        <w:div w:id="2041667806">
          <w:marLeft w:val="446"/>
          <w:marRight w:val="0"/>
          <w:marTop w:val="0"/>
          <w:marBottom w:val="120"/>
          <w:divBdr>
            <w:top w:val="none" w:sz="0" w:space="0" w:color="auto"/>
            <w:left w:val="none" w:sz="0" w:space="0" w:color="auto"/>
            <w:bottom w:val="none" w:sz="0" w:space="0" w:color="auto"/>
            <w:right w:val="none" w:sz="0" w:space="0" w:color="auto"/>
          </w:divBdr>
        </w:div>
        <w:div w:id="646319617">
          <w:marLeft w:val="446"/>
          <w:marRight w:val="0"/>
          <w:marTop w:val="0"/>
          <w:marBottom w:val="120"/>
          <w:divBdr>
            <w:top w:val="none" w:sz="0" w:space="0" w:color="auto"/>
            <w:left w:val="none" w:sz="0" w:space="0" w:color="auto"/>
            <w:bottom w:val="none" w:sz="0" w:space="0" w:color="auto"/>
            <w:right w:val="none" w:sz="0" w:space="0" w:color="auto"/>
          </w:divBdr>
        </w:div>
        <w:div w:id="1692492261">
          <w:marLeft w:val="446"/>
          <w:marRight w:val="0"/>
          <w:marTop w:val="0"/>
          <w:marBottom w:val="120"/>
          <w:divBdr>
            <w:top w:val="none" w:sz="0" w:space="0" w:color="auto"/>
            <w:left w:val="none" w:sz="0" w:space="0" w:color="auto"/>
            <w:bottom w:val="none" w:sz="0" w:space="0" w:color="auto"/>
            <w:right w:val="none" w:sz="0" w:space="0" w:color="auto"/>
          </w:divBdr>
        </w:div>
      </w:divsChild>
    </w:div>
    <w:div w:id="778060803">
      <w:bodyDiv w:val="1"/>
      <w:marLeft w:val="0"/>
      <w:marRight w:val="0"/>
      <w:marTop w:val="0"/>
      <w:marBottom w:val="0"/>
      <w:divBdr>
        <w:top w:val="none" w:sz="0" w:space="0" w:color="auto"/>
        <w:left w:val="none" w:sz="0" w:space="0" w:color="auto"/>
        <w:bottom w:val="none" w:sz="0" w:space="0" w:color="auto"/>
        <w:right w:val="none" w:sz="0" w:space="0" w:color="auto"/>
      </w:divBdr>
      <w:divsChild>
        <w:div w:id="396897173">
          <w:marLeft w:val="0"/>
          <w:marRight w:val="0"/>
          <w:marTop w:val="0"/>
          <w:marBottom w:val="0"/>
          <w:divBdr>
            <w:top w:val="none" w:sz="0" w:space="0" w:color="auto"/>
            <w:left w:val="none" w:sz="0" w:space="0" w:color="auto"/>
            <w:bottom w:val="none" w:sz="0" w:space="0" w:color="auto"/>
            <w:right w:val="none" w:sz="0" w:space="0" w:color="auto"/>
          </w:divBdr>
        </w:div>
        <w:div w:id="29575691">
          <w:marLeft w:val="0"/>
          <w:marRight w:val="0"/>
          <w:marTop w:val="0"/>
          <w:marBottom w:val="0"/>
          <w:divBdr>
            <w:top w:val="none" w:sz="0" w:space="0" w:color="auto"/>
            <w:left w:val="none" w:sz="0" w:space="0" w:color="auto"/>
            <w:bottom w:val="none" w:sz="0" w:space="0" w:color="auto"/>
            <w:right w:val="none" w:sz="0" w:space="0" w:color="auto"/>
          </w:divBdr>
        </w:div>
      </w:divsChild>
    </w:div>
    <w:div w:id="785076899">
      <w:bodyDiv w:val="1"/>
      <w:marLeft w:val="0"/>
      <w:marRight w:val="0"/>
      <w:marTop w:val="0"/>
      <w:marBottom w:val="0"/>
      <w:divBdr>
        <w:top w:val="none" w:sz="0" w:space="0" w:color="auto"/>
        <w:left w:val="none" w:sz="0" w:space="0" w:color="auto"/>
        <w:bottom w:val="none" w:sz="0" w:space="0" w:color="auto"/>
        <w:right w:val="none" w:sz="0" w:space="0" w:color="auto"/>
      </w:divBdr>
    </w:div>
    <w:div w:id="1080255896">
      <w:bodyDiv w:val="1"/>
      <w:marLeft w:val="0"/>
      <w:marRight w:val="0"/>
      <w:marTop w:val="0"/>
      <w:marBottom w:val="0"/>
      <w:divBdr>
        <w:top w:val="none" w:sz="0" w:space="0" w:color="auto"/>
        <w:left w:val="none" w:sz="0" w:space="0" w:color="auto"/>
        <w:bottom w:val="none" w:sz="0" w:space="0" w:color="auto"/>
        <w:right w:val="none" w:sz="0" w:space="0" w:color="auto"/>
      </w:divBdr>
      <w:divsChild>
        <w:div w:id="65611817">
          <w:marLeft w:val="274"/>
          <w:marRight w:val="0"/>
          <w:marTop w:val="0"/>
          <w:marBottom w:val="0"/>
          <w:divBdr>
            <w:top w:val="none" w:sz="0" w:space="0" w:color="auto"/>
            <w:left w:val="none" w:sz="0" w:space="0" w:color="auto"/>
            <w:bottom w:val="none" w:sz="0" w:space="0" w:color="auto"/>
            <w:right w:val="none" w:sz="0" w:space="0" w:color="auto"/>
          </w:divBdr>
        </w:div>
        <w:div w:id="412244503">
          <w:marLeft w:val="274"/>
          <w:marRight w:val="0"/>
          <w:marTop w:val="0"/>
          <w:marBottom w:val="0"/>
          <w:divBdr>
            <w:top w:val="none" w:sz="0" w:space="0" w:color="auto"/>
            <w:left w:val="none" w:sz="0" w:space="0" w:color="auto"/>
            <w:bottom w:val="none" w:sz="0" w:space="0" w:color="auto"/>
            <w:right w:val="none" w:sz="0" w:space="0" w:color="auto"/>
          </w:divBdr>
        </w:div>
        <w:div w:id="699432263">
          <w:marLeft w:val="274"/>
          <w:marRight w:val="0"/>
          <w:marTop w:val="0"/>
          <w:marBottom w:val="0"/>
          <w:divBdr>
            <w:top w:val="none" w:sz="0" w:space="0" w:color="auto"/>
            <w:left w:val="none" w:sz="0" w:space="0" w:color="auto"/>
            <w:bottom w:val="none" w:sz="0" w:space="0" w:color="auto"/>
            <w:right w:val="none" w:sz="0" w:space="0" w:color="auto"/>
          </w:divBdr>
        </w:div>
      </w:divsChild>
    </w:div>
    <w:div w:id="1345941252">
      <w:bodyDiv w:val="1"/>
      <w:marLeft w:val="0"/>
      <w:marRight w:val="0"/>
      <w:marTop w:val="0"/>
      <w:marBottom w:val="0"/>
      <w:divBdr>
        <w:top w:val="none" w:sz="0" w:space="0" w:color="auto"/>
        <w:left w:val="none" w:sz="0" w:space="0" w:color="auto"/>
        <w:bottom w:val="none" w:sz="0" w:space="0" w:color="auto"/>
        <w:right w:val="none" w:sz="0" w:space="0" w:color="auto"/>
      </w:divBdr>
      <w:divsChild>
        <w:div w:id="1450468978">
          <w:marLeft w:val="0"/>
          <w:marRight w:val="0"/>
          <w:marTop w:val="0"/>
          <w:marBottom w:val="0"/>
          <w:divBdr>
            <w:top w:val="none" w:sz="0" w:space="0" w:color="auto"/>
            <w:left w:val="none" w:sz="0" w:space="0" w:color="auto"/>
            <w:bottom w:val="none" w:sz="0" w:space="0" w:color="auto"/>
            <w:right w:val="none" w:sz="0" w:space="0" w:color="auto"/>
          </w:divBdr>
        </w:div>
      </w:divsChild>
    </w:div>
    <w:div w:id="1501045185">
      <w:bodyDiv w:val="1"/>
      <w:marLeft w:val="0"/>
      <w:marRight w:val="0"/>
      <w:marTop w:val="0"/>
      <w:marBottom w:val="0"/>
      <w:divBdr>
        <w:top w:val="none" w:sz="0" w:space="0" w:color="auto"/>
        <w:left w:val="none" w:sz="0" w:space="0" w:color="auto"/>
        <w:bottom w:val="none" w:sz="0" w:space="0" w:color="auto"/>
        <w:right w:val="none" w:sz="0" w:space="0" w:color="auto"/>
      </w:divBdr>
      <w:divsChild>
        <w:div w:id="751203091">
          <w:marLeft w:val="0"/>
          <w:marRight w:val="0"/>
          <w:marTop w:val="0"/>
          <w:marBottom w:val="0"/>
          <w:divBdr>
            <w:top w:val="none" w:sz="0" w:space="0" w:color="auto"/>
            <w:left w:val="none" w:sz="0" w:space="0" w:color="auto"/>
            <w:bottom w:val="none" w:sz="0" w:space="0" w:color="auto"/>
            <w:right w:val="none" w:sz="0" w:space="0" w:color="auto"/>
          </w:divBdr>
        </w:div>
      </w:divsChild>
    </w:div>
    <w:div w:id="1663897210">
      <w:bodyDiv w:val="1"/>
      <w:marLeft w:val="0"/>
      <w:marRight w:val="0"/>
      <w:marTop w:val="0"/>
      <w:marBottom w:val="0"/>
      <w:divBdr>
        <w:top w:val="none" w:sz="0" w:space="0" w:color="auto"/>
        <w:left w:val="none" w:sz="0" w:space="0" w:color="auto"/>
        <w:bottom w:val="none" w:sz="0" w:space="0" w:color="auto"/>
        <w:right w:val="none" w:sz="0" w:space="0" w:color="auto"/>
      </w:divBdr>
    </w:div>
    <w:div w:id="1676835751">
      <w:bodyDiv w:val="1"/>
      <w:marLeft w:val="0"/>
      <w:marRight w:val="0"/>
      <w:marTop w:val="0"/>
      <w:marBottom w:val="0"/>
      <w:divBdr>
        <w:top w:val="none" w:sz="0" w:space="0" w:color="auto"/>
        <w:left w:val="none" w:sz="0" w:space="0" w:color="auto"/>
        <w:bottom w:val="none" w:sz="0" w:space="0" w:color="auto"/>
        <w:right w:val="none" w:sz="0" w:space="0" w:color="auto"/>
      </w:divBdr>
      <w:divsChild>
        <w:div w:id="2031055947">
          <w:marLeft w:val="274"/>
          <w:marRight w:val="0"/>
          <w:marTop w:val="0"/>
          <w:marBottom w:val="0"/>
          <w:divBdr>
            <w:top w:val="none" w:sz="0" w:space="0" w:color="auto"/>
            <w:left w:val="none" w:sz="0" w:space="0" w:color="auto"/>
            <w:bottom w:val="none" w:sz="0" w:space="0" w:color="auto"/>
            <w:right w:val="none" w:sz="0" w:space="0" w:color="auto"/>
          </w:divBdr>
        </w:div>
        <w:div w:id="271286000">
          <w:marLeft w:val="274"/>
          <w:marRight w:val="0"/>
          <w:marTop w:val="0"/>
          <w:marBottom w:val="0"/>
          <w:divBdr>
            <w:top w:val="none" w:sz="0" w:space="0" w:color="auto"/>
            <w:left w:val="none" w:sz="0" w:space="0" w:color="auto"/>
            <w:bottom w:val="none" w:sz="0" w:space="0" w:color="auto"/>
            <w:right w:val="none" w:sz="0" w:space="0" w:color="auto"/>
          </w:divBdr>
        </w:div>
        <w:div w:id="1484854280">
          <w:marLeft w:val="274"/>
          <w:marRight w:val="0"/>
          <w:marTop w:val="0"/>
          <w:marBottom w:val="0"/>
          <w:divBdr>
            <w:top w:val="none" w:sz="0" w:space="0" w:color="auto"/>
            <w:left w:val="none" w:sz="0" w:space="0" w:color="auto"/>
            <w:bottom w:val="none" w:sz="0" w:space="0" w:color="auto"/>
            <w:right w:val="none" w:sz="0" w:space="0" w:color="auto"/>
          </w:divBdr>
        </w:div>
        <w:div w:id="762146793">
          <w:marLeft w:val="274"/>
          <w:marRight w:val="0"/>
          <w:marTop w:val="0"/>
          <w:marBottom w:val="0"/>
          <w:divBdr>
            <w:top w:val="none" w:sz="0" w:space="0" w:color="auto"/>
            <w:left w:val="none" w:sz="0" w:space="0" w:color="auto"/>
            <w:bottom w:val="none" w:sz="0" w:space="0" w:color="auto"/>
            <w:right w:val="none" w:sz="0" w:space="0" w:color="auto"/>
          </w:divBdr>
        </w:div>
      </w:divsChild>
    </w:div>
    <w:div w:id="1796018757">
      <w:bodyDiv w:val="1"/>
      <w:marLeft w:val="0"/>
      <w:marRight w:val="0"/>
      <w:marTop w:val="0"/>
      <w:marBottom w:val="0"/>
      <w:divBdr>
        <w:top w:val="none" w:sz="0" w:space="0" w:color="auto"/>
        <w:left w:val="none" w:sz="0" w:space="0" w:color="auto"/>
        <w:bottom w:val="none" w:sz="0" w:space="0" w:color="auto"/>
        <w:right w:val="none" w:sz="0" w:space="0" w:color="auto"/>
      </w:divBdr>
      <w:divsChild>
        <w:div w:id="590550961">
          <w:marLeft w:val="0"/>
          <w:marRight w:val="0"/>
          <w:marTop w:val="0"/>
          <w:marBottom w:val="0"/>
          <w:divBdr>
            <w:top w:val="none" w:sz="0" w:space="0" w:color="auto"/>
            <w:left w:val="none" w:sz="0" w:space="0" w:color="auto"/>
            <w:bottom w:val="none" w:sz="0" w:space="0" w:color="auto"/>
            <w:right w:val="none" w:sz="0" w:space="0" w:color="auto"/>
          </w:divBdr>
        </w:div>
        <w:div w:id="1591427016">
          <w:marLeft w:val="0"/>
          <w:marRight w:val="0"/>
          <w:marTop w:val="0"/>
          <w:marBottom w:val="0"/>
          <w:divBdr>
            <w:top w:val="none" w:sz="0" w:space="0" w:color="auto"/>
            <w:left w:val="none" w:sz="0" w:space="0" w:color="auto"/>
            <w:bottom w:val="none" w:sz="0" w:space="0" w:color="auto"/>
            <w:right w:val="none" w:sz="0" w:space="0" w:color="auto"/>
          </w:divBdr>
        </w:div>
      </w:divsChild>
    </w:div>
    <w:div w:id="1861699736">
      <w:bodyDiv w:val="1"/>
      <w:marLeft w:val="0"/>
      <w:marRight w:val="0"/>
      <w:marTop w:val="0"/>
      <w:marBottom w:val="0"/>
      <w:divBdr>
        <w:top w:val="none" w:sz="0" w:space="0" w:color="auto"/>
        <w:left w:val="none" w:sz="0" w:space="0" w:color="auto"/>
        <w:bottom w:val="none" w:sz="0" w:space="0" w:color="auto"/>
        <w:right w:val="none" w:sz="0" w:space="0" w:color="auto"/>
      </w:divBdr>
    </w:div>
    <w:div w:id="1880390539">
      <w:bodyDiv w:val="1"/>
      <w:marLeft w:val="0"/>
      <w:marRight w:val="0"/>
      <w:marTop w:val="0"/>
      <w:marBottom w:val="0"/>
      <w:divBdr>
        <w:top w:val="none" w:sz="0" w:space="0" w:color="auto"/>
        <w:left w:val="none" w:sz="0" w:space="0" w:color="auto"/>
        <w:bottom w:val="none" w:sz="0" w:space="0" w:color="auto"/>
        <w:right w:val="none" w:sz="0" w:space="0" w:color="auto"/>
      </w:divBdr>
      <w:divsChild>
        <w:div w:id="1774671305">
          <w:marLeft w:val="274"/>
          <w:marRight w:val="0"/>
          <w:marTop w:val="0"/>
          <w:marBottom w:val="0"/>
          <w:divBdr>
            <w:top w:val="none" w:sz="0" w:space="0" w:color="auto"/>
            <w:left w:val="none" w:sz="0" w:space="0" w:color="auto"/>
            <w:bottom w:val="none" w:sz="0" w:space="0" w:color="auto"/>
            <w:right w:val="none" w:sz="0" w:space="0" w:color="auto"/>
          </w:divBdr>
        </w:div>
        <w:div w:id="1752041992">
          <w:marLeft w:val="274"/>
          <w:marRight w:val="0"/>
          <w:marTop w:val="0"/>
          <w:marBottom w:val="0"/>
          <w:divBdr>
            <w:top w:val="none" w:sz="0" w:space="0" w:color="auto"/>
            <w:left w:val="none" w:sz="0" w:space="0" w:color="auto"/>
            <w:bottom w:val="none" w:sz="0" w:space="0" w:color="auto"/>
            <w:right w:val="none" w:sz="0" w:space="0" w:color="auto"/>
          </w:divBdr>
        </w:div>
        <w:div w:id="629477487">
          <w:marLeft w:val="274"/>
          <w:marRight w:val="0"/>
          <w:marTop w:val="0"/>
          <w:marBottom w:val="0"/>
          <w:divBdr>
            <w:top w:val="none" w:sz="0" w:space="0" w:color="auto"/>
            <w:left w:val="none" w:sz="0" w:space="0" w:color="auto"/>
            <w:bottom w:val="none" w:sz="0" w:space="0" w:color="auto"/>
            <w:right w:val="none" w:sz="0" w:space="0" w:color="auto"/>
          </w:divBdr>
        </w:div>
      </w:divsChild>
    </w:div>
    <w:div w:id="1890679830">
      <w:bodyDiv w:val="1"/>
      <w:marLeft w:val="0"/>
      <w:marRight w:val="0"/>
      <w:marTop w:val="0"/>
      <w:marBottom w:val="0"/>
      <w:divBdr>
        <w:top w:val="none" w:sz="0" w:space="0" w:color="auto"/>
        <w:left w:val="none" w:sz="0" w:space="0" w:color="auto"/>
        <w:bottom w:val="none" w:sz="0" w:space="0" w:color="auto"/>
        <w:right w:val="none" w:sz="0" w:space="0" w:color="auto"/>
      </w:divBdr>
    </w:div>
    <w:div w:id="1928541306">
      <w:bodyDiv w:val="1"/>
      <w:marLeft w:val="0"/>
      <w:marRight w:val="0"/>
      <w:marTop w:val="0"/>
      <w:marBottom w:val="0"/>
      <w:divBdr>
        <w:top w:val="none" w:sz="0" w:space="0" w:color="auto"/>
        <w:left w:val="none" w:sz="0" w:space="0" w:color="auto"/>
        <w:bottom w:val="none" w:sz="0" w:space="0" w:color="auto"/>
        <w:right w:val="none" w:sz="0" w:space="0" w:color="auto"/>
      </w:divBdr>
    </w:div>
    <w:div w:id="2031642305">
      <w:bodyDiv w:val="1"/>
      <w:marLeft w:val="0"/>
      <w:marRight w:val="0"/>
      <w:marTop w:val="0"/>
      <w:marBottom w:val="0"/>
      <w:divBdr>
        <w:top w:val="none" w:sz="0" w:space="0" w:color="auto"/>
        <w:left w:val="none" w:sz="0" w:space="0" w:color="auto"/>
        <w:bottom w:val="none" w:sz="0" w:space="0" w:color="auto"/>
        <w:right w:val="none" w:sz="0" w:space="0" w:color="auto"/>
      </w:divBdr>
      <w:divsChild>
        <w:div w:id="1831869674">
          <w:marLeft w:val="274"/>
          <w:marRight w:val="0"/>
          <w:marTop w:val="0"/>
          <w:marBottom w:val="0"/>
          <w:divBdr>
            <w:top w:val="none" w:sz="0" w:space="0" w:color="auto"/>
            <w:left w:val="none" w:sz="0" w:space="0" w:color="auto"/>
            <w:bottom w:val="none" w:sz="0" w:space="0" w:color="auto"/>
            <w:right w:val="none" w:sz="0" w:space="0" w:color="auto"/>
          </w:divBdr>
        </w:div>
        <w:div w:id="1679581334">
          <w:marLeft w:val="274"/>
          <w:marRight w:val="0"/>
          <w:marTop w:val="0"/>
          <w:marBottom w:val="0"/>
          <w:divBdr>
            <w:top w:val="none" w:sz="0" w:space="0" w:color="auto"/>
            <w:left w:val="none" w:sz="0" w:space="0" w:color="auto"/>
            <w:bottom w:val="none" w:sz="0" w:space="0" w:color="auto"/>
            <w:right w:val="none" w:sz="0" w:space="0" w:color="auto"/>
          </w:divBdr>
        </w:div>
        <w:div w:id="2035111977">
          <w:marLeft w:val="274"/>
          <w:marRight w:val="0"/>
          <w:marTop w:val="0"/>
          <w:marBottom w:val="0"/>
          <w:divBdr>
            <w:top w:val="none" w:sz="0" w:space="0" w:color="auto"/>
            <w:left w:val="none" w:sz="0" w:space="0" w:color="auto"/>
            <w:bottom w:val="none" w:sz="0" w:space="0" w:color="auto"/>
            <w:right w:val="none" w:sz="0" w:space="0" w:color="auto"/>
          </w:divBdr>
        </w:div>
        <w:div w:id="1040591552">
          <w:marLeft w:val="274"/>
          <w:marRight w:val="0"/>
          <w:marTop w:val="0"/>
          <w:marBottom w:val="0"/>
          <w:divBdr>
            <w:top w:val="none" w:sz="0" w:space="0" w:color="auto"/>
            <w:left w:val="none" w:sz="0" w:space="0" w:color="auto"/>
            <w:bottom w:val="none" w:sz="0" w:space="0" w:color="auto"/>
            <w:right w:val="none" w:sz="0" w:space="0" w:color="auto"/>
          </w:divBdr>
        </w:div>
        <w:div w:id="589434491">
          <w:marLeft w:val="274"/>
          <w:marRight w:val="0"/>
          <w:marTop w:val="0"/>
          <w:marBottom w:val="0"/>
          <w:divBdr>
            <w:top w:val="none" w:sz="0" w:space="0" w:color="auto"/>
            <w:left w:val="none" w:sz="0" w:space="0" w:color="auto"/>
            <w:bottom w:val="none" w:sz="0" w:space="0" w:color="auto"/>
            <w:right w:val="none" w:sz="0" w:space="0" w:color="auto"/>
          </w:divBdr>
        </w:div>
        <w:div w:id="92091374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3704</Words>
  <Characters>20264</Characters>
  <Application>Microsoft Macintosh Word</Application>
  <DocSecurity>0</DocSecurity>
  <Lines>355</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McKenzie</dc:creator>
  <cp:lastModifiedBy>Emma Baker</cp:lastModifiedBy>
  <cp:revision>2</cp:revision>
  <dcterms:created xsi:type="dcterms:W3CDTF">2018-06-21T10:52:00Z</dcterms:created>
  <dcterms:modified xsi:type="dcterms:W3CDTF">2018-06-21T10:52:00Z</dcterms:modified>
</cp:coreProperties>
</file>