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FC149" w14:textId="77777777" w:rsidR="00D154EC" w:rsidRPr="002665D2" w:rsidRDefault="00996A16">
      <w:pPr>
        <w:rPr>
          <w:rFonts w:ascii="Arial" w:hAnsi="Arial"/>
          <w:b/>
          <w:sz w:val="28"/>
          <w:szCs w:val="28"/>
          <w:lang w:val="en-AU"/>
        </w:rPr>
      </w:pPr>
      <w:r w:rsidRPr="002665D2">
        <w:rPr>
          <w:rFonts w:ascii="Arial" w:hAnsi="Arial"/>
          <w:b/>
          <w:sz w:val="28"/>
          <w:szCs w:val="28"/>
          <w:lang w:val="en-AU"/>
        </w:rPr>
        <w:t>Reflections of Apartment Design Guide 2015</w:t>
      </w:r>
      <w:r w:rsidR="00E84438" w:rsidRPr="002665D2">
        <w:rPr>
          <w:rFonts w:ascii="Arial" w:hAnsi="Arial"/>
          <w:b/>
          <w:sz w:val="28"/>
          <w:szCs w:val="28"/>
          <w:lang w:val="en-AU"/>
        </w:rPr>
        <w:t>:</w:t>
      </w:r>
      <w:r w:rsidRPr="002665D2">
        <w:rPr>
          <w:rFonts w:ascii="Arial" w:hAnsi="Arial"/>
          <w:b/>
          <w:sz w:val="28"/>
          <w:szCs w:val="28"/>
          <w:lang w:val="en-AU"/>
        </w:rPr>
        <w:t xml:space="preserve"> Based on Selected</w:t>
      </w:r>
    </w:p>
    <w:p w14:paraId="12D1A67F" w14:textId="1292C42C" w:rsidR="00FB1FE9" w:rsidRPr="002665D2" w:rsidRDefault="00D154EC">
      <w:pPr>
        <w:rPr>
          <w:rFonts w:ascii="Arial" w:hAnsi="Arial"/>
          <w:b/>
          <w:sz w:val="28"/>
          <w:szCs w:val="28"/>
          <w:lang w:val="en-AU"/>
        </w:rPr>
      </w:pPr>
      <w:r w:rsidRPr="002665D2">
        <w:rPr>
          <w:rFonts w:ascii="Arial" w:hAnsi="Arial"/>
          <w:b/>
          <w:sz w:val="28"/>
          <w:szCs w:val="28"/>
          <w:lang w:val="en-AU"/>
        </w:rPr>
        <w:t xml:space="preserve"> </w:t>
      </w:r>
      <w:r w:rsidR="00996A16" w:rsidRPr="002665D2">
        <w:rPr>
          <w:rFonts w:ascii="Arial" w:hAnsi="Arial"/>
          <w:b/>
          <w:sz w:val="28"/>
          <w:szCs w:val="28"/>
          <w:lang w:val="en-AU"/>
        </w:rPr>
        <w:t xml:space="preserve"> Design Findings from an Empirical Study in Fairfield, Sydney.</w:t>
      </w:r>
    </w:p>
    <w:p w14:paraId="42ACBB6E" w14:textId="77777777" w:rsidR="00051757" w:rsidRPr="00051757" w:rsidRDefault="00051757" w:rsidP="00051757">
      <w:pPr>
        <w:jc w:val="center"/>
        <w:rPr>
          <w:rFonts w:ascii="Arial" w:hAnsi="Arial" w:cs="Arial"/>
          <w:sz w:val="20"/>
          <w:szCs w:val="20"/>
          <w:lang w:val="en-AU"/>
        </w:rPr>
      </w:pPr>
      <w:proofErr w:type="spellStart"/>
      <w:r w:rsidRPr="00051757">
        <w:rPr>
          <w:rFonts w:ascii="Arial" w:hAnsi="Arial" w:cs="Arial"/>
          <w:sz w:val="20"/>
          <w:szCs w:val="20"/>
          <w:lang w:val="en-AU"/>
        </w:rPr>
        <w:t>Jeeva</w:t>
      </w:r>
      <w:proofErr w:type="spellEnd"/>
      <w:r w:rsidRPr="00051757">
        <w:rPr>
          <w:rFonts w:ascii="Arial" w:hAnsi="Arial" w:cs="Arial"/>
          <w:sz w:val="20"/>
          <w:szCs w:val="20"/>
          <w:lang w:val="en-AU"/>
        </w:rPr>
        <w:t xml:space="preserve"> </w:t>
      </w:r>
      <w:proofErr w:type="spellStart"/>
      <w:r w:rsidRPr="00051757">
        <w:rPr>
          <w:rFonts w:ascii="Arial" w:hAnsi="Arial" w:cs="Arial"/>
          <w:sz w:val="20"/>
          <w:szCs w:val="20"/>
          <w:lang w:val="en-AU"/>
        </w:rPr>
        <w:t>Sajan</w:t>
      </w:r>
      <w:proofErr w:type="spellEnd"/>
    </w:p>
    <w:p w14:paraId="779F3AFB" w14:textId="77777777" w:rsidR="00051757" w:rsidRPr="00051757" w:rsidRDefault="00051757" w:rsidP="00051757">
      <w:pPr>
        <w:jc w:val="center"/>
        <w:rPr>
          <w:rFonts w:ascii="Arial" w:hAnsi="Arial" w:cs="Arial"/>
          <w:sz w:val="20"/>
          <w:szCs w:val="20"/>
          <w:lang w:val="en-AU"/>
        </w:rPr>
      </w:pPr>
      <w:r w:rsidRPr="00051757">
        <w:rPr>
          <w:rFonts w:ascii="Arial" w:hAnsi="Arial" w:cs="Arial"/>
          <w:sz w:val="20"/>
          <w:szCs w:val="20"/>
          <w:lang w:val="en-AU"/>
        </w:rPr>
        <w:t>University of Sydney</w:t>
      </w:r>
    </w:p>
    <w:p w14:paraId="237C9498" w14:textId="77777777" w:rsidR="00D154EC" w:rsidRPr="002665D2" w:rsidRDefault="00D154EC">
      <w:pPr>
        <w:rPr>
          <w:rFonts w:ascii="Arial" w:hAnsi="Arial"/>
          <w:b/>
          <w:sz w:val="28"/>
          <w:szCs w:val="28"/>
          <w:lang w:val="en-AU"/>
        </w:rPr>
      </w:pPr>
    </w:p>
    <w:p w14:paraId="25D1E646" w14:textId="0F73954A" w:rsidR="00224894" w:rsidRPr="002665D2" w:rsidRDefault="00F77AC8" w:rsidP="004022A0">
      <w:pPr>
        <w:rPr>
          <w:rFonts w:ascii="Arial" w:hAnsi="Arial"/>
          <w:b/>
          <w:sz w:val="22"/>
          <w:szCs w:val="22"/>
          <w:lang w:val="en-AU"/>
        </w:rPr>
      </w:pPr>
      <w:r w:rsidRPr="002665D2">
        <w:rPr>
          <w:rFonts w:ascii="Arial" w:hAnsi="Arial"/>
          <w:b/>
          <w:sz w:val="22"/>
          <w:szCs w:val="22"/>
          <w:lang w:val="en-AU"/>
        </w:rPr>
        <w:t>Introduction</w:t>
      </w:r>
    </w:p>
    <w:p w14:paraId="6032FED7" w14:textId="77777777" w:rsidR="00F77AC8" w:rsidRDefault="00F77AC8" w:rsidP="004022A0">
      <w:pPr>
        <w:rPr>
          <w:rFonts w:ascii="Arial" w:hAnsi="Arial"/>
          <w:sz w:val="20"/>
          <w:szCs w:val="20"/>
          <w:lang w:val="en-AU"/>
        </w:rPr>
      </w:pPr>
    </w:p>
    <w:p w14:paraId="679E0574" w14:textId="3B7EDE77" w:rsidR="003F2286" w:rsidRPr="002665D2" w:rsidRDefault="003F2286" w:rsidP="004022A0">
      <w:pPr>
        <w:rPr>
          <w:rFonts w:ascii="Arial" w:hAnsi="Arial"/>
          <w:sz w:val="20"/>
          <w:szCs w:val="20"/>
          <w:lang w:val="en-AU"/>
        </w:rPr>
      </w:pPr>
    </w:p>
    <w:p w14:paraId="56733CB7" w14:textId="0D295A9E" w:rsidR="000769E5" w:rsidRPr="000769E5" w:rsidRDefault="002665D2" w:rsidP="000769E5">
      <w:pPr>
        <w:jc w:val="both"/>
        <w:rPr>
          <w:rFonts w:ascii="Arial" w:hAnsi="Arial"/>
          <w:sz w:val="20"/>
          <w:szCs w:val="20"/>
          <w:lang w:val="en-AU"/>
        </w:rPr>
      </w:pPr>
      <w:r w:rsidRPr="002665D2">
        <w:rPr>
          <w:rFonts w:ascii="Arial" w:hAnsi="Arial"/>
          <w:sz w:val="20"/>
          <w:szCs w:val="20"/>
          <w:lang w:val="en-AU"/>
        </w:rPr>
        <w:t>M</w:t>
      </w:r>
      <w:r w:rsidR="0005744C" w:rsidRPr="002665D2">
        <w:rPr>
          <w:rFonts w:ascii="Arial" w:hAnsi="Arial"/>
          <w:sz w:val="20"/>
          <w:szCs w:val="20"/>
          <w:lang w:val="en-AU"/>
        </w:rPr>
        <w:t>ore and more people living in major Australian capital cities choose to live in apartment</w:t>
      </w:r>
      <w:r w:rsidRPr="002665D2">
        <w:rPr>
          <w:rFonts w:ascii="Arial" w:hAnsi="Arial"/>
          <w:sz w:val="20"/>
          <w:szCs w:val="20"/>
          <w:lang w:val="en-AU"/>
        </w:rPr>
        <w:t>s due to</w:t>
      </w:r>
      <w:r w:rsidR="0005744C" w:rsidRPr="002665D2">
        <w:rPr>
          <w:rFonts w:ascii="Arial" w:hAnsi="Arial"/>
          <w:sz w:val="20"/>
          <w:szCs w:val="20"/>
          <w:lang w:val="en-AU"/>
        </w:rPr>
        <w:t xml:space="preserve"> lifestyle shift necessitated by changing demographics, housing affordability and </w:t>
      </w:r>
      <w:r w:rsidR="00A36C8F">
        <w:rPr>
          <w:rFonts w:ascii="Arial" w:hAnsi="Arial"/>
          <w:sz w:val="20"/>
          <w:szCs w:val="20"/>
          <w:lang w:val="en-AU"/>
        </w:rPr>
        <w:t>choice.</w:t>
      </w:r>
      <w:r w:rsidR="009345A2">
        <w:rPr>
          <w:rFonts w:ascii="Arial" w:hAnsi="Arial"/>
          <w:sz w:val="20"/>
          <w:szCs w:val="20"/>
          <w:lang w:val="en-AU"/>
        </w:rPr>
        <w:t xml:space="preserve"> </w:t>
      </w:r>
      <w:r w:rsidR="0084515A" w:rsidRPr="002665D2">
        <w:rPr>
          <w:rFonts w:ascii="Arial" w:hAnsi="Arial"/>
          <w:sz w:val="20"/>
          <w:szCs w:val="20"/>
          <w:lang w:val="en-AU"/>
        </w:rPr>
        <w:t>Hence strategic</w:t>
      </w:r>
      <w:r w:rsidR="0005744C" w:rsidRPr="002665D2">
        <w:rPr>
          <w:rFonts w:ascii="Arial" w:hAnsi="Arial"/>
          <w:sz w:val="20"/>
          <w:szCs w:val="20"/>
          <w:lang w:val="en-AU"/>
        </w:rPr>
        <w:t xml:space="preserve"> planning documents such as </w:t>
      </w:r>
      <w:r w:rsidR="0005744C" w:rsidRPr="002665D2">
        <w:rPr>
          <w:rFonts w:ascii="Arial" w:hAnsi="Arial"/>
          <w:i/>
          <w:iCs/>
          <w:sz w:val="20"/>
          <w:szCs w:val="20"/>
          <w:lang w:val="en-AU"/>
        </w:rPr>
        <w:t xml:space="preserve">Metropolitan Plan for 2036 </w:t>
      </w:r>
      <w:r w:rsidR="0005744C" w:rsidRPr="002665D2">
        <w:rPr>
          <w:rFonts w:ascii="Arial" w:hAnsi="Arial"/>
          <w:sz w:val="20"/>
          <w:szCs w:val="20"/>
          <w:lang w:val="en-AU"/>
        </w:rPr>
        <w:t>(</w:t>
      </w:r>
      <w:r w:rsidR="0005744C" w:rsidRPr="0051393C">
        <w:rPr>
          <w:rFonts w:ascii="Arial" w:hAnsi="Arial"/>
          <w:sz w:val="20"/>
          <w:szCs w:val="20"/>
          <w:lang w:val="en-AU"/>
        </w:rPr>
        <w:t>NSW</w:t>
      </w:r>
      <w:r w:rsidR="0005744C" w:rsidRPr="002665D2">
        <w:rPr>
          <w:rFonts w:ascii="Arial" w:hAnsi="Arial"/>
          <w:sz w:val="20"/>
          <w:szCs w:val="20"/>
          <w:lang w:val="en-AU"/>
        </w:rPr>
        <w:t xml:space="preserve"> Depar</w:t>
      </w:r>
      <w:r w:rsidRPr="002665D2">
        <w:rPr>
          <w:rFonts w:ascii="Arial" w:hAnsi="Arial"/>
          <w:sz w:val="20"/>
          <w:szCs w:val="20"/>
          <w:lang w:val="en-AU"/>
        </w:rPr>
        <w:t>tment of Planning</w:t>
      </w:r>
      <w:r w:rsidR="00131889">
        <w:rPr>
          <w:rFonts w:ascii="Arial" w:hAnsi="Arial"/>
          <w:sz w:val="20"/>
          <w:szCs w:val="20"/>
          <w:lang w:val="en-AU"/>
        </w:rPr>
        <w:t>,</w:t>
      </w:r>
      <w:r w:rsidRPr="002665D2">
        <w:rPr>
          <w:rFonts w:ascii="Arial" w:hAnsi="Arial"/>
          <w:sz w:val="20"/>
          <w:szCs w:val="20"/>
          <w:lang w:val="en-AU"/>
        </w:rPr>
        <w:t xml:space="preserve"> 2010</w:t>
      </w:r>
      <w:r w:rsidR="0005744C" w:rsidRPr="002665D2">
        <w:rPr>
          <w:rFonts w:ascii="Arial" w:hAnsi="Arial"/>
          <w:sz w:val="20"/>
          <w:szCs w:val="20"/>
          <w:lang w:val="en-AU"/>
        </w:rPr>
        <w:t xml:space="preserve">) and </w:t>
      </w:r>
      <w:r w:rsidR="0005744C" w:rsidRPr="002665D2">
        <w:rPr>
          <w:rFonts w:ascii="Arial" w:hAnsi="Arial"/>
          <w:i/>
          <w:iCs/>
          <w:sz w:val="20"/>
          <w:szCs w:val="20"/>
          <w:lang w:val="en-AU"/>
        </w:rPr>
        <w:t xml:space="preserve">A Plan For Growing </w:t>
      </w:r>
      <w:r w:rsidR="0005744C" w:rsidRPr="0051393C">
        <w:rPr>
          <w:rFonts w:ascii="Arial" w:hAnsi="Arial"/>
          <w:i/>
          <w:iCs/>
          <w:sz w:val="20"/>
          <w:szCs w:val="20"/>
          <w:lang w:val="en-AU"/>
        </w:rPr>
        <w:t xml:space="preserve">Sydney </w:t>
      </w:r>
      <w:r w:rsidR="0005744C" w:rsidRPr="0051393C">
        <w:rPr>
          <w:rFonts w:ascii="Arial" w:hAnsi="Arial"/>
          <w:sz w:val="20"/>
          <w:szCs w:val="20"/>
          <w:lang w:val="en-AU"/>
        </w:rPr>
        <w:t>(NSW Department of Planning</w:t>
      </w:r>
      <w:r w:rsidRPr="0051393C">
        <w:rPr>
          <w:rFonts w:ascii="Arial" w:hAnsi="Arial"/>
          <w:sz w:val="20"/>
          <w:szCs w:val="20"/>
          <w:lang w:val="en-AU"/>
        </w:rPr>
        <w:t xml:space="preserve"> and Environment</w:t>
      </w:r>
      <w:r w:rsidR="00131889">
        <w:rPr>
          <w:rFonts w:ascii="Arial" w:hAnsi="Arial"/>
          <w:sz w:val="20"/>
          <w:szCs w:val="20"/>
          <w:lang w:val="en-AU"/>
        </w:rPr>
        <w:t>,</w:t>
      </w:r>
      <w:r w:rsidRPr="002665D2">
        <w:rPr>
          <w:rFonts w:ascii="Arial" w:hAnsi="Arial"/>
          <w:sz w:val="20"/>
          <w:szCs w:val="20"/>
          <w:lang w:val="en-AU"/>
        </w:rPr>
        <w:t xml:space="preserve"> 2014</w:t>
      </w:r>
      <w:r w:rsidR="00411A7A">
        <w:rPr>
          <w:rFonts w:ascii="Arial" w:hAnsi="Arial"/>
          <w:sz w:val="20"/>
          <w:szCs w:val="20"/>
          <w:lang w:val="en-AU"/>
        </w:rPr>
        <w:t>a</w:t>
      </w:r>
      <w:r w:rsidR="0005744C" w:rsidRPr="002665D2">
        <w:rPr>
          <w:rFonts w:ascii="Arial" w:hAnsi="Arial"/>
          <w:sz w:val="20"/>
          <w:szCs w:val="20"/>
          <w:lang w:val="en-AU"/>
        </w:rPr>
        <w:t xml:space="preserve">) </w:t>
      </w:r>
      <w:r w:rsidRPr="002665D2">
        <w:rPr>
          <w:rFonts w:ascii="Arial" w:hAnsi="Arial"/>
          <w:sz w:val="20"/>
          <w:szCs w:val="20"/>
          <w:lang w:val="en-AU"/>
        </w:rPr>
        <w:t xml:space="preserve">encourages </w:t>
      </w:r>
      <w:r w:rsidR="0084515A">
        <w:rPr>
          <w:rFonts w:ascii="Arial" w:hAnsi="Arial"/>
          <w:sz w:val="20"/>
          <w:szCs w:val="20"/>
          <w:lang w:val="en-AU"/>
        </w:rPr>
        <w:t>more high-density developments</w:t>
      </w:r>
      <w:r w:rsidR="0005744C" w:rsidRPr="002665D2">
        <w:rPr>
          <w:rFonts w:ascii="Arial" w:hAnsi="Arial"/>
          <w:sz w:val="20"/>
          <w:szCs w:val="20"/>
          <w:lang w:val="en-AU"/>
        </w:rPr>
        <w:t>.</w:t>
      </w:r>
      <w:r w:rsidRPr="002665D2">
        <w:rPr>
          <w:rFonts w:ascii="Arial" w:hAnsi="Arial"/>
          <w:sz w:val="20"/>
          <w:szCs w:val="20"/>
          <w:lang w:val="en-AU"/>
        </w:rPr>
        <w:t xml:space="preserve"> </w:t>
      </w:r>
      <w:r w:rsidR="000769E5" w:rsidRPr="000769E5">
        <w:rPr>
          <w:rFonts w:ascii="Arial" w:hAnsi="Arial"/>
          <w:sz w:val="20"/>
          <w:szCs w:val="20"/>
          <w:lang w:val="en-US"/>
        </w:rPr>
        <w:t>Apartments currently constitute about 2</w:t>
      </w:r>
      <w:r w:rsidR="00A501F7">
        <w:rPr>
          <w:rFonts w:ascii="Arial" w:hAnsi="Arial"/>
          <w:sz w:val="20"/>
          <w:szCs w:val="20"/>
          <w:lang w:val="en-US"/>
        </w:rPr>
        <w:t>8</w:t>
      </w:r>
      <w:r w:rsidR="000769E5" w:rsidRPr="000769E5">
        <w:rPr>
          <w:rFonts w:ascii="Arial" w:hAnsi="Arial"/>
          <w:sz w:val="20"/>
          <w:szCs w:val="20"/>
          <w:lang w:val="en-US"/>
        </w:rPr>
        <w:t>.</w:t>
      </w:r>
      <w:r w:rsidR="00A501F7">
        <w:rPr>
          <w:rFonts w:ascii="Arial" w:hAnsi="Arial"/>
          <w:sz w:val="20"/>
          <w:szCs w:val="20"/>
          <w:lang w:val="en-US"/>
        </w:rPr>
        <w:t>1</w:t>
      </w:r>
      <w:r w:rsidR="000769E5" w:rsidRPr="000769E5">
        <w:rPr>
          <w:rFonts w:ascii="Arial" w:hAnsi="Arial"/>
          <w:sz w:val="20"/>
          <w:szCs w:val="20"/>
          <w:lang w:val="en-US"/>
        </w:rPr>
        <w:t>% of aggregate housing stock in Sydney, which is twice the share of all other medium density housing forms at 1</w:t>
      </w:r>
      <w:r w:rsidR="00A501F7">
        <w:rPr>
          <w:rFonts w:ascii="Arial" w:hAnsi="Arial"/>
          <w:sz w:val="20"/>
          <w:szCs w:val="20"/>
          <w:lang w:val="en-US"/>
        </w:rPr>
        <w:t>4</w:t>
      </w:r>
      <w:r w:rsidR="000769E5" w:rsidRPr="000769E5">
        <w:rPr>
          <w:rFonts w:ascii="Arial" w:hAnsi="Arial"/>
          <w:sz w:val="20"/>
          <w:szCs w:val="20"/>
          <w:lang w:val="en-US"/>
        </w:rPr>
        <w:t>.</w:t>
      </w:r>
      <w:r w:rsidR="00A501F7">
        <w:rPr>
          <w:rFonts w:ascii="Arial" w:hAnsi="Arial"/>
          <w:sz w:val="20"/>
          <w:szCs w:val="20"/>
          <w:lang w:val="en-US"/>
        </w:rPr>
        <w:t>1</w:t>
      </w:r>
      <w:r w:rsidR="000769E5" w:rsidRPr="000769E5">
        <w:rPr>
          <w:rFonts w:ascii="Arial" w:hAnsi="Arial"/>
          <w:sz w:val="20"/>
          <w:szCs w:val="20"/>
          <w:lang w:val="en-US"/>
        </w:rPr>
        <w:t xml:space="preserve">%. The dwelling stock in </w:t>
      </w:r>
      <w:r w:rsidR="00F85ECA">
        <w:rPr>
          <w:rFonts w:ascii="Arial" w:hAnsi="Arial"/>
          <w:sz w:val="20"/>
          <w:szCs w:val="20"/>
          <w:lang w:val="en-US"/>
        </w:rPr>
        <w:t xml:space="preserve">Greater </w:t>
      </w:r>
      <w:r w:rsidR="000769E5" w:rsidRPr="000769E5">
        <w:rPr>
          <w:rFonts w:ascii="Arial" w:hAnsi="Arial"/>
          <w:sz w:val="20"/>
          <w:szCs w:val="20"/>
          <w:lang w:val="en-US"/>
        </w:rPr>
        <w:t xml:space="preserve">Sydney </w:t>
      </w:r>
      <w:r w:rsidR="00F85ECA">
        <w:rPr>
          <w:rFonts w:ascii="Arial" w:hAnsi="Arial"/>
          <w:sz w:val="20"/>
          <w:szCs w:val="20"/>
          <w:lang w:val="en-US"/>
        </w:rPr>
        <w:t xml:space="preserve">is more than twice </w:t>
      </w:r>
      <w:r w:rsidR="000769E5" w:rsidRPr="000769E5">
        <w:rPr>
          <w:rFonts w:ascii="Arial" w:hAnsi="Arial"/>
          <w:sz w:val="20"/>
          <w:szCs w:val="20"/>
          <w:lang w:val="en-US"/>
        </w:rPr>
        <w:t>the share of flats in comparison to the national average of 13.</w:t>
      </w:r>
      <w:r w:rsidR="00F85ECA">
        <w:rPr>
          <w:rFonts w:ascii="Arial" w:hAnsi="Arial"/>
          <w:sz w:val="20"/>
          <w:szCs w:val="20"/>
          <w:lang w:val="en-US"/>
        </w:rPr>
        <w:t>1</w:t>
      </w:r>
      <w:r w:rsidR="000769E5" w:rsidRPr="000769E5">
        <w:rPr>
          <w:rFonts w:ascii="Arial" w:hAnsi="Arial"/>
          <w:sz w:val="20"/>
          <w:szCs w:val="20"/>
          <w:lang w:val="en-US"/>
        </w:rPr>
        <w:t>% (</w:t>
      </w:r>
      <w:r w:rsidR="000769E5" w:rsidRPr="00A501F7">
        <w:rPr>
          <w:rFonts w:ascii="Arial" w:hAnsi="Arial"/>
          <w:sz w:val="20"/>
          <w:szCs w:val="20"/>
          <w:lang w:val="en-US"/>
        </w:rPr>
        <w:t>ABS</w:t>
      </w:r>
      <w:r w:rsidR="00131889" w:rsidRPr="00A501F7">
        <w:rPr>
          <w:rFonts w:ascii="Arial" w:hAnsi="Arial"/>
          <w:sz w:val="20"/>
          <w:szCs w:val="20"/>
          <w:lang w:val="en-US"/>
        </w:rPr>
        <w:t>,</w:t>
      </w:r>
      <w:r w:rsidR="000769E5" w:rsidRPr="00A501F7">
        <w:rPr>
          <w:rFonts w:ascii="Arial" w:hAnsi="Arial"/>
          <w:sz w:val="20"/>
          <w:szCs w:val="20"/>
          <w:lang w:val="en-US"/>
        </w:rPr>
        <w:t xml:space="preserve"> 201</w:t>
      </w:r>
      <w:r w:rsidR="00F85ECA" w:rsidRPr="00A501F7">
        <w:rPr>
          <w:rFonts w:ascii="Arial" w:hAnsi="Arial"/>
          <w:sz w:val="20"/>
          <w:szCs w:val="20"/>
          <w:lang w:val="en-US"/>
        </w:rPr>
        <w:t>6a</w:t>
      </w:r>
      <w:r w:rsidR="000769E5" w:rsidRPr="00A501F7">
        <w:rPr>
          <w:rFonts w:ascii="Arial" w:hAnsi="Arial"/>
          <w:sz w:val="20"/>
          <w:szCs w:val="20"/>
          <w:lang w:val="en-US"/>
        </w:rPr>
        <w:t xml:space="preserve">; </w:t>
      </w:r>
      <w:r w:rsidR="00131889" w:rsidRPr="00A501F7">
        <w:rPr>
          <w:rFonts w:ascii="Arial" w:hAnsi="Arial"/>
          <w:sz w:val="20"/>
          <w:szCs w:val="20"/>
          <w:lang w:val="en-US"/>
        </w:rPr>
        <w:t xml:space="preserve">ABS, </w:t>
      </w:r>
      <w:r w:rsidR="000769E5" w:rsidRPr="00A501F7">
        <w:rPr>
          <w:rFonts w:ascii="Arial" w:hAnsi="Arial"/>
          <w:sz w:val="20"/>
          <w:szCs w:val="20"/>
          <w:lang w:val="en-US"/>
        </w:rPr>
        <w:t>201</w:t>
      </w:r>
      <w:r w:rsidR="00F85ECA" w:rsidRPr="00A501F7">
        <w:rPr>
          <w:rFonts w:ascii="Arial" w:hAnsi="Arial"/>
          <w:sz w:val="20"/>
          <w:szCs w:val="20"/>
          <w:lang w:val="en-US"/>
        </w:rPr>
        <w:t>6b</w:t>
      </w:r>
      <w:r w:rsidR="000769E5" w:rsidRPr="00A501F7">
        <w:rPr>
          <w:rFonts w:ascii="Arial" w:hAnsi="Arial"/>
          <w:sz w:val="20"/>
          <w:szCs w:val="20"/>
          <w:lang w:val="en-US"/>
        </w:rPr>
        <w:t>). I</w:t>
      </w:r>
      <w:r w:rsidR="000769E5" w:rsidRPr="000769E5">
        <w:rPr>
          <w:rFonts w:ascii="Arial" w:hAnsi="Arial"/>
          <w:sz w:val="20"/>
          <w:szCs w:val="20"/>
          <w:lang w:val="en-US"/>
        </w:rPr>
        <w:t>t is expected that by 2031 up to 45% of Sydney’s total proposed housing stock will be in the medium density sector (Randolph</w:t>
      </w:r>
      <w:r w:rsidR="00131889">
        <w:rPr>
          <w:rFonts w:ascii="Arial" w:hAnsi="Arial"/>
          <w:sz w:val="20"/>
          <w:szCs w:val="20"/>
          <w:lang w:val="en-US"/>
        </w:rPr>
        <w:t>,</w:t>
      </w:r>
      <w:r w:rsidR="000769E5" w:rsidRPr="000769E5">
        <w:rPr>
          <w:rFonts w:ascii="Arial" w:hAnsi="Arial"/>
          <w:sz w:val="20"/>
          <w:szCs w:val="20"/>
          <w:lang w:val="en-US"/>
        </w:rPr>
        <w:t xml:space="preserve"> 2006). This is not surprising given that 50% of Sydney residents either own or live in apartments now (Urban Taskforce 2015, p.1).</w:t>
      </w:r>
    </w:p>
    <w:p w14:paraId="41455AEE" w14:textId="77777777" w:rsidR="000769E5" w:rsidRDefault="000769E5" w:rsidP="0005744C">
      <w:pPr>
        <w:jc w:val="both"/>
        <w:rPr>
          <w:rFonts w:ascii="Arial" w:hAnsi="Arial"/>
          <w:sz w:val="20"/>
          <w:szCs w:val="20"/>
          <w:lang w:val="en-AU"/>
        </w:rPr>
      </w:pPr>
    </w:p>
    <w:p w14:paraId="007BC188" w14:textId="61DF3DEA" w:rsidR="00224894" w:rsidRPr="000769E5" w:rsidRDefault="002665D2" w:rsidP="000769E5">
      <w:pPr>
        <w:jc w:val="both"/>
        <w:rPr>
          <w:rFonts w:ascii="Arial" w:hAnsi="Arial"/>
          <w:sz w:val="20"/>
          <w:szCs w:val="20"/>
          <w:lang w:val="en-AU"/>
        </w:rPr>
      </w:pPr>
      <w:r w:rsidRPr="002665D2">
        <w:rPr>
          <w:rFonts w:ascii="Arial" w:hAnsi="Arial"/>
          <w:sz w:val="20"/>
          <w:szCs w:val="20"/>
          <w:lang w:val="en-AU"/>
        </w:rPr>
        <w:t>Nevertheless, all major Australian capital cities are still highly suburbanised, automobile dependent and detached homes contribute largely to their overall dwelling stock (</w:t>
      </w:r>
      <w:r w:rsidRPr="0052627E">
        <w:rPr>
          <w:rFonts w:ascii="Arial" w:hAnsi="Arial"/>
          <w:sz w:val="20"/>
          <w:szCs w:val="20"/>
          <w:lang w:val="en-AU"/>
        </w:rPr>
        <w:t>Forste</w:t>
      </w:r>
      <w:r w:rsidRPr="002665D2">
        <w:rPr>
          <w:rFonts w:ascii="Arial" w:hAnsi="Arial"/>
          <w:sz w:val="20"/>
          <w:szCs w:val="20"/>
          <w:lang w:val="en-AU"/>
        </w:rPr>
        <w:t>r</w:t>
      </w:r>
      <w:r w:rsidR="0052627E">
        <w:rPr>
          <w:rFonts w:ascii="Arial" w:hAnsi="Arial"/>
          <w:sz w:val="20"/>
          <w:szCs w:val="20"/>
          <w:lang w:val="en-AU"/>
        </w:rPr>
        <w:t>,</w:t>
      </w:r>
      <w:r w:rsidRPr="002665D2">
        <w:rPr>
          <w:rFonts w:ascii="Arial" w:hAnsi="Arial"/>
          <w:sz w:val="20"/>
          <w:szCs w:val="20"/>
          <w:lang w:val="en-AU"/>
        </w:rPr>
        <w:t xml:space="preserve"> 2006). The </w:t>
      </w:r>
      <w:r w:rsidR="0084515A">
        <w:rPr>
          <w:rFonts w:ascii="Arial" w:hAnsi="Arial"/>
          <w:sz w:val="20"/>
          <w:szCs w:val="20"/>
          <w:lang w:val="en-AU"/>
        </w:rPr>
        <w:t xml:space="preserve">early </w:t>
      </w:r>
      <w:r w:rsidR="0084515A" w:rsidRPr="002665D2">
        <w:rPr>
          <w:rFonts w:ascii="Arial" w:hAnsi="Arial"/>
          <w:sz w:val="20"/>
          <w:szCs w:val="20"/>
          <w:lang w:val="en-AU"/>
        </w:rPr>
        <w:t>European heritage (</w:t>
      </w:r>
      <w:r w:rsidR="0052627E" w:rsidRPr="0052627E">
        <w:rPr>
          <w:rFonts w:ascii="Arial" w:hAnsi="Arial"/>
          <w:sz w:val="20"/>
          <w:szCs w:val="20"/>
          <w:lang w:val="en-AU"/>
        </w:rPr>
        <w:t>Davison,</w:t>
      </w:r>
      <w:r w:rsidR="0052627E">
        <w:rPr>
          <w:rFonts w:ascii="Arial" w:hAnsi="Arial"/>
          <w:sz w:val="20"/>
          <w:szCs w:val="20"/>
          <w:lang w:val="en-AU"/>
        </w:rPr>
        <w:t xml:space="preserve"> 2006</w:t>
      </w:r>
      <w:r w:rsidR="0084515A">
        <w:rPr>
          <w:rFonts w:ascii="Arial" w:hAnsi="Arial"/>
          <w:sz w:val="20"/>
          <w:szCs w:val="20"/>
          <w:lang w:val="en-AU"/>
        </w:rPr>
        <w:t>)</w:t>
      </w:r>
      <w:r w:rsidR="0084515A" w:rsidRPr="002665D2">
        <w:rPr>
          <w:rFonts w:ascii="Arial" w:hAnsi="Arial"/>
          <w:sz w:val="20"/>
          <w:szCs w:val="20"/>
          <w:lang w:val="en-AU"/>
        </w:rPr>
        <w:t xml:space="preserve"> </w:t>
      </w:r>
      <w:r w:rsidR="0084515A">
        <w:rPr>
          <w:rFonts w:ascii="Arial" w:hAnsi="Arial"/>
          <w:sz w:val="20"/>
          <w:szCs w:val="20"/>
          <w:lang w:val="en-AU"/>
        </w:rPr>
        <w:t>and t</w:t>
      </w:r>
      <w:r w:rsidRPr="002665D2">
        <w:rPr>
          <w:rFonts w:ascii="Arial" w:hAnsi="Arial"/>
          <w:sz w:val="20"/>
          <w:szCs w:val="20"/>
          <w:lang w:val="en-AU"/>
        </w:rPr>
        <w:t xml:space="preserve">he government policies that favoured home ownership during the post Second World War period further </w:t>
      </w:r>
      <w:r w:rsidR="0084515A">
        <w:rPr>
          <w:rFonts w:ascii="Arial" w:hAnsi="Arial"/>
          <w:sz w:val="20"/>
          <w:szCs w:val="20"/>
          <w:lang w:val="en-AU"/>
        </w:rPr>
        <w:t>encouraged</w:t>
      </w:r>
      <w:r w:rsidR="000769E5">
        <w:rPr>
          <w:rFonts w:ascii="Arial" w:hAnsi="Arial"/>
          <w:sz w:val="20"/>
          <w:szCs w:val="20"/>
          <w:lang w:val="en-AU"/>
        </w:rPr>
        <w:t xml:space="preserve"> suburbanisation (Forster</w:t>
      </w:r>
      <w:r w:rsidR="00F55F0D">
        <w:rPr>
          <w:rFonts w:ascii="Arial" w:hAnsi="Arial"/>
          <w:sz w:val="20"/>
          <w:szCs w:val="20"/>
          <w:lang w:val="en-AU"/>
        </w:rPr>
        <w:t>,</w:t>
      </w:r>
      <w:r w:rsidR="000769E5">
        <w:rPr>
          <w:rFonts w:ascii="Arial" w:hAnsi="Arial"/>
          <w:sz w:val="20"/>
          <w:szCs w:val="20"/>
          <w:lang w:val="en-AU"/>
        </w:rPr>
        <w:t xml:space="preserve"> </w:t>
      </w:r>
      <w:r w:rsidRPr="002665D2">
        <w:rPr>
          <w:rFonts w:ascii="Arial" w:hAnsi="Arial"/>
          <w:sz w:val="20"/>
          <w:szCs w:val="20"/>
          <w:lang w:val="en-AU"/>
        </w:rPr>
        <w:t>2006).</w:t>
      </w:r>
      <w:r w:rsidR="00CB65C0">
        <w:rPr>
          <w:rFonts w:ascii="Arial" w:hAnsi="Arial"/>
          <w:sz w:val="20"/>
          <w:szCs w:val="20"/>
          <w:lang w:val="en-AU"/>
        </w:rPr>
        <w:t xml:space="preserve"> </w:t>
      </w:r>
      <w:r w:rsidR="00CB65C0" w:rsidRPr="00CB65C0">
        <w:rPr>
          <w:rFonts w:ascii="Arial" w:hAnsi="Arial"/>
          <w:sz w:val="20"/>
          <w:szCs w:val="20"/>
          <w:lang w:val="en-US"/>
        </w:rPr>
        <w:t>The cost of infrastructure provision on the city fringes</w:t>
      </w:r>
      <w:r w:rsidR="00EF2C3C">
        <w:rPr>
          <w:rFonts w:ascii="Arial" w:hAnsi="Arial"/>
          <w:sz w:val="20"/>
          <w:szCs w:val="20"/>
          <w:lang w:val="en-US"/>
        </w:rPr>
        <w:t xml:space="preserve"> </w:t>
      </w:r>
      <w:proofErr w:type="spellStart"/>
      <w:r w:rsidR="00EF2C3C">
        <w:rPr>
          <w:rFonts w:ascii="Arial" w:hAnsi="Arial"/>
          <w:sz w:val="20"/>
          <w:szCs w:val="20"/>
          <w:lang w:val="en-US"/>
        </w:rPr>
        <w:t>and</w:t>
      </w:r>
      <w:r w:rsidR="00CB65C0" w:rsidRPr="00CB65C0">
        <w:rPr>
          <w:rFonts w:ascii="Arial" w:hAnsi="Arial"/>
          <w:sz w:val="20"/>
          <w:szCs w:val="20"/>
          <w:lang w:val="en-US"/>
        </w:rPr>
        <w:t>changing</w:t>
      </w:r>
      <w:proofErr w:type="spellEnd"/>
      <w:r w:rsidR="00CB65C0" w:rsidRPr="00CB65C0">
        <w:rPr>
          <w:rFonts w:ascii="Arial" w:hAnsi="Arial"/>
          <w:sz w:val="20"/>
          <w:szCs w:val="20"/>
          <w:lang w:val="en-US"/>
        </w:rPr>
        <w:t xml:space="preserve"> demographics</w:t>
      </w:r>
      <w:r w:rsidR="00CB65C0">
        <w:rPr>
          <w:rFonts w:ascii="Arial" w:hAnsi="Arial"/>
          <w:sz w:val="20"/>
          <w:szCs w:val="20"/>
          <w:lang w:val="en-US"/>
        </w:rPr>
        <w:t xml:space="preserve"> </w:t>
      </w:r>
      <w:r w:rsidR="00CB65C0" w:rsidRPr="00CB65C0">
        <w:rPr>
          <w:rFonts w:ascii="Arial" w:hAnsi="Arial"/>
          <w:sz w:val="20"/>
          <w:szCs w:val="20"/>
          <w:lang w:val="en-US"/>
        </w:rPr>
        <w:t>encouraged the initiation of urban consolidation policies across major c</w:t>
      </w:r>
      <w:r w:rsidR="00415019">
        <w:rPr>
          <w:rFonts w:ascii="Arial" w:hAnsi="Arial"/>
          <w:sz w:val="20"/>
          <w:szCs w:val="20"/>
          <w:lang w:val="en-US"/>
        </w:rPr>
        <w:t>ities in Australia in the 1980s</w:t>
      </w:r>
      <w:r w:rsidR="00CB65C0">
        <w:rPr>
          <w:rFonts w:ascii="Arial" w:hAnsi="Arial"/>
          <w:sz w:val="20"/>
          <w:szCs w:val="20"/>
          <w:lang w:val="en-US"/>
        </w:rPr>
        <w:t xml:space="preserve"> </w:t>
      </w:r>
      <w:r w:rsidR="00CB65C0" w:rsidRPr="00CB65C0">
        <w:rPr>
          <w:rFonts w:ascii="Arial" w:hAnsi="Arial"/>
          <w:sz w:val="20"/>
          <w:szCs w:val="20"/>
          <w:lang w:val="en-US"/>
        </w:rPr>
        <w:t>(</w:t>
      </w:r>
      <w:r w:rsidR="00CB65C0" w:rsidRPr="00F452B8">
        <w:rPr>
          <w:rFonts w:ascii="Arial" w:hAnsi="Arial"/>
          <w:sz w:val="20"/>
          <w:szCs w:val="20"/>
          <w:lang w:val="en-US"/>
        </w:rPr>
        <w:t>Troy</w:t>
      </w:r>
      <w:r w:rsidR="00F55F0D" w:rsidRPr="00F452B8">
        <w:rPr>
          <w:rFonts w:ascii="Arial" w:hAnsi="Arial"/>
          <w:sz w:val="20"/>
          <w:szCs w:val="20"/>
          <w:lang w:val="en-US"/>
        </w:rPr>
        <w:t>,</w:t>
      </w:r>
      <w:r w:rsidR="00CB65C0" w:rsidRPr="00CB65C0">
        <w:rPr>
          <w:rFonts w:ascii="Arial" w:hAnsi="Arial"/>
          <w:sz w:val="20"/>
          <w:szCs w:val="20"/>
          <w:lang w:val="en-US"/>
        </w:rPr>
        <w:t xml:space="preserve"> 1996</w:t>
      </w:r>
      <w:r w:rsidR="00CB65C0">
        <w:rPr>
          <w:rFonts w:ascii="Arial" w:hAnsi="Arial"/>
          <w:sz w:val="20"/>
          <w:szCs w:val="20"/>
          <w:lang w:val="en-US"/>
        </w:rPr>
        <w:t>)</w:t>
      </w:r>
      <w:r w:rsidR="000769E5">
        <w:rPr>
          <w:rFonts w:ascii="Arial" w:hAnsi="Arial"/>
          <w:sz w:val="20"/>
          <w:szCs w:val="20"/>
          <w:lang w:val="en-AU"/>
        </w:rPr>
        <w:t xml:space="preserve">. </w:t>
      </w:r>
      <w:r w:rsidR="002A6355" w:rsidRPr="002A6355">
        <w:rPr>
          <w:rFonts w:ascii="Arial" w:hAnsi="Arial"/>
          <w:sz w:val="20"/>
          <w:szCs w:val="20"/>
          <w:lang w:val="en-US"/>
        </w:rPr>
        <w:t>Though flats were introduced into Australia in the late 19th century (But</w:t>
      </w:r>
      <w:r w:rsidR="00F55F0D">
        <w:rPr>
          <w:rFonts w:ascii="Arial" w:hAnsi="Arial"/>
          <w:sz w:val="20"/>
          <w:szCs w:val="20"/>
          <w:lang w:val="en-US"/>
        </w:rPr>
        <w:t>ler-Bowdon &amp; Pickett, 2007</w:t>
      </w:r>
      <w:r w:rsidR="002A6355" w:rsidRPr="002A6355">
        <w:rPr>
          <w:rFonts w:ascii="Arial" w:hAnsi="Arial"/>
          <w:sz w:val="20"/>
          <w:szCs w:val="20"/>
          <w:lang w:val="en-US"/>
        </w:rPr>
        <w:t>) they only gained widespread attention as probable future housing solutions with the advent of urban consolidation policies. But Randolph (2006, p.477) comments that ‘</w:t>
      </w:r>
      <w:proofErr w:type="spellStart"/>
      <w:r w:rsidR="002A6355" w:rsidRPr="002A6355">
        <w:rPr>
          <w:rFonts w:ascii="Arial" w:hAnsi="Arial"/>
          <w:sz w:val="20"/>
          <w:szCs w:val="20"/>
          <w:lang w:val="en-US"/>
        </w:rPr>
        <w:t>normalisation</w:t>
      </w:r>
      <w:proofErr w:type="spellEnd"/>
      <w:r w:rsidR="002A6355" w:rsidRPr="002A6355">
        <w:rPr>
          <w:rFonts w:ascii="Arial" w:hAnsi="Arial"/>
          <w:sz w:val="20"/>
          <w:szCs w:val="20"/>
          <w:lang w:val="en-US"/>
        </w:rPr>
        <w:t xml:space="preserve"> of apartment living’ is quintessential for the success of urban consolidation policies and for future housing provision in Australia. As such, it is a choice necessitated by constraints in finance, tenure or location. For instance, new migrant families with children live in flats due to financial difficulties or older wealthy couples seeking a lifestyle change tend to live in expensive inner city apartment</w:t>
      </w:r>
      <w:r w:rsidR="002A6355">
        <w:rPr>
          <w:rFonts w:ascii="Arial" w:hAnsi="Arial"/>
          <w:sz w:val="20"/>
          <w:szCs w:val="20"/>
          <w:lang w:val="en-US"/>
        </w:rPr>
        <w:t>.</w:t>
      </w:r>
    </w:p>
    <w:p w14:paraId="42043C17" w14:textId="77777777" w:rsidR="000769E5" w:rsidRDefault="000769E5" w:rsidP="004022A0">
      <w:pPr>
        <w:rPr>
          <w:rFonts w:ascii="Arial" w:hAnsi="Arial"/>
          <w:sz w:val="20"/>
          <w:szCs w:val="20"/>
          <w:lang w:val="en-US"/>
        </w:rPr>
      </w:pPr>
    </w:p>
    <w:p w14:paraId="414BF9A3" w14:textId="23FA9B22" w:rsidR="002A6355" w:rsidRDefault="002A6355" w:rsidP="000769E5">
      <w:pPr>
        <w:jc w:val="both"/>
        <w:rPr>
          <w:rFonts w:ascii="Arial" w:hAnsi="Arial"/>
          <w:iCs/>
          <w:sz w:val="20"/>
          <w:szCs w:val="20"/>
          <w:lang w:val="en-AU"/>
        </w:rPr>
      </w:pPr>
      <w:r w:rsidRPr="002A6355">
        <w:rPr>
          <w:rFonts w:ascii="Arial" w:hAnsi="Arial"/>
          <w:sz w:val="20"/>
          <w:szCs w:val="20"/>
          <w:lang w:val="en-US"/>
        </w:rPr>
        <w:t>Baker (2013) asserts there is very limited research in ‘lived residential experience’ in high-density homes in Australia, despite the push for greater density. More importantly, there is limited in-depth research using a face-to-face household survey approach in Sydney to examine the attitudes of apartment dwellers. Over a quarter of a century has elapsed since the existing primary research in Sydney on this topic (Davies &amp; Young</w:t>
      </w:r>
      <w:r w:rsidR="00131889">
        <w:rPr>
          <w:rFonts w:ascii="Arial" w:hAnsi="Arial"/>
          <w:sz w:val="20"/>
          <w:szCs w:val="20"/>
          <w:lang w:val="en-US"/>
        </w:rPr>
        <w:t>,</w:t>
      </w:r>
      <w:r w:rsidRPr="002A6355">
        <w:rPr>
          <w:rFonts w:ascii="Arial" w:hAnsi="Arial"/>
          <w:sz w:val="20"/>
          <w:szCs w:val="20"/>
          <w:lang w:val="en-US"/>
        </w:rPr>
        <w:t xml:space="preserve"> 1976). The most recent online study </w:t>
      </w:r>
      <w:r w:rsidR="00B628E5">
        <w:rPr>
          <w:rFonts w:ascii="Arial" w:hAnsi="Arial"/>
          <w:sz w:val="20"/>
          <w:szCs w:val="20"/>
          <w:lang w:val="en-US"/>
        </w:rPr>
        <w:t>that</w:t>
      </w:r>
      <w:r w:rsidRPr="002A6355">
        <w:rPr>
          <w:rFonts w:ascii="Arial" w:hAnsi="Arial"/>
          <w:sz w:val="20"/>
          <w:szCs w:val="20"/>
          <w:lang w:val="en-US"/>
        </w:rPr>
        <w:t xml:space="preserve"> reveals insights into the problems of apartment living (</w:t>
      </w:r>
      <w:proofErr w:type="spellStart"/>
      <w:r w:rsidRPr="002A6355">
        <w:rPr>
          <w:rFonts w:ascii="Arial" w:hAnsi="Arial"/>
          <w:sz w:val="20"/>
          <w:szCs w:val="20"/>
          <w:lang w:val="en-US"/>
        </w:rPr>
        <w:t>Easthope</w:t>
      </w:r>
      <w:proofErr w:type="spellEnd"/>
      <w:r w:rsidRPr="002A6355">
        <w:rPr>
          <w:rFonts w:ascii="Arial" w:hAnsi="Arial"/>
          <w:sz w:val="20"/>
          <w:szCs w:val="20"/>
          <w:lang w:val="en-US"/>
        </w:rPr>
        <w:t>, Randolph &amp; Judd</w:t>
      </w:r>
      <w:r w:rsidR="00131889">
        <w:rPr>
          <w:rFonts w:ascii="Arial" w:hAnsi="Arial"/>
          <w:sz w:val="20"/>
          <w:szCs w:val="20"/>
          <w:lang w:val="en-US"/>
        </w:rPr>
        <w:t>,</w:t>
      </w:r>
      <w:r w:rsidRPr="002A6355">
        <w:rPr>
          <w:rFonts w:ascii="Arial" w:hAnsi="Arial"/>
          <w:sz w:val="20"/>
          <w:szCs w:val="20"/>
          <w:lang w:val="en-US"/>
        </w:rPr>
        <w:t xml:space="preserve"> 2012) was done from the perspective of the strata owners or apartment owners. So a contemporary attitudinal study of the current residents using a face-to-face interview survey is long overdue in the wake of continuing urban consolidation policies. </w:t>
      </w:r>
      <w:r w:rsidR="0099089D">
        <w:rPr>
          <w:rFonts w:ascii="Arial" w:hAnsi="Arial"/>
          <w:sz w:val="20"/>
          <w:szCs w:val="20"/>
          <w:lang w:val="en-US"/>
        </w:rPr>
        <w:t xml:space="preserve">Also, </w:t>
      </w:r>
      <w:r w:rsidR="00BD654A">
        <w:rPr>
          <w:rFonts w:ascii="Arial" w:hAnsi="Arial"/>
          <w:sz w:val="20"/>
          <w:szCs w:val="20"/>
          <w:lang w:val="en-US"/>
        </w:rPr>
        <w:t xml:space="preserve">it is expected that </w:t>
      </w:r>
      <w:r w:rsidR="0099089D">
        <w:rPr>
          <w:rFonts w:ascii="Arial" w:hAnsi="Arial"/>
          <w:sz w:val="20"/>
          <w:szCs w:val="20"/>
          <w:lang w:val="en-US"/>
        </w:rPr>
        <w:t xml:space="preserve">the findings from this study </w:t>
      </w:r>
      <w:r w:rsidR="00BD654A">
        <w:rPr>
          <w:rFonts w:ascii="Arial" w:hAnsi="Arial"/>
          <w:sz w:val="20"/>
          <w:szCs w:val="20"/>
          <w:lang w:val="en-US"/>
        </w:rPr>
        <w:t xml:space="preserve">would provide some useful discussions to recently implemented State </w:t>
      </w:r>
      <w:r w:rsidR="00BD654A" w:rsidRPr="002665D2">
        <w:rPr>
          <w:rFonts w:ascii="Arial" w:hAnsi="Arial"/>
          <w:iCs/>
          <w:sz w:val="20"/>
          <w:szCs w:val="20"/>
          <w:lang w:val="en-AU"/>
        </w:rPr>
        <w:t>Environmental Planning Policy (SEPP</w:t>
      </w:r>
      <w:r w:rsidR="00BD654A">
        <w:rPr>
          <w:rFonts w:ascii="Arial" w:hAnsi="Arial"/>
          <w:iCs/>
          <w:sz w:val="20"/>
          <w:szCs w:val="20"/>
          <w:lang w:val="en-AU"/>
        </w:rPr>
        <w:t xml:space="preserve">) 65- </w:t>
      </w:r>
      <w:r w:rsidR="00BD654A" w:rsidRPr="002665D2">
        <w:rPr>
          <w:rFonts w:ascii="Arial" w:hAnsi="Arial"/>
          <w:iCs/>
          <w:sz w:val="20"/>
          <w:szCs w:val="20"/>
          <w:lang w:val="en-AU"/>
        </w:rPr>
        <w:t>Design Quality of Residential Apartment Development</w:t>
      </w:r>
      <w:r w:rsidR="00BD654A">
        <w:rPr>
          <w:rFonts w:ascii="Arial" w:hAnsi="Arial"/>
          <w:iCs/>
          <w:sz w:val="20"/>
          <w:szCs w:val="20"/>
          <w:lang w:val="en-AU"/>
        </w:rPr>
        <w:t>.</w:t>
      </w:r>
    </w:p>
    <w:p w14:paraId="601E3CB1" w14:textId="030B4E3C" w:rsidR="00C63A59" w:rsidRDefault="00C63A59" w:rsidP="000769E5">
      <w:pPr>
        <w:jc w:val="both"/>
        <w:rPr>
          <w:rFonts w:ascii="Arial" w:hAnsi="Arial"/>
          <w:iCs/>
          <w:sz w:val="20"/>
          <w:szCs w:val="20"/>
          <w:lang w:val="en-AU"/>
        </w:rPr>
      </w:pPr>
    </w:p>
    <w:p w14:paraId="3E3886BA" w14:textId="77777777" w:rsidR="00C63A59" w:rsidRPr="002665D2" w:rsidRDefault="00C63A59" w:rsidP="00C63A59">
      <w:pPr>
        <w:jc w:val="both"/>
        <w:rPr>
          <w:rFonts w:ascii="Arial" w:hAnsi="Arial"/>
          <w:sz w:val="20"/>
          <w:szCs w:val="20"/>
          <w:lang w:val="en-AU"/>
        </w:rPr>
      </w:pPr>
      <w:r w:rsidRPr="003F2286">
        <w:rPr>
          <w:rFonts w:ascii="Arial" w:hAnsi="Arial"/>
          <w:sz w:val="20"/>
          <w:szCs w:val="20"/>
          <w:lang w:val="en-US"/>
        </w:rPr>
        <w:t xml:space="preserve">The paper aims to </w:t>
      </w:r>
      <w:r>
        <w:rPr>
          <w:rFonts w:ascii="Arial" w:hAnsi="Arial"/>
          <w:sz w:val="20"/>
          <w:szCs w:val="20"/>
          <w:lang w:val="en-US"/>
        </w:rPr>
        <w:t>reflect upon the</w:t>
      </w:r>
      <w:r w:rsidRPr="003F2286">
        <w:rPr>
          <w:rFonts w:ascii="Arial" w:hAnsi="Arial"/>
          <w:sz w:val="20"/>
          <w:szCs w:val="20"/>
          <w:lang w:val="en-US"/>
        </w:rPr>
        <w:t xml:space="preserve"> findings from a face-to-face household </w:t>
      </w:r>
      <w:r>
        <w:rPr>
          <w:rFonts w:ascii="Arial" w:hAnsi="Arial"/>
          <w:sz w:val="20"/>
          <w:szCs w:val="20"/>
          <w:lang w:val="en-US"/>
        </w:rPr>
        <w:t xml:space="preserve">survey in Fairfield, one of the </w:t>
      </w:r>
      <w:r w:rsidRPr="003F2286">
        <w:rPr>
          <w:rFonts w:ascii="Arial" w:hAnsi="Arial"/>
          <w:sz w:val="20"/>
          <w:szCs w:val="20"/>
          <w:lang w:val="en-US"/>
        </w:rPr>
        <w:t>disadvantaged areas in Sydney</w:t>
      </w:r>
      <w:r>
        <w:rPr>
          <w:rFonts w:ascii="Arial" w:hAnsi="Arial"/>
          <w:sz w:val="20"/>
          <w:szCs w:val="20"/>
          <w:lang w:val="en-US"/>
        </w:rPr>
        <w:t xml:space="preserve"> undertaken as a part of the PhD thesis</w:t>
      </w:r>
      <w:r w:rsidRPr="003F2286">
        <w:rPr>
          <w:rFonts w:ascii="Arial" w:hAnsi="Arial"/>
          <w:sz w:val="20"/>
          <w:szCs w:val="20"/>
          <w:lang w:val="en-US"/>
        </w:rPr>
        <w:t xml:space="preserve">. </w:t>
      </w:r>
      <w:r>
        <w:rPr>
          <w:rFonts w:ascii="Arial" w:hAnsi="Arial"/>
          <w:sz w:val="20"/>
          <w:szCs w:val="20"/>
          <w:lang w:val="en-US"/>
        </w:rPr>
        <w:t xml:space="preserve">Previously, </w:t>
      </w:r>
      <w:r>
        <w:rPr>
          <w:rFonts w:ascii="Arial" w:hAnsi="Arial"/>
          <w:sz w:val="20"/>
          <w:szCs w:val="20"/>
          <w:lang w:val="en-AU"/>
        </w:rPr>
        <w:t>t</w:t>
      </w:r>
      <w:r w:rsidRPr="002665D2">
        <w:rPr>
          <w:rFonts w:ascii="Arial" w:hAnsi="Arial"/>
          <w:sz w:val="20"/>
          <w:szCs w:val="20"/>
          <w:lang w:val="en-AU"/>
        </w:rPr>
        <w:t xml:space="preserve">he preliminary household survey findings (Sajan, 2013) and detailed findings and </w:t>
      </w:r>
      <w:r>
        <w:rPr>
          <w:rFonts w:ascii="Arial" w:hAnsi="Arial"/>
          <w:sz w:val="20"/>
          <w:szCs w:val="20"/>
          <w:lang w:val="en-AU"/>
        </w:rPr>
        <w:t xml:space="preserve">early discussion of the </w:t>
      </w:r>
      <w:r w:rsidRPr="002665D2">
        <w:rPr>
          <w:rFonts w:ascii="Arial" w:hAnsi="Arial"/>
          <w:sz w:val="20"/>
          <w:szCs w:val="20"/>
          <w:lang w:val="en-AU"/>
        </w:rPr>
        <w:t xml:space="preserve">design implications for the multi-owned property developments have been discussed in relation to Building Code of Australia and draft Apartment Design Guide (Sajan, 2015). But the objective of this paper is to </w:t>
      </w:r>
      <w:r>
        <w:rPr>
          <w:rFonts w:ascii="Arial" w:hAnsi="Arial"/>
          <w:sz w:val="20"/>
          <w:szCs w:val="20"/>
          <w:lang w:val="en-AU"/>
        </w:rPr>
        <w:t xml:space="preserve">provide a more comprehensive discussion of the design findings from the analysis and draw useful lessons for policy in the context of the </w:t>
      </w:r>
      <w:r w:rsidRPr="002665D2">
        <w:rPr>
          <w:rFonts w:ascii="Arial" w:hAnsi="Arial"/>
          <w:i/>
          <w:iCs/>
          <w:sz w:val="20"/>
          <w:szCs w:val="20"/>
          <w:lang w:val="en-AU"/>
        </w:rPr>
        <w:t xml:space="preserve">Apartment Design Guide </w:t>
      </w:r>
      <w:r w:rsidRPr="002665D2">
        <w:rPr>
          <w:rFonts w:ascii="Arial" w:hAnsi="Arial"/>
          <w:sz w:val="20"/>
          <w:szCs w:val="20"/>
          <w:lang w:val="en-AU"/>
        </w:rPr>
        <w:t>(NSW Planning and Environment</w:t>
      </w:r>
      <w:r>
        <w:rPr>
          <w:rFonts w:ascii="Arial" w:hAnsi="Arial"/>
          <w:sz w:val="20"/>
          <w:szCs w:val="20"/>
          <w:lang w:val="en-AU"/>
        </w:rPr>
        <w:t>,</w:t>
      </w:r>
      <w:r w:rsidRPr="002665D2">
        <w:rPr>
          <w:rFonts w:ascii="Arial" w:hAnsi="Arial"/>
          <w:sz w:val="20"/>
          <w:szCs w:val="20"/>
          <w:lang w:val="en-AU"/>
        </w:rPr>
        <w:t xml:space="preserve"> 2015)</w:t>
      </w:r>
      <w:r>
        <w:rPr>
          <w:rFonts w:ascii="Arial" w:hAnsi="Arial"/>
          <w:sz w:val="20"/>
          <w:szCs w:val="20"/>
          <w:lang w:val="en-AU"/>
        </w:rPr>
        <w:t xml:space="preserve">. Further, relevant design issues have been discussed in the context of the </w:t>
      </w:r>
      <w:r w:rsidRPr="002665D2">
        <w:rPr>
          <w:rFonts w:ascii="Arial" w:hAnsi="Arial"/>
          <w:sz w:val="20"/>
          <w:szCs w:val="20"/>
          <w:lang w:val="en-AU"/>
        </w:rPr>
        <w:t xml:space="preserve">existing regulations of </w:t>
      </w:r>
      <w:r w:rsidRPr="002665D2">
        <w:rPr>
          <w:rFonts w:ascii="Arial" w:hAnsi="Arial"/>
          <w:i/>
          <w:iCs/>
          <w:sz w:val="20"/>
          <w:szCs w:val="20"/>
          <w:lang w:val="en-AU"/>
        </w:rPr>
        <w:t xml:space="preserve">Building Code of Australia </w:t>
      </w:r>
      <w:r>
        <w:rPr>
          <w:rFonts w:ascii="Arial" w:hAnsi="Arial"/>
          <w:sz w:val="20"/>
          <w:szCs w:val="20"/>
          <w:lang w:val="en-AU"/>
        </w:rPr>
        <w:t>(ABCB, 2013</w:t>
      </w:r>
      <w:r w:rsidRPr="002665D2">
        <w:rPr>
          <w:rFonts w:ascii="Arial" w:hAnsi="Arial"/>
          <w:sz w:val="20"/>
          <w:szCs w:val="20"/>
          <w:lang w:val="en-AU"/>
        </w:rPr>
        <w:t xml:space="preserve">) </w:t>
      </w:r>
      <w:r>
        <w:rPr>
          <w:rFonts w:ascii="Arial" w:hAnsi="Arial"/>
          <w:sz w:val="20"/>
          <w:szCs w:val="20"/>
          <w:lang w:val="en-AU"/>
        </w:rPr>
        <w:t xml:space="preserve">and feasibility of implementing design suggestions have been discussed in consultation with </w:t>
      </w:r>
      <w:r w:rsidRPr="002665D2">
        <w:rPr>
          <w:rFonts w:ascii="Arial" w:hAnsi="Arial"/>
          <w:sz w:val="20"/>
          <w:szCs w:val="20"/>
          <w:lang w:val="en-AU"/>
        </w:rPr>
        <w:t>a practicing architect</w:t>
      </w:r>
      <w:r>
        <w:rPr>
          <w:rFonts w:ascii="Arial" w:hAnsi="Arial"/>
          <w:sz w:val="20"/>
          <w:szCs w:val="20"/>
          <w:lang w:val="en-AU"/>
        </w:rPr>
        <w:t>.</w:t>
      </w:r>
      <w:r w:rsidRPr="002665D2">
        <w:rPr>
          <w:rFonts w:ascii="Arial" w:hAnsi="Arial"/>
          <w:sz w:val="20"/>
          <w:szCs w:val="20"/>
          <w:lang w:val="en-AU"/>
        </w:rPr>
        <w:t xml:space="preserve"> </w:t>
      </w:r>
    </w:p>
    <w:p w14:paraId="63C517E8" w14:textId="77777777" w:rsidR="00C63A59" w:rsidRDefault="00C63A59" w:rsidP="000769E5">
      <w:pPr>
        <w:jc w:val="both"/>
        <w:rPr>
          <w:rFonts w:ascii="Arial" w:hAnsi="Arial"/>
          <w:sz w:val="20"/>
          <w:szCs w:val="20"/>
          <w:lang w:val="en-US"/>
        </w:rPr>
      </w:pPr>
    </w:p>
    <w:p w14:paraId="21C7A076" w14:textId="77777777" w:rsidR="002A6355" w:rsidRPr="002665D2" w:rsidRDefault="002A6355" w:rsidP="004022A0">
      <w:pPr>
        <w:rPr>
          <w:rFonts w:ascii="Arial" w:hAnsi="Arial"/>
          <w:sz w:val="20"/>
          <w:szCs w:val="20"/>
          <w:lang w:val="en-AU"/>
        </w:rPr>
      </w:pPr>
    </w:p>
    <w:p w14:paraId="11489CFE" w14:textId="77777777" w:rsidR="00CA0AC7" w:rsidRPr="002A6355" w:rsidRDefault="00CA0AC7" w:rsidP="00CA0AC7">
      <w:pPr>
        <w:rPr>
          <w:rFonts w:ascii="Arial" w:hAnsi="Arial"/>
          <w:b/>
          <w:bCs/>
          <w:sz w:val="22"/>
          <w:szCs w:val="22"/>
          <w:lang w:val="en-AU"/>
        </w:rPr>
      </w:pPr>
      <w:r w:rsidRPr="002A6355">
        <w:rPr>
          <w:rFonts w:ascii="Arial" w:hAnsi="Arial"/>
          <w:b/>
          <w:bCs/>
          <w:sz w:val="22"/>
          <w:szCs w:val="22"/>
          <w:lang w:val="en-AU"/>
        </w:rPr>
        <w:t xml:space="preserve">State Environmental Planning Policy 65 (SEPP65) </w:t>
      </w:r>
    </w:p>
    <w:p w14:paraId="29BB76F2" w14:textId="77777777" w:rsidR="00CA0AC7" w:rsidRPr="002665D2" w:rsidRDefault="00CA0AC7" w:rsidP="00CA0AC7">
      <w:pPr>
        <w:rPr>
          <w:rFonts w:ascii="Arial" w:hAnsi="Arial"/>
          <w:sz w:val="20"/>
          <w:szCs w:val="20"/>
          <w:lang w:val="en-AU"/>
        </w:rPr>
      </w:pPr>
    </w:p>
    <w:p w14:paraId="17CEDE02" w14:textId="60ECE1C8" w:rsidR="00CA0AC7" w:rsidRPr="00031FEE" w:rsidRDefault="00CA0AC7" w:rsidP="00CA0AC7">
      <w:pPr>
        <w:jc w:val="both"/>
        <w:rPr>
          <w:rFonts w:ascii="Arial" w:hAnsi="Arial"/>
          <w:iCs/>
          <w:sz w:val="20"/>
          <w:szCs w:val="20"/>
          <w:lang w:val="en-AU"/>
        </w:rPr>
      </w:pPr>
      <w:r w:rsidRPr="002665D2">
        <w:rPr>
          <w:rFonts w:ascii="Arial" w:hAnsi="Arial"/>
          <w:iCs/>
          <w:sz w:val="20"/>
          <w:szCs w:val="20"/>
          <w:lang w:val="en-AU"/>
        </w:rPr>
        <w:lastRenderedPageBreak/>
        <w:t>The objective of the State Environmental Planning Policy (SEPP) 65 is to improve the design standards of residential apartments in NSW. The State Environmental Planning Policy (SEPP) 65 - Design Quality of Residential Flat Development</w:t>
      </w:r>
      <w:r w:rsidRPr="002665D2">
        <w:rPr>
          <w:rFonts w:ascii="Arial" w:hAnsi="Arial"/>
          <w:i/>
          <w:iCs/>
          <w:sz w:val="20"/>
          <w:szCs w:val="20"/>
          <w:lang w:val="en-AU"/>
        </w:rPr>
        <w:t xml:space="preserve"> </w:t>
      </w:r>
      <w:r w:rsidRPr="002665D2">
        <w:rPr>
          <w:rFonts w:ascii="Arial" w:hAnsi="Arial"/>
          <w:sz w:val="20"/>
          <w:szCs w:val="20"/>
          <w:lang w:val="en-AU"/>
        </w:rPr>
        <w:t xml:space="preserve">came into effect in 2002 to stipulate guidelines for design quality of residential flat buildings in New South Wales. Accordingly, a residential flat building comprises of a building in three or more storeys, but excludes the below ground level areas, which is less than 1.2 metres in height and is provided for car parking and/or storage. Further, it should contain four or more self-contained dwellings and the building could include shops, but excludes townhouses or villas. The </w:t>
      </w:r>
      <w:r w:rsidRPr="002665D2">
        <w:rPr>
          <w:rFonts w:ascii="Arial" w:hAnsi="Arial"/>
          <w:iCs/>
          <w:sz w:val="20"/>
          <w:szCs w:val="20"/>
          <w:lang w:val="en-AU"/>
        </w:rPr>
        <w:t xml:space="preserve">State Environmental Planning Policy (SEPP) 65- Design Quality of Residential Apartment Development </w:t>
      </w:r>
      <w:r w:rsidR="00497B7D" w:rsidRPr="002665D2">
        <w:rPr>
          <w:rFonts w:ascii="Arial" w:hAnsi="Arial"/>
          <w:iCs/>
          <w:sz w:val="20"/>
          <w:szCs w:val="20"/>
          <w:lang w:val="en-AU"/>
        </w:rPr>
        <w:t xml:space="preserve">that </w:t>
      </w:r>
      <w:r w:rsidRPr="002665D2">
        <w:rPr>
          <w:rFonts w:ascii="Arial" w:hAnsi="Arial"/>
          <w:iCs/>
          <w:sz w:val="20"/>
          <w:szCs w:val="20"/>
          <w:lang w:val="en-AU"/>
        </w:rPr>
        <w:t xml:space="preserve">came into effect in </w:t>
      </w:r>
      <w:r w:rsidR="00967BF3" w:rsidRPr="002665D2">
        <w:rPr>
          <w:rFonts w:ascii="Arial" w:hAnsi="Arial"/>
          <w:iCs/>
          <w:sz w:val="20"/>
          <w:szCs w:val="20"/>
          <w:lang w:val="en-AU"/>
        </w:rPr>
        <w:t>2015</w:t>
      </w:r>
      <w:r w:rsidR="00497B7D" w:rsidRPr="002665D2">
        <w:rPr>
          <w:rFonts w:ascii="Arial" w:hAnsi="Arial"/>
          <w:iCs/>
          <w:sz w:val="20"/>
          <w:szCs w:val="20"/>
          <w:lang w:val="en-AU"/>
        </w:rPr>
        <w:t xml:space="preserve"> replaces its 2002 policy</w:t>
      </w:r>
      <w:r w:rsidRPr="002665D2">
        <w:rPr>
          <w:rFonts w:ascii="Arial" w:hAnsi="Arial"/>
          <w:iCs/>
          <w:sz w:val="20"/>
          <w:szCs w:val="20"/>
          <w:lang w:val="en-AU"/>
        </w:rPr>
        <w:t xml:space="preserve"> and retains all of the above components in its operational definition. Additionally, it includes shop top housing and mixed used developments with res</w:t>
      </w:r>
      <w:r w:rsidR="009A532A" w:rsidRPr="002665D2">
        <w:rPr>
          <w:rFonts w:ascii="Arial" w:hAnsi="Arial"/>
          <w:iCs/>
          <w:sz w:val="20"/>
          <w:szCs w:val="20"/>
          <w:lang w:val="en-AU"/>
        </w:rPr>
        <w:t xml:space="preserve">idential accommodation (SEPP65, </w:t>
      </w:r>
      <w:r w:rsidRPr="002665D2">
        <w:rPr>
          <w:rFonts w:ascii="Arial" w:hAnsi="Arial"/>
          <w:iCs/>
          <w:sz w:val="20"/>
          <w:szCs w:val="20"/>
          <w:lang w:val="en-AU"/>
        </w:rPr>
        <w:t xml:space="preserve">2015). An extensive review of its 2002 policy was undertaken through consultation with a range of key stakeholders including various authorities, residents and </w:t>
      </w:r>
      <w:r w:rsidR="009A532A" w:rsidRPr="002665D2">
        <w:rPr>
          <w:rFonts w:ascii="Arial" w:hAnsi="Arial"/>
          <w:iCs/>
          <w:sz w:val="20"/>
          <w:szCs w:val="20"/>
          <w:lang w:val="en-AU"/>
        </w:rPr>
        <w:t>design professionals and</w:t>
      </w:r>
      <w:r w:rsidRPr="002665D2">
        <w:rPr>
          <w:rFonts w:ascii="Arial" w:hAnsi="Arial"/>
          <w:iCs/>
          <w:sz w:val="20"/>
          <w:szCs w:val="20"/>
          <w:lang w:val="en-AU"/>
        </w:rPr>
        <w:t xml:space="preserve"> found that implementation of Residential Flat Design Code</w:t>
      </w:r>
      <w:r w:rsidR="00390BBE" w:rsidRPr="002665D2">
        <w:rPr>
          <w:rFonts w:ascii="Arial" w:hAnsi="Arial"/>
          <w:iCs/>
          <w:sz w:val="20"/>
          <w:szCs w:val="20"/>
          <w:lang w:val="en-AU"/>
        </w:rPr>
        <w:t xml:space="preserve"> (RFDC)</w:t>
      </w:r>
      <w:r w:rsidRPr="002665D2">
        <w:rPr>
          <w:rFonts w:ascii="Arial" w:hAnsi="Arial"/>
          <w:iCs/>
          <w:sz w:val="20"/>
          <w:szCs w:val="20"/>
          <w:lang w:val="en-AU"/>
        </w:rPr>
        <w:t xml:space="preserve"> improved the apartment design</w:t>
      </w:r>
      <w:r w:rsidR="00390BBE" w:rsidRPr="002665D2">
        <w:rPr>
          <w:rFonts w:ascii="Arial" w:hAnsi="Arial"/>
          <w:iCs/>
          <w:sz w:val="20"/>
          <w:szCs w:val="20"/>
          <w:lang w:val="en-AU"/>
        </w:rPr>
        <w:t xml:space="preserve"> quality</w:t>
      </w:r>
      <w:r w:rsidRPr="002665D2">
        <w:rPr>
          <w:rFonts w:ascii="Arial" w:hAnsi="Arial"/>
          <w:iCs/>
          <w:sz w:val="20"/>
          <w:szCs w:val="20"/>
          <w:lang w:val="en-AU"/>
        </w:rPr>
        <w:t xml:space="preserve"> in NSW</w:t>
      </w:r>
      <w:r w:rsidR="00967BF3" w:rsidRPr="002665D2">
        <w:rPr>
          <w:rFonts w:ascii="Arial" w:hAnsi="Arial"/>
          <w:iCs/>
          <w:sz w:val="20"/>
          <w:szCs w:val="20"/>
          <w:lang w:val="en-AU"/>
        </w:rPr>
        <w:t>. There is a shift towards ‘performance based approach’</w:t>
      </w:r>
      <w:r w:rsidRPr="002665D2">
        <w:rPr>
          <w:rFonts w:ascii="Arial" w:hAnsi="Arial"/>
          <w:iCs/>
          <w:sz w:val="20"/>
          <w:szCs w:val="20"/>
          <w:lang w:val="en-AU"/>
        </w:rPr>
        <w:t xml:space="preserve"> </w:t>
      </w:r>
      <w:r w:rsidR="00967BF3" w:rsidRPr="002665D2">
        <w:rPr>
          <w:rFonts w:ascii="Arial" w:hAnsi="Arial"/>
          <w:iCs/>
          <w:sz w:val="20"/>
          <w:szCs w:val="20"/>
          <w:lang w:val="en-AU"/>
        </w:rPr>
        <w:t>and the ‘rules of thumb’ in its previous policy is th</w:t>
      </w:r>
      <w:r w:rsidR="004829F3" w:rsidRPr="002665D2">
        <w:rPr>
          <w:rFonts w:ascii="Arial" w:hAnsi="Arial"/>
          <w:iCs/>
          <w:sz w:val="20"/>
          <w:szCs w:val="20"/>
          <w:lang w:val="en-AU"/>
        </w:rPr>
        <w:t xml:space="preserve">e new ‘performance criteria, acceptable solutions and alternative solutions </w:t>
      </w:r>
      <w:r w:rsidRPr="002665D2">
        <w:rPr>
          <w:rFonts w:ascii="Arial" w:hAnsi="Arial"/>
          <w:iCs/>
          <w:sz w:val="20"/>
          <w:szCs w:val="20"/>
          <w:lang w:val="en-AU"/>
        </w:rPr>
        <w:t>(NSW Department of Planning</w:t>
      </w:r>
      <w:r w:rsidR="00131889">
        <w:rPr>
          <w:rFonts w:ascii="Arial" w:hAnsi="Arial"/>
          <w:iCs/>
          <w:sz w:val="20"/>
          <w:szCs w:val="20"/>
          <w:lang w:val="en-AU"/>
        </w:rPr>
        <w:t xml:space="preserve"> &amp; Environment</w:t>
      </w:r>
      <w:r w:rsidRPr="002665D2">
        <w:rPr>
          <w:rFonts w:ascii="Arial" w:hAnsi="Arial"/>
          <w:iCs/>
          <w:sz w:val="20"/>
          <w:szCs w:val="20"/>
          <w:lang w:val="en-AU"/>
        </w:rPr>
        <w:t>, 2014</w:t>
      </w:r>
      <w:r w:rsidR="00131889">
        <w:rPr>
          <w:rFonts w:ascii="Arial" w:hAnsi="Arial"/>
          <w:iCs/>
          <w:sz w:val="20"/>
          <w:szCs w:val="20"/>
          <w:lang w:val="en-AU"/>
        </w:rPr>
        <w:t>b</w:t>
      </w:r>
      <w:r w:rsidRPr="002665D2">
        <w:rPr>
          <w:rFonts w:ascii="Arial" w:hAnsi="Arial"/>
          <w:iCs/>
          <w:sz w:val="20"/>
          <w:szCs w:val="20"/>
          <w:lang w:val="en-AU"/>
        </w:rPr>
        <w:t xml:space="preserve">). </w:t>
      </w:r>
      <w:proofErr w:type="spellStart"/>
      <w:r w:rsidRPr="002665D2">
        <w:rPr>
          <w:rFonts w:ascii="Arial" w:hAnsi="Arial"/>
          <w:iCs/>
          <w:sz w:val="20"/>
          <w:szCs w:val="20"/>
          <w:lang w:val="en-AU"/>
        </w:rPr>
        <w:t>Gaden</w:t>
      </w:r>
      <w:proofErr w:type="spellEnd"/>
      <w:r w:rsidRPr="002665D2">
        <w:rPr>
          <w:rFonts w:ascii="Arial" w:hAnsi="Arial"/>
          <w:iCs/>
          <w:sz w:val="20"/>
          <w:szCs w:val="20"/>
          <w:lang w:val="en-AU"/>
        </w:rPr>
        <w:t>-Urbis (2015) notes renaming this policy from ‘code’ to ‘guide’ denotes flexibility in implementing design suggestions</w:t>
      </w:r>
      <w:r w:rsidRPr="00031FEE">
        <w:rPr>
          <w:rFonts w:ascii="Arial" w:hAnsi="Arial"/>
          <w:iCs/>
          <w:sz w:val="20"/>
          <w:szCs w:val="20"/>
          <w:lang w:val="en-AU"/>
        </w:rPr>
        <w:t xml:space="preserve">. </w:t>
      </w:r>
      <w:r w:rsidR="00031FEE" w:rsidRPr="00031FEE">
        <w:rPr>
          <w:rFonts w:ascii="Arial" w:hAnsi="Arial"/>
          <w:iCs/>
          <w:sz w:val="20"/>
          <w:szCs w:val="20"/>
          <w:lang w:val="en-AU"/>
        </w:rPr>
        <w:t xml:space="preserve">Moore et al., </w:t>
      </w:r>
      <w:r w:rsidR="00860E7A" w:rsidRPr="00031FEE">
        <w:rPr>
          <w:rFonts w:ascii="Arial" w:hAnsi="Arial"/>
          <w:iCs/>
          <w:sz w:val="20"/>
          <w:szCs w:val="20"/>
          <w:lang w:val="en-AU"/>
        </w:rPr>
        <w:t>201</w:t>
      </w:r>
      <w:r w:rsidR="00860E7A">
        <w:rPr>
          <w:rFonts w:ascii="Arial" w:hAnsi="Arial"/>
          <w:iCs/>
          <w:sz w:val="20"/>
          <w:szCs w:val="20"/>
          <w:lang w:val="en-AU"/>
        </w:rPr>
        <w:t>5</w:t>
      </w:r>
      <w:r w:rsidR="00BF0470">
        <w:rPr>
          <w:rFonts w:ascii="Arial" w:hAnsi="Arial"/>
          <w:iCs/>
          <w:sz w:val="20"/>
          <w:szCs w:val="20"/>
          <w:lang w:val="en-AU"/>
        </w:rPr>
        <w:t>, p.2</w:t>
      </w:r>
      <w:r w:rsidR="00031FEE" w:rsidRPr="00031FEE">
        <w:rPr>
          <w:rFonts w:ascii="Arial" w:hAnsi="Arial"/>
          <w:iCs/>
          <w:sz w:val="20"/>
          <w:szCs w:val="20"/>
          <w:lang w:val="en-AU"/>
        </w:rPr>
        <w:t xml:space="preserve"> </w:t>
      </w:r>
      <w:r w:rsidR="005D2099">
        <w:rPr>
          <w:rFonts w:ascii="Arial" w:hAnsi="Arial"/>
          <w:iCs/>
          <w:sz w:val="20"/>
          <w:szCs w:val="20"/>
          <w:lang w:val="en-AU"/>
        </w:rPr>
        <w:t xml:space="preserve">notes </w:t>
      </w:r>
      <w:r w:rsidR="00031FEE" w:rsidRPr="00031FEE">
        <w:rPr>
          <w:rFonts w:ascii="Arial" w:hAnsi="Arial"/>
          <w:iCs/>
          <w:sz w:val="20"/>
          <w:szCs w:val="20"/>
          <w:lang w:val="en-AU"/>
        </w:rPr>
        <w:t xml:space="preserve">that </w:t>
      </w:r>
      <w:r w:rsidR="00860E7A">
        <w:rPr>
          <w:rFonts w:ascii="Arial" w:hAnsi="Arial"/>
          <w:iCs/>
          <w:sz w:val="20"/>
          <w:szCs w:val="20"/>
          <w:lang w:val="en-AU"/>
        </w:rPr>
        <w:t>‘</w:t>
      </w:r>
      <w:r w:rsidR="00031FEE" w:rsidRPr="00031FEE">
        <w:rPr>
          <w:rFonts w:ascii="Arial" w:hAnsi="Arial"/>
          <w:iCs/>
          <w:sz w:val="20"/>
          <w:szCs w:val="20"/>
          <w:lang w:val="en-US"/>
        </w:rPr>
        <w:t xml:space="preserve">design guidelines like the State Environmental Planning Policy 65 – Design Quality of Residential </w:t>
      </w:r>
      <w:r w:rsidR="00031FEE" w:rsidRPr="00031FEE">
        <w:rPr>
          <w:rFonts w:ascii="Arial" w:hAnsi="Arial"/>
          <w:iCs/>
          <w:sz w:val="20"/>
          <w:szCs w:val="20"/>
          <w:lang w:val="en-AU"/>
        </w:rPr>
        <w:t>Apartment</w:t>
      </w:r>
      <w:r w:rsidR="00031FEE" w:rsidRPr="00031FEE">
        <w:rPr>
          <w:rFonts w:ascii="Arial" w:hAnsi="Arial"/>
          <w:iCs/>
          <w:sz w:val="20"/>
          <w:szCs w:val="20"/>
          <w:lang w:val="en-US"/>
        </w:rPr>
        <w:t xml:space="preserve"> Development sets </w:t>
      </w:r>
      <w:r w:rsidR="00FD325E" w:rsidRPr="00031FEE">
        <w:rPr>
          <w:rFonts w:ascii="Arial" w:hAnsi="Arial"/>
          <w:iCs/>
          <w:sz w:val="20"/>
          <w:szCs w:val="20"/>
          <w:lang w:val="en-US"/>
        </w:rPr>
        <w:t>minimum design quality requirements</w:t>
      </w:r>
      <w:r w:rsidR="00EB5575">
        <w:rPr>
          <w:rFonts w:ascii="Arial" w:hAnsi="Arial"/>
          <w:iCs/>
          <w:sz w:val="20"/>
          <w:szCs w:val="20"/>
          <w:lang w:val="en-US"/>
        </w:rPr>
        <w:t>.’</w:t>
      </w:r>
      <w:r w:rsidR="00031FEE" w:rsidRPr="00031FEE">
        <w:rPr>
          <w:rFonts w:ascii="Arial" w:hAnsi="Arial"/>
          <w:iCs/>
          <w:sz w:val="20"/>
          <w:szCs w:val="20"/>
          <w:lang w:val="en-US"/>
        </w:rPr>
        <w:t xml:space="preserve"> </w:t>
      </w:r>
      <w:r w:rsidR="00EB5575">
        <w:rPr>
          <w:rFonts w:ascii="Arial" w:hAnsi="Arial"/>
          <w:iCs/>
          <w:sz w:val="20"/>
          <w:szCs w:val="20"/>
          <w:lang w:val="en-US"/>
        </w:rPr>
        <w:t xml:space="preserve">This is particularly useful </w:t>
      </w:r>
      <w:r w:rsidR="00031FEE" w:rsidRPr="00031FEE">
        <w:rPr>
          <w:rFonts w:ascii="Arial" w:hAnsi="Arial"/>
          <w:iCs/>
          <w:sz w:val="20"/>
          <w:szCs w:val="20"/>
          <w:lang w:val="en-US"/>
        </w:rPr>
        <w:t>at the lower end of the market</w:t>
      </w:r>
      <w:r w:rsidR="00FD325E" w:rsidRPr="00031FEE">
        <w:rPr>
          <w:rFonts w:ascii="Arial" w:hAnsi="Arial"/>
          <w:iCs/>
          <w:sz w:val="20"/>
          <w:szCs w:val="20"/>
          <w:lang w:val="en-US"/>
        </w:rPr>
        <w:t xml:space="preserve">. </w:t>
      </w:r>
    </w:p>
    <w:p w14:paraId="26BC376E" w14:textId="77777777" w:rsidR="00224894" w:rsidRPr="00031FEE" w:rsidRDefault="00224894" w:rsidP="004022A0">
      <w:pPr>
        <w:rPr>
          <w:rFonts w:ascii="Arial" w:hAnsi="Arial"/>
          <w:sz w:val="20"/>
          <w:szCs w:val="20"/>
          <w:lang w:val="en-AU"/>
        </w:rPr>
      </w:pPr>
    </w:p>
    <w:p w14:paraId="1DA73335" w14:textId="77777777" w:rsidR="00224894" w:rsidRPr="002665D2" w:rsidRDefault="00224894" w:rsidP="004022A0">
      <w:pPr>
        <w:rPr>
          <w:rFonts w:ascii="Arial" w:hAnsi="Arial"/>
          <w:sz w:val="20"/>
          <w:szCs w:val="20"/>
          <w:lang w:val="en-AU"/>
        </w:rPr>
      </w:pPr>
    </w:p>
    <w:p w14:paraId="326438BB" w14:textId="50606AAB" w:rsidR="00224894" w:rsidRPr="002665D2" w:rsidRDefault="005E2480" w:rsidP="004022A0">
      <w:pPr>
        <w:rPr>
          <w:rFonts w:ascii="Arial" w:hAnsi="Arial"/>
          <w:b/>
          <w:sz w:val="22"/>
          <w:szCs w:val="22"/>
          <w:lang w:val="en-AU"/>
        </w:rPr>
      </w:pPr>
      <w:r w:rsidRPr="002665D2">
        <w:rPr>
          <w:rFonts w:ascii="Arial" w:hAnsi="Arial"/>
          <w:b/>
          <w:sz w:val="22"/>
          <w:szCs w:val="22"/>
          <w:lang w:val="en-AU"/>
        </w:rPr>
        <w:t>Methodology</w:t>
      </w:r>
    </w:p>
    <w:p w14:paraId="1A1EC97E" w14:textId="77777777" w:rsidR="005E2480" w:rsidRPr="002665D2" w:rsidRDefault="005E2480" w:rsidP="004022A0">
      <w:pPr>
        <w:rPr>
          <w:rFonts w:ascii="Arial" w:hAnsi="Arial"/>
          <w:b/>
          <w:sz w:val="20"/>
          <w:szCs w:val="20"/>
          <w:lang w:val="en-AU"/>
        </w:rPr>
      </w:pPr>
    </w:p>
    <w:p w14:paraId="420B9110" w14:textId="11356785" w:rsidR="00F50B65" w:rsidRPr="002665D2" w:rsidRDefault="005E2480" w:rsidP="00241C8F">
      <w:pPr>
        <w:jc w:val="both"/>
        <w:rPr>
          <w:rFonts w:ascii="Arial" w:hAnsi="Arial"/>
          <w:sz w:val="20"/>
          <w:szCs w:val="20"/>
          <w:lang w:val="en-AU"/>
        </w:rPr>
      </w:pPr>
      <w:r w:rsidRPr="002665D2">
        <w:rPr>
          <w:rFonts w:ascii="Arial" w:hAnsi="Arial"/>
          <w:sz w:val="20"/>
          <w:szCs w:val="20"/>
          <w:lang w:val="en-AU"/>
        </w:rPr>
        <w:t>The research design uses a case study approach, where residential satisfaction of medium density apartment housing residents in Fairfield is examined as a single case study, representing similar socio-demographics elsewhere in Australia. Fairfield</w:t>
      </w:r>
      <w:r w:rsidR="00B31A96" w:rsidRPr="002665D2">
        <w:rPr>
          <w:rFonts w:ascii="Arial" w:hAnsi="Arial"/>
          <w:sz w:val="20"/>
          <w:szCs w:val="20"/>
          <w:lang w:val="en-AU"/>
        </w:rPr>
        <w:t xml:space="preserve"> Statistical Area Level 2 (SA2)</w:t>
      </w:r>
      <w:r w:rsidRPr="002665D2">
        <w:rPr>
          <w:rFonts w:ascii="Arial" w:hAnsi="Arial"/>
          <w:sz w:val="20"/>
          <w:szCs w:val="20"/>
          <w:lang w:val="en-AU"/>
        </w:rPr>
        <w:t xml:space="preserve">, located in South Western Sydney, </w:t>
      </w:r>
      <w:r w:rsidR="00B31A96" w:rsidRPr="002665D2">
        <w:rPr>
          <w:rFonts w:ascii="Arial" w:hAnsi="Arial"/>
          <w:sz w:val="20"/>
          <w:szCs w:val="20"/>
          <w:lang w:val="en-AU"/>
        </w:rPr>
        <w:t>is ranked 6</w:t>
      </w:r>
      <w:r w:rsidR="00B31A96" w:rsidRPr="002665D2">
        <w:rPr>
          <w:rFonts w:ascii="Arial" w:hAnsi="Arial"/>
          <w:sz w:val="20"/>
          <w:szCs w:val="20"/>
          <w:vertAlign w:val="superscript"/>
          <w:lang w:val="en-AU"/>
        </w:rPr>
        <w:t>th</w:t>
      </w:r>
      <w:r w:rsidR="00B31A96" w:rsidRPr="002665D2">
        <w:rPr>
          <w:rFonts w:ascii="Arial" w:hAnsi="Arial"/>
          <w:sz w:val="20"/>
          <w:szCs w:val="20"/>
          <w:lang w:val="en-AU"/>
        </w:rPr>
        <w:t xml:space="preserve"> in New South Wales in terms of</w:t>
      </w:r>
      <w:r w:rsidRPr="002665D2">
        <w:rPr>
          <w:rFonts w:ascii="Arial" w:hAnsi="Arial"/>
          <w:sz w:val="20"/>
          <w:szCs w:val="20"/>
          <w:lang w:val="en-AU"/>
        </w:rPr>
        <w:t xml:space="preserve"> Socio-Eco</w:t>
      </w:r>
      <w:r w:rsidR="00B31A96" w:rsidRPr="002665D2">
        <w:rPr>
          <w:rFonts w:ascii="Arial" w:hAnsi="Arial"/>
          <w:sz w:val="20"/>
          <w:szCs w:val="20"/>
          <w:lang w:val="en-AU"/>
        </w:rPr>
        <w:t>nomic Indexes For Areas (SEIFA)</w:t>
      </w:r>
      <w:r w:rsidRPr="002665D2">
        <w:rPr>
          <w:rFonts w:ascii="Arial" w:hAnsi="Arial"/>
          <w:sz w:val="20"/>
          <w:szCs w:val="20"/>
          <w:lang w:val="en-AU"/>
        </w:rPr>
        <w:t xml:space="preserve"> Index of Relative Socio-economic Advantage and Disadv</w:t>
      </w:r>
      <w:r w:rsidR="00B31A96" w:rsidRPr="002665D2">
        <w:rPr>
          <w:rFonts w:ascii="Arial" w:hAnsi="Arial"/>
          <w:sz w:val="20"/>
          <w:szCs w:val="20"/>
          <w:lang w:val="en-AU"/>
        </w:rPr>
        <w:t xml:space="preserve">antage (IRSAD) </w:t>
      </w:r>
      <w:r w:rsidR="00776DE5" w:rsidRPr="002665D2">
        <w:rPr>
          <w:rFonts w:ascii="Arial" w:hAnsi="Arial"/>
          <w:sz w:val="20"/>
          <w:szCs w:val="20"/>
          <w:lang w:val="en-AU"/>
        </w:rPr>
        <w:t>(</w:t>
      </w:r>
      <w:r w:rsidR="005C6496" w:rsidRPr="005C6496">
        <w:rPr>
          <w:rFonts w:ascii="Arial" w:hAnsi="Arial"/>
          <w:sz w:val="20"/>
          <w:szCs w:val="20"/>
          <w:lang w:val="en-AU"/>
        </w:rPr>
        <w:t>ABS, 2013</w:t>
      </w:r>
      <w:r w:rsidR="00776DE5" w:rsidRPr="002665D2">
        <w:rPr>
          <w:rFonts w:ascii="Arial" w:hAnsi="Arial"/>
          <w:sz w:val="20"/>
          <w:szCs w:val="20"/>
          <w:lang w:val="en-AU"/>
        </w:rPr>
        <w:t xml:space="preserve">). </w:t>
      </w:r>
      <w:r w:rsidR="007C4281" w:rsidRPr="002665D2">
        <w:rPr>
          <w:rFonts w:ascii="Arial" w:hAnsi="Arial"/>
          <w:sz w:val="20"/>
          <w:szCs w:val="20"/>
          <w:lang w:val="en-AU"/>
        </w:rPr>
        <w:t xml:space="preserve">The seven high-rise apartments </w:t>
      </w:r>
      <w:r w:rsidR="0011069C" w:rsidRPr="002665D2">
        <w:rPr>
          <w:rFonts w:ascii="Arial" w:hAnsi="Arial"/>
          <w:sz w:val="20"/>
          <w:szCs w:val="20"/>
          <w:lang w:val="en-AU"/>
        </w:rPr>
        <w:t xml:space="preserve">in 6 storeys and up </w:t>
      </w:r>
      <w:r w:rsidR="007C4281" w:rsidRPr="002665D2">
        <w:rPr>
          <w:rFonts w:ascii="Arial" w:hAnsi="Arial"/>
          <w:sz w:val="20"/>
          <w:szCs w:val="20"/>
          <w:lang w:val="en-AU"/>
        </w:rPr>
        <w:t xml:space="preserve">under study are located in 4 </w:t>
      </w:r>
      <w:r w:rsidR="0011069C" w:rsidRPr="002665D2">
        <w:rPr>
          <w:rFonts w:ascii="Arial" w:hAnsi="Arial"/>
          <w:sz w:val="20"/>
          <w:szCs w:val="20"/>
          <w:lang w:val="en-AU"/>
        </w:rPr>
        <w:t>Statistical Area</w:t>
      </w:r>
      <w:r w:rsidR="007C4281" w:rsidRPr="002665D2">
        <w:rPr>
          <w:rFonts w:ascii="Arial" w:hAnsi="Arial"/>
          <w:sz w:val="20"/>
          <w:szCs w:val="20"/>
          <w:lang w:val="en-AU"/>
        </w:rPr>
        <w:t xml:space="preserve"> Level 1 (SA1’s) in </w:t>
      </w:r>
      <w:r w:rsidR="0011069C" w:rsidRPr="002665D2">
        <w:rPr>
          <w:rFonts w:ascii="Arial" w:hAnsi="Arial"/>
          <w:sz w:val="20"/>
          <w:szCs w:val="20"/>
          <w:lang w:val="en-AU"/>
        </w:rPr>
        <w:t>the heart of</w:t>
      </w:r>
      <w:r w:rsidR="007C4281" w:rsidRPr="002665D2">
        <w:rPr>
          <w:rFonts w:ascii="Arial" w:hAnsi="Arial"/>
          <w:sz w:val="20"/>
          <w:szCs w:val="20"/>
          <w:lang w:val="en-AU"/>
        </w:rPr>
        <w:t xml:space="preserve"> Fairfield</w:t>
      </w:r>
      <w:r w:rsidR="00C16BEC" w:rsidRPr="002665D2">
        <w:rPr>
          <w:rFonts w:ascii="Arial" w:hAnsi="Arial"/>
          <w:sz w:val="20"/>
          <w:szCs w:val="20"/>
          <w:lang w:val="en-AU"/>
        </w:rPr>
        <w:t>. T</w:t>
      </w:r>
      <w:r w:rsidR="0011069C" w:rsidRPr="002665D2">
        <w:rPr>
          <w:rFonts w:ascii="Arial" w:hAnsi="Arial"/>
          <w:sz w:val="20"/>
          <w:szCs w:val="20"/>
          <w:lang w:val="en-AU"/>
        </w:rPr>
        <w:t xml:space="preserve">he selection </w:t>
      </w:r>
      <w:r w:rsidR="00C16BEC" w:rsidRPr="002665D2">
        <w:rPr>
          <w:rFonts w:ascii="Arial" w:hAnsi="Arial"/>
          <w:sz w:val="20"/>
          <w:szCs w:val="20"/>
          <w:lang w:val="en-AU"/>
        </w:rPr>
        <w:t xml:space="preserve">of the apartments and the data collection </w:t>
      </w:r>
      <w:r w:rsidR="008116F1" w:rsidRPr="002665D2">
        <w:rPr>
          <w:rFonts w:ascii="Arial" w:hAnsi="Arial"/>
          <w:sz w:val="20"/>
          <w:szCs w:val="20"/>
          <w:lang w:val="en-AU"/>
        </w:rPr>
        <w:t>methods</w:t>
      </w:r>
      <w:r w:rsidR="0011069C" w:rsidRPr="002665D2">
        <w:rPr>
          <w:rFonts w:ascii="Arial" w:hAnsi="Arial"/>
          <w:sz w:val="20"/>
          <w:szCs w:val="20"/>
          <w:lang w:val="en-AU"/>
        </w:rPr>
        <w:t xml:space="preserve"> w</w:t>
      </w:r>
      <w:r w:rsidR="008116F1" w:rsidRPr="002665D2">
        <w:rPr>
          <w:rFonts w:ascii="Arial" w:hAnsi="Arial"/>
          <w:sz w:val="20"/>
          <w:szCs w:val="20"/>
          <w:lang w:val="en-AU"/>
        </w:rPr>
        <w:t>ere</w:t>
      </w:r>
      <w:r w:rsidR="0011069C" w:rsidRPr="002665D2">
        <w:rPr>
          <w:rFonts w:ascii="Arial" w:hAnsi="Arial"/>
          <w:sz w:val="20"/>
          <w:szCs w:val="20"/>
          <w:lang w:val="en-AU"/>
        </w:rPr>
        <w:t xml:space="preserve"> discussed previously (Sajan</w:t>
      </w:r>
      <w:r w:rsidR="00C16BEC" w:rsidRPr="002665D2">
        <w:rPr>
          <w:rFonts w:ascii="Arial" w:hAnsi="Arial"/>
          <w:sz w:val="20"/>
          <w:szCs w:val="20"/>
          <w:lang w:val="en-AU"/>
        </w:rPr>
        <w:t xml:space="preserve"> 2013; </w:t>
      </w:r>
      <w:r w:rsidR="0011069C" w:rsidRPr="002665D2">
        <w:rPr>
          <w:rFonts w:ascii="Arial" w:hAnsi="Arial"/>
          <w:sz w:val="20"/>
          <w:szCs w:val="20"/>
          <w:lang w:val="en-AU"/>
        </w:rPr>
        <w:t>2015)</w:t>
      </w:r>
      <w:r w:rsidR="007C4281" w:rsidRPr="002665D2">
        <w:rPr>
          <w:rFonts w:ascii="Arial" w:hAnsi="Arial"/>
          <w:sz w:val="20"/>
          <w:szCs w:val="20"/>
          <w:lang w:val="en-AU"/>
        </w:rPr>
        <w:t xml:space="preserve">. </w:t>
      </w:r>
      <w:r w:rsidR="00F50B65" w:rsidRPr="002665D2">
        <w:rPr>
          <w:rFonts w:ascii="Arial" w:hAnsi="Arial"/>
          <w:sz w:val="20"/>
          <w:szCs w:val="20"/>
          <w:lang w:val="en-AU"/>
        </w:rPr>
        <w:t xml:space="preserve">The sample population is predominantly renting (75%), overseas born (80%) and </w:t>
      </w:r>
      <w:r w:rsidR="00251913" w:rsidRPr="002665D2">
        <w:rPr>
          <w:rFonts w:ascii="Arial" w:hAnsi="Arial"/>
          <w:sz w:val="20"/>
          <w:szCs w:val="20"/>
          <w:lang w:val="en-AU"/>
        </w:rPr>
        <w:t xml:space="preserve">only 40% of the population held a full time job. </w:t>
      </w:r>
    </w:p>
    <w:p w14:paraId="4881A4F3" w14:textId="77777777" w:rsidR="00F50B65" w:rsidRPr="002665D2" w:rsidRDefault="00F50B65" w:rsidP="00241C8F">
      <w:pPr>
        <w:jc w:val="both"/>
        <w:rPr>
          <w:rFonts w:ascii="Arial" w:hAnsi="Arial"/>
          <w:sz w:val="20"/>
          <w:szCs w:val="20"/>
          <w:lang w:val="en-AU"/>
        </w:rPr>
      </w:pPr>
    </w:p>
    <w:p w14:paraId="18717084" w14:textId="7E262CFC" w:rsidR="00E05951" w:rsidRPr="002665D2" w:rsidRDefault="005532E5" w:rsidP="00D31B9A">
      <w:pPr>
        <w:jc w:val="both"/>
        <w:rPr>
          <w:rFonts w:ascii="Arial" w:hAnsi="Arial"/>
          <w:sz w:val="20"/>
          <w:szCs w:val="20"/>
          <w:lang w:val="en-AU"/>
        </w:rPr>
      </w:pPr>
      <w:r w:rsidRPr="002665D2">
        <w:rPr>
          <w:rFonts w:ascii="Arial" w:hAnsi="Arial"/>
          <w:sz w:val="20"/>
          <w:szCs w:val="20"/>
          <w:lang w:val="en-AU"/>
        </w:rPr>
        <w:t>The conceptual framework underpinning</w:t>
      </w:r>
      <w:r w:rsidR="008E3858" w:rsidRPr="002665D2">
        <w:rPr>
          <w:rFonts w:ascii="Arial" w:hAnsi="Arial"/>
          <w:sz w:val="20"/>
          <w:szCs w:val="20"/>
          <w:lang w:val="en-AU"/>
        </w:rPr>
        <w:t xml:space="preserve"> the definition of residential satisfaction </w:t>
      </w:r>
      <w:r w:rsidRPr="002665D2">
        <w:rPr>
          <w:rFonts w:ascii="Arial" w:hAnsi="Arial"/>
          <w:sz w:val="20"/>
          <w:szCs w:val="20"/>
          <w:lang w:val="en-AU"/>
        </w:rPr>
        <w:t>is</w:t>
      </w:r>
      <w:r w:rsidR="008E3858" w:rsidRPr="002665D2">
        <w:rPr>
          <w:rFonts w:ascii="Arial" w:hAnsi="Arial"/>
          <w:sz w:val="20"/>
          <w:szCs w:val="20"/>
          <w:lang w:val="en-AU"/>
        </w:rPr>
        <w:t xml:space="preserve"> the overall satisfaction perceived (positive, neutral or negative) by the occupants in an apartment in relation to various attributes of habitability, location, accountability and wellbeing domains, with regard to their residential environment. The residential environment in the present study includes the individual dwelling and the apartment development (micro-urban space) and immediate neighbourhood, where the residents rely on services (micro-neighbourhood). </w:t>
      </w:r>
      <w:r w:rsidRPr="002665D2">
        <w:rPr>
          <w:rFonts w:ascii="Arial" w:hAnsi="Arial"/>
          <w:sz w:val="20"/>
          <w:szCs w:val="20"/>
          <w:lang w:val="en-AU"/>
        </w:rPr>
        <w:t xml:space="preserve">The </w:t>
      </w:r>
      <w:r w:rsidR="00D31B9A" w:rsidRPr="002665D2">
        <w:rPr>
          <w:rFonts w:ascii="Arial" w:hAnsi="Arial"/>
          <w:sz w:val="20"/>
          <w:szCs w:val="20"/>
          <w:lang w:val="en-AU"/>
        </w:rPr>
        <w:t xml:space="preserve">domains for the study are adapted from the quintuple bottom line model </w:t>
      </w:r>
      <w:r w:rsidR="00D31B9A" w:rsidRPr="005C6496">
        <w:rPr>
          <w:rFonts w:ascii="Arial" w:hAnsi="Arial"/>
          <w:sz w:val="20"/>
          <w:szCs w:val="20"/>
          <w:lang w:val="en-AU"/>
        </w:rPr>
        <w:t>(Roberts</w:t>
      </w:r>
      <w:r w:rsidR="005C6496">
        <w:rPr>
          <w:rFonts w:ascii="Arial" w:hAnsi="Arial"/>
          <w:sz w:val="20"/>
          <w:szCs w:val="20"/>
          <w:lang w:val="en-AU"/>
        </w:rPr>
        <w:t>,</w:t>
      </w:r>
      <w:r w:rsidR="00D31B9A" w:rsidRPr="005C6496">
        <w:rPr>
          <w:rFonts w:ascii="Arial" w:hAnsi="Arial"/>
          <w:sz w:val="20"/>
          <w:szCs w:val="20"/>
          <w:lang w:val="en-AU"/>
        </w:rPr>
        <w:t xml:space="preserve"> 2007</w:t>
      </w:r>
      <w:r w:rsidR="00D31B9A" w:rsidRPr="002665D2">
        <w:rPr>
          <w:rFonts w:ascii="Arial" w:hAnsi="Arial"/>
          <w:sz w:val="20"/>
          <w:szCs w:val="20"/>
          <w:lang w:val="en-AU"/>
        </w:rPr>
        <w:t>) and were</w:t>
      </w:r>
      <w:r w:rsidRPr="002665D2">
        <w:rPr>
          <w:rFonts w:ascii="Arial" w:hAnsi="Arial"/>
          <w:sz w:val="20"/>
          <w:szCs w:val="20"/>
          <w:lang w:val="en-AU"/>
        </w:rPr>
        <w:t xml:space="preserve"> published </w:t>
      </w:r>
      <w:r w:rsidR="00D31B9A" w:rsidRPr="002665D2">
        <w:rPr>
          <w:rFonts w:ascii="Arial" w:hAnsi="Arial"/>
          <w:sz w:val="20"/>
          <w:szCs w:val="20"/>
          <w:lang w:val="en-AU"/>
        </w:rPr>
        <w:t xml:space="preserve">elsewhere </w:t>
      </w:r>
      <w:r w:rsidRPr="002665D2">
        <w:rPr>
          <w:rFonts w:ascii="Arial" w:hAnsi="Arial"/>
          <w:sz w:val="20"/>
          <w:szCs w:val="20"/>
          <w:lang w:val="en-AU"/>
        </w:rPr>
        <w:t xml:space="preserve">(Sajan 2013; 2015). </w:t>
      </w:r>
      <w:r w:rsidR="007E7343" w:rsidRPr="002665D2">
        <w:rPr>
          <w:rFonts w:ascii="Arial" w:hAnsi="Arial"/>
          <w:sz w:val="20"/>
          <w:szCs w:val="20"/>
          <w:lang w:val="en-AU"/>
        </w:rPr>
        <w:t>A mixed methodology that entails both quantitative and qualitative methods of data collection and analysis is used for this research. Face-to-face structured interviews</w:t>
      </w:r>
      <w:r w:rsidR="005747A7" w:rsidRPr="002665D2">
        <w:rPr>
          <w:rFonts w:ascii="Arial" w:hAnsi="Arial"/>
          <w:sz w:val="20"/>
          <w:szCs w:val="20"/>
          <w:lang w:val="en-AU"/>
        </w:rPr>
        <w:t xml:space="preserve"> using questionnaires were conducted with </w:t>
      </w:r>
      <w:r w:rsidR="007E7343" w:rsidRPr="002665D2">
        <w:rPr>
          <w:rFonts w:ascii="Arial" w:hAnsi="Arial"/>
          <w:sz w:val="20"/>
          <w:szCs w:val="20"/>
          <w:lang w:val="en-AU"/>
        </w:rPr>
        <w:t xml:space="preserve">84 </w:t>
      </w:r>
      <w:r w:rsidR="005747A7" w:rsidRPr="002665D2">
        <w:rPr>
          <w:rFonts w:ascii="Arial" w:hAnsi="Arial"/>
          <w:sz w:val="20"/>
          <w:szCs w:val="20"/>
          <w:lang w:val="en-AU"/>
        </w:rPr>
        <w:t>residents to record the responses</w:t>
      </w:r>
      <w:r w:rsidR="007E7343" w:rsidRPr="002665D2">
        <w:rPr>
          <w:rFonts w:ascii="Arial" w:hAnsi="Arial"/>
          <w:sz w:val="20"/>
          <w:szCs w:val="20"/>
          <w:lang w:val="en-AU"/>
        </w:rPr>
        <w:t>.</w:t>
      </w:r>
      <w:r w:rsidR="005747A7" w:rsidRPr="002665D2">
        <w:rPr>
          <w:rFonts w:ascii="Arial" w:hAnsi="Arial"/>
          <w:sz w:val="20"/>
          <w:szCs w:val="20"/>
          <w:lang w:val="en-AU"/>
        </w:rPr>
        <w:t xml:space="preserve"> </w:t>
      </w:r>
      <w:r w:rsidR="007E7343" w:rsidRPr="002665D2">
        <w:rPr>
          <w:rFonts w:ascii="Arial" w:hAnsi="Arial"/>
          <w:sz w:val="20"/>
          <w:szCs w:val="20"/>
          <w:lang w:val="en-AU"/>
        </w:rPr>
        <w:t xml:space="preserve">Further, semi-structured interviews examined the relocation experience of the affordable housing residents and are not further discussed here. </w:t>
      </w:r>
      <w:r w:rsidR="00E05951" w:rsidRPr="002665D2">
        <w:rPr>
          <w:rFonts w:ascii="Arial" w:hAnsi="Arial"/>
          <w:sz w:val="20"/>
          <w:szCs w:val="20"/>
          <w:lang w:val="en-AU"/>
        </w:rPr>
        <w:t xml:space="preserve">The </w:t>
      </w:r>
      <w:r w:rsidR="00D31B9A" w:rsidRPr="002665D2">
        <w:rPr>
          <w:rFonts w:ascii="Arial" w:hAnsi="Arial"/>
          <w:sz w:val="20"/>
          <w:szCs w:val="20"/>
          <w:lang w:val="en-AU"/>
        </w:rPr>
        <w:t>scaling questions relat</w:t>
      </w:r>
      <w:r w:rsidR="00356D32">
        <w:rPr>
          <w:rFonts w:ascii="Arial" w:hAnsi="Arial"/>
          <w:sz w:val="20"/>
          <w:szCs w:val="20"/>
          <w:lang w:val="en-AU"/>
        </w:rPr>
        <w:t>ed to habitability, accountability and wellbeing</w:t>
      </w:r>
      <w:r w:rsidR="00D31B9A" w:rsidRPr="002665D2">
        <w:rPr>
          <w:rFonts w:ascii="Arial" w:hAnsi="Arial"/>
          <w:sz w:val="20"/>
          <w:szCs w:val="20"/>
          <w:lang w:val="en-AU"/>
        </w:rPr>
        <w:t xml:space="preserve"> informs the discussion in the paper. The responses were scaled using a 5-point Likert scale</w:t>
      </w:r>
      <w:r w:rsidR="00E05951" w:rsidRPr="002665D2">
        <w:rPr>
          <w:rFonts w:ascii="Arial" w:hAnsi="Arial"/>
          <w:sz w:val="20"/>
          <w:szCs w:val="20"/>
          <w:lang w:val="en-AU"/>
        </w:rPr>
        <w:t>: strongly disagree (1), disagree (2), neither agree nor disagree (3), ag</w:t>
      </w:r>
      <w:r w:rsidR="00D31B9A" w:rsidRPr="002665D2">
        <w:rPr>
          <w:rFonts w:ascii="Arial" w:hAnsi="Arial"/>
          <w:sz w:val="20"/>
          <w:szCs w:val="20"/>
          <w:lang w:val="en-AU"/>
        </w:rPr>
        <w:t>ree (4) and strongly agree (5).</w:t>
      </w:r>
      <w:r w:rsidR="00E05951" w:rsidRPr="002665D2">
        <w:rPr>
          <w:rFonts w:ascii="Arial" w:hAnsi="Arial"/>
          <w:sz w:val="20"/>
          <w:szCs w:val="20"/>
          <w:lang w:val="en-AU"/>
        </w:rPr>
        <w:t xml:space="preserve"> Additionally</w:t>
      </w:r>
      <w:r w:rsidR="00E05951" w:rsidRPr="002665D2">
        <w:rPr>
          <w:rFonts w:ascii="Arial" w:hAnsi="Arial"/>
          <w:b/>
          <w:bCs/>
          <w:sz w:val="20"/>
          <w:szCs w:val="20"/>
          <w:lang w:val="en-AU"/>
        </w:rPr>
        <w:t xml:space="preserve">, </w:t>
      </w:r>
      <w:r w:rsidR="00E05951" w:rsidRPr="002665D2">
        <w:rPr>
          <w:rFonts w:ascii="Arial" w:hAnsi="Arial"/>
          <w:sz w:val="20"/>
          <w:szCs w:val="20"/>
          <w:lang w:val="en-AU"/>
        </w:rPr>
        <w:t>an open comments question was included to highlight the positives and negatives about living in the apartment.</w:t>
      </w:r>
      <w:r w:rsidR="00D31B9A" w:rsidRPr="002665D2">
        <w:rPr>
          <w:rFonts w:ascii="Arial" w:hAnsi="Arial"/>
          <w:sz w:val="20"/>
          <w:szCs w:val="20"/>
          <w:lang w:val="en-AU"/>
        </w:rPr>
        <w:t xml:space="preserve"> The overall living satisfaction index was also measured using the </w:t>
      </w:r>
      <w:r w:rsidR="00356D32" w:rsidRPr="002665D2">
        <w:rPr>
          <w:rFonts w:ascii="Arial" w:hAnsi="Arial"/>
          <w:sz w:val="20"/>
          <w:szCs w:val="20"/>
          <w:lang w:val="en-AU"/>
        </w:rPr>
        <w:t>5-point Likert scale</w:t>
      </w:r>
      <w:r w:rsidR="00356D32">
        <w:rPr>
          <w:rFonts w:ascii="Arial" w:hAnsi="Arial"/>
          <w:sz w:val="20"/>
          <w:szCs w:val="20"/>
          <w:lang w:val="en-AU"/>
        </w:rPr>
        <w:t>.</w:t>
      </w:r>
      <w:r w:rsidR="00D31B9A" w:rsidRPr="002665D2">
        <w:rPr>
          <w:rFonts w:ascii="Arial" w:hAnsi="Arial"/>
          <w:sz w:val="20"/>
          <w:szCs w:val="20"/>
          <w:lang w:val="en-AU"/>
        </w:rPr>
        <w:t xml:space="preserve"> </w:t>
      </w:r>
      <w:r w:rsidR="007B5847" w:rsidRPr="002665D2">
        <w:rPr>
          <w:rFonts w:ascii="Arial" w:hAnsi="Arial"/>
          <w:sz w:val="20"/>
          <w:szCs w:val="20"/>
          <w:lang w:val="en-AU"/>
        </w:rPr>
        <w:t xml:space="preserve">Furthermore, closed questions pertaining to demographics, housing history and dwelling attributes were included. </w:t>
      </w:r>
      <w:r w:rsidR="00171939">
        <w:rPr>
          <w:rFonts w:ascii="Arial" w:hAnsi="Arial"/>
          <w:sz w:val="20"/>
          <w:szCs w:val="20"/>
          <w:lang w:val="en-AU"/>
        </w:rPr>
        <w:t xml:space="preserve">Also, </w:t>
      </w:r>
      <w:r w:rsidR="00720A0C">
        <w:rPr>
          <w:rFonts w:ascii="Arial" w:hAnsi="Arial"/>
          <w:sz w:val="20"/>
          <w:szCs w:val="20"/>
          <w:lang w:val="en-AU"/>
        </w:rPr>
        <w:t xml:space="preserve">the opinion of an experienced and </w:t>
      </w:r>
      <w:proofErr w:type="gramStart"/>
      <w:r w:rsidR="00720A0C">
        <w:rPr>
          <w:rFonts w:ascii="Arial" w:hAnsi="Arial"/>
          <w:sz w:val="20"/>
          <w:szCs w:val="20"/>
          <w:lang w:val="en-AU"/>
        </w:rPr>
        <w:t>well known</w:t>
      </w:r>
      <w:proofErr w:type="gramEnd"/>
      <w:r w:rsidR="00720A0C">
        <w:rPr>
          <w:rFonts w:ascii="Arial" w:hAnsi="Arial"/>
          <w:sz w:val="20"/>
          <w:szCs w:val="20"/>
          <w:lang w:val="en-AU"/>
        </w:rPr>
        <w:t xml:space="preserve"> architect working in the field have been sought to consolidate design findings and to analyse the feasibility of implementing related suggestions. A colleague working within the faculty helped to identify the architect for this process.</w:t>
      </w:r>
    </w:p>
    <w:p w14:paraId="7800A7BB" w14:textId="77777777" w:rsidR="00E44937" w:rsidRPr="002665D2" w:rsidRDefault="00E44937" w:rsidP="004022A0">
      <w:pPr>
        <w:rPr>
          <w:rFonts w:ascii="Arial" w:hAnsi="Arial"/>
          <w:sz w:val="20"/>
          <w:szCs w:val="20"/>
          <w:lang w:val="en-AU"/>
        </w:rPr>
      </w:pPr>
    </w:p>
    <w:p w14:paraId="16C737CC" w14:textId="4C502790" w:rsidR="00595708" w:rsidRPr="002665D2" w:rsidRDefault="00595708" w:rsidP="004022A0">
      <w:pPr>
        <w:rPr>
          <w:rFonts w:ascii="Arial" w:hAnsi="Arial"/>
          <w:b/>
          <w:i/>
          <w:sz w:val="22"/>
          <w:szCs w:val="22"/>
          <w:lang w:val="en-AU"/>
        </w:rPr>
      </w:pPr>
      <w:r w:rsidRPr="002665D2">
        <w:rPr>
          <w:rFonts w:ascii="Arial" w:hAnsi="Arial"/>
          <w:b/>
          <w:i/>
          <w:sz w:val="22"/>
          <w:szCs w:val="22"/>
          <w:lang w:val="en-AU"/>
        </w:rPr>
        <w:t>Buildings</w:t>
      </w:r>
      <w:r w:rsidR="006551C9" w:rsidRPr="002665D2">
        <w:rPr>
          <w:rFonts w:ascii="Arial" w:hAnsi="Arial"/>
          <w:b/>
          <w:i/>
          <w:sz w:val="22"/>
          <w:szCs w:val="22"/>
          <w:lang w:val="en-AU"/>
        </w:rPr>
        <w:t xml:space="preserve"> Under Study</w:t>
      </w:r>
    </w:p>
    <w:p w14:paraId="4D2635D3" w14:textId="6608C0B6" w:rsidR="00E44937" w:rsidRPr="002665D2" w:rsidRDefault="00E44937" w:rsidP="00CA0AC7">
      <w:pPr>
        <w:jc w:val="both"/>
        <w:rPr>
          <w:rFonts w:ascii="Arial" w:hAnsi="Arial"/>
          <w:sz w:val="20"/>
          <w:szCs w:val="20"/>
          <w:lang w:val="en-AU"/>
        </w:rPr>
      </w:pPr>
      <w:r w:rsidRPr="002665D2">
        <w:rPr>
          <w:rFonts w:ascii="Arial" w:hAnsi="Arial"/>
          <w:sz w:val="20"/>
          <w:szCs w:val="20"/>
          <w:lang w:val="en-AU"/>
        </w:rPr>
        <w:t xml:space="preserve">The building development applications approval for </w:t>
      </w:r>
      <w:r w:rsidR="002852C8" w:rsidRPr="002665D2">
        <w:rPr>
          <w:rFonts w:ascii="Arial" w:hAnsi="Arial"/>
          <w:sz w:val="20"/>
          <w:szCs w:val="20"/>
          <w:lang w:val="en-AU"/>
        </w:rPr>
        <w:t xml:space="preserve">five </w:t>
      </w:r>
      <w:r w:rsidRPr="002665D2">
        <w:rPr>
          <w:rFonts w:ascii="Arial" w:hAnsi="Arial"/>
          <w:sz w:val="20"/>
          <w:szCs w:val="20"/>
          <w:lang w:val="en-AU"/>
        </w:rPr>
        <w:t xml:space="preserve">buildings (Table </w:t>
      </w:r>
      <w:r w:rsidR="006551C9" w:rsidRPr="002665D2">
        <w:rPr>
          <w:rFonts w:ascii="Arial" w:hAnsi="Arial"/>
          <w:sz w:val="20"/>
          <w:szCs w:val="20"/>
          <w:lang w:val="en-AU"/>
        </w:rPr>
        <w:t>1</w:t>
      </w:r>
      <w:r w:rsidRPr="002665D2">
        <w:rPr>
          <w:rFonts w:ascii="Arial" w:hAnsi="Arial"/>
          <w:sz w:val="20"/>
          <w:szCs w:val="20"/>
          <w:lang w:val="en-AU"/>
        </w:rPr>
        <w:t xml:space="preserve">) postdates July 2002 </w:t>
      </w:r>
      <w:r w:rsidR="002852C8" w:rsidRPr="002665D2">
        <w:rPr>
          <w:rFonts w:ascii="Arial" w:hAnsi="Arial"/>
          <w:sz w:val="20"/>
          <w:szCs w:val="20"/>
          <w:lang w:val="en-AU"/>
        </w:rPr>
        <w:t>implementation of the Residential Flat Design Code (RFDC) standards associated with State Environmental Planning Policy 65 (SEPP65) legislation (NSW Planning 2002).</w:t>
      </w:r>
      <w:r w:rsidRPr="002665D2">
        <w:rPr>
          <w:rFonts w:ascii="Arial" w:hAnsi="Arial"/>
          <w:sz w:val="20"/>
          <w:szCs w:val="20"/>
          <w:lang w:val="en-AU"/>
        </w:rPr>
        <w:t xml:space="preserve"> But the approvals for two buildings </w:t>
      </w:r>
      <w:r w:rsidR="003D06C9" w:rsidRPr="002665D2">
        <w:rPr>
          <w:rFonts w:ascii="Arial" w:hAnsi="Arial"/>
          <w:sz w:val="20"/>
          <w:szCs w:val="20"/>
          <w:lang w:val="en-AU"/>
        </w:rPr>
        <w:t xml:space="preserve">(C &amp; D) </w:t>
      </w:r>
      <w:r w:rsidRPr="002665D2">
        <w:rPr>
          <w:rFonts w:ascii="Arial" w:hAnsi="Arial"/>
          <w:sz w:val="20"/>
          <w:szCs w:val="20"/>
          <w:lang w:val="en-AU"/>
        </w:rPr>
        <w:t xml:space="preserve">postdate the legislation immediately and the development applications were submitted before the implementation of the above legislation. The amendments (clause 32) to SEPP 65 (2002) exempts the building development applications submitted before the commencement of the SEPP 65 from the legislation. </w:t>
      </w:r>
      <w:r w:rsidR="003D06C9" w:rsidRPr="002665D2">
        <w:rPr>
          <w:rFonts w:ascii="Arial" w:hAnsi="Arial"/>
          <w:sz w:val="20"/>
          <w:szCs w:val="20"/>
          <w:lang w:val="en-AU"/>
        </w:rPr>
        <w:t>The</w:t>
      </w:r>
      <w:r w:rsidRPr="002665D2">
        <w:rPr>
          <w:rFonts w:ascii="Arial" w:hAnsi="Arial"/>
          <w:sz w:val="20"/>
          <w:szCs w:val="20"/>
          <w:lang w:val="en-AU"/>
        </w:rPr>
        <w:t xml:space="preserve"> buildings </w:t>
      </w:r>
      <w:r w:rsidR="003D06C9" w:rsidRPr="002665D2">
        <w:rPr>
          <w:rFonts w:ascii="Arial" w:hAnsi="Arial"/>
          <w:sz w:val="20"/>
          <w:szCs w:val="20"/>
          <w:lang w:val="en-AU"/>
        </w:rPr>
        <w:t>(A, B &amp; G) are</w:t>
      </w:r>
      <w:r w:rsidRPr="002665D2">
        <w:rPr>
          <w:rFonts w:ascii="Arial" w:hAnsi="Arial"/>
          <w:sz w:val="20"/>
          <w:szCs w:val="20"/>
          <w:lang w:val="en-AU"/>
        </w:rPr>
        <w:t xml:space="preserve"> approved after </w:t>
      </w:r>
      <w:r w:rsidR="00CA0AC7" w:rsidRPr="002665D2">
        <w:rPr>
          <w:rFonts w:ascii="Arial" w:hAnsi="Arial"/>
          <w:sz w:val="20"/>
          <w:szCs w:val="20"/>
          <w:lang w:val="en-AU"/>
        </w:rPr>
        <w:t xml:space="preserve">RFDC 2002 policy </w:t>
      </w:r>
      <w:r w:rsidR="00CA0AC7" w:rsidRPr="002665D2">
        <w:rPr>
          <w:rFonts w:ascii="Arial" w:hAnsi="Arial"/>
          <w:sz w:val="20"/>
          <w:szCs w:val="20"/>
          <w:lang w:val="en-AU"/>
        </w:rPr>
        <w:lastRenderedPageBreak/>
        <w:t>implementation</w:t>
      </w:r>
      <w:r w:rsidRPr="002665D2">
        <w:rPr>
          <w:rFonts w:ascii="Arial" w:hAnsi="Arial"/>
          <w:sz w:val="20"/>
          <w:szCs w:val="20"/>
          <w:lang w:val="en-AU"/>
        </w:rPr>
        <w:t xml:space="preserve">. </w:t>
      </w:r>
      <w:r w:rsidR="00CA0AC7" w:rsidRPr="002665D2">
        <w:rPr>
          <w:rFonts w:ascii="Arial" w:hAnsi="Arial"/>
          <w:sz w:val="20"/>
          <w:szCs w:val="20"/>
          <w:lang w:val="en-AU"/>
        </w:rPr>
        <w:t xml:space="preserve">But all these buildings were built before the 2015 policy change. </w:t>
      </w:r>
      <w:r w:rsidRPr="002665D2">
        <w:rPr>
          <w:rFonts w:ascii="Arial" w:hAnsi="Arial"/>
          <w:sz w:val="20"/>
          <w:szCs w:val="20"/>
          <w:lang w:val="en-AU"/>
        </w:rPr>
        <w:t xml:space="preserve">Fairfield is located in the outer ring of Greater Sydney Metropolitan area and therefore, median unit price ($540,000) and median weekly rent ($350-$500; 2 Bedrooms) in this ring are lower than middle or inner rings of Sydney </w:t>
      </w:r>
      <w:r w:rsidRPr="00861D36">
        <w:rPr>
          <w:rFonts w:ascii="Arial" w:hAnsi="Arial"/>
          <w:sz w:val="20"/>
          <w:szCs w:val="20"/>
          <w:lang w:val="en-AU"/>
        </w:rPr>
        <w:t>(m3property Strategists</w:t>
      </w:r>
      <w:r w:rsidR="00861D36">
        <w:rPr>
          <w:rFonts w:ascii="Arial" w:hAnsi="Arial"/>
          <w:sz w:val="20"/>
          <w:szCs w:val="20"/>
          <w:lang w:val="en-AU"/>
        </w:rPr>
        <w:t>,</w:t>
      </w:r>
      <w:r w:rsidRPr="00861D36">
        <w:rPr>
          <w:rFonts w:ascii="Arial" w:hAnsi="Arial"/>
          <w:sz w:val="20"/>
          <w:szCs w:val="20"/>
          <w:lang w:val="en-AU"/>
        </w:rPr>
        <w:t xml:space="preserve"> 2016</w:t>
      </w:r>
      <w:r w:rsidRPr="002665D2">
        <w:rPr>
          <w:rFonts w:ascii="Arial" w:hAnsi="Arial"/>
          <w:sz w:val="20"/>
          <w:szCs w:val="20"/>
          <w:lang w:val="en-AU"/>
        </w:rPr>
        <w:t xml:space="preserve">). So the apartments under study are likely to be in this price range. </w:t>
      </w:r>
    </w:p>
    <w:p w14:paraId="13E3AAAA" w14:textId="77777777" w:rsidR="004E429D" w:rsidRDefault="004E429D" w:rsidP="00780F73">
      <w:pPr>
        <w:jc w:val="both"/>
        <w:rPr>
          <w:rFonts w:ascii="Arial" w:hAnsi="Arial"/>
          <w:iCs/>
          <w:sz w:val="20"/>
          <w:szCs w:val="20"/>
          <w:lang w:val="en-AU"/>
        </w:rPr>
      </w:pPr>
    </w:p>
    <w:p w14:paraId="4135E19B" w14:textId="77777777" w:rsidR="00EF5CCC" w:rsidRDefault="00EF5CCC" w:rsidP="00780F73">
      <w:pPr>
        <w:jc w:val="both"/>
        <w:rPr>
          <w:rFonts w:ascii="Arial" w:hAnsi="Arial"/>
          <w:iCs/>
          <w:sz w:val="20"/>
          <w:szCs w:val="20"/>
          <w:lang w:val="en-AU"/>
        </w:rPr>
      </w:pPr>
    </w:p>
    <w:p w14:paraId="4B1CD019" w14:textId="77777777" w:rsidR="00EF5CCC" w:rsidRPr="002665D2" w:rsidRDefault="00EF5CCC" w:rsidP="00780F73">
      <w:pPr>
        <w:jc w:val="both"/>
        <w:rPr>
          <w:rFonts w:ascii="Arial" w:hAnsi="Arial"/>
          <w:iCs/>
          <w:sz w:val="20"/>
          <w:szCs w:val="20"/>
          <w:lang w:val="en-AU"/>
        </w:rPr>
      </w:pPr>
    </w:p>
    <w:p w14:paraId="6C363AE5" w14:textId="1EEBBBD9" w:rsidR="004E429D" w:rsidRPr="002665D2" w:rsidRDefault="00B73D84" w:rsidP="004E429D">
      <w:pPr>
        <w:spacing w:line="360" w:lineRule="auto"/>
        <w:jc w:val="both"/>
        <w:rPr>
          <w:rFonts w:ascii="Arial" w:hAnsi="Arial" w:cs="Times New Roman"/>
          <w:b/>
          <w:sz w:val="20"/>
          <w:szCs w:val="20"/>
          <w:lang w:val="en-AU"/>
        </w:rPr>
      </w:pPr>
      <w:r w:rsidRPr="002665D2">
        <w:rPr>
          <w:rFonts w:ascii="Arial" w:hAnsi="Arial" w:cs="Times New Roman"/>
          <w:b/>
          <w:sz w:val="20"/>
          <w:szCs w:val="20"/>
          <w:lang w:val="en-AU"/>
        </w:rPr>
        <w:t xml:space="preserve">       </w:t>
      </w:r>
      <w:r w:rsidR="004E429D" w:rsidRPr="002665D2">
        <w:rPr>
          <w:rFonts w:ascii="Arial" w:hAnsi="Arial" w:cs="Times New Roman"/>
          <w:b/>
          <w:sz w:val="20"/>
          <w:szCs w:val="20"/>
          <w:lang w:val="en-AU"/>
        </w:rPr>
        <w:t xml:space="preserve">Table </w:t>
      </w:r>
      <w:r w:rsidRPr="002665D2">
        <w:rPr>
          <w:rFonts w:ascii="Arial" w:hAnsi="Arial" w:cs="Times New Roman"/>
          <w:b/>
          <w:sz w:val="20"/>
          <w:szCs w:val="20"/>
          <w:lang w:val="en-AU"/>
        </w:rPr>
        <w:t>1</w:t>
      </w:r>
      <w:r w:rsidR="004E429D" w:rsidRPr="002665D2">
        <w:rPr>
          <w:rFonts w:ascii="Arial" w:hAnsi="Arial" w:cs="Times New Roman"/>
          <w:b/>
          <w:sz w:val="20"/>
          <w:szCs w:val="20"/>
          <w:lang w:val="en-AU"/>
        </w:rPr>
        <w:t xml:space="preserve"> Description of Apartment Buildings Under Study</w:t>
      </w:r>
    </w:p>
    <w:tbl>
      <w:tblPr>
        <w:tblStyle w:val="TableGrid"/>
        <w:tblW w:w="0" w:type="auto"/>
        <w:tblInd w:w="250" w:type="dxa"/>
        <w:tblLayout w:type="fixed"/>
        <w:tblLook w:val="04A0" w:firstRow="1" w:lastRow="0" w:firstColumn="1" w:lastColumn="0" w:noHBand="0" w:noVBand="1"/>
      </w:tblPr>
      <w:tblGrid>
        <w:gridCol w:w="1276"/>
        <w:gridCol w:w="992"/>
        <w:gridCol w:w="1418"/>
        <w:gridCol w:w="1701"/>
        <w:gridCol w:w="1478"/>
        <w:gridCol w:w="1215"/>
      </w:tblGrid>
      <w:tr w:rsidR="004E429D" w:rsidRPr="002665D2" w14:paraId="0C673682" w14:textId="77777777" w:rsidTr="002852C8">
        <w:tc>
          <w:tcPr>
            <w:tcW w:w="1276" w:type="dxa"/>
          </w:tcPr>
          <w:p w14:paraId="777E5FB8" w14:textId="158C4FDC" w:rsidR="004E429D" w:rsidRPr="002665D2" w:rsidRDefault="002852C8" w:rsidP="002852C8">
            <w:pPr>
              <w:jc w:val="both"/>
              <w:rPr>
                <w:rFonts w:ascii="Arial" w:hAnsi="Arial" w:cs="Times New Roman"/>
                <w:sz w:val="20"/>
                <w:szCs w:val="20"/>
                <w:lang w:val="en-AU"/>
              </w:rPr>
            </w:pPr>
            <w:r w:rsidRPr="002665D2">
              <w:rPr>
                <w:rFonts w:ascii="Arial" w:hAnsi="Arial" w:cs="Times New Roman"/>
                <w:sz w:val="20"/>
                <w:szCs w:val="20"/>
                <w:lang w:val="en-AU"/>
              </w:rPr>
              <w:t>Statistical Area Level 1 (</w:t>
            </w:r>
            <w:r w:rsidR="004E429D" w:rsidRPr="002665D2">
              <w:rPr>
                <w:rFonts w:ascii="Arial" w:hAnsi="Arial" w:cs="Times New Roman"/>
                <w:sz w:val="20"/>
                <w:szCs w:val="20"/>
                <w:lang w:val="en-AU"/>
              </w:rPr>
              <w:t>SA1</w:t>
            </w:r>
            <w:r w:rsidRPr="002665D2">
              <w:rPr>
                <w:rFonts w:ascii="Arial" w:hAnsi="Arial" w:cs="Times New Roman"/>
                <w:sz w:val="20"/>
                <w:szCs w:val="20"/>
                <w:lang w:val="en-AU"/>
              </w:rPr>
              <w:t>)</w:t>
            </w:r>
          </w:p>
        </w:tc>
        <w:tc>
          <w:tcPr>
            <w:tcW w:w="992" w:type="dxa"/>
          </w:tcPr>
          <w:p w14:paraId="462B11DA"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Building Code</w:t>
            </w:r>
          </w:p>
        </w:tc>
        <w:tc>
          <w:tcPr>
            <w:tcW w:w="1418" w:type="dxa"/>
          </w:tcPr>
          <w:p w14:paraId="7D58A358" w14:textId="6B1C764C" w:rsidR="004E429D" w:rsidRPr="002665D2" w:rsidRDefault="002852C8" w:rsidP="002852C8">
            <w:pPr>
              <w:jc w:val="both"/>
              <w:rPr>
                <w:rFonts w:ascii="Arial" w:hAnsi="Arial" w:cs="Times New Roman"/>
                <w:sz w:val="20"/>
                <w:szCs w:val="20"/>
                <w:lang w:val="en-AU"/>
              </w:rPr>
            </w:pPr>
            <w:r w:rsidRPr="002665D2">
              <w:rPr>
                <w:rFonts w:ascii="Arial" w:hAnsi="Arial" w:cs="Times New Roman"/>
                <w:sz w:val="20"/>
                <w:szCs w:val="20"/>
                <w:lang w:val="en-AU"/>
              </w:rPr>
              <w:t>A</w:t>
            </w:r>
            <w:r w:rsidR="004E429D" w:rsidRPr="002665D2">
              <w:rPr>
                <w:rFonts w:ascii="Arial" w:hAnsi="Arial" w:cs="Times New Roman"/>
                <w:sz w:val="20"/>
                <w:szCs w:val="20"/>
                <w:lang w:val="en-AU"/>
              </w:rPr>
              <w:t xml:space="preserve">pproval of </w:t>
            </w:r>
            <w:proofErr w:type="gramStart"/>
            <w:r w:rsidR="004E429D" w:rsidRPr="002665D2">
              <w:rPr>
                <w:rFonts w:ascii="Arial" w:hAnsi="Arial" w:cs="Times New Roman"/>
                <w:sz w:val="20"/>
                <w:szCs w:val="20"/>
                <w:lang w:val="en-AU"/>
              </w:rPr>
              <w:t>D</w:t>
            </w:r>
            <w:r w:rsidRPr="002665D2">
              <w:rPr>
                <w:rFonts w:ascii="Arial" w:hAnsi="Arial" w:cs="Times New Roman"/>
                <w:sz w:val="20"/>
                <w:szCs w:val="20"/>
                <w:lang w:val="en-AU"/>
              </w:rPr>
              <w:t>evelopment  Application</w:t>
            </w:r>
            <w:proofErr w:type="gramEnd"/>
          </w:p>
        </w:tc>
        <w:tc>
          <w:tcPr>
            <w:tcW w:w="1701" w:type="dxa"/>
          </w:tcPr>
          <w:p w14:paraId="4C7F6E4A"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Description of development</w:t>
            </w:r>
          </w:p>
        </w:tc>
        <w:tc>
          <w:tcPr>
            <w:tcW w:w="1478" w:type="dxa"/>
          </w:tcPr>
          <w:p w14:paraId="4FB6E885"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Number of Storeys</w:t>
            </w:r>
          </w:p>
        </w:tc>
        <w:tc>
          <w:tcPr>
            <w:tcW w:w="1215" w:type="dxa"/>
          </w:tcPr>
          <w:p w14:paraId="370315C7"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Number of Dwellings</w:t>
            </w:r>
          </w:p>
        </w:tc>
      </w:tr>
      <w:tr w:rsidR="004E429D" w:rsidRPr="002665D2" w14:paraId="6458FA23" w14:textId="77777777" w:rsidTr="002852C8">
        <w:tc>
          <w:tcPr>
            <w:tcW w:w="1276" w:type="dxa"/>
          </w:tcPr>
          <w:p w14:paraId="6EA2CA14"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1151512</w:t>
            </w:r>
          </w:p>
        </w:tc>
        <w:tc>
          <w:tcPr>
            <w:tcW w:w="992" w:type="dxa"/>
          </w:tcPr>
          <w:p w14:paraId="762F4B96"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A</w:t>
            </w:r>
          </w:p>
        </w:tc>
        <w:tc>
          <w:tcPr>
            <w:tcW w:w="1418" w:type="dxa"/>
          </w:tcPr>
          <w:p w14:paraId="0F73B01B"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September</w:t>
            </w:r>
          </w:p>
          <w:p w14:paraId="6437C3F6"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2004</w:t>
            </w:r>
          </w:p>
        </w:tc>
        <w:tc>
          <w:tcPr>
            <w:tcW w:w="1701" w:type="dxa"/>
          </w:tcPr>
          <w:p w14:paraId="4A65B17F"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Mixed-use Tower development</w:t>
            </w:r>
          </w:p>
        </w:tc>
        <w:tc>
          <w:tcPr>
            <w:tcW w:w="1478" w:type="dxa"/>
          </w:tcPr>
          <w:p w14:paraId="3A573C04"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6,7 &amp; 9 storeys in 3 towers</w:t>
            </w:r>
          </w:p>
        </w:tc>
        <w:tc>
          <w:tcPr>
            <w:tcW w:w="1215" w:type="dxa"/>
          </w:tcPr>
          <w:p w14:paraId="3FA627FD"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106</w:t>
            </w:r>
          </w:p>
        </w:tc>
      </w:tr>
      <w:tr w:rsidR="004E429D" w:rsidRPr="002665D2" w14:paraId="27E0303A" w14:textId="77777777" w:rsidTr="002852C8">
        <w:tc>
          <w:tcPr>
            <w:tcW w:w="1276" w:type="dxa"/>
          </w:tcPr>
          <w:p w14:paraId="4480F9C4"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1151519</w:t>
            </w:r>
          </w:p>
        </w:tc>
        <w:tc>
          <w:tcPr>
            <w:tcW w:w="992" w:type="dxa"/>
          </w:tcPr>
          <w:p w14:paraId="22FAA102"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B</w:t>
            </w:r>
          </w:p>
        </w:tc>
        <w:tc>
          <w:tcPr>
            <w:tcW w:w="1418" w:type="dxa"/>
          </w:tcPr>
          <w:p w14:paraId="03FF842D"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January</w:t>
            </w:r>
          </w:p>
          <w:p w14:paraId="7C7E5988"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 xml:space="preserve">2006 </w:t>
            </w:r>
          </w:p>
        </w:tc>
        <w:tc>
          <w:tcPr>
            <w:tcW w:w="1701" w:type="dxa"/>
          </w:tcPr>
          <w:p w14:paraId="163DB689"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Mixed Commercial/ Residential</w:t>
            </w:r>
          </w:p>
        </w:tc>
        <w:tc>
          <w:tcPr>
            <w:tcW w:w="1478" w:type="dxa"/>
          </w:tcPr>
          <w:p w14:paraId="5890709F"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 tower in 8 storeys</w:t>
            </w:r>
          </w:p>
        </w:tc>
        <w:tc>
          <w:tcPr>
            <w:tcW w:w="1215" w:type="dxa"/>
          </w:tcPr>
          <w:p w14:paraId="383D6F36"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37</w:t>
            </w:r>
          </w:p>
        </w:tc>
      </w:tr>
      <w:tr w:rsidR="004E429D" w:rsidRPr="002665D2" w14:paraId="018B2C99" w14:textId="77777777" w:rsidTr="002852C8">
        <w:tc>
          <w:tcPr>
            <w:tcW w:w="1276" w:type="dxa"/>
          </w:tcPr>
          <w:p w14:paraId="5EA6F118"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1151516</w:t>
            </w:r>
          </w:p>
        </w:tc>
        <w:tc>
          <w:tcPr>
            <w:tcW w:w="992" w:type="dxa"/>
          </w:tcPr>
          <w:p w14:paraId="457BFF42"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C</w:t>
            </w:r>
          </w:p>
        </w:tc>
        <w:tc>
          <w:tcPr>
            <w:tcW w:w="1418" w:type="dxa"/>
          </w:tcPr>
          <w:p w14:paraId="40FC6323"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November</w:t>
            </w:r>
          </w:p>
          <w:p w14:paraId="2D741F97"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 xml:space="preserve">2002 </w:t>
            </w:r>
          </w:p>
        </w:tc>
        <w:tc>
          <w:tcPr>
            <w:tcW w:w="1701" w:type="dxa"/>
          </w:tcPr>
          <w:p w14:paraId="5AECB095"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Mixed-use Residential  &amp; Commercial Tower development</w:t>
            </w:r>
          </w:p>
        </w:tc>
        <w:tc>
          <w:tcPr>
            <w:tcW w:w="1478" w:type="dxa"/>
          </w:tcPr>
          <w:p w14:paraId="453F1DF8"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2 towers in 8 &amp; 9 storeys</w:t>
            </w:r>
          </w:p>
        </w:tc>
        <w:tc>
          <w:tcPr>
            <w:tcW w:w="1215" w:type="dxa"/>
          </w:tcPr>
          <w:p w14:paraId="216D84C5"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65</w:t>
            </w:r>
          </w:p>
        </w:tc>
      </w:tr>
      <w:tr w:rsidR="004E429D" w:rsidRPr="002665D2" w14:paraId="78173807" w14:textId="77777777" w:rsidTr="002852C8">
        <w:tc>
          <w:tcPr>
            <w:tcW w:w="1276" w:type="dxa"/>
          </w:tcPr>
          <w:p w14:paraId="533A9171"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1151517</w:t>
            </w:r>
          </w:p>
        </w:tc>
        <w:tc>
          <w:tcPr>
            <w:tcW w:w="992" w:type="dxa"/>
          </w:tcPr>
          <w:p w14:paraId="08EA8E2C"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D</w:t>
            </w:r>
          </w:p>
        </w:tc>
        <w:tc>
          <w:tcPr>
            <w:tcW w:w="1418" w:type="dxa"/>
          </w:tcPr>
          <w:p w14:paraId="295CDF10"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August</w:t>
            </w:r>
          </w:p>
          <w:p w14:paraId="6AE641AD"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 xml:space="preserve">2002 </w:t>
            </w:r>
          </w:p>
        </w:tc>
        <w:tc>
          <w:tcPr>
            <w:tcW w:w="1701" w:type="dxa"/>
          </w:tcPr>
          <w:p w14:paraId="1E727406"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Mixed Commercial/</w:t>
            </w:r>
          </w:p>
          <w:p w14:paraId="27D9CC7E"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Residential</w:t>
            </w:r>
          </w:p>
        </w:tc>
        <w:tc>
          <w:tcPr>
            <w:tcW w:w="1478" w:type="dxa"/>
          </w:tcPr>
          <w:p w14:paraId="6986CE18"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12 storey tower</w:t>
            </w:r>
          </w:p>
        </w:tc>
        <w:tc>
          <w:tcPr>
            <w:tcW w:w="1215" w:type="dxa"/>
          </w:tcPr>
          <w:p w14:paraId="739D6421"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100</w:t>
            </w:r>
          </w:p>
        </w:tc>
      </w:tr>
      <w:tr w:rsidR="004E429D" w:rsidRPr="002665D2" w14:paraId="3E280CA3" w14:textId="77777777" w:rsidTr="002852C8">
        <w:tc>
          <w:tcPr>
            <w:tcW w:w="1276" w:type="dxa"/>
          </w:tcPr>
          <w:p w14:paraId="2DCD5011"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1151517</w:t>
            </w:r>
          </w:p>
        </w:tc>
        <w:tc>
          <w:tcPr>
            <w:tcW w:w="992" w:type="dxa"/>
          </w:tcPr>
          <w:p w14:paraId="388568D4"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E</w:t>
            </w:r>
          </w:p>
        </w:tc>
        <w:tc>
          <w:tcPr>
            <w:tcW w:w="1418" w:type="dxa"/>
          </w:tcPr>
          <w:p w14:paraId="71135FE2"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July</w:t>
            </w:r>
          </w:p>
          <w:p w14:paraId="0F525D43"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 xml:space="preserve">2001 </w:t>
            </w:r>
          </w:p>
        </w:tc>
        <w:tc>
          <w:tcPr>
            <w:tcW w:w="1701" w:type="dxa"/>
          </w:tcPr>
          <w:p w14:paraId="65D08610"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Mixed Commercial/</w:t>
            </w:r>
          </w:p>
          <w:p w14:paraId="0BB412E5"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Residential</w:t>
            </w:r>
          </w:p>
        </w:tc>
        <w:tc>
          <w:tcPr>
            <w:tcW w:w="1478" w:type="dxa"/>
          </w:tcPr>
          <w:p w14:paraId="16459111"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 tower in 8 storeys</w:t>
            </w:r>
          </w:p>
        </w:tc>
        <w:tc>
          <w:tcPr>
            <w:tcW w:w="1215" w:type="dxa"/>
          </w:tcPr>
          <w:p w14:paraId="05DB03A9"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39</w:t>
            </w:r>
          </w:p>
        </w:tc>
      </w:tr>
      <w:tr w:rsidR="004E429D" w:rsidRPr="002665D2" w14:paraId="6A37A907" w14:textId="77777777" w:rsidTr="002852C8">
        <w:tc>
          <w:tcPr>
            <w:tcW w:w="1276" w:type="dxa"/>
          </w:tcPr>
          <w:p w14:paraId="2179A36E"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1151517</w:t>
            </w:r>
          </w:p>
        </w:tc>
        <w:tc>
          <w:tcPr>
            <w:tcW w:w="992" w:type="dxa"/>
          </w:tcPr>
          <w:p w14:paraId="527F811C"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F</w:t>
            </w:r>
          </w:p>
        </w:tc>
        <w:tc>
          <w:tcPr>
            <w:tcW w:w="1418" w:type="dxa"/>
          </w:tcPr>
          <w:p w14:paraId="0088FA53"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January</w:t>
            </w:r>
          </w:p>
          <w:p w14:paraId="21F7EBE4"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2001</w:t>
            </w:r>
          </w:p>
        </w:tc>
        <w:tc>
          <w:tcPr>
            <w:tcW w:w="1701" w:type="dxa"/>
          </w:tcPr>
          <w:p w14:paraId="3F2143F9"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Mixed Commercial/</w:t>
            </w:r>
          </w:p>
          <w:p w14:paraId="7A398AFF"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Residential</w:t>
            </w:r>
          </w:p>
        </w:tc>
        <w:tc>
          <w:tcPr>
            <w:tcW w:w="1478" w:type="dxa"/>
          </w:tcPr>
          <w:p w14:paraId="0C965193"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2 towers in 8 storeys</w:t>
            </w:r>
          </w:p>
        </w:tc>
        <w:tc>
          <w:tcPr>
            <w:tcW w:w="1215" w:type="dxa"/>
          </w:tcPr>
          <w:p w14:paraId="7DC42E78"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96</w:t>
            </w:r>
          </w:p>
        </w:tc>
      </w:tr>
      <w:tr w:rsidR="004E429D" w:rsidRPr="002665D2" w14:paraId="2FBEF8ED" w14:textId="77777777" w:rsidTr="002852C8">
        <w:tc>
          <w:tcPr>
            <w:tcW w:w="1276" w:type="dxa"/>
          </w:tcPr>
          <w:p w14:paraId="745C600F"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1151519</w:t>
            </w:r>
          </w:p>
        </w:tc>
        <w:tc>
          <w:tcPr>
            <w:tcW w:w="992" w:type="dxa"/>
          </w:tcPr>
          <w:p w14:paraId="16DE1C95"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G</w:t>
            </w:r>
          </w:p>
        </w:tc>
        <w:tc>
          <w:tcPr>
            <w:tcW w:w="1418" w:type="dxa"/>
          </w:tcPr>
          <w:p w14:paraId="61FB40CA"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January</w:t>
            </w:r>
          </w:p>
          <w:p w14:paraId="7EF17C37"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 xml:space="preserve">2006 </w:t>
            </w:r>
          </w:p>
        </w:tc>
        <w:tc>
          <w:tcPr>
            <w:tcW w:w="1701" w:type="dxa"/>
          </w:tcPr>
          <w:p w14:paraId="11374D55"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Commercial and Residential Flat Building</w:t>
            </w:r>
          </w:p>
        </w:tc>
        <w:tc>
          <w:tcPr>
            <w:tcW w:w="1478" w:type="dxa"/>
          </w:tcPr>
          <w:p w14:paraId="119E7964"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6 storeys</w:t>
            </w:r>
          </w:p>
        </w:tc>
        <w:tc>
          <w:tcPr>
            <w:tcW w:w="1215" w:type="dxa"/>
          </w:tcPr>
          <w:p w14:paraId="07A3BE0F" w14:textId="77777777" w:rsidR="004E429D" w:rsidRPr="002665D2" w:rsidRDefault="004E429D" w:rsidP="002852C8">
            <w:pPr>
              <w:jc w:val="both"/>
              <w:rPr>
                <w:rFonts w:ascii="Arial" w:hAnsi="Arial" w:cs="Times New Roman"/>
                <w:sz w:val="20"/>
                <w:szCs w:val="20"/>
                <w:lang w:val="en-AU"/>
              </w:rPr>
            </w:pPr>
            <w:r w:rsidRPr="002665D2">
              <w:rPr>
                <w:rFonts w:ascii="Arial" w:hAnsi="Arial" w:cs="Times New Roman"/>
                <w:sz w:val="20"/>
                <w:szCs w:val="20"/>
                <w:lang w:val="en-AU"/>
              </w:rPr>
              <w:t>45</w:t>
            </w:r>
          </w:p>
        </w:tc>
      </w:tr>
    </w:tbl>
    <w:p w14:paraId="4C606DC5" w14:textId="77777777" w:rsidR="004E429D" w:rsidRPr="002665D2" w:rsidRDefault="004E429D" w:rsidP="004E429D">
      <w:pPr>
        <w:jc w:val="both"/>
        <w:rPr>
          <w:rFonts w:ascii="Arial" w:hAnsi="Arial" w:cs="Times New Roman"/>
          <w:sz w:val="20"/>
          <w:szCs w:val="20"/>
          <w:lang w:val="en-AU"/>
        </w:rPr>
      </w:pPr>
      <w:r w:rsidRPr="002665D2">
        <w:rPr>
          <w:rFonts w:ascii="Arial" w:hAnsi="Arial" w:cs="Times New Roman"/>
          <w:sz w:val="20"/>
          <w:szCs w:val="20"/>
          <w:lang w:val="en-AU"/>
        </w:rPr>
        <w:t xml:space="preserve">      Source: Development applications documentation for selected projects examined at</w:t>
      </w:r>
    </w:p>
    <w:p w14:paraId="2A5FF7F5" w14:textId="77777777" w:rsidR="004E429D" w:rsidRPr="002665D2" w:rsidRDefault="004E429D" w:rsidP="004E429D">
      <w:pPr>
        <w:jc w:val="both"/>
        <w:rPr>
          <w:rFonts w:ascii="Arial" w:hAnsi="Arial" w:cs="Times New Roman"/>
          <w:sz w:val="20"/>
          <w:szCs w:val="20"/>
          <w:lang w:val="en-AU"/>
        </w:rPr>
      </w:pPr>
      <w:r w:rsidRPr="002665D2">
        <w:rPr>
          <w:rFonts w:ascii="Arial" w:hAnsi="Arial" w:cs="Times New Roman"/>
          <w:sz w:val="20"/>
          <w:szCs w:val="20"/>
          <w:lang w:val="en-AU"/>
        </w:rPr>
        <w:t xml:space="preserve">                                       Fairfield Council Office, July 2015</w:t>
      </w:r>
    </w:p>
    <w:p w14:paraId="7C8EB624" w14:textId="77777777" w:rsidR="00CA0AC7" w:rsidRPr="002665D2" w:rsidRDefault="00CA0AC7" w:rsidP="00780F73">
      <w:pPr>
        <w:jc w:val="both"/>
        <w:rPr>
          <w:rFonts w:ascii="Arial" w:hAnsi="Arial"/>
          <w:iCs/>
          <w:sz w:val="20"/>
          <w:szCs w:val="20"/>
          <w:lang w:val="en-AU"/>
        </w:rPr>
      </w:pPr>
    </w:p>
    <w:p w14:paraId="7417ACDA" w14:textId="423E1245" w:rsidR="00780F73" w:rsidRPr="002665D2" w:rsidRDefault="00A430AB" w:rsidP="00780F73">
      <w:pPr>
        <w:jc w:val="both"/>
        <w:rPr>
          <w:rFonts w:ascii="Arial" w:hAnsi="Arial"/>
          <w:b/>
          <w:iCs/>
          <w:sz w:val="22"/>
          <w:szCs w:val="22"/>
          <w:lang w:val="en-AU"/>
        </w:rPr>
      </w:pPr>
      <w:r w:rsidRPr="002665D2">
        <w:rPr>
          <w:rFonts w:ascii="Arial" w:hAnsi="Arial"/>
          <w:b/>
          <w:iCs/>
          <w:sz w:val="22"/>
          <w:szCs w:val="22"/>
          <w:lang w:val="en-AU"/>
        </w:rPr>
        <w:t>Thesis Survey</w:t>
      </w:r>
      <w:r w:rsidR="00E96F1E" w:rsidRPr="002665D2">
        <w:rPr>
          <w:rFonts w:ascii="Arial" w:hAnsi="Arial"/>
          <w:b/>
          <w:iCs/>
          <w:sz w:val="22"/>
          <w:szCs w:val="22"/>
          <w:lang w:val="en-AU"/>
        </w:rPr>
        <w:t xml:space="preserve"> Findings</w:t>
      </w:r>
    </w:p>
    <w:p w14:paraId="7F972A60" w14:textId="77777777" w:rsidR="00E96F1E" w:rsidRPr="002665D2" w:rsidRDefault="00E96F1E" w:rsidP="00780F73">
      <w:pPr>
        <w:jc w:val="both"/>
        <w:rPr>
          <w:rFonts w:ascii="Arial" w:hAnsi="Arial"/>
          <w:b/>
          <w:iCs/>
          <w:sz w:val="20"/>
          <w:szCs w:val="20"/>
          <w:lang w:val="en-AU"/>
        </w:rPr>
      </w:pPr>
    </w:p>
    <w:p w14:paraId="13CDC130" w14:textId="7D49C470" w:rsidR="00954512" w:rsidRPr="002665D2" w:rsidRDefault="00F70F07" w:rsidP="00954512">
      <w:pPr>
        <w:jc w:val="both"/>
        <w:rPr>
          <w:rFonts w:ascii="Arial" w:hAnsi="Arial"/>
          <w:sz w:val="20"/>
          <w:szCs w:val="20"/>
          <w:lang w:val="en-AU"/>
        </w:rPr>
      </w:pPr>
      <w:r w:rsidRPr="002665D2">
        <w:rPr>
          <w:rFonts w:ascii="Arial" w:hAnsi="Arial"/>
          <w:iCs/>
          <w:sz w:val="20"/>
          <w:szCs w:val="20"/>
          <w:lang w:val="en-AU"/>
        </w:rPr>
        <w:t xml:space="preserve">The thesis survey findings </w:t>
      </w:r>
      <w:r w:rsidR="00D3768F" w:rsidRPr="002665D2">
        <w:rPr>
          <w:rFonts w:ascii="Arial" w:hAnsi="Arial"/>
          <w:iCs/>
          <w:sz w:val="20"/>
          <w:szCs w:val="20"/>
          <w:lang w:val="en-AU"/>
        </w:rPr>
        <w:t>have been published previously (Sajan 2013; 2015)</w:t>
      </w:r>
      <w:r w:rsidR="008C1FC2" w:rsidRPr="002665D2">
        <w:rPr>
          <w:rFonts w:ascii="Arial" w:hAnsi="Arial"/>
          <w:iCs/>
          <w:sz w:val="20"/>
          <w:szCs w:val="20"/>
          <w:lang w:val="en-AU"/>
        </w:rPr>
        <w:t xml:space="preserve"> and</w:t>
      </w:r>
      <w:r w:rsidR="00D3768F" w:rsidRPr="002665D2">
        <w:rPr>
          <w:rFonts w:ascii="Arial" w:hAnsi="Arial"/>
          <w:iCs/>
          <w:sz w:val="20"/>
          <w:szCs w:val="20"/>
          <w:lang w:val="en-AU"/>
        </w:rPr>
        <w:t xml:space="preserve"> </w:t>
      </w:r>
      <w:r w:rsidR="000A4CC1" w:rsidRPr="002665D2">
        <w:rPr>
          <w:rFonts w:ascii="Arial" w:hAnsi="Arial"/>
          <w:iCs/>
          <w:sz w:val="20"/>
          <w:szCs w:val="20"/>
          <w:lang w:val="en-AU"/>
        </w:rPr>
        <w:t>three</w:t>
      </w:r>
      <w:r w:rsidR="00A430AB" w:rsidRPr="002665D2">
        <w:rPr>
          <w:rFonts w:ascii="Arial" w:hAnsi="Arial"/>
          <w:iCs/>
          <w:sz w:val="20"/>
          <w:szCs w:val="20"/>
          <w:lang w:val="en-AU"/>
        </w:rPr>
        <w:t xml:space="preserve"> key findings inform our discussion (Table 2). Majority of the residents (76%) reported relatively high overall living satisfaction.</w:t>
      </w:r>
      <w:r w:rsidR="00232930" w:rsidRPr="002665D2">
        <w:rPr>
          <w:rFonts w:ascii="Arial" w:hAnsi="Arial"/>
          <w:iCs/>
          <w:sz w:val="20"/>
          <w:szCs w:val="20"/>
          <w:lang w:val="en-AU"/>
        </w:rPr>
        <w:t xml:space="preserve"> The coherent resident narratives complement the statistical analysis in this mixed research design.</w:t>
      </w:r>
      <w:r w:rsidR="00954512">
        <w:rPr>
          <w:rFonts w:ascii="Arial" w:hAnsi="Arial"/>
          <w:iCs/>
          <w:sz w:val="20"/>
          <w:szCs w:val="20"/>
          <w:lang w:val="en-AU"/>
        </w:rPr>
        <w:t xml:space="preserve"> </w:t>
      </w:r>
    </w:p>
    <w:p w14:paraId="1D51B0BB" w14:textId="77777777" w:rsidR="00A430AB" w:rsidRPr="002665D2" w:rsidRDefault="00A430AB" w:rsidP="00A430AB">
      <w:pPr>
        <w:spacing w:line="360" w:lineRule="auto"/>
        <w:jc w:val="both"/>
        <w:rPr>
          <w:rFonts w:ascii="Arial" w:hAnsi="Arial" w:cs="Times New Roman"/>
          <w:b/>
          <w:sz w:val="20"/>
          <w:szCs w:val="20"/>
          <w:lang w:val="en-AU"/>
        </w:rPr>
      </w:pPr>
    </w:p>
    <w:p w14:paraId="78C2F4A3" w14:textId="70669B2E" w:rsidR="00A430AB" w:rsidRPr="002665D2" w:rsidRDefault="00A430AB" w:rsidP="00A430AB">
      <w:pPr>
        <w:spacing w:line="360" w:lineRule="auto"/>
        <w:jc w:val="both"/>
        <w:rPr>
          <w:rFonts w:ascii="Arial" w:hAnsi="Arial" w:cs="Times New Roman"/>
          <w:b/>
          <w:sz w:val="20"/>
          <w:szCs w:val="20"/>
          <w:lang w:val="en-AU"/>
        </w:rPr>
      </w:pPr>
      <w:r w:rsidRPr="002665D2">
        <w:rPr>
          <w:rFonts w:ascii="Arial" w:hAnsi="Arial" w:cs="Times New Roman"/>
          <w:b/>
          <w:sz w:val="20"/>
          <w:szCs w:val="20"/>
          <w:lang w:val="en-AU"/>
        </w:rPr>
        <w:t xml:space="preserve">  </w:t>
      </w:r>
      <w:r w:rsidR="0078257D">
        <w:rPr>
          <w:rFonts w:ascii="Arial" w:hAnsi="Arial" w:cs="Times New Roman"/>
          <w:b/>
          <w:sz w:val="20"/>
          <w:szCs w:val="20"/>
          <w:lang w:val="en-AU"/>
        </w:rPr>
        <w:t xml:space="preserve">   </w:t>
      </w:r>
      <w:r w:rsidRPr="002665D2">
        <w:rPr>
          <w:rFonts w:ascii="Arial" w:hAnsi="Arial" w:cs="Times New Roman"/>
          <w:b/>
          <w:sz w:val="20"/>
          <w:szCs w:val="20"/>
          <w:lang w:val="en-AU"/>
        </w:rPr>
        <w:t>Table 2 Key Thesis Findings</w:t>
      </w:r>
    </w:p>
    <w:tbl>
      <w:tblPr>
        <w:tblStyle w:val="TableGrid"/>
        <w:tblW w:w="0" w:type="auto"/>
        <w:tblInd w:w="250" w:type="dxa"/>
        <w:tblLayout w:type="fixed"/>
        <w:tblLook w:val="04A0" w:firstRow="1" w:lastRow="0" w:firstColumn="1" w:lastColumn="0" w:noHBand="0" w:noVBand="1"/>
      </w:tblPr>
      <w:tblGrid>
        <w:gridCol w:w="1985"/>
        <w:gridCol w:w="1275"/>
        <w:gridCol w:w="5529"/>
      </w:tblGrid>
      <w:tr w:rsidR="00C76CCB" w:rsidRPr="002665D2" w14:paraId="78A98353" w14:textId="77777777" w:rsidTr="00232930">
        <w:tc>
          <w:tcPr>
            <w:tcW w:w="1985" w:type="dxa"/>
          </w:tcPr>
          <w:p w14:paraId="6A301CE1" w14:textId="06E2706D" w:rsidR="00C76CCB" w:rsidRPr="002665D2" w:rsidRDefault="00C76CCB" w:rsidP="00A430AB">
            <w:pPr>
              <w:jc w:val="both"/>
              <w:rPr>
                <w:rFonts w:ascii="Arial" w:hAnsi="Arial" w:cs="Times New Roman"/>
                <w:sz w:val="20"/>
                <w:szCs w:val="20"/>
                <w:lang w:val="en-AU"/>
              </w:rPr>
            </w:pPr>
            <w:r w:rsidRPr="002665D2">
              <w:rPr>
                <w:rFonts w:ascii="Arial" w:hAnsi="Arial" w:cs="Times New Roman"/>
                <w:sz w:val="20"/>
                <w:szCs w:val="20"/>
                <w:lang w:val="en-AU"/>
              </w:rPr>
              <w:t>Variables</w:t>
            </w:r>
          </w:p>
        </w:tc>
        <w:tc>
          <w:tcPr>
            <w:tcW w:w="1275" w:type="dxa"/>
          </w:tcPr>
          <w:p w14:paraId="52D0D3C1" w14:textId="7EC82400" w:rsidR="00C76CCB" w:rsidRPr="002665D2" w:rsidRDefault="00C76CCB" w:rsidP="00A430AB">
            <w:pPr>
              <w:jc w:val="both"/>
              <w:rPr>
                <w:rFonts w:ascii="Arial" w:hAnsi="Arial" w:cs="Times New Roman"/>
                <w:sz w:val="20"/>
                <w:szCs w:val="20"/>
                <w:lang w:val="en-AU"/>
              </w:rPr>
            </w:pPr>
            <w:r w:rsidRPr="002665D2">
              <w:rPr>
                <w:rFonts w:ascii="Arial" w:hAnsi="Arial" w:cs="Times New Roman"/>
                <w:sz w:val="20"/>
                <w:szCs w:val="20"/>
                <w:lang w:val="en-AU"/>
              </w:rPr>
              <w:t>Analysis</w:t>
            </w:r>
          </w:p>
        </w:tc>
        <w:tc>
          <w:tcPr>
            <w:tcW w:w="5529" w:type="dxa"/>
          </w:tcPr>
          <w:p w14:paraId="4E8619B6" w14:textId="4B6AE35D" w:rsidR="00C76CCB" w:rsidRPr="002665D2" w:rsidRDefault="00C76CCB" w:rsidP="00A430AB">
            <w:pPr>
              <w:jc w:val="both"/>
              <w:rPr>
                <w:rFonts w:ascii="Arial" w:hAnsi="Arial" w:cs="Times New Roman"/>
                <w:sz w:val="20"/>
                <w:szCs w:val="20"/>
                <w:lang w:val="en-AU"/>
              </w:rPr>
            </w:pPr>
            <w:r w:rsidRPr="002665D2">
              <w:rPr>
                <w:rFonts w:ascii="Arial" w:hAnsi="Arial" w:cs="Times New Roman"/>
                <w:sz w:val="20"/>
                <w:szCs w:val="20"/>
                <w:lang w:val="en-AU"/>
              </w:rPr>
              <w:t>Findings</w:t>
            </w:r>
          </w:p>
        </w:tc>
      </w:tr>
      <w:tr w:rsidR="00C76CCB" w:rsidRPr="002665D2" w14:paraId="1306F955" w14:textId="77777777" w:rsidTr="00232930">
        <w:tc>
          <w:tcPr>
            <w:tcW w:w="1985" w:type="dxa"/>
          </w:tcPr>
          <w:p w14:paraId="1A1FF96C" w14:textId="178B668A" w:rsidR="00C76CCB" w:rsidRPr="002665D2" w:rsidRDefault="00C76CCB" w:rsidP="006A2629">
            <w:pPr>
              <w:jc w:val="both"/>
              <w:rPr>
                <w:rFonts w:ascii="Arial" w:hAnsi="Arial" w:cs="Times New Roman"/>
                <w:sz w:val="20"/>
                <w:szCs w:val="20"/>
                <w:lang w:val="en-AU"/>
              </w:rPr>
            </w:pPr>
            <w:r w:rsidRPr="002665D2">
              <w:rPr>
                <w:rFonts w:ascii="Arial" w:hAnsi="Arial" w:cs="Times New Roman"/>
                <w:sz w:val="20"/>
                <w:szCs w:val="20"/>
                <w:lang w:val="en-AU"/>
              </w:rPr>
              <w:t xml:space="preserve">Overall living satisfaction index and pool of 20 variables used to scale residential satisfaction </w:t>
            </w:r>
          </w:p>
        </w:tc>
        <w:tc>
          <w:tcPr>
            <w:tcW w:w="1275" w:type="dxa"/>
          </w:tcPr>
          <w:p w14:paraId="57B057DC" w14:textId="59E973BA" w:rsidR="00C76CCB" w:rsidRPr="002665D2" w:rsidRDefault="00C76CCB" w:rsidP="00A430AB">
            <w:pPr>
              <w:jc w:val="both"/>
              <w:rPr>
                <w:rFonts w:ascii="Arial" w:hAnsi="Arial" w:cs="Times New Roman"/>
                <w:sz w:val="20"/>
                <w:szCs w:val="20"/>
                <w:lang w:val="en-AU"/>
              </w:rPr>
            </w:pPr>
            <w:r w:rsidRPr="002665D2">
              <w:rPr>
                <w:rFonts w:ascii="Arial" w:hAnsi="Arial" w:cs="Times New Roman"/>
                <w:sz w:val="20"/>
                <w:szCs w:val="20"/>
                <w:lang w:val="en-AU"/>
              </w:rPr>
              <w:t>Logistic regression</w:t>
            </w:r>
          </w:p>
        </w:tc>
        <w:tc>
          <w:tcPr>
            <w:tcW w:w="5529" w:type="dxa"/>
          </w:tcPr>
          <w:p w14:paraId="1ECAD25D" w14:textId="54E929F2" w:rsidR="00C76CCB" w:rsidRPr="002665D2" w:rsidRDefault="00232930" w:rsidP="00A430AB">
            <w:pPr>
              <w:jc w:val="both"/>
              <w:rPr>
                <w:rFonts w:ascii="Arial" w:hAnsi="Arial" w:cs="Times New Roman"/>
                <w:sz w:val="20"/>
                <w:szCs w:val="20"/>
                <w:lang w:val="en-AU"/>
              </w:rPr>
            </w:pPr>
            <w:r w:rsidRPr="002665D2">
              <w:rPr>
                <w:rFonts w:ascii="Arial" w:hAnsi="Arial" w:cs="Times New Roman"/>
                <w:sz w:val="20"/>
                <w:szCs w:val="20"/>
                <w:lang w:val="en-AU"/>
              </w:rPr>
              <w:t xml:space="preserve">Provision of sufficient green areas in apartment buildings, night safety of the lifts, night safety of the development and good neighbours </w:t>
            </w:r>
          </w:p>
          <w:p w14:paraId="56363B34" w14:textId="77777777" w:rsidR="00C76CCB" w:rsidRPr="002665D2" w:rsidRDefault="00C76CCB" w:rsidP="00A430AB">
            <w:pPr>
              <w:jc w:val="both"/>
              <w:rPr>
                <w:rFonts w:ascii="Arial" w:hAnsi="Arial" w:cs="Times New Roman"/>
                <w:sz w:val="20"/>
                <w:szCs w:val="20"/>
                <w:lang w:val="en-AU"/>
              </w:rPr>
            </w:pPr>
            <w:r w:rsidRPr="002665D2">
              <w:rPr>
                <w:rFonts w:ascii="Arial" w:hAnsi="Arial" w:cs="Times New Roman"/>
                <w:sz w:val="20"/>
                <w:szCs w:val="20"/>
                <w:lang w:val="en-AU"/>
              </w:rPr>
              <w:t>Chi-square= 31.17, degrees of freedom=4, N=84, p &lt; .001</w:t>
            </w:r>
          </w:p>
          <w:p w14:paraId="2ABFC290" w14:textId="3CBA302A" w:rsidR="00232930" w:rsidRPr="002665D2" w:rsidRDefault="00232930" w:rsidP="00232930">
            <w:pPr>
              <w:jc w:val="both"/>
              <w:rPr>
                <w:rFonts w:ascii="Arial" w:hAnsi="Arial" w:cs="Times New Roman"/>
                <w:sz w:val="20"/>
                <w:szCs w:val="20"/>
                <w:lang w:val="en-AU"/>
              </w:rPr>
            </w:pPr>
            <w:r w:rsidRPr="002665D2">
              <w:rPr>
                <w:rFonts w:ascii="Arial" w:hAnsi="Arial" w:cs="Times New Roman"/>
                <w:sz w:val="20"/>
                <w:szCs w:val="20"/>
                <w:lang w:val="en-AU"/>
              </w:rPr>
              <w:t>R-square estimates indicate 31% or 46% in whether residents are likely to report low or high residential satisfaction</w:t>
            </w:r>
            <w:r w:rsidR="00922E62" w:rsidRPr="002665D2">
              <w:rPr>
                <w:rFonts w:ascii="Arial" w:hAnsi="Arial" w:cs="Times New Roman"/>
                <w:sz w:val="20"/>
                <w:szCs w:val="20"/>
                <w:lang w:val="en-AU"/>
              </w:rPr>
              <w:t xml:space="preserve"> using above four predictor variables</w:t>
            </w:r>
          </w:p>
        </w:tc>
      </w:tr>
      <w:tr w:rsidR="00922E62" w:rsidRPr="002665D2" w14:paraId="61FBE8C3" w14:textId="77777777" w:rsidTr="00120671">
        <w:trPr>
          <w:trHeight w:val="1040"/>
        </w:trPr>
        <w:tc>
          <w:tcPr>
            <w:tcW w:w="1985" w:type="dxa"/>
          </w:tcPr>
          <w:p w14:paraId="58D9702B" w14:textId="7AED3F8E" w:rsidR="00922E62" w:rsidRPr="002665D2" w:rsidRDefault="00922E62" w:rsidP="00A430AB">
            <w:pPr>
              <w:jc w:val="both"/>
              <w:rPr>
                <w:rFonts w:ascii="Arial" w:hAnsi="Arial" w:cs="Times New Roman"/>
                <w:sz w:val="20"/>
                <w:szCs w:val="20"/>
                <w:lang w:val="en-AU"/>
              </w:rPr>
            </w:pPr>
            <w:r w:rsidRPr="002665D2">
              <w:rPr>
                <w:rFonts w:ascii="Arial" w:hAnsi="Arial" w:cs="Times New Roman"/>
                <w:sz w:val="20"/>
                <w:szCs w:val="20"/>
                <w:lang w:val="en-AU"/>
              </w:rPr>
              <w:t xml:space="preserve">Variables that commanded top </w:t>
            </w:r>
            <w:r w:rsidR="002B6F27" w:rsidRPr="002665D2">
              <w:rPr>
                <w:rFonts w:ascii="Arial" w:hAnsi="Arial" w:cs="Times New Roman"/>
                <w:sz w:val="20"/>
                <w:szCs w:val="20"/>
                <w:lang w:val="en-AU"/>
              </w:rPr>
              <w:t xml:space="preserve">5 </w:t>
            </w:r>
            <w:r w:rsidRPr="002665D2">
              <w:rPr>
                <w:rFonts w:ascii="Arial" w:hAnsi="Arial" w:cs="Times New Roman"/>
                <w:sz w:val="20"/>
                <w:szCs w:val="20"/>
                <w:lang w:val="en-AU"/>
              </w:rPr>
              <w:t>spots for dissatisfaction</w:t>
            </w:r>
          </w:p>
          <w:p w14:paraId="0D97E343" w14:textId="4EF233CD" w:rsidR="00120671" w:rsidRPr="002665D2" w:rsidRDefault="00120671" w:rsidP="00A430AB">
            <w:pPr>
              <w:jc w:val="both"/>
              <w:rPr>
                <w:rFonts w:ascii="Arial" w:hAnsi="Arial" w:cs="Times New Roman"/>
                <w:sz w:val="20"/>
                <w:szCs w:val="20"/>
                <w:lang w:val="en-AU"/>
              </w:rPr>
            </w:pPr>
          </w:p>
        </w:tc>
        <w:tc>
          <w:tcPr>
            <w:tcW w:w="1275" w:type="dxa"/>
          </w:tcPr>
          <w:p w14:paraId="16F6295B" w14:textId="536091C7" w:rsidR="00922E62" w:rsidRPr="002665D2" w:rsidRDefault="00922E62" w:rsidP="00A430AB">
            <w:pPr>
              <w:jc w:val="both"/>
              <w:rPr>
                <w:rFonts w:ascii="Arial" w:hAnsi="Arial" w:cs="Times New Roman"/>
                <w:sz w:val="20"/>
                <w:szCs w:val="20"/>
                <w:lang w:val="en-AU"/>
              </w:rPr>
            </w:pPr>
            <w:r w:rsidRPr="002665D2">
              <w:rPr>
                <w:rFonts w:ascii="Arial" w:hAnsi="Arial" w:cs="Times New Roman"/>
                <w:sz w:val="20"/>
                <w:szCs w:val="20"/>
                <w:lang w:val="en-AU"/>
              </w:rPr>
              <w:t>Simple frequencies</w:t>
            </w:r>
          </w:p>
        </w:tc>
        <w:tc>
          <w:tcPr>
            <w:tcW w:w="5529" w:type="dxa"/>
          </w:tcPr>
          <w:p w14:paraId="6D84BBA8" w14:textId="16DA927A" w:rsidR="00922E62" w:rsidRPr="002665D2" w:rsidRDefault="00922E62" w:rsidP="00922E62">
            <w:pPr>
              <w:jc w:val="both"/>
              <w:rPr>
                <w:rFonts w:ascii="Arial" w:hAnsi="Arial" w:cs="Times New Roman"/>
                <w:sz w:val="20"/>
                <w:szCs w:val="20"/>
                <w:lang w:val="en-AU"/>
              </w:rPr>
            </w:pPr>
            <w:r w:rsidRPr="002665D2">
              <w:rPr>
                <w:rFonts w:ascii="Arial" w:hAnsi="Arial" w:cs="Times New Roman"/>
                <w:sz w:val="20"/>
                <w:szCs w:val="20"/>
                <w:lang w:val="en-AU"/>
              </w:rPr>
              <w:t>Storage (55%), vandalism in the building (49%), housing</w:t>
            </w:r>
          </w:p>
          <w:p w14:paraId="182006CF" w14:textId="77777777" w:rsidR="00922E62" w:rsidRPr="002665D2" w:rsidRDefault="00922E62" w:rsidP="00922E62">
            <w:pPr>
              <w:jc w:val="both"/>
              <w:rPr>
                <w:rFonts w:ascii="Arial" w:hAnsi="Arial" w:cs="Times New Roman"/>
                <w:sz w:val="20"/>
                <w:szCs w:val="20"/>
                <w:lang w:val="en-AU"/>
              </w:rPr>
            </w:pPr>
            <w:r w:rsidRPr="002665D2">
              <w:rPr>
                <w:rFonts w:ascii="Arial" w:hAnsi="Arial" w:cs="Times New Roman"/>
                <w:sz w:val="20"/>
                <w:szCs w:val="20"/>
                <w:lang w:val="en-AU"/>
              </w:rPr>
              <w:t>affordability (expensive rent/strata levy) (45%), lifts (37%) and cooking smell from nearby dwellings</w:t>
            </w:r>
          </w:p>
          <w:p w14:paraId="7DE69CA8" w14:textId="1FB1E088" w:rsidR="00922E62" w:rsidRPr="002665D2" w:rsidRDefault="00922E62" w:rsidP="00922E62">
            <w:pPr>
              <w:jc w:val="both"/>
              <w:rPr>
                <w:rFonts w:ascii="Arial" w:hAnsi="Arial" w:cs="Times New Roman"/>
                <w:sz w:val="20"/>
                <w:szCs w:val="20"/>
                <w:lang w:val="en-AU"/>
              </w:rPr>
            </w:pPr>
            <w:r w:rsidRPr="002665D2">
              <w:rPr>
                <w:rFonts w:ascii="Arial" w:hAnsi="Arial" w:cs="Times New Roman"/>
                <w:sz w:val="20"/>
                <w:szCs w:val="20"/>
                <w:lang w:val="en-AU"/>
              </w:rPr>
              <w:t>(36%).</w:t>
            </w:r>
          </w:p>
        </w:tc>
      </w:tr>
      <w:tr w:rsidR="00120671" w:rsidRPr="002665D2" w14:paraId="208AFBBB" w14:textId="77777777" w:rsidTr="00120671">
        <w:trPr>
          <w:trHeight w:val="410"/>
        </w:trPr>
        <w:tc>
          <w:tcPr>
            <w:tcW w:w="1985" w:type="dxa"/>
          </w:tcPr>
          <w:p w14:paraId="765B5C12" w14:textId="457F3EC3" w:rsidR="001B2D40" w:rsidRPr="002665D2" w:rsidRDefault="00295C12" w:rsidP="001B2D40">
            <w:pPr>
              <w:jc w:val="both"/>
              <w:rPr>
                <w:rFonts w:ascii="Arial" w:hAnsi="Arial" w:cs="Times New Roman"/>
                <w:sz w:val="20"/>
                <w:szCs w:val="20"/>
                <w:lang w:val="en-AU"/>
              </w:rPr>
            </w:pPr>
            <w:r w:rsidRPr="002665D2">
              <w:rPr>
                <w:rFonts w:ascii="Arial" w:hAnsi="Arial" w:cs="Times New Roman"/>
                <w:sz w:val="20"/>
                <w:szCs w:val="20"/>
                <w:lang w:val="en-AU"/>
              </w:rPr>
              <w:t>T</w:t>
            </w:r>
            <w:r w:rsidR="001B2D40" w:rsidRPr="002665D2">
              <w:rPr>
                <w:rFonts w:ascii="Arial" w:hAnsi="Arial" w:cs="Times New Roman"/>
                <w:sz w:val="20"/>
                <w:szCs w:val="20"/>
                <w:lang w:val="en-AU"/>
              </w:rPr>
              <w:t>wo most negative</w:t>
            </w:r>
          </w:p>
          <w:p w14:paraId="3602244D" w14:textId="5337D565" w:rsidR="00120671" w:rsidRPr="002665D2" w:rsidRDefault="001B2D40" w:rsidP="001B2D40">
            <w:pPr>
              <w:jc w:val="both"/>
              <w:rPr>
                <w:rFonts w:ascii="Arial" w:hAnsi="Arial" w:cs="Times New Roman"/>
                <w:sz w:val="20"/>
                <w:szCs w:val="20"/>
                <w:lang w:val="en-AU"/>
              </w:rPr>
            </w:pPr>
            <w:r w:rsidRPr="002665D2">
              <w:rPr>
                <w:rFonts w:ascii="Arial" w:hAnsi="Arial" w:cs="Times New Roman"/>
                <w:sz w:val="20"/>
                <w:szCs w:val="20"/>
                <w:lang w:val="en-AU"/>
              </w:rPr>
              <w:t xml:space="preserve">aspects of living in </w:t>
            </w:r>
            <w:r w:rsidRPr="002665D2">
              <w:rPr>
                <w:rFonts w:ascii="Arial" w:hAnsi="Arial" w:cs="Times New Roman"/>
                <w:sz w:val="20"/>
                <w:szCs w:val="20"/>
                <w:lang w:val="en-AU"/>
              </w:rPr>
              <w:lastRenderedPageBreak/>
              <w:t xml:space="preserve">apartments </w:t>
            </w:r>
            <w:r w:rsidR="00295C12" w:rsidRPr="002665D2">
              <w:rPr>
                <w:rFonts w:ascii="Arial" w:hAnsi="Arial" w:cs="Times New Roman"/>
                <w:sz w:val="20"/>
                <w:szCs w:val="20"/>
                <w:lang w:val="en-AU"/>
              </w:rPr>
              <w:t>(</w:t>
            </w:r>
            <w:r w:rsidRPr="002665D2">
              <w:rPr>
                <w:rFonts w:ascii="Arial" w:hAnsi="Arial" w:cs="Times New Roman"/>
                <w:sz w:val="20"/>
                <w:szCs w:val="20"/>
                <w:lang w:val="en-AU"/>
              </w:rPr>
              <w:t>open response</w:t>
            </w:r>
            <w:r w:rsidR="00295C12" w:rsidRPr="002665D2">
              <w:rPr>
                <w:rFonts w:ascii="Arial" w:hAnsi="Arial" w:cs="Times New Roman"/>
                <w:sz w:val="20"/>
                <w:szCs w:val="20"/>
                <w:lang w:val="en-AU"/>
              </w:rPr>
              <w:t>)</w:t>
            </w:r>
          </w:p>
          <w:p w14:paraId="3EECC05B" w14:textId="77777777" w:rsidR="00120671" w:rsidRPr="002665D2" w:rsidRDefault="00120671" w:rsidP="00A430AB">
            <w:pPr>
              <w:jc w:val="both"/>
              <w:rPr>
                <w:rFonts w:ascii="Arial" w:hAnsi="Arial" w:cs="Times New Roman"/>
                <w:sz w:val="20"/>
                <w:szCs w:val="20"/>
                <w:lang w:val="en-AU"/>
              </w:rPr>
            </w:pPr>
          </w:p>
        </w:tc>
        <w:tc>
          <w:tcPr>
            <w:tcW w:w="1275" w:type="dxa"/>
          </w:tcPr>
          <w:p w14:paraId="1B9C4392" w14:textId="0C8ED328" w:rsidR="00120671" w:rsidRPr="002665D2" w:rsidRDefault="00295C12" w:rsidP="00A430AB">
            <w:pPr>
              <w:jc w:val="both"/>
              <w:rPr>
                <w:rFonts w:ascii="Arial" w:hAnsi="Arial" w:cs="Times New Roman"/>
                <w:sz w:val="20"/>
                <w:szCs w:val="20"/>
                <w:lang w:val="en-AU"/>
              </w:rPr>
            </w:pPr>
            <w:r w:rsidRPr="002665D2">
              <w:rPr>
                <w:rFonts w:ascii="Arial" w:hAnsi="Arial" w:cs="Times New Roman"/>
                <w:sz w:val="20"/>
                <w:szCs w:val="20"/>
                <w:lang w:val="en-AU"/>
              </w:rPr>
              <w:lastRenderedPageBreak/>
              <w:t>Simple frequencies</w:t>
            </w:r>
          </w:p>
        </w:tc>
        <w:tc>
          <w:tcPr>
            <w:tcW w:w="5529" w:type="dxa"/>
          </w:tcPr>
          <w:p w14:paraId="54D8E9B7" w14:textId="49EA9A9A" w:rsidR="00120671" w:rsidRPr="002665D2" w:rsidRDefault="00295C12" w:rsidP="00922E62">
            <w:pPr>
              <w:jc w:val="both"/>
              <w:rPr>
                <w:rFonts w:ascii="Arial" w:hAnsi="Arial" w:cs="Times New Roman"/>
                <w:sz w:val="20"/>
                <w:szCs w:val="20"/>
                <w:lang w:val="en-AU"/>
              </w:rPr>
            </w:pPr>
            <w:r w:rsidRPr="002665D2">
              <w:rPr>
                <w:rFonts w:ascii="Arial" w:hAnsi="Arial" w:cs="Times New Roman"/>
                <w:sz w:val="20"/>
                <w:szCs w:val="20"/>
                <w:lang w:val="en-AU"/>
              </w:rPr>
              <w:t>Lift breakdown (19%) and safety issues (10%)</w:t>
            </w:r>
          </w:p>
        </w:tc>
      </w:tr>
    </w:tbl>
    <w:p w14:paraId="54500A14" w14:textId="1C2C1862" w:rsidR="00A430AB" w:rsidRDefault="0078257D" w:rsidP="00780F73">
      <w:pPr>
        <w:jc w:val="both"/>
        <w:rPr>
          <w:rFonts w:ascii="Arial" w:hAnsi="Arial"/>
          <w:iCs/>
          <w:sz w:val="20"/>
          <w:szCs w:val="20"/>
          <w:lang w:val="en-AU"/>
        </w:rPr>
      </w:pPr>
      <w:r>
        <w:rPr>
          <w:rFonts w:ascii="Arial" w:hAnsi="Arial"/>
          <w:iCs/>
          <w:sz w:val="20"/>
          <w:szCs w:val="20"/>
          <w:lang w:val="en-AU"/>
        </w:rPr>
        <w:lastRenderedPageBreak/>
        <w:t xml:space="preserve">                                        Source: Data analysis (Author)</w:t>
      </w:r>
    </w:p>
    <w:p w14:paraId="12020642" w14:textId="77777777" w:rsidR="008264A9" w:rsidRPr="002665D2" w:rsidRDefault="008264A9" w:rsidP="00780F73">
      <w:pPr>
        <w:jc w:val="both"/>
        <w:rPr>
          <w:rFonts w:ascii="Arial" w:hAnsi="Arial"/>
          <w:iCs/>
          <w:sz w:val="20"/>
          <w:szCs w:val="20"/>
          <w:lang w:val="en-AU"/>
        </w:rPr>
      </w:pPr>
    </w:p>
    <w:p w14:paraId="1143D089" w14:textId="109344B4" w:rsidR="002E2793" w:rsidRPr="002665D2" w:rsidRDefault="00E96F1E" w:rsidP="00BC1668">
      <w:pPr>
        <w:jc w:val="both"/>
        <w:rPr>
          <w:rFonts w:ascii="Arial" w:hAnsi="Arial"/>
          <w:iCs/>
          <w:sz w:val="20"/>
          <w:szCs w:val="20"/>
          <w:lang w:val="en-AU"/>
        </w:rPr>
      </w:pPr>
      <w:r w:rsidRPr="002665D2">
        <w:rPr>
          <w:rFonts w:ascii="Arial" w:hAnsi="Arial"/>
          <w:iCs/>
          <w:sz w:val="20"/>
          <w:szCs w:val="20"/>
          <w:lang w:val="en-AU"/>
        </w:rPr>
        <w:t xml:space="preserve">Similar themes have emerged previously in the Australian studies: safety and need for open area provision in the neighbourhood </w:t>
      </w:r>
      <w:r w:rsidRPr="00DC1E56">
        <w:rPr>
          <w:rFonts w:ascii="Arial" w:hAnsi="Arial"/>
          <w:iCs/>
          <w:sz w:val="20"/>
          <w:szCs w:val="20"/>
          <w:lang w:val="en-AU"/>
        </w:rPr>
        <w:t>(Buys &amp; Miller</w:t>
      </w:r>
      <w:r w:rsidR="00DC1E56" w:rsidRPr="00DC1E56">
        <w:rPr>
          <w:rFonts w:ascii="Arial" w:hAnsi="Arial"/>
          <w:iCs/>
          <w:sz w:val="20"/>
          <w:szCs w:val="20"/>
          <w:lang w:val="en-AU"/>
        </w:rPr>
        <w:t>,</w:t>
      </w:r>
      <w:r w:rsidRPr="00DC1E56">
        <w:rPr>
          <w:rFonts w:ascii="Arial" w:hAnsi="Arial"/>
          <w:iCs/>
          <w:sz w:val="20"/>
          <w:szCs w:val="20"/>
          <w:lang w:val="en-AU"/>
        </w:rPr>
        <w:t xml:space="preserve"> 2012)</w:t>
      </w:r>
      <w:r w:rsidRPr="002665D2">
        <w:rPr>
          <w:rFonts w:ascii="Arial" w:hAnsi="Arial"/>
          <w:iCs/>
          <w:sz w:val="20"/>
          <w:szCs w:val="20"/>
          <w:lang w:val="en-AU"/>
        </w:rPr>
        <w:t xml:space="preserve"> safety aspects </w:t>
      </w:r>
      <w:r w:rsidRPr="00DC1E56">
        <w:rPr>
          <w:rFonts w:ascii="Arial" w:hAnsi="Arial"/>
          <w:iCs/>
          <w:sz w:val="20"/>
          <w:szCs w:val="20"/>
          <w:lang w:val="en-AU"/>
        </w:rPr>
        <w:t xml:space="preserve">(Kelly, Walsh &amp; </w:t>
      </w:r>
      <w:proofErr w:type="spellStart"/>
      <w:r w:rsidRPr="00DC1E56">
        <w:rPr>
          <w:rFonts w:ascii="Arial" w:hAnsi="Arial"/>
          <w:iCs/>
          <w:sz w:val="20"/>
          <w:szCs w:val="20"/>
          <w:lang w:val="en-AU"/>
        </w:rPr>
        <w:t>Weidmann</w:t>
      </w:r>
      <w:proofErr w:type="spellEnd"/>
      <w:r w:rsidR="00131889">
        <w:rPr>
          <w:rFonts w:ascii="Arial" w:hAnsi="Arial"/>
          <w:iCs/>
          <w:sz w:val="20"/>
          <w:szCs w:val="20"/>
          <w:lang w:val="en-AU"/>
        </w:rPr>
        <w:t>,</w:t>
      </w:r>
      <w:r w:rsidRPr="00DC1E56">
        <w:rPr>
          <w:rFonts w:ascii="Arial" w:hAnsi="Arial"/>
          <w:iCs/>
          <w:sz w:val="20"/>
          <w:szCs w:val="20"/>
          <w:lang w:val="en-AU"/>
        </w:rPr>
        <w:t xml:space="preserve"> 201l, p.12) </w:t>
      </w:r>
      <w:r w:rsidRPr="002665D2">
        <w:rPr>
          <w:rFonts w:ascii="Arial" w:hAnsi="Arial"/>
          <w:iCs/>
          <w:sz w:val="20"/>
          <w:szCs w:val="20"/>
          <w:lang w:val="en-AU"/>
        </w:rPr>
        <w:t>landscaping</w:t>
      </w:r>
      <w:r w:rsidR="002478E5" w:rsidRPr="002665D2">
        <w:rPr>
          <w:rFonts w:ascii="Arial" w:hAnsi="Arial"/>
          <w:iCs/>
          <w:sz w:val="20"/>
          <w:szCs w:val="20"/>
          <w:lang w:val="en-AU"/>
        </w:rPr>
        <w:t xml:space="preserve"> and storage</w:t>
      </w:r>
      <w:r w:rsidRPr="002665D2">
        <w:rPr>
          <w:rFonts w:ascii="Arial" w:hAnsi="Arial"/>
          <w:iCs/>
          <w:sz w:val="20"/>
          <w:szCs w:val="20"/>
          <w:lang w:val="en-AU"/>
        </w:rPr>
        <w:t xml:space="preserve"> (</w:t>
      </w:r>
      <w:r w:rsidRPr="00DC1E56">
        <w:rPr>
          <w:rFonts w:ascii="Arial" w:hAnsi="Arial"/>
          <w:iCs/>
          <w:sz w:val="20"/>
          <w:szCs w:val="20"/>
          <w:lang w:val="en-AU"/>
        </w:rPr>
        <w:t>Davies &amp; Young</w:t>
      </w:r>
      <w:r w:rsidR="00DC1E56">
        <w:rPr>
          <w:rFonts w:ascii="Arial" w:hAnsi="Arial"/>
          <w:iCs/>
          <w:sz w:val="20"/>
          <w:szCs w:val="20"/>
          <w:lang w:val="en-AU"/>
        </w:rPr>
        <w:t>,</w:t>
      </w:r>
      <w:r w:rsidRPr="00DC1E56">
        <w:rPr>
          <w:rFonts w:ascii="Arial" w:hAnsi="Arial"/>
          <w:iCs/>
          <w:sz w:val="20"/>
          <w:szCs w:val="20"/>
          <w:lang w:val="en-AU"/>
        </w:rPr>
        <w:t xml:space="preserve"> 1976, p.109</w:t>
      </w:r>
      <w:r w:rsidR="002478E5" w:rsidRPr="002665D2">
        <w:rPr>
          <w:rFonts w:ascii="Arial" w:hAnsi="Arial"/>
          <w:iCs/>
          <w:sz w:val="20"/>
          <w:szCs w:val="20"/>
          <w:lang w:val="en-AU"/>
        </w:rPr>
        <w:t xml:space="preserve">), </w:t>
      </w:r>
      <w:r w:rsidR="00AA42CA" w:rsidRPr="002665D2">
        <w:rPr>
          <w:rFonts w:ascii="Arial" w:hAnsi="Arial"/>
          <w:iCs/>
          <w:sz w:val="20"/>
          <w:szCs w:val="20"/>
          <w:lang w:val="en-AU"/>
        </w:rPr>
        <w:t xml:space="preserve">issues with lifts, dissatisfaction with strata levy, and problems caused by cooking </w:t>
      </w:r>
      <w:r w:rsidR="00AA42CA" w:rsidRPr="00DC1E56">
        <w:rPr>
          <w:rFonts w:ascii="Arial" w:hAnsi="Arial"/>
          <w:iCs/>
          <w:sz w:val="20"/>
          <w:szCs w:val="20"/>
          <w:lang w:val="en-AU"/>
        </w:rPr>
        <w:t>smell (</w:t>
      </w:r>
      <w:proofErr w:type="spellStart"/>
      <w:r w:rsidR="00AA42CA" w:rsidRPr="00DC1E56">
        <w:rPr>
          <w:rFonts w:ascii="Arial" w:hAnsi="Arial"/>
          <w:iCs/>
          <w:sz w:val="20"/>
          <w:szCs w:val="20"/>
          <w:lang w:val="en-AU"/>
        </w:rPr>
        <w:t>Easthope</w:t>
      </w:r>
      <w:proofErr w:type="spellEnd"/>
      <w:r w:rsidR="00AA42CA" w:rsidRPr="00DC1E56">
        <w:rPr>
          <w:rFonts w:ascii="Arial" w:hAnsi="Arial"/>
          <w:iCs/>
          <w:sz w:val="20"/>
          <w:szCs w:val="20"/>
          <w:lang w:val="en-AU"/>
        </w:rPr>
        <w:t>, Randolph &amp; Judd 2012, pp.66, 80</w:t>
      </w:r>
      <w:r w:rsidR="00AA42CA" w:rsidRPr="002665D2">
        <w:rPr>
          <w:rFonts w:ascii="Arial" w:hAnsi="Arial"/>
          <w:iCs/>
          <w:sz w:val="20"/>
          <w:szCs w:val="20"/>
          <w:lang w:val="en-AU"/>
        </w:rPr>
        <w:t xml:space="preserve">, 87). </w:t>
      </w:r>
    </w:p>
    <w:p w14:paraId="1CA4E12C" w14:textId="77777777" w:rsidR="00B30CB8" w:rsidRPr="002665D2" w:rsidRDefault="008A1DFB" w:rsidP="00B30CB8">
      <w:pPr>
        <w:jc w:val="both"/>
        <w:rPr>
          <w:rFonts w:ascii="Arial" w:hAnsi="Arial"/>
          <w:iCs/>
          <w:sz w:val="20"/>
          <w:szCs w:val="20"/>
          <w:lang w:val="en-AU"/>
        </w:rPr>
      </w:pPr>
      <w:r w:rsidRPr="002665D2">
        <w:rPr>
          <w:rFonts w:ascii="Arial" w:hAnsi="Arial"/>
          <w:sz w:val="20"/>
          <w:szCs w:val="20"/>
          <w:lang w:val="en-AU"/>
        </w:rPr>
        <w:t>There is very little evidence in Australian literature in relation to lift breakdown as a pertinent problem in apartment buildings. Nevertheless, defective machines (lifts and air cons) account for 12% of the building defects in Strata Owners Survey (</w:t>
      </w:r>
      <w:proofErr w:type="spellStart"/>
      <w:r w:rsidRPr="002665D2">
        <w:rPr>
          <w:rFonts w:ascii="Arial" w:hAnsi="Arial"/>
          <w:sz w:val="20"/>
          <w:szCs w:val="20"/>
          <w:lang w:val="en-AU"/>
        </w:rPr>
        <w:t>Easthope</w:t>
      </w:r>
      <w:proofErr w:type="spellEnd"/>
      <w:r w:rsidRPr="002665D2">
        <w:rPr>
          <w:rFonts w:ascii="Arial" w:hAnsi="Arial"/>
          <w:sz w:val="20"/>
          <w:szCs w:val="20"/>
          <w:lang w:val="en-AU"/>
        </w:rPr>
        <w:t xml:space="preserve">, Randolph &amp; Judd 2012, p.66). </w:t>
      </w:r>
      <w:r w:rsidR="00B30CB8" w:rsidRPr="002665D2">
        <w:rPr>
          <w:rFonts w:ascii="Arial" w:hAnsi="Arial"/>
          <w:iCs/>
          <w:sz w:val="20"/>
          <w:szCs w:val="20"/>
          <w:lang w:val="en-AU"/>
        </w:rPr>
        <w:t>Besides, miscellaneous issues cited from residents’ narratives with regard to other given variable statements are also discussed. Nonetheless, they have no statistical relevance.</w:t>
      </w:r>
    </w:p>
    <w:p w14:paraId="02112B30" w14:textId="77777777" w:rsidR="00550471" w:rsidRPr="002665D2" w:rsidRDefault="00550471" w:rsidP="00B30CB8">
      <w:pPr>
        <w:jc w:val="both"/>
        <w:rPr>
          <w:rFonts w:ascii="Arial" w:hAnsi="Arial"/>
          <w:iCs/>
          <w:sz w:val="20"/>
          <w:szCs w:val="20"/>
          <w:lang w:val="en-AU"/>
        </w:rPr>
      </w:pPr>
    </w:p>
    <w:p w14:paraId="12229782" w14:textId="77777777" w:rsidR="00550471" w:rsidRPr="002665D2" w:rsidRDefault="00550471" w:rsidP="00550471">
      <w:pPr>
        <w:jc w:val="both"/>
        <w:rPr>
          <w:rFonts w:ascii="Arial" w:hAnsi="Arial"/>
          <w:b/>
          <w:sz w:val="22"/>
          <w:szCs w:val="22"/>
          <w:lang w:val="en-AU"/>
        </w:rPr>
      </w:pPr>
      <w:r w:rsidRPr="002665D2">
        <w:rPr>
          <w:rFonts w:ascii="Arial" w:hAnsi="Arial"/>
          <w:b/>
          <w:sz w:val="22"/>
          <w:szCs w:val="22"/>
          <w:lang w:val="en-AU"/>
        </w:rPr>
        <w:t>Reflection of Apartment Design Guide based on the Findings</w:t>
      </w:r>
    </w:p>
    <w:p w14:paraId="67B28FC0" w14:textId="77777777" w:rsidR="00550471" w:rsidRPr="002665D2" w:rsidRDefault="00550471" w:rsidP="00B30CB8">
      <w:pPr>
        <w:jc w:val="both"/>
        <w:rPr>
          <w:rFonts w:ascii="Arial" w:hAnsi="Arial"/>
          <w:iCs/>
          <w:sz w:val="20"/>
          <w:szCs w:val="20"/>
          <w:lang w:val="en-AU"/>
        </w:rPr>
      </w:pPr>
    </w:p>
    <w:p w14:paraId="6A9B9BAD" w14:textId="1AE58453" w:rsidR="000058B1" w:rsidRPr="002665D2" w:rsidRDefault="000058B1" w:rsidP="00B30CB8">
      <w:pPr>
        <w:jc w:val="both"/>
        <w:rPr>
          <w:rFonts w:ascii="Arial" w:hAnsi="Arial"/>
          <w:sz w:val="20"/>
          <w:szCs w:val="20"/>
          <w:lang w:val="en-AU"/>
        </w:rPr>
      </w:pPr>
    </w:p>
    <w:p w14:paraId="2BA3571A" w14:textId="3CF6B13D" w:rsidR="00224894" w:rsidRPr="002665D2" w:rsidRDefault="000058B1" w:rsidP="00EC2760">
      <w:pPr>
        <w:jc w:val="both"/>
        <w:rPr>
          <w:rFonts w:ascii="Arial" w:hAnsi="Arial"/>
          <w:sz w:val="20"/>
          <w:szCs w:val="20"/>
          <w:lang w:val="en-AU"/>
        </w:rPr>
      </w:pPr>
      <w:r w:rsidRPr="002665D2">
        <w:rPr>
          <w:rFonts w:ascii="Arial" w:hAnsi="Arial"/>
          <w:sz w:val="20"/>
          <w:szCs w:val="20"/>
          <w:lang w:val="en-AU"/>
        </w:rPr>
        <w:t xml:space="preserve">The interview surveys with </w:t>
      </w:r>
      <w:r w:rsidR="007602AC" w:rsidRPr="002665D2">
        <w:rPr>
          <w:rFonts w:ascii="Arial" w:hAnsi="Arial"/>
          <w:sz w:val="20"/>
          <w:szCs w:val="20"/>
          <w:lang w:val="en-AU"/>
        </w:rPr>
        <w:t>84 apartment</w:t>
      </w:r>
      <w:r w:rsidRPr="002665D2">
        <w:rPr>
          <w:rFonts w:ascii="Arial" w:hAnsi="Arial"/>
          <w:sz w:val="20"/>
          <w:szCs w:val="20"/>
          <w:lang w:val="en-AU"/>
        </w:rPr>
        <w:t xml:space="preserve"> residents and the researcher</w:t>
      </w:r>
      <w:r w:rsidR="006C702D">
        <w:rPr>
          <w:rFonts w:ascii="Arial" w:hAnsi="Arial"/>
          <w:sz w:val="20"/>
          <w:szCs w:val="20"/>
          <w:lang w:val="en-AU"/>
        </w:rPr>
        <w:t>’</w:t>
      </w:r>
      <w:r w:rsidRPr="002665D2">
        <w:rPr>
          <w:rFonts w:ascii="Arial" w:hAnsi="Arial"/>
          <w:sz w:val="20"/>
          <w:szCs w:val="20"/>
          <w:lang w:val="en-AU"/>
        </w:rPr>
        <w:t>s own observations of the design attributes of the buildings, while undertaking the research</w:t>
      </w:r>
      <w:r w:rsidR="007602AC" w:rsidRPr="002665D2">
        <w:rPr>
          <w:rFonts w:ascii="Arial" w:hAnsi="Arial"/>
          <w:sz w:val="20"/>
          <w:szCs w:val="20"/>
          <w:lang w:val="en-AU"/>
        </w:rPr>
        <w:t xml:space="preserve"> inform th</w:t>
      </w:r>
      <w:r w:rsidR="008264A9">
        <w:rPr>
          <w:rFonts w:ascii="Arial" w:hAnsi="Arial"/>
          <w:sz w:val="20"/>
          <w:szCs w:val="20"/>
          <w:lang w:val="en-AU"/>
        </w:rPr>
        <w:t>is</w:t>
      </w:r>
      <w:r w:rsidR="007602AC" w:rsidRPr="002665D2">
        <w:rPr>
          <w:rFonts w:ascii="Arial" w:hAnsi="Arial"/>
          <w:sz w:val="20"/>
          <w:szCs w:val="20"/>
          <w:lang w:val="en-AU"/>
        </w:rPr>
        <w:t xml:space="preserve"> </w:t>
      </w:r>
      <w:r w:rsidR="00550471" w:rsidRPr="002665D2">
        <w:rPr>
          <w:rFonts w:ascii="Arial" w:hAnsi="Arial"/>
          <w:sz w:val="20"/>
          <w:szCs w:val="20"/>
          <w:lang w:val="en-AU"/>
        </w:rPr>
        <w:t>discussion</w:t>
      </w:r>
      <w:r w:rsidR="008264A9">
        <w:rPr>
          <w:rFonts w:ascii="Arial" w:hAnsi="Arial"/>
          <w:sz w:val="20"/>
          <w:szCs w:val="20"/>
          <w:lang w:val="en-AU"/>
        </w:rPr>
        <w:t>.</w:t>
      </w:r>
      <w:r w:rsidR="00550471" w:rsidRPr="002665D2">
        <w:rPr>
          <w:rFonts w:ascii="Arial" w:hAnsi="Arial"/>
          <w:sz w:val="20"/>
          <w:szCs w:val="20"/>
          <w:lang w:val="en-AU"/>
        </w:rPr>
        <w:t xml:space="preserve"> </w:t>
      </w:r>
      <w:r w:rsidR="008264A9" w:rsidRPr="002665D2">
        <w:rPr>
          <w:rFonts w:ascii="Arial" w:hAnsi="Arial"/>
          <w:sz w:val="20"/>
          <w:szCs w:val="20"/>
          <w:lang w:val="en-AU"/>
        </w:rPr>
        <w:t>Th</w:t>
      </w:r>
      <w:r w:rsidR="008264A9">
        <w:rPr>
          <w:rFonts w:ascii="Arial" w:hAnsi="Arial"/>
          <w:sz w:val="20"/>
          <w:szCs w:val="20"/>
          <w:lang w:val="en-AU"/>
        </w:rPr>
        <w:t>is</w:t>
      </w:r>
      <w:r w:rsidR="008264A9" w:rsidRPr="002665D2">
        <w:rPr>
          <w:rFonts w:ascii="Arial" w:hAnsi="Arial"/>
          <w:sz w:val="20"/>
          <w:szCs w:val="20"/>
          <w:lang w:val="en-AU"/>
        </w:rPr>
        <w:t xml:space="preserve"> paper </w:t>
      </w:r>
      <w:r w:rsidR="008264A9">
        <w:rPr>
          <w:rFonts w:ascii="Arial" w:hAnsi="Arial"/>
          <w:sz w:val="20"/>
          <w:szCs w:val="20"/>
          <w:lang w:val="en-AU"/>
        </w:rPr>
        <w:t>aims</w:t>
      </w:r>
      <w:r w:rsidR="008264A9" w:rsidRPr="002665D2">
        <w:rPr>
          <w:rFonts w:ascii="Arial" w:hAnsi="Arial"/>
          <w:sz w:val="20"/>
          <w:szCs w:val="20"/>
          <w:lang w:val="en-AU"/>
        </w:rPr>
        <w:t xml:space="preserve"> to reflect upon the Apartment Design Guide</w:t>
      </w:r>
      <w:r w:rsidR="008264A9">
        <w:rPr>
          <w:rFonts w:ascii="Arial" w:hAnsi="Arial"/>
          <w:sz w:val="20"/>
          <w:szCs w:val="20"/>
          <w:lang w:val="en-AU"/>
        </w:rPr>
        <w:t xml:space="preserve"> (ADG)</w:t>
      </w:r>
      <w:r w:rsidR="008264A9" w:rsidRPr="002665D2">
        <w:rPr>
          <w:rFonts w:ascii="Arial" w:hAnsi="Arial"/>
          <w:sz w:val="20"/>
          <w:szCs w:val="20"/>
          <w:lang w:val="en-AU"/>
        </w:rPr>
        <w:t xml:space="preserve"> (NSW Planning</w:t>
      </w:r>
      <w:r w:rsidR="008264A9">
        <w:rPr>
          <w:rFonts w:ascii="Arial" w:hAnsi="Arial"/>
          <w:sz w:val="20"/>
          <w:szCs w:val="20"/>
          <w:lang w:val="en-AU"/>
        </w:rPr>
        <w:t xml:space="preserve"> &amp; Environment</w:t>
      </w:r>
      <w:r w:rsidR="008264A9" w:rsidRPr="002665D2">
        <w:rPr>
          <w:rFonts w:ascii="Arial" w:hAnsi="Arial"/>
          <w:sz w:val="20"/>
          <w:szCs w:val="20"/>
          <w:lang w:val="en-AU"/>
        </w:rPr>
        <w:t xml:space="preserve">, 2015) based on selected design findings gathered from an empirical study in Fairfield. </w:t>
      </w:r>
      <w:r w:rsidR="008264A9">
        <w:rPr>
          <w:rFonts w:ascii="Arial" w:hAnsi="Arial"/>
          <w:sz w:val="20"/>
          <w:szCs w:val="20"/>
          <w:lang w:val="en-AU"/>
        </w:rPr>
        <w:t xml:space="preserve">Also, a comparison is drawn with </w:t>
      </w:r>
      <w:r w:rsidR="008264A9" w:rsidRPr="002665D2">
        <w:rPr>
          <w:rFonts w:ascii="Arial" w:hAnsi="Arial"/>
          <w:sz w:val="20"/>
          <w:szCs w:val="20"/>
          <w:lang w:val="en-AU"/>
        </w:rPr>
        <w:t xml:space="preserve">Residential Flat Design Code </w:t>
      </w:r>
      <w:r w:rsidR="008264A9">
        <w:rPr>
          <w:rFonts w:ascii="Arial" w:hAnsi="Arial"/>
          <w:sz w:val="20"/>
          <w:szCs w:val="20"/>
          <w:lang w:val="en-AU"/>
        </w:rPr>
        <w:t xml:space="preserve">(RFDC) to highlight the key changes affecting selected design findings. </w:t>
      </w:r>
      <w:r w:rsidR="0009181A">
        <w:rPr>
          <w:rFonts w:ascii="Arial" w:hAnsi="Arial"/>
          <w:sz w:val="20"/>
          <w:szCs w:val="20"/>
          <w:lang w:val="en-AU"/>
        </w:rPr>
        <w:t>Further, feasibility of implementing design suggestions has been discussed with a practising architect.</w:t>
      </w:r>
    </w:p>
    <w:p w14:paraId="55D476B0" w14:textId="77777777" w:rsidR="00D806FD" w:rsidRPr="002665D2" w:rsidRDefault="00D806FD" w:rsidP="00EC2760">
      <w:pPr>
        <w:jc w:val="both"/>
        <w:rPr>
          <w:rFonts w:ascii="Arial" w:hAnsi="Arial"/>
          <w:sz w:val="20"/>
          <w:szCs w:val="20"/>
          <w:lang w:val="en-AU"/>
        </w:rPr>
      </w:pPr>
    </w:p>
    <w:p w14:paraId="34514A07" w14:textId="508D657A" w:rsidR="00224894" w:rsidRPr="002665D2" w:rsidRDefault="00AF163C" w:rsidP="00EC2760">
      <w:pPr>
        <w:jc w:val="both"/>
        <w:rPr>
          <w:rFonts w:ascii="Arial" w:hAnsi="Arial"/>
          <w:b/>
          <w:i/>
          <w:sz w:val="22"/>
          <w:szCs w:val="22"/>
          <w:lang w:val="en-AU"/>
        </w:rPr>
      </w:pPr>
      <w:r w:rsidRPr="002665D2">
        <w:rPr>
          <w:rFonts w:ascii="Arial" w:hAnsi="Arial"/>
          <w:b/>
          <w:i/>
          <w:sz w:val="22"/>
          <w:szCs w:val="22"/>
          <w:lang w:val="en-AU"/>
        </w:rPr>
        <w:t>Green areas in apartment buildings</w:t>
      </w:r>
    </w:p>
    <w:p w14:paraId="27BCF0DA" w14:textId="77777777" w:rsidR="00E035FB" w:rsidRPr="002665D2" w:rsidRDefault="00E035FB" w:rsidP="00EC2760">
      <w:pPr>
        <w:jc w:val="both"/>
        <w:rPr>
          <w:rFonts w:ascii="Arial" w:hAnsi="Arial"/>
          <w:b/>
          <w:i/>
          <w:sz w:val="22"/>
          <w:szCs w:val="22"/>
          <w:lang w:val="en-AU"/>
        </w:rPr>
      </w:pPr>
    </w:p>
    <w:p w14:paraId="16A3F6D4" w14:textId="53205C6B" w:rsidR="00FE7581" w:rsidRPr="002665D2" w:rsidRDefault="00ED2F24" w:rsidP="004C0896">
      <w:pPr>
        <w:jc w:val="both"/>
        <w:rPr>
          <w:rFonts w:ascii="Arial" w:hAnsi="Arial"/>
          <w:sz w:val="20"/>
          <w:szCs w:val="20"/>
          <w:lang w:val="en-AU"/>
        </w:rPr>
      </w:pPr>
      <w:r w:rsidRPr="002665D2">
        <w:rPr>
          <w:rFonts w:ascii="Arial" w:hAnsi="Arial"/>
          <w:sz w:val="20"/>
          <w:szCs w:val="20"/>
          <w:lang w:val="en-AU"/>
        </w:rPr>
        <w:t>The survey findings suggest more efforts are needed to provide adequate green areas in the buildings.</w:t>
      </w:r>
      <w:r w:rsidR="00FA6B43" w:rsidRPr="002665D2">
        <w:rPr>
          <w:rFonts w:ascii="Arial" w:hAnsi="Arial"/>
          <w:sz w:val="20"/>
          <w:szCs w:val="20"/>
          <w:lang w:val="en-AU"/>
        </w:rPr>
        <w:t xml:space="preserve"> </w:t>
      </w:r>
      <w:r w:rsidR="003A62DF">
        <w:rPr>
          <w:rFonts w:ascii="Arial" w:hAnsi="Arial"/>
          <w:sz w:val="20"/>
          <w:szCs w:val="20"/>
          <w:lang w:val="en-AU"/>
        </w:rPr>
        <w:t xml:space="preserve">The consulting architect notes that green area provision in buildings is affected by developer discretion. </w:t>
      </w:r>
      <w:r w:rsidR="00582CD3" w:rsidRPr="002665D2">
        <w:rPr>
          <w:rFonts w:ascii="Arial" w:hAnsi="Arial"/>
          <w:sz w:val="20"/>
          <w:szCs w:val="20"/>
          <w:lang w:val="en-AU"/>
        </w:rPr>
        <w:t xml:space="preserve">The Buildings A, B, C and G </w:t>
      </w:r>
      <w:r w:rsidR="00582CD3">
        <w:rPr>
          <w:rFonts w:ascii="Arial" w:hAnsi="Arial"/>
          <w:sz w:val="20"/>
          <w:szCs w:val="20"/>
          <w:lang w:val="en-AU"/>
        </w:rPr>
        <w:t xml:space="preserve">(Table 1) </w:t>
      </w:r>
      <w:r w:rsidR="00582CD3" w:rsidRPr="002665D2">
        <w:rPr>
          <w:rFonts w:ascii="Arial" w:hAnsi="Arial"/>
          <w:sz w:val="20"/>
          <w:szCs w:val="20"/>
          <w:lang w:val="en-AU"/>
        </w:rPr>
        <w:t xml:space="preserve">tend to have well established green terraces or roof top gardens or podiums compared to other three older buildings that were approved before the implementation of RFDC 2002. </w:t>
      </w:r>
      <w:r w:rsidR="009D226C" w:rsidRPr="002665D2">
        <w:rPr>
          <w:rFonts w:ascii="Arial" w:hAnsi="Arial"/>
          <w:sz w:val="20"/>
          <w:szCs w:val="20"/>
          <w:lang w:val="en-AU"/>
        </w:rPr>
        <w:t xml:space="preserve">The </w:t>
      </w:r>
      <w:r w:rsidR="00135649" w:rsidRPr="002665D2">
        <w:rPr>
          <w:rFonts w:ascii="Arial" w:hAnsi="Arial"/>
          <w:sz w:val="20"/>
          <w:szCs w:val="20"/>
          <w:lang w:val="en-AU"/>
        </w:rPr>
        <w:t>RFDC</w:t>
      </w:r>
      <w:r w:rsidR="0032326F" w:rsidRPr="002665D2">
        <w:rPr>
          <w:rFonts w:ascii="Arial" w:hAnsi="Arial"/>
          <w:sz w:val="20"/>
          <w:szCs w:val="20"/>
          <w:lang w:val="en-AU"/>
        </w:rPr>
        <w:t xml:space="preserve"> (</w:t>
      </w:r>
      <w:r w:rsidR="009D226C" w:rsidRPr="002665D2">
        <w:rPr>
          <w:rFonts w:ascii="Arial" w:hAnsi="Arial"/>
          <w:sz w:val="20"/>
          <w:szCs w:val="20"/>
          <w:lang w:val="en-AU"/>
        </w:rPr>
        <w:t xml:space="preserve">NSW </w:t>
      </w:r>
      <w:r w:rsidR="0032326F" w:rsidRPr="002665D2">
        <w:rPr>
          <w:rFonts w:ascii="Arial" w:hAnsi="Arial"/>
          <w:sz w:val="20"/>
          <w:szCs w:val="20"/>
          <w:lang w:val="en-AU"/>
        </w:rPr>
        <w:t xml:space="preserve">Planning, </w:t>
      </w:r>
      <w:r w:rsidR="009D226C" w:rsidRPr="002665D2">
        <w:rPr>
          <w:rFonts w:ascii="Arial" w:hAnsi="Arial"/>
          <w:sz w:val="20"/>
          <w:szCs w:val="20"/>
          <w:lang w:val="en-AU"/>
        </w:rPr>
        <w:t>20</w:t>
      </w:r>
      <w:r w:rsidR="00AD4EDF" w:rsidRPr="002665D2">
        <w:rPr>
          <w:rFonts w:ascii="Arial" w:hAnsi="Arial"/>
          <w:sz w:val="20"/>
          <w:szCs w:val="20"/>
          <w:lang w:val="en-AU"/>
        </w:rPr>
        <w:t>02</w:t>
      </w:r>
      <w:r w:rsidR="009D226C" w:rsidRPr="002665D2">
        <w:rPr>
          <w:rFonts w:ascii="Arial" w:hAnsi="Arial"/>
          <w:sz w:val="20"/>
          <w:szCs w:val="20"/>
          <w:lang w:val="en-AU"/>
        </w:rPr>
        <w:t xml:space="preserve">) </w:t>
      </w:r>
      <w:r w:rsidR="00AD4EDF" w:rsidRPr="002665D2">
        <w:rPr>
          <w:rFonts w:ascii="Arial" w:hAnsi="Arial"/>
          <w:sz w:val="20"/>
          <w:szCs w:val="20"/>
          <w:lang w:val="en-AU"/>
        </w:rPr>
        <w:t>stipulates</w:t>
      </w:r>
      <w:r w:rsidR="009D226C" w:rsidRPr="002665D2">
        <w:rPr>
          <w:rFonts w:ascii="Arial" w:hAnsi="Arial"/>
          <w:sz w:val="20"/>
          <w:szCs w:val="20"/>
          <w:lang w:val="en-AU"/>
        </w:rPr>
        <w:t xml:space="preserve"> that 25% of total open space area of a site should be associated</w:t>
      </w:r>
      <w:r w:rsidR="00AD4EDF" w:rsidRPr="002665D2">
        <w:rPr>
          <w:rFonts w:ascii="Arial" w:hAnsi="Arial"/>
          <w:sz w:val="20"/>
          <w:szCs w:val="20"/>
          <w:lang w:val="en-AU"/>
        </w:rPr>
        <w:t xml:space="preserve"> </w:t>
      </w:r>
      <w:r w:rsidR="009D226C" w:rsidRPr="002665D2">
        <w:rPr>
          <w:rFonts w:ascii="Arial" w:hAnsi="Arial"/>
          <w:sz w:val="20"/>
          <w:szCs w:val="20"/>
          <w:lang w:val="en-AU"/>
        </w:rPr>
        <w:t xml:space="preserve">with deep soil </w:t>
      </w:r>
      <w:r w:rsidR="00AD4EDF" w:rsidRPr="002665D2">
        <w:rPr>
          <w:rFonts w:ascii="Arial" w:hAnsi="Arial"/>
          <w:sz w:val="20"/>
          <w:szCs w:val="20"/>
          <w:lang w:val="en-AU"/>
        </w:rPr>
        <w:t>zones, which</w:t>
      </w:r>
      <w:r w:rsidR="009D226C" w:rsidRPr="002665D2">
        <w:rPr>
          <w:rFonts w:ascii="Arial" w:hAnsi="Arial"/>
          <w:sz w:val="20"/>
          <w:szCs w:val="20"/>
          <w:lang w:val="en-AU"/>
        </w:rPr>
        <w:t xml:space="preserve"> contain natural soil</w:t>
      </w:r>
      <w:r w:rsidR="0032326F" w:rsidRPr="002665D2">
        <w:rPr>
          <w:rFonts w:ascii="Arial" w:hAnsi="Arial"/>
          <w:sz w:val="20"/>
          <w:szCs w:val="20"/>
          <w:lang w:val="en-AU"/>
        </w:rPr>
        <w:t xml:space="preserve"> to promote diversity of vegetation</w:t>
      </w:r>
      <w:r w:rsidR="00830DEA" w:rsidRPr="002665D2">
        <w:rPr>
          <w:rFonts w:ascii="Arial" w:hAnsi="Arial"/>
          <w:sz w:val="20"/>
          <w:szCs w:val="20"/>
          <w:lang w:val="en-AU"/>
        </w:rPr>
        <w:t>, to improve water quality and so on</w:t>
      </w:r>
      <w:r w:rsidR="009D226C" w:rsidRPr="002665D2">
        <w:rPr>
          <w:rFonts w:ascii="Arial" w:hAnsi="Arial"/>
          <w:sz w:val="20"/>
          <w:szCs w:val="20"/>
          <w:lang w:val="en-AU"/>
        </w:rPr>
        <w:t xml:space="preserve">. </w:t>
      </w:r>
      <w:r w:rsidR="007F1383" w:rsidRPr="002665D2">
        <w:rPr>
          <w:rFonts w:ascii="Arial" w:hAnsi="Arial"/>
          <w:sz w:val="20"/>
          <w:szCs w:val="20"/>
          <w:lang w:val="en-AU"/>
        </w:rPr>
        <w:t>Also, it further allocates another 25-30% of the total site area for open space provision. Further, it encourages planting on structures like podiums, roofs, basement car parks etc</w:t>
      </w:r>
      <w:r w:rsidR="00F725C9" w:rsidRPr="002665D2">
        <w:rPr>
          <w:rFonts w:ascii="Arial" w:hAnsi="Arial"/>
          <w:sz w:val="20"/>
          <w:szCs w:val="20"/>
          <w:lang w:val="en-AU"/>
        </w:rPr>
        <w:t>. and dimensions are specified in relation to soil provision for different plant types</w:t>
      </w:r>
      <w:r w:rsidR="007F1383" w:rsidRPr="002665D2">
        <w:rPr>
          <w:rFonts w:ascii="Arial" w:hAnsi="Arial"/>
          <w:sz w:val="20"/>
          <w:szCs w:val="20"/>
          <w:lang w:val="en-AU"/>
        </w:rPr>
        <w:t xml:space="preserve">. </w:t>
      </w:r>
      <w:r w:rsidR="009D226C" w:rsidRPr="002665D2">
        <w:rPr>
          <w:rFonts w:ascii="Arial" w:hAnsi="Arial"/>
          <w:sz w:val="20"/>
          <w:szCs w:val="20"/>
          <w:lang w:val="en-AU"/>
        </w:rPr>
        <w:t xml:space="preserve">The </w:t>
      </w:r>
      <w:r w:rsidR="00135649" w:rsidRPr="002665D2">
        <w:rPr>
          <w:rFonts w:ascii="Arial" w:hAnsi="Arial"/>
          <w:sz w:val="20"/>
          <w:szCs w:val="20"/>
          <w:lang w:val="en-AU"/>
        </w:rPr>
        <w:t>ADG</w:t>
      </w:r>
      <w:r w:rsidR="009D226C" w:rsidRPr="002665D2">
        <w:rPr>
          <w:rFonts w:ascii="Arial" w:hAnsi="Arial"/>
          <w:sz w:val="20"/>
          <w:szCs w:val="20"/>
          <w:lang w:val="en-AU"/>
        </w:rPr>
        <w:t xml:space="preserve"> (NSW </w:t>
      </w:r>
      <w:r w:rsidR="0032326F" w:rsidRPr="002665D2">
        <w:rPr>
          <w:rFonts w:ascii="Arial" w:hAnsi="Arial"/>
          <w:sz w:val="20"/>
          <w:szCs w:val="20"/>
          <w:lang w:val="en-AU"/>
        </w:rPr>
        <w:t xml:space="preserve">Department of </w:t>
      </w:r>
      <w:r w:rsidR="009D226C" w:rsidRPr="002665D2">
        <w:rPr>
          <w:rFonts w:ascii="Arial" w:hAnsi="Arial"/>
          <w:sz w:val="20"/>
          <w:szCs w:val="20"/>
          <w:lang w:val="en-AU"/>
        </w:rPr>
        <w:t>Planning</w:t>
      </w:r>
      <w:r w:rsidR="0032326F" w:rsidRPr="002665D2">
        <w:rPr>
          <w:rFonts w:ascii="Arial" w:hAnsi="Arial"/>
          <w:sz w:val="20"/>
          <w:szCs w:val="20"/>
          <w:lang w:val="en-AU"/>
        </w:rPr>
        <w:t xml:space="preserve"> and Environment, 2015) </w:t>
      </w:r>
      <w:r w:rsidR="00830DEA" w:rsidRPr="002665D2">
        <w:rPr>
          <w:rFonts w:ascii="Arial" w:hAnsi="Arial"/>
          <w:sz w:val="20"/>
          <w:szCs w:val="20"/>
          <w:lang w:val="en-AU"/>
        </w:rPr>
        <w:t>recommends</w:t>
      </w:r>
      <w:r w:rsidR="009D226C" w:rsidRPr="002665D2">
        <w:rPr>
          <w:rFonts w:ascii="Arial" w:hAnsi="Arial"/>
          <w:sz w:val="20"/>
          <w:szCs w:val="20"/>
          <w:lang w:val="en-AU"/>
        </w:rPr>
        <w:t xml:space="preserve"> a proportionate allocation of deep soil zone in relation to site area and suggests</w:t>
      </w:r>
      <w:r w:rsidR="00830DEA" w:rsidRPr="002665D2">
        <w:rPr>
          <w:rFonts w:ascii="Arial" w:hAnsi="Arial"/>
          <w:sz w:val="20"/>
          <w:szCs w:val="20"/>
          <w:lang w:val="en-AU"/>
        </w:rPr>
        <w:t xml:space="preserve"> a minimum requirement of 7% of the site area. For instance, for larger site areas with </w:t>
      </w:r>
      <w:r w:rsidR="00E837FF" w:rsidRPr="002665D2">
        <w:rPr>
          <w:rFonts w:ascii="Arial" w:hAnsi="Arial"/>
          <w:sz w:val="20"/>
          <w:szCs w:val="20"/>
          <w:lang w:val="en-AU"/>
        </w:rPr>
        <w:t>1500-meter</w:t>
      </w:r>
      <w:r w:rsidR="00830DEA" w:rsidRPr="002665D2">
        <w:rPr>
          <w:rFonts w:ascii="Arial" w:hAnsi="Arial"/>
          <w:sz w:val="20"/>
          <w:szCs w:val="20"/>
          <w:lang w:val="en-AU"/>
        </w:rPr>
        <w:t xml:space="preserve"> square, the suggested requisite is 15%.</w:t>
      </w:r>
      <w:r w:rsidR="00E837FF" w:rsidRPr="002665D2">
        <w:rPr>
          <w:rFonts w:ascii="Arial" w:hAnsi="Arial"/>
          <w:sz w:val="20"/>
          <w:szCs w:val="20"/>
          <w:lang w:val="en-AU"/>
        </w:rPr>
        <w:t xml:space="preserve"> </w:t>
      </w:r>
      <w:r w:rsidR="00F40A41" w:rsidRPr="002665D2">
        <w:rPr>
          <w:rFonts w:ascii="Arial" w:hAnsi="Arial"/>
          <w:sz w:val="20"/>
          <w:szCs w:val="20"/>
          <w:lang w:val="en-AU"/>
        </w:rPr>
        <w:t xml:space="preserve">Also, it stipulates a minimum requirement of 25% of the site area as communal space. </w:t>
      </w:r>
      <w:r w:rsidR="00E837FF" w:rsidRPr="002665D2">
        <w:rPr>
          <w:rFonts w:ascii="Arial" w:hAnsi="Arial"/>
          <w:sz w:val="20"/>
          <w:szCs w:val="20"/>
          <w:lang w:val="en-AU"/>
        </w:rPr>
        <w:t>Alternative</w:t>
      </w:r>
      <w:r w:rsidR="009D226C" w:rsidRPr="002665D2">
        <w:rPr>
          <w:rFonts w:ascii="Arial" w:hAnsi="Arial"/>
          <w:sz w:val="20"/>
          <w:szCs w:val="20"/>
          <w:lang w:val="en-AU"/>
        </w:rPr>
        <w:t xml:space="preserve"> planting solutions in roofs, podiums and </w:t>
      </w:r>
      <w:r w:rsidR="00184132" w:rsidRPr="002665D2">
        <w:rPr>
          <w:rFonts w:ascii="Arial" w:hAnsi="Arial"/>
          <w:sz w:val="20"/>
          <w:szCs w:val="20"/>
          <w:lang w:val="en-AU"/>
        </w:rPr>
        <w:t>green walls are</w:t>
      </w:r>
      <w:r w:rsidR="00E837FF" w:rsidRPr="002665D2">
        <w:rPr>
          <w:rFonts w:ascii="Arial" w:hAnsi="Arial"/>
          <w:sz w:val="20"/>
          <w:szCs w:val="20"/>
          <w:lang w:val="en-AU"/>
        </w:rPr>
        <w:t xml:space="preserve"> promoted</w:t>
      </w:r>
      <w:r w:rsidR="009D226C" w:rsidRPr="002665D2">
        <w:rPr>
          <w:rFonts w:ascii="Arial" w:hAnsi="Arial"/>
          <w:sz w:val="20"/>
          <w:szCs w:val="20"/>
          <w:lang w:val="en-AU"/>
        </w:rPr>
        <w:t>, if th</w:t>
      </w:r>
      <w:r w:rsidR="00E837FF" w:rsidRPr="002665D2">
        <w:rPr>
          <w:rFonts w:ascii="Arial" w:hAnsi="Arial"/>
          <w:sz w:val="20"/>
          <w:szCs w:val="20"/>
          <w:lang w:val="en-AU"/>
        </w:rPr>
        <w:t xml:space="preserve">is area is unmet due to density </w:t>
      </w:r>
      <w:r w:rsidR="00184132" w:rsidRPr="002665D2">
        <w:rPr>
          <w:rFonts w:ascii="Arial" w:hAnsi="Arial"/>
          <w:sz w:val="20"/>
          <w:szCs w:val="20"/>
          <w:lang w:val="en-AU"/>
        </w:rPr>
        <w:t xml:space="preserve">constraints and more effective design guidelines are suggested in relation to designing the building structure </w:t>
      </w:r>
      <w:r w:rsidR="001C7F38" w:rsidRPr="002665D2">
        <w:rPr>
          <w:rFonts w:ascii="Arial" w:hAnsi="Arial"/>
          <w:sz w:val="20"/>
          <w:szCs w:val="20"/>
          <w:lang w:val="en-AU"/>
        </w:rPr>
        <w:t>to adapt plants</w:t>
      </w:r>
      <w:r w:rsidR="00184132" w:rsidRPr="002665D2">
        <w:rPr>
          <w:rFonts w:ascii="Arial" w:hAnsi="Arial"/>
          <w:sz w:val="20"/>
          <w:szCs w:val="20"/>
          <w:lang w:val="en-AU"/>
        </w:rPr>
        <w:t>.</w:t>
      </w:r>
      <w:r w:rsidR="009D226C" w:rsidRPr="002665D2">
        <w:rPr>
          <w:rFonts w:ascii="Arial" w:hAnsi="Arial"/>
          <w:sz w:val="20"/>
          <w:szCs w:val="20"/>
          <w:lang w:val="en-AU"/>
        </w:rPr>
        <w:t xml:space="preserve"> It also suggests combining deep soil zones with communal open space to provide a b</w:t>
      </w:r>
      <w:r w:rsidR="004C0896" w:rsidRPr="002665D2">
        <w:rPr>
          <w:rFonts w:ascii="Arial" w:hAnsi="Arial"/>
          <w:sz w:val="20"/>
          <w:szCs w:val="20"/>
          <w:lang w:val="en-AU"/>
        </w:rPr>
        <w:t xml:space="preserve">igger </w:t>
      </w:r>
      <w:r w:rsidR="009D226C" w:rsidRPr="002665D2">
        <w:rPr>
          <w:rFonts w:ascii="Arial" w:hAnsi="Arial"/>
          <w:sz w:val="20"/>
          <w:szCs w:val="20"/>
          <w:lang w:val="en-AU"/>
        </w:rPr>
        <w:t xml:space="preserve">open area for the residents to access. So with more </w:t>
      </w:r>
      <w:r w:rsidR="001C7F38" w:rsidRPr="002665D2">
        <w:rPr>
          <w:rFonts w:ascii="Arial" w:hAnsi="Arial"/>
          <w:sz w:val="20"/>
          <w:szCs w:val="20"/>
          <w:lang w:val="en-AU"/>
        </w:rPr>
        <w:t>effective</w:t>
      </w:r>
      <w:r w:rsidR="009D226C" w:rsidRPr="002665D2">
        <w:rPr>
          <w:rFonts w:ascii="Arial" w:hAnsi="Arial"/>
          <w:sz w:val="20"/>
          <w:szCs w:val="20"/>
          <w:lang w:val="en-AU"/>
        </w:rPr>
        <w:t xml:space="preserve"> </w:t>
      </w:r>
      <w:r w:rsidR="001C7F38" w:rsidRPr="002665D2">
        <w:rPr>
          <w:rFonts w:ascii="Arial" w:hAnsi="Arial"/>
          <w:sz w:val="20"/>
          <w:szCs w:val="20"/>
          <w:lang w:val="en-AU"/>
        </w:rPr>
        <w:t>design guidelines and proportionate allocation of deep soil zone</w:t>
      </w:r>
      <w:r w:rsidR="004C0896" w:rsidRPr="002665D2">
        <w:rPr>
          <w:rFonts w:ascii="Arial" w:hAnsi="Arial"/>
          <w:sz w:val="20"/>
          <w:szCs w:val="20"/>
          <w:lang w:val="en-AU"/>
        </w:rPr>
        <w:t xml:space="preserve"> </w:t>
      </w:r>
      <w:r w:rsidR="001C7F38" w:rsidRPr="002665D2">
        <w:rPr>
          <w:rFonts w:ascii="Arial" w:hAnsi="Arial"/>
          <w:sz w:val="20"/>
          <w:szCs w:val="20"/>
          <w:lang w:val="en-AU"/>
        </w:rPr>
        <w:t xml:space="preserve">to match site area or combining deep soil zone with open space </w:t>
      </w:r>
      <w:r w:rsidR="004C0896" w:rsidRPr="002665D2">
        <w:rPr>
          <w:rFonts w:ascii="Arial" w:hAnsi="Arial"/>
          <w:sz w:val="20"/>
          <w:szCs w:val="20"/>
          <w:lang w:val="en-AU"/>
        </w:rPr>
        <w:t xml:space="preserve">provision in apartment </w:t>
      </w:r>
      <w:r w:rsidR="009D226C" w:rsidRPr="002665D2">
        <w:rPr>
          <w:rFonts w:ascii="Arial" w:hAnsi="Arial"/>
          <w:sz w:val="20"/>
          <w:szCs w:val="20"/>
          <w:lang w:val="en-AU"/>
        </w:rPr>
        <w:t>buildings</w:t>
      </w:r>
      <w:r w:rsidR="001C7F38" w:rsidRPr="002665D2">
        <w:rPr>
          <w:rFonts w:ascii="Arial" w:hAnsi="Arial"/>
          <w:sz w:val="20"/>
          <w:szCs w:val="20"/>
          <w:lang w:val="en-AU"/>
        </w:rPr>
        <w:t>, the quality of green space in apartments</w:t>
      </w:r>
      <w:r w:rsidR="009D226C" w:rsidRPr="002665D2">
        <w:rPr>
          <w:rFonts w:ascii="Arial" w:hAnsi="Arial"/>
          <w:sz w:val="20"/>
          <w:szCs w:val="20"/>
          <w:lang w:val="en-AU"/>
        </w:rPr>
        <w:t xml:space="preserve"> is likely to improve further</w:t>
      </w:r>
      <w:r w:rsidR="001C7F38" w:rsidRPr="002665D2">
        <w:rPr>
          <w:rFonts w:ascii="Arial" w:hAnsi="Arial"/>
          <w:sz w:val="20"/>
          <w:szCs w:val="20"/>
          <w:lang w:val="en-AU"/>
        </w:rPr>
        <w:t>.</w:t>
      </w:r>
      <w:r w:rsidR="009D226C" w:rsidRPr="002665D2">
        <w:rPr>
          <w:rFonts w:ascii="Arial" w:hAnsi="Arial"/>
          <w:sz w:val="20"/>
          <w:szCs w:val="20"/>
          <w:lang w:val="en-AU"/>
        </w:rPr>
        <w:t xml:space="preserve"> </w:t>
      </w:r>
    </w:p>
    <w:p w14:paraId="492392EB" w14:textId="77777777" w:rsidR="00224894" w:rsidRPr="002665D2" w:rsidRDefault="00224894" w:rsidP="004022A0">
      <w:pPr>
        <w:rPr>
          <w:rFonts w:ascii="Arial" w:hAnsi="Arial"/>
          <w:sz w:val="20"/>
          <w:szCs w:val="20"/>
          <w:lang w:val="en-AU"/>
        </w:rPr>
      </w:pPr>
    </w:p>
    <w:p w14:paraId="7E832815" w14:textId="23BDB720" w:rsidR="00341943" w:rsidRPr="002665D2" w:rsidRDefault="00AF163C" w:rsidP="004022A0">
      <w:pPr>
        <w:rPr>
          <w:rFonts w:ascii="Arial" w:hAnsi="Arial"/>
          <w:i/>
          <w:sz w:val="22"/>
          <w:szCs w:val="22"/>
          <w:lang w:val="en-AU"/>
        </w:rPr>
      </w:pPr>
      <w:r w:rsidRPr="002665D2">
        <w:rPr>
          <w:rFonts w:ascii="Arial" w:hAnsi="Arial"/>
          <w:b/>
          <w:bCs/>
          <w:i/>
          <w:iCs/>
          <w:sz w:val="22"/>
          <w:szCs w:val="22"/>
          <w:lang w:val="en-AU"/>
        </w:rPr>
        <w:t>Dissatisfaction with lifts and associated issues</w:t>
      </w:r>
    </w:p>
    <w:p w14:paraId="5B5434A7" w14:textId="22B22204" w:rsidR="00272B9F" w:rsidRPr="002665D2" w:rsidRDefault="00916245" w:rsidP="00272B9F">
      <w:pPr>
        <w:jc w:val="both"/>
        <w:rPr>
          <w:rFonts w:ascii="Arial" w:hAnsi="Arial"/>
          <w:sz w:val="20"/>
          <w:szCs w:val="20"/>
          <w:lang w:val="en-AU"/>
        </w:rPr>
      </w:pPr>
      <w:r w:rsidRPr="002665D2">
        <w:rPr>
          <w:rFonts w:ascii="Arial" w:hAnsi="Arial"/>
          <w:sz w:val="20"/>
          <w:szCs w:val="20"/>
          <w:lang w:val="en-AU"/>
        </w:rPr>
        <w:t>The f</w:t>
      </w:r>
      <w:r w:rsidR="003E383D" w:rsidRPr="002665D2">
        <w:rPr>
          <w:rFonts w:ascii="Arial" w:hAnsi="Arial"/>
          <w:sz w:val="20"/>
          <w:szCs w:val="20"/>
          <w:lang w:val="en-AU"/>
        </w:rPr>
        <w:t xml:space="preserve">indings suggest lift break down, </w:t>
      </w:r>
      <w:r w:rsidRPr="002665D2">
        <w:rPr>
          <w:rFonts w:ascii="Arial" w:hAnsi="Arial"/>
          <w:sz w:val="20"/>
          <w:szCs w:val="20"/>
          <w:lang w:val="en-AU"/>
        </w:rPr>
        <w:t xml:space="preserve">waiting time to access lifts </w:t>
      </w:r>
      <w:r w:rsidR="003E383D" w:rsidRPr="002665D2">
        <w:rPr>
          <w:rFonts w:ascii="Arial" w:hAnsi="Arial"/>
          <w:sz w:val="20"/>
          <w:szCs w:val="20"/>
          <w:lang w:val="en-AU"/>
        </w:rPr>
        <w:t xml:space="preserve">or </w:t>
      </w:r>
      <w:r w:rsidRPr="002665D2">
        <w:rPr>
          <w:rFonts w:ascii="Arial" w:hAnsi="Arial"/>
          <w:sz w:val="20"/>
          <w:szCs w:val="20"/>
          <w:lang w:val="en-AU"/>
        </w:rPr>
        <w:t xml:space="preserve">constantly engaged lifts are </w:t>
      </w:r>
      <w:r w:rsidR="003E383D" w:rsidRPr="002665D2">
        <w:rPr>
          <w:rFonts w:ascii="Arial" w:hAnsi="Arial"/>
          <w:sz w:val="20"/>
          <w:szCs w:val="20"/>
          <w:lang w:val="en-AU"/>
        </w:rPr>
        <w:t>some of the</w:t>
      </w:r>
      <w:r w:rsidRPr="002665D2">
        <w:rPr>
          <w:rFonts w:ascii="Arial" w:hAnsi="Arial"/>
          <w:sz w:val="20"/>
          <w:szCs w:val="20"/>
          <w:lang w:val="en-AU"/>
        </w:rPr>
        <w:t xml:space="preserve"> major </w:t>
      </w:r>
      <w:r w:rsidR="003E383D" w:rsidRPr="002665D2">
        <w:rPr>
          <w:rFonts w:ascii="Arial" w:hAnsi="Arial"/>
          <w:sz w:val="20"/>
          <w:szCs w:val="20"/>
          <w:lang w:val="en-AU"/>
        </w:rPr>
        <w:t>reasons for dissatisfaction with lift provision.</w:t>
      </w:r>
      <w:r w:rsidR="00126A1E" w:rsidRPr="002665D2">
        <w:rPr>
          <w:rFonts w:ascii="Arial" w:hAnsi="Arial"/>
          <w:sz w:val="20"/>
          <w:szCs w:val="20"/>
          <w:lang w:val="en-AU"/>
        </w:rPr>
        <w:t xml:space="preserve"> </w:t>
      </w:r>
      <w:r w:rsidR="003E383D" w:rsidRPr="002665D2">
        <w:rPr>
          <w:rFonts w:ascii="Arial" w:hAnsi="Arial"/>
          <w:sz w:val="20"/>
          <w:szCs w:val="20"/>
          <w:lang w:val="en-AU"/>
        </w:rPr>
        <w:t>The residents’ narratives</w:t>
      </w:r>
      <w:r w:rsidR="00724C7B" w:rsidRPr="002665D2">
        <w:rPr>
          <w:rFonts w:ascii="Arial" w:hAnsi="Arial"/>
          <w:sz w:val="20"/>
          <w:szCs w:val="20"/>
          <w:lang w:val="en-AU"/>
        </w:rPr>
        <w:t xml:space="preserve"> seems to </w:t>
      </w:r>
      <w:r w:rsidR="003E383D" w:rsidRPr="002665D2">
        <w:rPr>
          <w:rFonts w:ascii="Arial" w:hAnsi="Arial"/>
          <w:sz w:val="20"/>
          <w:szCs w:val="20"/>
          <w:lang w:val="en-AU"/>
        </w:rPr>
        <w:t>suggest</w:t>
      </w:r>
      <w:r w:rsidR="00724C7B" w:rsidRPr="002665D2">
        <w:rPr>
          <w:rFonts w:ascii="Arial" w:hAnsi="Arial"/>
          <w:sz w:val="20"/>
          <w:szCs w:val="20"/>
          <w:lang w:val="en-AU"/>
        </w:rPr>
        <w:t xml:space="preserve"> a </w:t>
      </w:r>
      <w:r w:rsidR="000F35BE" w:rsidRPr="002665D2">
        <w:rPr>
          <w:rFonts w:ascii="Arial" w:hAnsi="Arial"/>
          <w:sz w:val="20"/>
          <w:szCs w:val="20"/>
          <w:lang w:val="en-AU"/>
        </w:rPr>
        <w:t>positive</w:t>
      </w:r>
      <w:r w:rsidR="00724C7B" w:rsidRPr="002665D2">
        <w:rPr>
          <w:rFonts w:ascii="Arial" w:hAnsi="Arial"/>
          <w:sz w:val="20"/>
          <w:szCs w:val="20"/>
          <w:lang w:val="en-AU"/>
        </w:rPr>
        <w:t xml:space="preserve"> </w:t>
      </w:r>
      <w:r w:rsidR="000F35BE" w:rsidRPr="002665D2">
        <w:rPr>
          <w:rFonts w:ascii="Arial" w:hAnsi="Arial"/>
          <w:sz w:val="20"/>
          <w:szCs w:val="20"/>
          <w:lang w:val="en-AU"/>
        </w:rPr>
        <w:t xml:space="preserve">association between lift break down and periods of active use like weekends or warm weather when more people lead active outdoor life. That implies over use of single lifts is causing more frequent lift break down. </w:t>
      </w:r>
      <w:r w:rsidR="00F76277" w:rsidRPr="002665D2">
        <w:rPr>
          <w:rFonts w:ascii="Arial" w:hAnsi="Arial"/>
          <w:sz w:val="20"/>
          <w:szCs w:val="20"/>
          <w:lang w:val="en-AU"/>
        </w:rPr>
        <w:t xml:space="preserve">Waiting times to access lifts is a problem for many residents. </w:t>
      </w:r>
      <w:r w:rsidR="00DB3FC5" w:rsidRPr="002665D2">
        <w:rPr>
          <w:rFonts w:ascii="Arial" w:hAnsi="Arial"/>
          <w:sz w:val="20"/>
          <w:szCs w:val="20"/>
          <w:lang w:val="en-AU"/>
        </w:rPr>
        <w:t>Moreover</w:t>
      </w:r>
      <w:r w:rsidR="00F76277" w:rsidRPr="002665D2">
        <w:rPr>
          <w:rFonts w:ascii="Arial" w:hAnsi="Arial"/>
          <w:sz w:val="20"/>
          <w:szCs w:val="20"/>
          <w:lang w:val="en-AU"/>
        </w:rPr>
        <w:t>, r</w:t>
      </w:r>
      <w:r w:rsidR="000F35BE" w:rsidRPr="002665D2">
        <w:rPr>
          <w:rFonts w:ascii="Arial" w:hAnsi="Arial"/>
          <w:sz w:val="20"/>
          <w:szCs w:val="20"/>
          <w:lang w:val="en-AU"/>
        </w:rPr>
        <w:t>elocation is a regular occurrence in high-rise buildings</w:t>
      </w:r>
      <w:r w:rsidR="00724C7B" w:rsidRPr="002665D2">
        <w:rPr>
          <w:rFonts w:ascii="Arial" w:hAnsi="Arial"/>
          <w:sz w:val="20"/>
          <w:szCs w:val="20"/>
          <w:lang w:val="en-AU"/>
        </w:rPr>
        <w:t xml:space="preserve"> </w:t>
      </w:r>
      <w:r w:rsidR="000F35BE" w:rsidRPr="002665D2">
        <w:rPr>
          <w:rFonts w:ascii="Arial" w:hAnsi="Arial"/>
          <w:sz w:val="20"/>
          <w:szCs w:val="20"/>
          <w:lang w:val="en-AU"/>
        </w:rPr>
        <w:t xml:space="preserve">and </w:t>
      </w:r>
      <w:r w:rsidR="00F76277" w:rsidRPr="002665D2">
        <w:rPr>
          <w:rFonts w:ascii="Arial" w:hAnsi="Arial"/>
          <w:sz w:val="20"/>
          <w:szCs w:val="20"/>
          <w:lang w:val="en-AU"/>
        </w:rPr>
        <w:t xml:space="preserve">constantly engaged lifts during this shifting </w:t>
      </w:r>
      <w:r w:rsidR="00272B9F" w:rsidRPr="002665D2">
        <w:rPr>
          <w:rFonts w:ascii="Arial" w:hAnsi="Arial"/>
          <w:sz w:val="20"/>
          <w:szCs w:val="20"/>
          <w:lang w:val="en-AU"/>
        </w:rPr>
        <w:t>process affect other residents. So there should be an ideal people-lift ratio in apartment buildings to minimise waiting times to access lifts</w:t>
      </w:r>
      <w:r w:rsidR="007769EF" w:rsidRPr="002665D2">
        <w:rPr>
          <w:rFonts w:ascii="Arial" w:hAnsi="Arial"/>
          <w:sz w:val="20"/>
          <w:szCs w:val="20"/>
          <w:lang w:val="en-AU"/>
        </w:rPr>
        <w:t xml:space="preserve"> and to provide sufficient cover during lift breakdown. </w:t>
      </w:r>
      <w:r w:rsidR="00604EB8">
        <w:rPr>
          <w:rFonts w:ascii="Arial" w:hAnsi="Arial"/>
          <w:sz w:val="20"/>
          <w:szCs w:val="20"/>
          <w:lang w:val="en-AU"/>
        </w:rPr>
        <w:t>The architect agrees that an additional lift would provide sufficient cover during lift breakdown.</w:t>
      </w:r>
    </w:p>
    <w:p w14:paraId="58A88380" w14:textId="79D98176" w:rsidR="00341943" w:rsidRPr="002665D2" w:rsidRDefault="00341943" w:rsidP="00916245">
      <w:pPr>
        <w:jc w:val="both"/>
        <w:rPr>
          <w:rFonts w:ascii="Arial" w:hAnsi="Arial"/>
          <w:sz w:val="20"/>
          <w:szCs w:val="20"/>
          <w:lang w:val="en-AU"/>
        </w:rPr>
      </w:pPr>
    </w:p>
    <w:p w14:paraId="155DE857" w14:textId="785B2770" w:rsidR="00E84373" w:rsidRPr="002665D2" w:rsidRDefault="00C53FA3" w:rsidP="00135649">
      <w:pPr>
        <w:jc w:val="both"/>
        <w:rPr>
          <w:rFonts w:ascii="Arial" w:hAnsi="Arial"/>
          <w:sz w:val="20"/>
          <w:szCs w:val="20"/>
          <w:lang w:val="en-AU"/>
        </w:rPr>
      </w:pPr>
      <w:r w:rsidRPr="002665D2">
        <w:rPr>
          <w:rFonts w:ascii="Arial" w:hAnsi="Arial"/>
          <w:sz w:val="20"/>
          <w:szCs w:val="20"/>
          <w:lang w:val="en-AU"/>
        </w:rPr>
        <w:t xml:space="preserve">The </w:t>
      </w:r>
      <w:r w:rsidR="00AF68EE" w:rsidRPr="002665D2">
        <w:rPr>
          <w:rFonts w:ascii="Arial" w:hAnsi="Arial"/>
          <w:sz w:val="20"/>
          <w:szCs w:val="20"/>
          <w:lang w:val="en-AU"/>
        </w:rPr>
        <w:t>Australian Building Codes Board (</w:t>
      </w:r>
      <w:r w:rsidRPr="002665D2">
        <w:rPr>
          <w:rFonts w:ascii="Arial" w:hAnsi="Arial"/>
          <w:sz w:val="20"/>
          <w:szCs w:val="20"/>
          <w:lang w:val="en-AU"/>
        </w:rPr>
        <w:t>ABCB</w:t>
      </w:r>
      <w:r w:rsidR="00AF68EE" w:rsidRPr="002665D2">
        <w:rPr>
          <w:rFonts w:ascii="Arial" w:hAnsi="Arial"/>
          <w:sz w:val="20"/>
          <w:szCs w:val="20"/>
          <w:lang w:val="en-AU"/>
        </w:rPr>
        <w:t>)</w:t>
      </w:r>
      <w:r w:rsidRPr="002665D2">
        <w:rPr>
          <w:rFonts w:ascii="Arial" w:hAnsi="Arial"/>
          <w:sz w:val="20"/>
          <w:szCs w:val="20"/>
          <w:lang w:val="en-AU"/>
        </w:rPr>
        <w:t xml:space="preserve"> (2013a, p.287) provision EF 3.2 </w:t>
      </w:r>
      <w:r w:rsidR="00AF68EE" w:rsidRPr="002665D2">
        <w:rPr>
          <w:rFonts w:ascii="Arial" w:hAnsi="Arial"/>
          <w:sz w:val="20"/>
          <w:szCs w:val="20"/>
          <w:lang w:val="en-AU"/>
        </w:rPr>
        <w:t>is not insisting on</w:t>
      </w:r>
      <w:r w:rsidRPr="002665D2">
        <w:rPr>
          <w:rFonts w:ascii="Arial" w:hAnsi="Arial"/>
          <w:sz w:val="20"/>
          <w:szCs w:val="20"/>
          <w:lang w:val="en-AU"/>
        </w:rPr>
        <w:t xml:space="preserve"> a </w:t>
      </w:r>
      <w:r w:rsidR="00AF68EE" w:rsidRPr="002665D2">
        <w:rPr>
          <w:rFonts w:ascii="Arial" w:hAnsi="Arial"/>
          <w:sz w:val="20"/>
          <w:szCs w:val="20"/>
          <w:lang w:val="en-AU"/>
        </w:rPr>
        <w:t xml:space="preserve">mandatory </w:t>
      </w:r>
      <w:r w:rsidRPr="002665D2">
        <w:rPr>
          <w:rFonts w:ascii="Arial" w:hAnsi="Arial"/>
          <w:sz w:val="20"/>
          <w:szCs w:val="20"/>
          <w:lang w:val="en-AU"/>
        </w:rPr>
        <w:t xml:space="preserve">second lift in residential buildings above 25 metres. </w:t>
      </w:r>
      <w:r w:rsidR="00AF68EE" w:rsidRPr="002665D2">
        <w:rPr>
          <w:rFonts w:ascii="Arial" w:hAnsi="Arial"/>
          <w:sz w:val="20"/>
          <w:szCs w:val="20"/>
          <w:lang w:val="en-AU"/>
        </w:rPr>
        <w:t>But</w:t>
      </w:r>
      <w:r w:rsidRPr="002665D2">
        <w:rPr>
          <w:rFonts w:ascii="Arial" w:hAnsi="Arial"/>
          <w:sz w:val="20"/>
          <w:szCs w:val="20"/>
          <w:lang w:val="en-AU"/>
        </w:rPr>
        <w:t xml:space="preserve"> the </w:t>
      </w:r>
      <w:r w:rsidRPr="002665D2">
        <w:rPr>
          <w:rFonts w:ascii="Arial" w:hAnsi="Arial"/>
          <w:iCs/>
          <w:sz w:val="20"/>
          <w:szCs w:val="20"/>
          <w:lang w:val="en-AU"/>
        </w:rPr>
        <w:t xml:space="preserve">London Design Guidelines </w:t>
      </w:r>
      <w:r w:rsidRPr="002665D2">
        <w:rPr>
          <w:rFonts w:ascii="Arial" w:hAnsi="Arial"/>
          <w:sz w:val="20"/>
          <w:szCs w:val="20"/>
          <w:lang w:val="en-AU"/>
        </w:rPr>
        <w:lastRenderedPageBreak/>
        <w:t xml:space="preserve">(London Development Agency 2010, p.38) standard 3.2.6 </w:t>
      </w:r>
      <w:r w:rsidR="00AF68EE" w:rsidRPr="002665D2">
        <w:rPr>
          <w:rFonts w:ascii="Arial" w:hAnsi="Arial"/>
          <w:sz w:val="20"/>
          <w:szCs w:val="20"/>
          <w:lang w:val="en-AU"/>
        </w:rPr>
        <w:t>dictate</w:t>
      </w:r>
      <w:r w:rsidRPr="002665D2">
        <w:rPr>
          <w:rFonts w:ascii="Arial" w:hAnsi="Arial"/>
          <w:sz w:val="20"/>
          <w:szCs w:val="20"/>
          <w:lang w:val="en-AU"/>
        </w:rPr>
        <w:t xml:space="preserve"> </w:t>
      </w:r>
      <w:r w:rsidR="00AF68EE" w:rsidRPr="002665D2">
        <w:rPr>
          <w:rFonts w:ascii="Arial" w:hAnsi="Arial"/>
          <w:sz w:val="20"/>
          <w:szCs w:val="20"/>
          <w:lang w:val="en-AU"/>
        </w:rPr>
        <w:t xml:space="preserve">the provision of one wheelchair accessible lift for </w:t>
      </w:r>
      <w:r w:rsidRPr="002665D2">
        <w:rPr>
          <w:rFonts w:ascii="Arial" w:hAnsi="Arial"/>
          <w:sz w:val="20"/>
          <w:szCs w:val="20"/>
          <w:lang w:val="en-AU"/>
        </w:rPr>
        <w:t xml:space="preserve">all dwellings entered at the fourth floor (fifth storey) and </w:t>
      </w:r>
      <w:r w:rsidR="00AF68EE" w:rsidRPr="002665D2">
        <w:rPr>
          <w:rFonts w:ascii="Arial" w:hAnsi="Arial"/>
          <w:sz w:val="20"/>
          <w:szCs w:val="20"/>
          <w:lang w:val="en-AU"/>
        </w:rPr>
        <w:t xml:space="preserve">at least two lifts to address lift breakdown issues for </w:t>
      </w:r>
      <w:r w:rsidRPr="002665D2">
        <w:rPr>
          <w:rFonts w:ascii="Arial" w:hAnsi="Arial"/>
          <w:sz w:val="20"/>
          <w:szCs w:val="20"/>
          <w:lang w:val="en-AU"/>
        </w:rPr>
        <w:t>all dwellings entered at the seventh floor (eighth storey)</w:t>
      </w:r>
      <w:r w:rsidR="00AF68EE" w:rsidRPr="002665D2">
        <w:rPr>
          <w:rFonts w:ascii="Arial" w:hAnsi="Arial"/>
          <w:sz w:val="20"/>
          <w:szCs w:val="20"/>
          <w:lang w:val="en-AU"/>
        </w:rPr>
        <w:t>.</w:t>
      </w:r>
      <w:r w:rsidRPr="002665D2">
        <w:rPr>
          <w:rFonts w:ascii="Arial" w:hAnsi="Arial"/>
          <w:sz w:val="20"/>
          <w:szCs w:val="20"/>
          <w:lang w:val="en-AU"/>
        </w:rPr>
        <w:t xml:space="preserve"> </w:t>
      </w:r>
      <w:r w:rsidR="00135649" w:rsidRPr="002665D2">
        <w:rPr>
          <w:rFonts w:ascii="Arial" w:hAnsi="Arial"/>
          <w:sz w:val="20"/>
          <w:szCs w:val="20"/>
          <w:lang w:val="en-AU"/>
        </w:rPr>
        <w:t>Ideally</w:t>
      </w:r>
      <w:r w:rsidR="00AF68EE" w:rsidRPr="002665D2">
        <w:rPr>
          <w:rFonts w:ascii="Arial" w:hAnsi="Arial"/>
          <w:sz w:val="20"/>
          <w:szCs w:val="20"/>
          <w:lang w:val="en-AU"/>
        </w:rPr>
        <w:t xml:space="preserve">, </w:t>
      </w:r>
      <w:r w:rsidRPr="002665D2">
        <w:rPr>
          <w:rFonts w:ascii="Arial" w:hAnsi="Arial"/>
          <w:sz w:val="20"/>
          <w:szCs w:val="20"/>
          <w:lang w:val="en-AU"/>
        </w:rPr>
        <w:t xml:space="preserve">only 25 dwellings should be serviced per lift core. </w:t>
      </w:r>
      <w:r w:rsidR="005C4DEE" w:rsidRPr="002665D2">
        <w:rPr>
          <w:rFonts w:ascii="Arial" w:hAnsi="Arial"/>
          <w:sz w:val="20"/>
          <w:szCs w:val="20"/>
          <w:lang w:val="en-AU"/>
        </w:rPr>
        <w:t xml:space="preserve">The </w:t>
      </w:r>
      <w:r w:rsidR="00135649" w:rsidRPr="002665D2">
        <w:rPr>
          <w:rFonts w:ascii="Arial" w:hAnsi="Arial"/>
          <w:sz w:val="20"/>
          <w:szCs w:val="20"/>
          <w:lang w:val="en-AU"/>
        </w:rPr>
        <w:t>RFDC</w:t>
      </w:r>
      <w:r w:rsidR="005C4DEE" w:rsidRPr="002665D2">
        <w:rPr>
          <w:rFonts w:ascii="Arial" w:hAnsi="Arial"/>
          <w:sz w:val="20"/>
          <w:szCs w:val="20"/>
          <w:lang w:val="en-AU"/>
        </w:rPr>
        <w:t xml:space="preserve"> (NSW Department of Planning, 2002) doesn’t stipulate any specific number of lifts or dwellings per floor from a single core.</w:t>
      </w:r>
      <w:r w:rsidR="004E697D" w:rsidRPr="002665D2">
        <w:rPr>
          <w:rFonts w:ascii="Arial" w:hAnsi="Arial"/>
          <w:sz w:val="20"/>
          <w:szCs w:val="20"/>
          <w:lang w:val="en-AU"/>
        </w:rPr>
        <w:t xml:space="preserve"> The feedback on the review of the existing RFDC submitted to the Department of Planning and Infrastructure (2012, p.19) </w:t>
      </w:r>
      <w:r w:rsidR="00135649" w:rsidRPr="002665D2">
        <w:rPr>
          <w:rFonts w:ascii="Arial" w:hAnsi="Arial"/>
          <w:sz w:val="20"/>
          <w:szCs w:val="20"/>
          <w:lang w:val="en-AU"/>
        </w:rPr>
        <w:t>regarding lift provision</w:t>
      </w:r>
      <w:r w:rsidR="004E697D" w:rsidRPr="002665D2">
        <w:rPr>
          <w:rFonts w:ascii="Arial" w:hAnsi="Arial"/>
          <w:sz w:val="20"/>
          <w:szCs w:val="20"/>
          <w:lang w:val="en-AU"/>
        </w:rPr>
        <w:t xml:space="preserve">, quotes the recommendations from the </w:t>
      </w:r>
      <w:r w:rsidR="004E697D" w:rsidRPr="002665D2">
        <w:rPr>
          <w:rFonts w:ascii="Arial" w:hAnsi="Arial"/>
          <w:i/>
          <w:iCs/>
          <w:sz w:val="20"/>
          <w:szCs w:val="20"/>
          <w:lang w:val="en-AU"/>
        </w:rPr>
        <w:t xml:space="preserve">London Design Guidelines </w:t>
      </w:r>
      <w:r w:rsidR="004E697D" w:rsidRPr="002665D2">
        <w:rPr>
          <w:rFonts w:ascii="Arial" w:hAnsi="Arial"/>
          <w:sz w:val="20"/>
          <w:szCs w:val="20"/>
          <w:lang w:val="en-AU"/>
        </w:rPr>
        <w:t>(201</w:t>
      </w:r>
      <w:r w:rsidR="00135649" w:rsidRPr="002665D2">
        <w:rPr>
          <w:rFonts w:ascii="Arial" w:hAnsi="Arial"/>
          <w:sz w:val="20"/>
          <w:szCs w:val="20"/>
          <w:lang w:val="en-AU"/>
        </w:rPr>
        <w:t xml:space="preserve">0). </w:t>
      </w:r>
      <w:r w:rsidRPr="002665D2">
        <w:rPr>
          <w:rFonts w:ascii="Arial" w:hAnsi="Arial"/>
          <w:sz w:val="20"/>
          <w:szCs w:val="20"/>
          <w:lang w:val="en-AU"/>
        </w:rPr>
        <w:t xml:space="preserve">The </w:t>
      </w:r>
      <w:r w:rsidR="00135649" w:rsidRPr="002665D2">
        <w:rPr>
          <w:rFonts w:ascii="Arial" w:hAnsi="Arial"/>
          <w:iCs/>
          <w:sz w:val="20"/>
          <w:szCs w:val="20"/>
          <w:lang w:val="en-AU"/>
        </w:rPr>
        <w:t>ADG</w:t>
      </w:r>
      <w:r w:rsidRPr="002665D2">
        <w:rPr>
          <w:rFonts w:ascii="Arial" w:hAnsi="Arial"/>
          <w:iCs/>
          <w:sz w:val="20"/>
          <w:szCs w:val="20"/>
          <w:lang w:val="en-AU"/>
        </w:rPr>
        <w:t xml:space="preserve"> </w:t>
      </w:r>
      <w:r w:rsidRPr="002665D2">
        <w:rPr>
          <w:rFonts w:ascii="Arial" w:hAnsi="Arial"/>
          <w:sz w:val="20"/>
          <w:szCs w:val="20"/>
          <w:lang w:val="en-AU"/>
        </w:rPr>
        <w:t xml:space="preserve">(NSW Planning and Environment 2015, p.97) imposes a restriction of eight dwellings per floor from a core and encourages more vertical circulation points. Further, it suggests for </w:t>
      </w:r>
      <w:r w:rsidR="00EE692F" w:rsidRPr="002665D2">
        <w:rPr>
          <w:rFonts w:ascii="Arial" w:hAnsi="Arial"/>
          <w:sz w:val="20"/>
          <w:szCs w:val="20"/>
          <w:lang w:val="en-AU"/>
        </w:rPr>
        <w:t xml:space="preserve">buildings </w:t>
      </w:r>
      <w:r w:rsidR="005C4DEE" w:rsidRPr="002665D2">
        <w:rPr>
          <w:rFonts w:ascii="Arial" w:hAnsi="Arial"/>
          <w:sz w:val="20"/>
          <w:szCs w:val="20"/>
          <w:lang w:val="en-AU"/>
        </w:rPr>
        <w:t>with more than 10 storeys</w:t>
      </w:r>
      <w:r w:rsidRPr="002665D2">
        <w:rPr>
          <w:rFonts w:ascii="Arial" w:hAnsi="Arial"/>
          <w:sz w:val="20"/>
          <w:szCs w:val="20"/>
          <w:lang w:val="en-AU"/>
        </w:rPr>
        <w:t xml:space="preserve">, maximum number of apartments served by a single lift should be 40. </w:t>
      </w:r>
    </w:p>
    <w:p w14:paraId="4EA709F3" w14:textId="77777777" w:rsidR="00E84373" w:rsidRPr="002665D2" w:rsidRDefault="00E84373" w:rsidP="004022A0">
      <w:pPr>
        <w:rPr>
          <w:rFonts w:ascii="Arial" w:hAnsi="Arial"/>
          <w:i/>
          <w:sz w:val="20"/>
          <w:szCs w:val="20"/>
          <w:lang w:val="en-AU"/>
        </w:rPr>
      </w:pPr>
    </w:p>
    <w:p w14:paraId="5462E5DB" w14:textId="081E8686" w:rsidR="00F762C8" w:rsidRPr="002665D2" w:rsidRDefault="00F762C8" w:rsidP="001E35B9">
      <w:pPr>
        <w:jc w:val="both"/>
        <w:rPr>
          <w:rFonts w:ascii="Arial" w:hAnsi="Arial"/>
          <w:sz w:val="20"/>
          <w:szCs w:val="20"/>
          <w:lang w:val="en-AU"/>
        </w:rPr>
      </w:pPr>
      <w:r w:rsidRPr="002665D2">
        <w:rPr>
          <w:rFonts w:ascii="Arial" w:hAnsi="Arial"/>
          <w:sz w:val="20"/>
          <w:szCs w:val="20"/>
          <w:lang w:val="en-AU"/>
        </w:rPr>
        <w:t>The residents living in buildings</w:t>
      </w:r>
      <w:r w:rsidR="001E35B9" w:rsidRPr="002665D2">
        <w:rPr>
          <w:rFonts w:ascii="Arial" w:hAnsi="Arial"/>
          <w:sz w:val="20"/>
          <w:szCs w:val="20"/>
          <w:lang w:val="en-AU"/>
        </w:rPr>
        <w:t xml:space="preserve"> A &amp; D (Table 1)</w:t>
      </w:r>
      <w:r w:rsidRPr="002665D2">
        <w:rPr>
          <w:rFonts w:ascii="Arial" w:hAnsi="Arial"/>
          <w:sz w:val="20"/>
          <w:szCs w:val="20"/>
          <w:lang w:val="en-AU"/>
        </w:rPr>
        <w:t xml:space="preserve"> had access to two lifts. However, 100 or more residents accessed them. Though these residents had a back up during lift break down, longer delays in accessing lifts and instances of holding up of lifts are reported</w:t>
      </w:r>
      <w:r w:rsidR="001E35B9" w:rsidRPr="002665D2">
        <w:rPr>
          <w:rFonts w:ascii="Arial" w:hAnsi="Arial"/>
          <w:sz w:val="20"/>
          <w:szCs w:val="20"/>
          <w:lang w:val="en-AU"/>
        </w:rPr>
        <w:t>.</w:t>
      </w:r>
      <w:r w:rsidR="00EE692F" w:rsidRPr="002665D2">
        <w:rPr>
          <w:rFonts w:ascii="Arial" w:hAnsi="Arial"/>
          <w:sz w:val="20"/>
          <w:szCs w:val="20"/>
          <w:lang w:val="en-AU"/>
        </w:rPr>
        <w:t xml:space="preserve"> </w:t>
      </w:r>
      <w:r w:rsidR="00137496" w:rsidRPr="002665D2">
        <w:rPr>
          <w:rFonts w:ascii="Arial" w:hAnsi="Arial"/>
          <w:sz w:val="20"/>
          <w:szCs w:val="20"/>
          <w:lang w:val="en-AU"/>
        </w:rPr>
        <w:t xml:space="preserve">The Building A is approved post SEPP and is under 10 storeys, while building D is approved before SEPP and is more than 10 storeys. </w:t>
      </w:r>
      <w:r w:rsidRPr="002665D2">
        <w:rPr>
          <w:rFonts w:ascii="Arial" w:hAnsi="Arial"/>
          <w:sz w:val="20"/>
          <w:szCs w:val="20"/>
          <w:lang w:val="en-AU"/>
        </w:rPr>
        <w:t xml:space="preserve">Meanwhile, two buildings with twin towers had one lift each for each tower. So one building had relatively higher ratio of 48 dwellings per lift </w:t>
      </w:r>
      <w:r w:rsidR="00137496" w:rsidRPr="002665D2">
        <w:rPr>
          <w:rFonts w:ascii="Arial" w:hAnsi="Arial"/>
          <w:sz w:val="20"/>
          <w:szCs w:val="20"/>
          <w:lang w:val="en-AU"/>
        </w:rPr>
        <w:t xml:space="preserve">(Building F, pre SEPP) </w:t>
      </w:r>
      <w:r w:rsidRPr="002665D2">
        <w:rPr>
          <w:rFonts w:ascii="Arial" w:hAnsi="Arial"/>
          <w:sz w:val="20"/>
          <w:szCs w:val="20"/>
          <w:lang w:val="en-AU"/>
        </w:rPr>
        <w:t xml:space="preserve">compared to the other one </w:t>
      </w:r>
      <w:r w:rsidR="00137496" w:rsidRPr="002665D2">
        <w:rPr>
          <w:rFonts w:ascii="Arial" w:hAnsi="Arial"/>
          <w:sz w:val="20"/>
          <w:szCs w:val="20"/>
          <w:lang w:val="en-AU"/>
        </w:rPr>
        <w:t>(</w:t>
      </w:r>
      <w:r w:rsidR="00060A03" w:rsidRPr="002665D2">
        <w:rPr>
          <w:rFonts w:ascii="Arial" w:hAnsi="Arial"/>
          <w:sz w:val="20"/>
          <w:szCs w:val="20"/>
          <w:lang w:val="en-AU"/>
        </w:rPr>
        <w:t xml:space="preserve">Building C, post SEPP) </w:t>
      </w:r>
      <w:r w:rsidRPr="002665D2">
        <w:rPr>
          <w:rFonts w:ascii="Arial" w:hAnsi="Arial"/>
          <w:sz w:val="20"/>
          <w:szCs w:val="20"/>
          <w:lang w:val="en-AU"/>
        </w:rPr>
        <w:t xml:space="preserve">with 30-35 dwellings per lift. Nevertheless, lift break down associated with over use is reported from the latter one. The former one had an onsite building manager who made prompt efforts to restore the lifts immediately. A little less than 40 dwellings in another two eight storey residential apartment buildings </w:t>
      </w:r>
      <w:r w:rsidR="00060A03" w:rsidRPr="002665D2">
        <w:rPr>
          <w:rFonts w:ascii="Arial" w:hAnsi="Arial"/>
          <w:sz w:val="20"/>
          <w:szCs w:val="20"/>
          <w:lang w:val="en-AU"/>
        </w:rPr>
        <w:t xml:space="preserve">(Building B, post SEPP and Building E, pre SEPP) </w:t>
      </w:r>
      <w:r w:rsidRPr="002665D2">
        <w:rPr>
          <w:rFonts w:ascii="Arial" w:hAnsi="Arial"/>
          <w:sz w:val="20"/>
          <w:szCs w:val="20"/>
          <w:lang w:val="en-AU"/>
        </w:rPr>
        <w:t xml:space="preserve">had access to just one lift. But these buildings reported lift break down and constantly engaged lifts, particularly during shifting. The building with the most generous ratio of lift to dwelling was the </w:t>
      </w:r>
      <w:r w:rsidR="00060A03" w:rsidRPr="002665D2">
        <w:rPr>
          <w:rFonts w:ascii="Arial" w:hAnsi="Arial"/>
          <w:sz w:val="20"/>
          <w:szCs w:val="20"/>
          <w:lang w:val="en-AU"/>
        </w:rPr>
        <w:t>affordable</w:t>
      </w:r>
      <w:r w:rsidRPr="002665D2">
        <w:rPr>
          <w:rFonts w:ascii="Arial" w:hAnsi="Arial"/>
          <w:sz w:val="20"/>
          <w:szCs w:val="20"/>
          <w:lang w:val="en-AU"/>
        </w:rPr>
        <w:t xml:space="preserve"> housing building</w:t>
      </w:r>
      <w:r w:rsidR="00060A03" w:rsidRPr="002665D2">
        <w:rPr>
          <w:rFonts w:ascii="Arial" w:hAnsi="Arial"/>
          <w:sz w:val="20"/>
          <w:szCs w:val="20"/>
          <w:lang w:val="en-AU"/>
        </w:rPr>
        <w:t xml:space="preserve"> (Building G, post SEPP)</w:t>
      </w:r>
      <w:r w:rsidRPr="002665D2">
        <w:rPr>
          <w:rFonts w:ascii="Arial" w:hAnsi="Arial"/>
          <w:sz w:val="20"/>
          <w:szCs w:val="20"/>
          <w:lang w:val="en-AU"/>
        </w:rPr>
        <w:t>, where 15 dwellings had access to one lift and there were three similar separate blocks. Though there are 3 lifts for 45 dwellings, none of the dwellings had access to a second lift. So lift break down was a major issue in this new building, housing less mobile residents. In a nutshell, it is worth debating whether the lift to dwelling ratio takes into account issues related to lift break down and waiting time to access lifts. Generally, access to a second lift is useful in apartment buildings.</w:t>
      </w:r>
      <w:r w:rsidR="00B87481" w:rsidRPr="002665D2">
        <w:rPr>
          <w:rFonts w:ascii="Arial" w:hAnsi="Arial"/>
          <w:sz w:val="20"/>
          <w:szCs w:val="20"/>
          <w:lang w:val="en-AU"/>
        </w:rPr>
        <w:t xml:space="preserve"> So </w:t>
      </w:r>
      <w:r w:rsidR="008824BF" w:rsidRPr="002665D2">
        <w:rPr>
          <w:rFonts w:ascii="Arial" w:hAnsi="Arial"/>
          <w:sz w:val="20"/>
          <w:szCs w:val="20"/>
          <w:lang w:val="en-AU"/>
        </w:rPr>
        <w:t>we could conclude</w:t>
      </w:r>
      <w:r w:rsidR="00B87481" w:rsidRPr="002665D2">
        <w:rPr>
          <w:rFonts w:ascii="Arial" w:hAnsi="Arial"/>
          <w:sz w:val="20"/>
          <w:szCs w:val="20"/>
          <w:lang w:val="en-AU"/>
        </w:rPr>
        <w:t>, a lift serves between 40-50 apartments</w:t>
      </w:r>
      <w:r w:rsidR="008824BF" w:rsidRPr="002665D2">
        <w:rPr>
          <w:rFonts w:ascii="Arial" w:hAnsi="Arial"/>
          <w:sz w:val="20"/>
          <w:szCs w:val="20"/>
          <w:lang w:val="en-AU"/>
        </w:rPr>
        <w:t xml:space="preserve"> in all these buildings</w:t>
      </w:r>
      <w:r w:rsidR="00B87481" w:rsidRPr="002665D2">
        <w:rPr>
          <w:rFonts w:ascii="Arial" w:hAnsi="Arial"/>
          <w:sz w:val="20"/>
          <w:szCs w:val="20"/>
          <w:lang w:val="en-AU"/>
        </w:rPr>
        <w:t>, except for the affordable housing building.</w:t>
      </w:r>
      <w:r w:rsidR="008824BF" w:rsidRPr="002665D2">
        <w:rPr>
          <w:rFonts w:ascii="Arial" w:hAnsi="Arial"/>
          <w:sz w:val="20"/>
          <w:szCs w:val="20"/>
          <w:lang w:val="en-AU"/>
        </w:rPr>
        <w:t xml:space="preserve"> </w:t>
      </w:r>
      <w:r w:rsidR="001E2D93" w:rsidRPr="002665D2">
        <w:rPr>
          <w:rFonts w:ascii="Arial" w:hAnsi="Arial"/>
          <w:sz w:val="20"/>
          <w:szCs w:val="20"/>
          <w:lang w:val="en-AU"/>
        </w:rPr>
        <w:t xml:space="preserve">So there is not much change in the </w:t>
      </w:r>
      <w:r w:rsidR="00223C6C" w:rsidRPr="002665D2">
        <w:rPr>
          <w:rFonts w:ascii="Arial" w:hAnsi="Arial"/>
          <w:sz w:val="20"/>
          <w:szCs w:val="20"/>
          <w:lang w:val="en-AU"/>
        </w:rPr>
        <w:t>ADG</w:t>
      </w:r>
      <w:r w:rsidR="001E2D93" w:rsidRPr="002665D2">
        <w:rPr>
          <w:rFonts w:ascii="Arial" w:hAnsi="Arial"/>
          <w:sz w:val="20"/>
          <w:szCs w:val="20"/>
          <w:lang w:val="en-AU"/>
        </w:rPr>
        <w:t xml:space="preserve"> in regard to the provision of lifts, except that there is a restriction of 40 apartments per lift for </w:t>
      </w:r>
      <w:r w:rsidR="00223C6C" w:rsidRPr="002665D2">
        <w:rPr>
          <w:rFonts w:ascii="Arial" w:hAnsi="Arial"/>
          <w:sz w:val="20"/>
          <w:szCs w:val="20"/>
          <w:lang w:val="en-AU"/>
        </w:rPr>
        <w:t>buildings</w:t>
      </w:r>
      <w:r w:rsidR="001E2D93" w:rsidRPr="002665D2">
        <w:rPr>
          <w:rFonts w:ascii="Arial" w:hAnsi="Arial"/>
          <w:sz w:val="20"/>
          <w:szCs w:val="20"/>
          <w:lang w:val="en-AU"/>
        </w:rPr>
        <w:t xml:space="preserve"> ten storeys and over. </w:t>
      </w:r>
      <w:r w:rsidR="008824BF" w:rsidRPr="002665D2">
        <w:rPr>
          <w:rFonts w:ascii="Arial" w:hAnsi="Arial"/>
          <w:sz w:val="20"/>
          <w:szCs w:val="20"/>
          <w:lang w:val="en-AU"/>
        </w:rPr>
        <w:t>Giv</w:t>
      </w:r>
      <w:r w:rsidR="003759E0" w:rsidRPr="002665D2">
        <w:rPr>
          <w:rFonts w:ascii="Arial" w:hAnsi="Arial"/>
          <w:sz w:val="20"/>
          <w:szCs w:val="20"/>
          <w:lang w:val="en-AU"/>
        </w:rPr>
        <w:t>en that all of them, with the exception of Building D are under ten</w:t>
      </w:r>
      <w:r w:rsidR="008824BF" w:rsidRPr="002665D2">
        <w:rPr>
          <w:rFonts w:ascii="Arial" w:hAnsi="Arial"/>
          <w:sz w:val="20"/>
          <w:szCs w:val="20"/>
          <w:lang w:val="en-AU"/>
        </w:rPr>
        <w:t>-storeys</w:t>
      </w:r>
      <w:r w:rsidR="003759E0" w:rsidRPr="002665D2">
        <w:rPr>
          <w:rFonts w:ascii="Arial" w:hAnsi="Arial"/>
          <w:sz w:val="20"/>
          <w:szCs w:val="20"/>
          <w:lang w:val="en-AU"/>
        </w:rPr>
        <w:t xml:space="preserve">, it is debatable whether dwellings entered at </w:t>
      </w:r>
      <w:r w:rsidR="001E2D93" w:rsidRPr="002665D2">
        <w:rPr>
          <w:rFonts w:ascii="Arial" w:hAnsi="Arial"/>
          <w:sz w:val="20"/>
          <w:szCs w:val="20"/>
          <w:lang w:val="en-AU"/>
        </w:rPr>
        <w:t>seventh</w:t>
      </w:r>
      <w:r w:rsidR="003759E0" w:rsidRPr="002665D2">
        <w:rPr>
          <w:rFonts w:ascii="Arial" w:hAnsi="Arial"/>
          <w:sz w:val="20"/>
          <w:szCs w:val="20"/>
          <w:lang w:val="en-AU"/>
        </w:rPr>
        <w:t xml:space="preserve"> floor </w:t>
      </w:r>
      <w:r w:rsidR="001E2D93" w:rsidRPr="002665D2">
        <w:rPr>
          <w:rFonts w:ascii="Arial" w:hAnsi="Arial"/>
          <w:sz w:val="20"/>
          <w:szCs w:val="20"/>
          <w:lang w:val="en-AU"/>
        </w:rPr>
        <w:t>(eight storey) should be served by two lifts to co</w:t>
      </w:r>
      <w:r w:rsidR="00223C6C" w:rsidRPr="002665D2">
        <w:rPr>
          <w:rFonts w:ascii="Arial" w:hAnsi="Arial"/>
          <w:sz w:val="20"/>
          <w:szCs w:val="20"/>
          <w:lang w:val="en-AU"/>
        </w:rPr>
        <w:t>mbat issues with lift breakdown as insisted by London Design Guidelines (London Development Agency</w:t>
      </w:r>
      <w:r w:rsidR="00131889">
        <w:rPr>
          <w:rFonts w:ascii="Arial" w:hAnsi="Arial"/>
          <w:sz w:val="20"/>
          <w:szCs w:val="20"/>
          <w:lang w:val="en-AU"/>
        </w:rPr>
        <w:t>,</w:t>
      </w:r>
      <w:r w:rsidR="00223C6C" w:rsidRPr="002665D2">
        <w:rPr>
          <w:rFonts w:ascii="Arial" w:hAnsi="Arial"/>
          <w:sz w:val="20"/>
          <w:szCs w:val="20"/>
          <w:lang w:val="en-AU"/>
        </w:rPr>
        <w:t xml:space="preserve"> 2010).</w:t>
      </w:r>
    </w:p>
    <w:p w14:paraId="5BAF7999" w14:textId="77777777" w:rsidR="00223C6C" w:rsidRPr="002665D2" w:rsidRDefault="00223C6C" w:rsidP="004022A0">
      <w:pPr>
        <w:rPr>
          <w:rFonts w:ascii="Arial" w:hAnsi="Arial"/>
          <w:sz w:val="20"/>
          <w:szCs w:val="20"/>
          <w:highlight w:val="red"/>
          <w:lang w:val="en-AU"/>
        </w:rPr>
      </w:pPr>
    </w:p>
    <w:p w14:paraId="665A8216" w14:textId="789FEEBD" w:rsidR="00F8609B" w:rsidRPr="002665D2" w:rsidRDefault="00EE0016" w:rsidP="004022A0">
      <w:pPr>
        <w:rPr>
          <w:rFonts w:ascii="Arial" w:hAnsi="Arial"/>
          <w:b/>
          <w:bCs/>
          <w:i/>
          <w:iCs/>
          <w:sz w:val="22"/>
          <w:szCs w:val="22"/>
          <w:lang w:val="en-AU"/>
        </w:rPr>
      </w:pPr>
      <w:r w:rsidRPr="002665D2">
        <w:rPr>
          <w:rFonts w:ascii="Arial" w:hAnsi="Arial"/>
          <w:b/>
          <w:bCs/>
          <w:i/>
          <w:iCs/>
          <w:sz w:val="22"/>
          <w:szCs w:val="22"/>
          <w:lang w:val="en-AU"/>
        </w:rPr>
        <w:t>Safety</w:t>
      </w:r>
      <w:r w:rsidR="00FE4562" w:rsidRPr="002665D2">
        <w:rPr>
          <w:rFonts w:ascii="Arial" w:hAnsi="Arial"/>
          <w:b/>
          <w:bCs/>
          <w:i/>
          <w:iCs/>
          <w:sz w:val="22"/>
          <w:szCs w:val="22"/>
          <w:lang w:val="en-AU"/>
        </w:rPr>
        <w:t>/amenity</w:t>
      </w:r>
      <w:r w:rsidRPr="002665D2">
        <w:rPr>
          <w:rFonts w:ascii="Arial" w:hAnsi="Arial"/>
          <w:b/>
          <w:bCs/>
          <w:i/>
          <w:iCs/>
          <w:sz w:val="22"/>
          <w:szCs w:val="22"/>
          <w:lang w:val="en-AU"/>
        </w:rPr>
        <w:t xml:space="preserve"> issues within apartment buildings</w:t>
      </w:r>
    </w:p>
    <w:p w14:paraId="3AD5A353" w14:textId="77777777" w:rsidR="00D14B3B" w:rsidRPr="002665D2" w:rsidRDefault="00D14B3B" w:rsidP="00D14B3B">
      <w:pPr>
        <w:rPr>
          <w:rFonts w:ascii="Arial" w:hAnsi="Arial"/>
          <w:bCs/>
          <w:i/>
          <w:iCs/>
          <w:sz w:val="20"/>
          <w:szCs w:val="20"/>
          <w:lang w:val="en-AU"/>
        </w:rPr>
      </w:pPr>
    </w:p>
    <w:p w14:paraId="432F26FC" w14:textId="7BD87688" w:rsidR="00B31565" w:rsidRPr="002665D2" w:rsidRDefault="00B31565" w:rsidP="0089618B">
      <w:pPr>
        <w:jc w:val="both"/>
        <w:rPr>
          <w:rFonts w:ascii="Arial" w:hAnsi="Arial"/>
          <w:sz w:val="20"/>
          <w:szCs w:val="20"/>
          <w:lang w:val="en-AU"/>
        </w:rPr>
      </w:pPr>
      <w:r w:rsidRPr="002665D2">
        <w:rPr>
          <w:rFonts w:ascii="Arial" w:hAnsi="Arial"/>
          <w:sz w:val="20"/>
          <w:szCs w:val="20"/>
          <w:lang w:val="en-AU"/>
        </w:rPr>
        <w:t xml:space="preserve">Providing electronic access to both buildings and lifts would be a useful strategy to improve safety of the lifts and building safety. </w:t>
      </w:r>
      <w:r w:rsidR="00CF0C62" w:rsidRPr="00CF0C62">
        <w:rPr>
          <w:rFonts w:ascii="Arial" w:hAnsi="Arial"/>
          <w:sz w:val="20"/>
          <w:szCs w:val="20"/>
          <w:lang w:val="en-US"/>
        </w:rPr>
        <w:t xml:space="preserve">The </w:t>
      </w:r>
      <w:r w:rsidR="009F6340" w:rsidRPr="00CF0C62">
        <w:rPr>
          <w:rFonts w:ascii="Arial" w:hAnsi="Arial"/>
          <w:sz w:val="20"/>
          <w:szCs w:val="20"/>
          <w:lang w:val="en-US"/>
        </w:rPr>
        <w:t>practicing</w:t>
      </w:r>
      <w:r w:rsidR="00CF0C62" w:rsidRPr="00CF0C62">
        <w:rPr>
          <w:rFonts w:ascii="Arial" w:hAnsi="Arial"/>
          <w:sz w:val="20"/>
          <w:szCs w:val="20"/>
          <w:lang w:val="en-US"/>
        </w:rPr>
        <w:t xml:space="preserve"> architect agrees that building security is a major problem in all buildings, irrespective of the socio-economics of the area. </w:t>
      </w:r>
      <w:r w:rsidR="00513C9D" w:rsidRPr="002665D2">
        <w:rPr>
          <w:rFonts w:ascii="Arial" w:hAnsi="Arial"/>
          <w:sz w:val="20"/>
          <w:szCs w:val="20"/>
          <w:lang w:val="en-AU"/>
        </w:rPr>
        <w:t xml:space="preserve">Only Building G had electronic access for lifts. </w:t>
      </w:r>
      <w:r w:rsidR="0089618B" w:rsidRPr="002665D2">
        <w:rPr>
          <w:rFonts w:ascii="Arial" w:hAnsi="Arial"/>
          <w:sz w:val="20"/>
          <w:szCs w:val="20"/>
          <w:lang w:val="en-AU"/>
        </w:rPr>
        <w:t xml:space="preserve">Also, </w:t>
      </w:r>
      <w:r w:rsidR="0089618B" w:rsidRPr="002665D2">
        <w:rPr>
          <w:rFonts w:ascii="Arial" w:hAnsi="Arial"/>
          <w:bCs/>
          <w:iCs/>
          <w:sz w:val="20"/>
          <w:szCs w:val="20"/>
          <w:lang w:val="en-AU"/>
        </w:rPr>
        <w:t xml:space="preserve">apartments situated in the lower floors and podium are more prone to illegal trespassing and intrusions when a roller shutter breaks down or when residents either leave the fire exit doors or main entrance door open, which is a regular occurrence in many buildings. </w:t>
      </w:r>
      <w:r w:rsidR="00513C9D" w:rsidRPr="002665D2">
        <w:rPr>
          <w:rFonts w:ascii="Arial" w:hAnsi="Arial"/>
          <w:sz w:val="20"/>
          <w:szCs w:val="20"/>
          <w:lang w:val="en-AU"/>
        </w:rPr>
        <w:t>The</w:t>
      </w:r>
      <w:r w:rsidRPr="002665D2">
        <w:rPr>
          <w:rFonts w:ascii="Arial" w:hAnsi="Arial"/>
          <w:sz w:val="20"/>
          <w:szCs w:val="20"/>
          <w:lang w:val="en-AU"/>
        </w:rPr>
        <w:t xml:space="preserve"> </w:t>
      </w:r>
      <w:r w:rsidR="00513C9D" w:rsidRPr="002665D2">
        <w:rPr>
          <w:rFonts w:ascii="Arial" w:hAnsi="Arial"/>
          <w:iCs/>
          <w:sz w:val="20"/>
          <w:szCs w:val="20"/>
          <w:lang w:val="en-AU"/>
        </w:rPr>
        <w:t>ADG</w:t>
      </w:r>
      <w:r w:rsidRPr="002665D2">
        <w:rPr>
          <w:rFonts w:ascii="Arial" w:hAnsi="Arial"/>
          <w:i/>
          <w:iCs/>
          <w:sz w:val="20"/>
          <w:szCs w:val="20"/>
          <w:lang w:val="en-AU"/>
        </w:rPr>
        <w:t xml:space="preserve"> </w:t>
      </w:r>
      <w:r w:rsidRPr="002665D2">
        <w:rPr>
          <w:rFonts w:ascii="Arial" w:hAnsi="Arial"/>
          <w:sz w:val="20"/>
          <w:szCs w:val="20"/>
          <w:lang w:val="en-AU"/>
        </w:rPr>
        <w:t xml:space="preserve">(NSW Planning and Environment 2015, p.67) encourages the provision of electronic access cards to improve security, a </w:t>
      </w:r>
      <w:r w:rsidR="00513C9D" w:rsidRPr="002665D2">
        <w:rPr>
          <w:rFonts w:ascii="Arial" w:hAnsi="Arial"/>
          <w:sz w:val="20"/>
          <w:szCs w:val="20"/>
          <w:lang w:val="en-AU"/>
        </w:rPr>
        <w:t>new addition to RFDC standards.</w:t>
      </w:r>
      <w:r w:rsidRPr="002665D2">
        <w:rPr>
          <w:rFonts w:ascii="Arial" w:hAnsi="Arial"/>
          <w:sz w:val="20"/>
          <w:szCs w:val="20"/>
          <w:lang w:val="en-AU"/>
        </w:rPr>
        <w:t xml:space="preserve"> </w:t>
      </w:r>
      <w:r w:rsidR="00513C9D" w:rsidRPr="002665D2">
        <w:rPr>
          <w:rFonts w:ascii="Arial" w:hAnsi="Arial"/>
          <w:sz w:val="20"/>
          <w:szCs w:val="20"/>
          <w:lang w:val="en-AU"/>
        </w:rPr>
        <w:t>So</w:t>
      </w:r>
      <w:r w:rsidRPr="002665D2">
        <w:rPr>
          <w:rFonts w:ascii="Arial" w:hAnsi="Arial"/>
          <w:sz w:val="20"/>
          <w:szCs w:val="20"/>
          <w:lang w:val="en-AU"/>
        </w:rPr>
        <w:t xml:space="preserve"> this provision could be extended to lifts as well </w:t>
      </w:r>
      <w:r w:rsidR="00820EBA" w:rsidRPr="002665D2">
        <w:rPr>
          <w:rFonts w:ascii="Arial" w:hAnsi="Arial"/>
          <w:sz w:val="20"/>
          <w:szCs w:val="20"/>
          <w:lang w:val="en-AU"/>
        </w:rPr>
        <w:t xml:space="preserve">as </w:t>
      </w:r>
      <w:r w:rsidRPr="002665D2">
        <w:rPr>
          <w:rFonts w:ascii="Arial" w:hAnsi="Arial"/>
          <w:sz w:val="20"/>
          <w:szCs w:val="20"/>
          <w:lang w:val="en-AU"/>
        </w:rPr>
        <w:t xml:space="preserve">for </w:t>
      </w:r>
      <w:r w:rsidR="0089618B" w:rsidRPr="002665D2">
        <w:rPr>
          <w:rFonts w:ascii="Arial" w:hAnsi="Arial"/>
          <w:sz w:val="20"/>
          <w:szCs w:val="20"/>
          <w:lang w:val="en-AU"/>
        </w:rPr>
        <w:t xml:space="preserve">building entry from the onsite car parking provision to improve </w:t>
      </w:r>
      <w:r w:rsidRPr="002665D2">
        <w:rPr>
          <w:rFonts w:ascii="Arial" w:hAnsi="Arial"/>
          <w:sz w:val="20"/>
          <w:szCs w:val="20"/>
          <w:lang w:val="en-AU"/>
        </w:rPr>
        <w:t xml:space="preserve">safety. </w:t>
      </w:r>
    </w:p>
    <w:p w14:paraId="358ED286" w14:textId="77777777" w:rsidR="00B31565" w:rsidRPr="002665D2" w:rsidRDefault="00B31565" w:rsidP="00D14B3B">
      <w:pPr>
        <w:rPr>
          <w:rFonts w:ascii="Arial" w:hAnsi="Arial"/>
          <w:bCs/>
          <w:i/>
          <w:iCs/>
          <w:sz w:val="20"/>
          <w:szCs w:val="20"/>
          <w:lang w:val="en-AU"/>
        </w:rPr>
      </w:pPr>
    </w:p>
    <w:p w14:paraId="5CA1ECF0" w14:textId="0A7F24E6" w:rsidR="00C003C3" w:rsidRPr="002665D2" w:rsidRDefault="00D14B3B" w:rsidP="000E6F7A">
      <w:pPr>
        <w:jc w:val="both"/>
        <w:rPr>
          <w:rFonts w:ascii="Arial" w:hAnsi="Arial"/>
          <w:bCs/>
          <w:iCs/>
          <w:sz w:val="20"/>
          <w:szCs w:val="20"/>
          <w:lang w:val="en-AU"/>
        </w:rPr>
      </w:pPr>
      <w:r w:rsidRPr="002665D2">
        <w:rPr>
          <w:rFonts w:ascii="Arial" w:hAnsi="Arial"/>
          <w:bCs/>
          <w:iCs/>
          <w:sz w:val="20"/>
          <w:szCs w:val="20"/>
          <w:lang w:val="en-AU"/>
        </w:rPr>
        <w:t xml:space="preserve">The </w:t>
      </w:r>
      <w:r w:rsidR="00037257">
        <w:rPr>
          <w:rFonts w:ascii="Arial" w:hAnsi="Arial"/>
          <w:bCs/>
          <w:iCs/>
          <w:sz w:val="20"/>
          <w:szCs w:val="20"/>
          <w:lang w:val="en-AU"/>
        </w:rPr>
        <w:t xml:space="preserve">narrow </w:t>
      </w:r>
      <w:r w:rsidRPr="002665D2">
        <w:rPr>
          <w:rFonts w:ascii="Arial" w:hAnsi="Arial"/>
          <w:bCs/>
          <w:iCs/>
          <w:sz w:val="20"/>
          <w:szCs w:val="20"/>
          <w:lang w:val="en-AU"/>
        </w:rPr>
        <w:t xml:space="preserve">internal corridors or passageways within </w:t>
      </w:r>
      <w:r w:rsidR="00CE67E2">
        <w:rPr>
          <w:rFonts w:ascii="Arial" w:hAnsi="Arial"/>
          <w:bCs/>
          <w:iCs/>
          <w:sz w:val="20"/>
          <w:szCs w:val="20"/>
          <w:lang w:val="en-AU"/>
        </w:rPr>
        <w:t xml:space="preserve">large </w:t>
      </w:r>
      <w:r w:rsidRPr="002665D2">
        <w:rPr>
          <w:rFonts w:ascii="Arial" w:hAnsi="Arial"/>
          <w:bCs/>
          <w:iCs/>
          <w:sz w:val="20"/>
          <w:szCs w:val="20"/>
          <w:lang w:val="en-AU"/>
        </w:rPr>
        <w:t>apartment buildings</w:t>
      </w:r>
      <w:r w:rsidR="00CE67E2">
        <w:rPr>
          <w:rFonts w:ascii="Arial" w:hAnsi="Arial"/>
          <w:bCs/>
          <w:iCs/>
          <w:sz w:val="20"/>
          <w:szCs w:val="20"/>
          <w:lang w:val="en-AU"/>
        </w:rPr>
        <w:t xml:space="preserve"> are not ideal as noted </w:t>
      </w:r>
      <w:proofErr w:type="gramStart"/>
      <w:r w:rsidR="00CE67E2">
        <w:rPr>
          <w:rFonts w:ascii="Arial" w:hAnsi="Arial"/>
          <w:bCs/>
          <w:iCs/>
          <w:sz w:val="20"/>
          <w:szCs w:val="20"/>
          <w:lang w:val="en-AU"/>
        </w:rPr>
        <w:t xml:space="preserve">by  </w:t>
      </w:r>
      <w:r w:rsidRPr="002665D2">
        <w:rPr>
          <w:rFonts w:ascii="Arial" w:hAnsi="Arial"/>
          <w:bCs/>
          <w:iCs/>
          <w:sz w:val="20"/>
          <w:szCs w:val="20"/>
          <w:lang w:val="en-AU"/>
        </w:rPr>
        <w:t>.</w:t>
      </w:r>
      <w:proofErr w:type="gramEnd"/>
      <w:r w:rsidRPr="002665D2">
        <w:rPr>
          <w:rFonts w:ascii="Arial" w:hAnsi="Arial"/>
          <w:bCs/>
          <w:iCs/>
          <w:sz w:val="20"/>
          <w:szCs w:val="20"/>
          <w:lang w:val="en-AU"/>
        </w:rPr>
        <w:t xml:space="preserve"> </w:t>
      </w:r>
      <w:r w:rsidR="00CE67E2" w:rsidRPr="002665D2">
        <w:rPr>
          <w:rFonts w:ascii="Arial" w:hAnsi="Arial"/>
          <w:bCs/>
          <w:iCs/>
          <w:sz w:val="20"/>
          <w:szCs w:val="20"/>
          <w:lang w:val="en-AU"/>
        </w:rPr>
        <w:t>residents in Building A (post SEPP approved)</w:t>
      </w:r>
      <w:r w:rsidR="00CE67E2">
        <w:rPr>
          <w:rFonts w:ascii="Arial" w:hAnsi="Arial"/>
          <w:bCs/>
          <w:iCs/>
          <w:sz w:val="20"/>
          <w:szCs w:val="20"/>
          <w:lang w:val="en-AU"/>
        </w:rPr>
        <w:t xml:space="preserve">. </w:t>
      </w:r>
      <w:r w:rsidRPr="002665D2">
        <w:rPr>
          <w:rFonts w:ascii="Arial" w:hAnsi="Arial"/>
          <w:bCs/>
          <w:iCs/>
          <w:sz w:val="20"/>
          <w:szCs w:val="20"/>
          <w:lang w:val="en-AU"/>
        </w:rPr>
        <w:t>The residents’ use them to access lift from their apartments and it is also a fire safety issue</w:t>
      </w:r>
      <w:r w:rsidR="00CE67E2">
        <w:rPr>
          <w:rFonts w:ascii="Arial" w:hAnsi="Arial"/>
          <w:bCs/>
          <w:iCs/>
          <w:sz w:val="20"/>
          <w:szCs w:val="20"/>
          <w:lang w:val="en-AU"/>
        </w:rPr>
        <w:t>.</w:t>
      </w:r>
      <w:r w:rsidRPr="002665D2">
        <w:rPr>
          <w:rFonts w:ascii="Arial" w:hAnsi="Arial"/>
          <w:bCs/>
          <w:iCs/>
          <w:sz w:val="20"/>
          <w:szCs w:val="20"/>
          <w:lang w:val="en-AU"/>
        </w:rPr>
        <w:t xml:space="preserve"> The internal corridors should facilitate safe evacuation during an emergency. </w:t>
      </w:r>
      <w:r w:rsidR="00BA1E6B" w:rsidRPr="002665D2">
        <w:rPr>
          <w:rFonts w:ascii="Arial" w:hAnsi="Arial"/>
          <w:bCs/>
          <w:iCs/>
          <w:sz w:val="20"/>
          <w:szCs w:val="20"/>
          <w:lang w:val="en-AU"/>
        </w:rPr>
        <w:t>The RFDC (NSW Planning</w:t>
      </w:r>
      <w:r w:rsidR="00131889">
        <w:rPr>
          <w:rFonts w:ascii="Arial" w:hAnsi="Arial"/>
          <w:bCs/>
          <w:iCs/>
          <w:sz w:val="20"/>
          <w:szCs w:val="20"/>
          <w:lang w:val="en-AU"/>
        </w:rPr>
        <w:t>,</w:t>
      </w:r>
      <w:r w:rsidR="00BA1E6B" w:rsidRPr="002665D2">
        <w:rPr>
          <w:rFonts w:ascii="Arial" w:hAnsi="Arial"/>
          <w:bCs/>
          <w:iCs/>
          <w:sz w:val="20"/>
          <w:szCs w:val="20"/>
          <w:lang w:val="en-AU"/>
        </w:rPr>
        <w:t xml:space="preserve"> 2002) does not clearly state any specific dimension for corridors. </w:t>
      </w:r>
      <w:r w:rsidR="00A47051" w:rsidRPr="002665D2">
        <w:rPr>
          <w:rFonts w:ascii="Arial" w:hAnsi="Arial"/>
          <w:bCs/>
          <w:iCs/>
          <w:sz w:val="20"/>
          <w:szCs w:val="20"/>
          <w:lang w:val="en-AU"/>
        </w:rPr>
        <w:t xml:space="preserve">The review of the RFDC </w:t>
      </w:r>
      <w:r w:rsidR="00C003C3" w:rsidRPr="002665D2">
        <w:rPr>
          <w:rFonts w:ascii="Arial" w:hAnsi="Arial"/>
          <w:bCs/>
          <w:iCs/>
          <w:sz w:val="20"/>
          <w:szCs w:val="20"/>
          <w:lang w:val="en-AU"/>
        </w:rPr>
        <w:t xml:space="preserve">2002 </w:t>
      </w:r>
      <w:r w:rsidR="00A47051" w:rsidRPr="002665D2">
        <w:rPr>
          <w:rFonts w:ascii="Arial" w:hAnsi="Arial"/>
          <w:bCs/>
          <w:iCs/>
          <w:sz w:val="20"/>
          <w:szCs w:val="20"/>
          <w:lang w:val="en-AU"/>
        </w:rPr>
        <w:t xml:space="preserve">submitted to the Department of Planning and Infrastructure (2012, p.19) notes more information should be provided in relation to dimensions of corridors and lift lobbies. </w:t>
      </w:r>
      <w:r w:rsidR="00FA6520" w:rsidRPr="002665D2">
        <w:rPr>
          <w:rFonts w:ascii="Arial" w:hAnsi="Arial"/>
          <w:bCs/>
          <w:iCs/>
          <w:sz w:val="20"/>
          <w:szCs w:val="20"/>
          <w:lang w:val="en-AU"/>
        </w:rPr>
        <w:t xml:space="preserve">The ABCB (2013a, pp. 184 &amp; 291) guidelines (E3.5 on access and egress to and from lift well landings) state that provisions in section D must be adhered to. The deemed to satisfy provision in section D 1.6 stipulates a dimension of not less than one metre for the path of travel to an exit under general circumstances. </w:t>
      </w:r>
      <w:r w:rsidR="00A47051" w:rsidRPr="002665D2">
        <w:rPr>
          <w:rFonts w:ascii="Arial" w:hAnsi="Arial"/>
          <w:bCs/>
          <w:iCs/>
          <w:sz w:val="20"/>
          <w:szCs w:val="20"/>
          <w:lang w:val="en-AU"/>
        </w:rPr>
        <w:t xml:space="preserve">The </w:t>
      </w:r>
      <w:r w:rsidR="00C003C3" w:rsidRPr="002665D2">
        <w:rPr>
          <w:rFonts w:ascii="Arial" w:hAnsi="Arial"/>
          <w:bCs/>
          <w:iCs/>
          <w:sz w:val="20"/>
          <w:szCs w:val="20"/>
          <w:lang w:val="en-AU"/>
        </w:rPr>
        <w:t>ADG</w:t>
      </w:r>
      <w:r w:rsidR="00A47051" w:rsidRPr="002665D2">
        <w:rPr>
          <w:rFonts w:ascii="Arial" w:hAnsi="Arial"/>
          <w:bCs/>
          <w:i/>
          <w:iCs/>
          <w:sz w:val="20"/>
          <w:szCs w:val="20"/>
          <w:lang w:val="en-AU"/>
        </w:rPr>
        <w:t xml:space="preserve"> </w:t>
      </w:r>
      <w:r w:rsidR="00A47051" w:rsidRPr="002665D2">
        <w:rPr>
          <w:rFonts w:ascii="Arial" w:hAnsi="Arial"/>
          <w:bCs/>
          <w:iCs/>
          <w:sz w:val="20"/>
          <w:szCs w:val="20"/>
          <w:lang w:val="en-AU"/>
        </w:rPr>
        <w:t xml:space="preserve">(NSW Planning and Environment 2015, p. </w:t>
      </w:r>
      <w:r w:rsidR="00FA6520" w:rsidRPr="002665D2">
        <w:rPr>
          <w:rFonts w:ascii="Arial" w:hAnsi="Arial"/>
          <w:bCs/>
          <w:iCs/>
          <w:sz w:val="20"/>
          <w:szCs w:val="20"/>
          <w:lang w:val="en-AU"/>
        </w:rPr>
        <w:t>97</w:t>
      </w:r>
      <w:r w:rsidR="00A47051" w:rsidRPr="002665D2">
        <w:rPr>
          <w:rFonts w:ascii="Arial" w:hAnsi="Arial"/>
          <w:bCs/>
          <w:iCs/>
          <w:sz w:val="20"/>
          <w:szCs w:val="20"/>
          <w:lang w:val="en-AU"/>
        </w:rPr>
        <w:t xml:space="preserve">) </w:t>
      </w:r>
      <w:r w:rsidR="00FA6520" w:rsidRPr="002665D2">
        <w:rPr>
          <w:rFonts w:ascii="Arial" w:hAnsi="Arial"/>
          <w:bCs/>
          <w:iCs/>
          <w:sz w:val="20"/>
          <w:szCs w:val="20"/>
          <w:lang w:val="en-AU"/>
        </w:rPr>
        <w:t>recommends</w:t>
      </w:r>
      <w:r w:rsidR="00A47051" w:rsidRPr="002665D2">
        <w:rPr>
          <w:rFonts w:ascii="Arial" w:hAnsi="Arial"/>
          <w:bCs/>
          <w:iCs/>
          <w:sz w:val="20"/>
          <w:szCs w:val="20"/>
          <w:lang w:val="en-AU"/>
        </w:rPr>
        <w:t xml:space="preserve"> a dimension </w:t>
      </w:r>
      <w:r w:rsidR="00FA6520" w:rsidRPr="002665D2">
        <w:rPr>
          <w:rFonts w:ascii="Arial" w:hAnsi="Arial"/>
          <w:bCs/>
          <w:iCs/>
          <w:sz w:val="20"/>
          <w:szCs w:val="20"/>
          <w:lang w:val="en-AU"/>
        </w:rPr>
        <w:t xml:space="preserve">greater than </w:t>
      </w:r>
      <w:r w:rsidR="00A47051" w:rsidRPr="002665D2">
        <w:rPr>
          <w:rFonts w:ascii="Arial" w:hAnsi="Arial"/>
          <w:bCs/>
          <w:iCs/>
          <w:sz w:val="20"/>
          <w:szCs w:val="20"/>
          <w:lang w:val="en-AU"/>
        </w:rPr>
        <w:t>one metre for internal corridors</w:t>
      </w:r>
      <w:r w:rsidR="00FA6520" w:rsidRPr="002665D2">
        <w:rPr>
          <w:rFonts w:ascii="Arial" w:hAnsi="Arial"/>
          <w:bCs/>
          <w:iCs/>
          <w:sz w:val="20"/>
          <w:szCs w:val="20"/>
          <w:lang w:val="en-AU"/>
        </w:rPr>
        <w:t>, especially near apartment entry doors or lift lobbies.</w:t>
      </w:r>
      <w:r w:rsidR="008A6016" w:rsidRPr="002665D2">
        <w:rPr>
          <w:rFonts w:ascii="Arial" w:hAnsi="Arial"/>
          <w:bCs/>
          <w:iCs/>
          <w:sz w:val="20"/>
          <w:szCs w:val="20"/>
          <w:lang w:val="en-AU"/>
        </w:rPr>
        <w:t xml:space="preserve"> For longer corridors greater than 12m from the lift</w:t>
      </w:r>
      <w:r w:rsidR="00C003C3" w:rsidRPr="002665D2">
        <w:rPr>
          <w:rFonts w:ascii="Arial" w:hAnsi="Arial"/>
          <w:bCs/>
          <w:iCs/>
          <w:sz w:val="20"/>
          <w:szCs w:val="20"/>
          <w:lang w:val="en-AU"/>
        </w:rPr>
        <w:t>,</w:t>
      </w:r>
      <w:r w:rsidR="008A6016" w:rsidRPr="002665D2">
        <w:rPr>
          <w:rFonts w:ascii="Arial" w:hAnsi="Arial"/>
          <w:bCs/>
          <w:iCs/>
          <w:sz w:val="20"/>
          <w:szCs w:val="20"/>
          <w:lang w:val="en-AU"/>
        </w:rPr>
        <w:t xml:space="preserve"> multiple foyers with</w:t>
      </w:r>
      <w:r w:rsidR="00C003C3" w:rsidRPr="002665D2">
        <w:rPr>
          <w:rFonts w:ascii="Arial" w:hAnsi="Arial"/>
          <w:bCs/>
          <w:iCs/>
          <w:sz w:val="20"/>
          <w:szCs w:val="20"/>
          <w:lang w:val="en-AU"/>
        </w:rPr>
        <w:t xml:space="preserve"> windows and spaces for seating are recommended. So these new recommendations definitely addresses issues related to </w:t>
      </w:r>
      <w:r w:rsidR="00AE0639" w:rsidRPr="002665D2">
        <w:rPr>
          <w:rFonts w:ascii="Arial" w:hAnsi="Arial"/>
          <w:bCs/>
          <w:iCs/>
          <w:sz w:val="20"/>
          <w:szCs w:val="20"/>
          <w:lang w:val="en-AU"/>
        </w:rPr>
        <w:t>long narrow corridors</w:t>
      </w:r>
      <w:r w:rsidR="00C003C3" w:rsidRPr="002665D2">
        <w:rPr>
          <w:rFonts w:ascii="Arial" w:hAnsi="Arial"/>
          <w:bCs/>
          <w:iCs/>
          <w:sz w:val="20"/>
          <w:szCs w:val="20"/>
          <w:lang w:val="en-AU"/>
        </w:rPr>
        <w:t xml:space="preserve"> and make it more inviting space for the users.</w:t>
      </w:r>
    </w:p>
    <w:p w14:paraId="15B3867D" w14:textId="78F455EF" w:rsidR="008C5435" w:rsidRPr="002665D2" w:rsidRDefault="00C003C3" w:rsidP="002A01BA">
      <w:pPr>
        <w:jc w:val="both"/>
        <w:rPr>
          <w:rFonts w:ascii="Arial" w:hAnsi="Arial"/>
          <w:bCs/>
          <w:iCs/>
          <w:sz w:val="20"/>
          <w:szCs w:val="20"/>
          <w:lang w:val="en-AU"/>
        </w:rPr>
      </w:pPr>
      <w:r w:rsidRPr="002665D2">
        <w:rPr>
          <w:rFonts w:ascii="Arial" w:hAnsi="Arial"/>
          <w:bCs/>
          <w:iCs/>
          <w:sz w:val="20"/>
          <w:szCs w:val="20"/>
          <w:lang w:val="en-AU"/>
        </w:rPr>
        <w:t xml:space="preserve">  </w:t>
      </w:r>
      <w:r w:rsidR="00A47051" w:rsidRPr="002665D2">
        <w:rPr>
          <w:rFonts w:ascii="Arial" w:hAnsi="Arial"/>
          <w:bCs/>
          <w:iCs/>
          <w:sz w:val="20"/>
          <w:szCs w:val="20"/>
          <w:lang w:val="en-AU"/>
        </w:rPr>
        <w:t xml:space="preserve"> </w:t>
      </w:r>
    </w:p>
    <w:p w14:paraId="7777C139" w14:textId="497199AD" w:rsidR="008C5435" w:rsidRPr="002665D2" w:rsidRDefault="008C5435" w:rsidP="00E05DC5">
      <w:pPr>
        <w:jc w:val="both"/>
        <w:rPr>
          <w:rFonts w:ascii="Arial" w:hAnsi="Arial"/>
          <w:bCs/>
          <w:iCs/>
          <w:sz w:val="20"/>
          <w:szCs w:val="20"/>
          <w:lang w:val="en-AU"/>
        </w:rPr>
      </w:pPr>
      <w:r w:rsidRPr="002665D2">
        <w:rPr>
          <w:rFonts w:ascii="Arial" w:hAnsi="Arial"/>
          <w:bCs/>
          <w:iCs/>
          <w:sz w:val="20"/>
          <w:szCs w:val="20"/>
          <w:lang w:val="en-AU"/>
        </w:rPr>
        <w:lastRenderedPageBreak/>
        <w:t xml:space="preserve">Designs to combat letterbox vandalism should be envisaged for future developments, particularly those located in socio-economically disadvantaged areas. The residents in three out of the seven surveyed buildings reported letterbox vandalism. </w:t>
      </w:r>
      <w:r w:rsidR="00EB7D25" w:rsidRPr="002665D2">
        <w:rPr>
          <w:rFonts w:ascii="Arial" w:hAnsi="Arial"/>
          <w:bCs/>
          <w:iCs/>
          <w:sz w:val="20"/>
          <w:szCs w:val="20"/>
          <w:lang w:val="en-AU"/>
        </w:rPr>
        <w:t>The RFDC</w:t>
      </w:r>
      <w:r w:rsidR="00E05DC5" w:rsidRPr="002665D2">
        <w:rPr>
          <w:rFonts w:ascii="Arial" w:hAnsi="Arial"/>
          <w:bCs/>
          <w:iCs/>
          <w:sz w:val="20"/>
          <w:szCs w:val="20"/>
          <w:lang w:val="en-AU"/>
        </w:rPr>
        <w:t xml:space="preserve"> (NSW Planning</w:t>
      </w:r>
      <w:r w:rsidR="00131889">
        <w:rPr>
          <w:rFonts w:ascii="Arial" w:hAnsi="Arial"/>
          <w:bCs/>
          <w:iCs/>
          <w:sz w:val="20"/>
          <w:szCs w:val="20"/>
          <w:lang w:val="en-AU"/>
        </w:rPr>
        <w:t>,</w:t>
      </w:r>
      <w:r w:rsidR="00E05DC5" w:rsidRPr="002665D2">
        <w:rPr>
          <w:rFonts w:ascii="Arial" w:hAnsi="Arial"/>
          <w:bCs/>
          <w:iCs/>
          <w:sz w:val="20"/>
          <w:szCs w:val="20"/>
          <w:lang w:val="en-AU"/>
        </w:rPr>
        <w:t xml:space="preserve"> 2002) </w:t>
      </w:r>
      <w:r w:rsidR="00EB7D25" w:rsidRPr="002665D2">
        <w:rPr>
          <w:rFonts w:ascii="Arial" w:hAnsi="Arial"/>
          <w:bCs/>
          <w:iCs/>
          <w:sz w:val="20"/>
          <w:szCs w:val="20"/>
          <w:lang w:val="en-AU"/>
        </w:rPr>
        <w:t xml:space="preserve">advises placing </w:t>
      </w:r>
      <w:r w:rsidR="00E05DC5" w:rsidRPr="002665D2">
        <w:rPr>
          <w:rFonts w:ascii="Arial" w:hAnsi="Arial"/>
          <w:bCs/>
          <w:iCs/>
          <w:sz w:val="20"/>
          <w:szCs w:val="20"/>
          <w:lang w:val="en-AU"/>
        </w:rPr>
        <w:t>letterboxes</w:t>
      </w:r>
      <w:r w:rsidR="00EB7D25" w:rsidRPr="002665D2">
        <w:rPr>
          <w:rFonts w:ascii="Arial" w:hAnsi="Arial"/>
          <w:bCs/>
          <w:iCs/>
          <w:sz w:val="20"/>
          <w:szCs w:val="20"/>
          <w:lang w:val="en-AU"/>
        </w:rPr>
        <w:t xml:space="preserve"> perpendicular to streets on adjacent walls near building entry points</w:t>
      </w:r>
      <w:r w:rsidR="00E05DC5" w:rsidRPr="002665D2">
        <w:rPr>
          <w:rFonts w:ascii="Arial" w:hAnsi="Arial"/>
          <w:bCs/>
          <w:iCs/>
          <w:sz w:val="20"/>
          <w:szCs w:val="20"/>
          <w:lang w:val="en-AU"/>
        </w:rPr>
        <w:t xml:space="preserve"> for aesthetics. </w:t>
      </w:r>
      <w:r w:rsidRPr="002665D2">
        <w:rPr>
          <w:rFonts w:ascii="Arial" w:hAnsi="Arial"/>
          <w:bCs/>
          <w:iCs/>
          <w:sz w:val="20"/>
          <w:szCs w:val="20"/>
          <w:lang w:val="en-AU"/>
        </w:rPr>
        <w:t>The</w:t>
      </w:r>
      <w:r w:rsidR="00E05DC5" w:rsidRPr="002665D2">
        <w:rPr>
          <w:rFonts w:ascii="Arial" w:hAnsi="Arial"/>
          <w:bCs/>
          <w:iCs/>
          <w:sz w:val="20"/>
          <w:szCs w:val="20"/>
          <w:lang w:val="en-AU"/>
        </w:rPr>
        <w:t>re is no change in</w:t>
      </w:r>
      <w:r w:rsidRPr="002665D2">
        <w:rPr>
          <w:rFonts w:ascii="Arial" w:hAnsi="Arial"/>
          <w:bCs/>
          <w:iCs/>
          <w:sz w:val="20"/>
          <w:szCs w:val="20"/>
          <w:lang w:val="en-AU"/>
        </w:rPr>
        <w:t xml:space="preserve"> </w:t>
      </w:r>
      <w:r w:rsidR="00E05DC5" w:rsidRPr="002665D2">
        <w:rPr>
          <w:rFonts w:ascii="Arial" w:hAnsi="Arial"/>
          <w:bCs/>
          <w:iCs/>
          <w:sz w:val="20"/>
          <w:szCs w:val="20"/>
          <w:lang w:val="en-AU"/>
        </w:rPr>
        <w:t>ADG</w:t>
      </w:r>
      <w:r w:rsidRPr="002665D2">
        <w:rPr>
          <w:rFonts w:ascii="Arial" w:hAnsi="Arial"/>
          <w:bCs/>
          <w:i/>
          <w:iCs/>
          <w:sz w:val="20"/>
          <w:szCs w:val="20"/>
          <w:lang w:val="en-AU"/>
        </w:rPr>
        <w:t xml:space="preserve"> </w:t>
      </w:r>
      <w:r w:rsidRPr="002665D2">
        <w:rPr>
          <w:rFonts w:ascii="Arial" w:hAnsi="Arial"/>
          <w:bCs/>
          <w:iCs/>
          <w:sz w:val="20"/>
          <w:szCs w:val="20"/>
          <w:lang w:val="en-AU"/>
        </w:rPr>
        <w:t>(NSW Planning and Environment</w:t>
      </w:r>
      <w:r w:rsidR="00131889">
        <w:rPr>
          <w:rFonts w:ascii="Arial" w:hAnsi="Arial"/>
          <w:bCs/>
          <w:iCs/>
          <w:sz w:val="20"/>
          <w:szCs w:val="20"/>
          <w:lang w:val="en-AU"/>
        </w:rPr>
        <w:t>,</w:t>
      </w:r>
      <w:r w:rsidRPr="002665D2">
        <w:rPr>
          <w:rFonts w:ascii="Arial" w:hAnsi="Arial"/>
          <w:bCs/>
          <w:iCs/>
          <w:sz w:val="20"/>
          <w:szCs w:val="20"/>
          <w:lang w:val="en-AU"/>
        </w:rPr>
        <w:t xml:space="preserve"> 2015, p.99) </w:t>
      </w:r>
      <w:r w:rsidR="00CB5229" w:rsidRPr="002665D2">
        <w:rPr>
          <w:rFonts w:ascii="Arial" w:hAnsi="Arial"/>
          <w:bCs/>
          <w:iCs/>
          <w:sz w:val="20"/>
          <w:szCs w:val="20"/>
          <w:lang w:val="en-AU"/>
        </w:rPr>
        <w:t xml:space="preserve">in relation to this aspect and suggests that </w:t>
      </w:r>
      <w:r w:rsidRPr="002665D2">
        <w:rPr>
          <w:rFonts w:ascii="Arial" w:hAnsi="Arial"/>
          <w:bCs/>
          <w:iCs/>
          <w:sz w:val="20"/>
          <w:szCs w:val="20"/>
          <w:lang w:val="en-AU"/>
        </w:rPr>
        <w:t xml:space="preserve">the aesthetic placement of letterboxes near the main entrance doors </w:t>
      </w:r>
      <w:r w:rsidR="00CB5229" w:rsidRPr="002665D2">
        <w:rPr>
          <w:rFonts w:ascii="Arial" w:hAnsi="Arial"/>
          <w:bCs/>
          <w:iCs/>
          <w:sz w:val="20"/>
          <w:szCs w:val="20"/>
          <w:lang w:val="en-AU"/>
        </w:rPr>
        <w:t>enhances</w:t>
      </w:r>
      <w:r w:rsidRPr="002665D2">
        <w:rPr>
          <w:rFonts w:ascii="Arial" w:hAnsi="Arial"/>
          <w:bCs/>
          <w:iCs/>
          <w:sz w:val="20"/>
          <w:szCs w:val="20"/>
          <w:lang w:val="en-AU"/>
        </w:rPr>
        <w:t xml:space="preserve"> convenience and </w:t>
      </w:r>
      <w:r w:rsidR="00CB5229" w:rsidRPr="002665D2">
        <w:rPr>
          <w:rFonts w:ascii="Arial" w:hAnsi="Arial"/>
          <w:bCs/>
          <w:iCs/>
          <w:sz w:val="20"/>
          <w:szCs w:val="20"/>
          <w:lang w:val="en-AU"/>
        </w:rPr>
        <w:t xml:space="preserve">encourages </w:t>
      </w:r>
      <w:r w:rsidRPr="002665D2">
        <w:rPr>
          <w:rFonts w:ascii="Arial" w:hAnsi="Arial"/>
          <w:bCs/>
          <w:iCs/>
          <w:sz w:val="20"/>
          <w:szCs w:val="20"/>
          <w:lang w:val="en-AU"/>
        </w:rPr>
        <w:t xml:space="preserve">social interaction. But it fails to take into account </w:t>
      </w:r>
      <w:r w:rsidR="00CB5229" w:rsidRPr="002665D2">
        <w:rPr>
          <w:rFonts w:ascii="Arial" w:hAnsi="Arial"/>
          <w:bCs/>
          <w:iCs/>
          <w:sz w:val="20"/>
          <w:szCs w:val="20"/>
          <w:lang w:val="en-AU"/>
        </w:rPr>
        <w:t xml:space="preserve">prevalence of </w:t>
      </w:r>
      <w:r w:rsidRPr="002665D2">
        <w:rPr>
          <w:rFonts w:ascii="Arial" w:hAnsi="Arial"/>
          <w:bCs/>
          <w:iCs/>
          <w:sz w:val="20"/>
          <w:szCs w:val="20"/>
          <w:lang w:val="en-AU"/>
        </w:rPr>
        <w:t>letterbox vandalism</w:t>
      </w:r>
      <w:r w:rsidR="00CB5229" w:rsidRPr="002665D2">
        <w:rPr>
          <w:rFonts w:ascii="Arial" w:hAnsi="Arial"/>
          <w:bCs/>
          <w:iCs/>
          <w:sz w:val="20"/>
          <w:szCs w:val="20"/>
          <w:lang w:val="en-AU"/>
        </w:rPr>
        <w:t xml:space="preserve"> in lower socioeconomic areas</w:t>
      </w:r>
      <w:r w:rsidRPr="002665D2">
        <w:rPr>
          <w:rFonts w:ascii="Arial" w:hAnsi="Arial"/>
          <w:bCs/>
          <w:iCs/>
          <w:sz w:val="20"/>
          <w:szCs w:val="20"/>
          <w:lang w:val="en-AU"/>
        </w:rPr>
        <w:t xml:space="preserve">. </w:t>
      </w:r>
      <w:r w:rsidR="00CB5229" w:rsidRPr="002665D2">
        <w:rPr>
          <w:rFonts w:ascii="Arial" w:hAnsi="Arial"/>
          <w:bCs/>
          <w:iCs/>
          <w:sz w:val="20"/>
          <w:szCs w:val="20"/>
          <w:lang w:val="en-AU"/>
        </w:rPr>
        <w:t>So</w:t>
      </w:r>
      <w:r w:rsidRPr="002665D2">
        <w:rPr>
          <w:rFonts w:ascii="Arial" w:hAnsi="Arial"/>
          <w:bCs/>
          <w:iCs/>
          <w:sz w:val="20"/>
          <w:szCs w:val="20"/>
          <w:lang w:val="en-AU"/>
        </w:rPr>
        <w:t xml:space="preserve"> there should be design strategies in place to secure letterboxes </w:t>
      </w:r>
      <w:r w:rsidR="00CB5229" w:rsidRPr="002665D2">
        <w:rPr>
          <w:rFonts w:ascii="Arial" w:hAnsi="Arial"/>
          <w:bCs/>
          <w:iCs/>
          <w:sz w:val="20"/>
          <w:szCs w:val="20"/>
          <w:lang w:val="en-AU"/>
        </w:rPr>
        <w:t>in</w:t>
      </w:r>
      <w:r w:rsidRPr="002665D2">
        <w:rPr>
          <w:rFonts w:ascii="Arial" w:hAnsi="Arial"/>
          <w:bCs/>
          <w:iCs/>
          <w:sz w:val="20"/>
          <w:szCs w:val="20"/>
          <w:lang w:val="en-AU"/>
        </w:rPr>
        <w:t xml:space="preserve"> apartment buildings</w:t>
      </w:r>
      <w:r w:rsidR="00CB5229" w:rsidRPr="002665D2">
        <w:rPr>
          <w:rFonts w:ascii="Arial" w:hAnsi="Arial"/>
          <w:bCs/>
          <w:iCs/>
          <w:sz w:val="20"/>
          <w:szCs w:val="20"/>
          <w:lang w:val="en-AU"/>
        </w:rPr>
        <w:t>.</w:t>
      </w:r>
      <w:r w:rsidRPr="002665D2">
        <w:rPr>
          <w:rFonts w:ascii="Arial" w:hAnsi="Arial"/>
          <w:bCs/>
          <w:iCs/>
          <w:sz w:val="20"/>
          <w:szCs w:val="20"/>
          <w:lang w:val="en-AU"/>
        </w:rPr>
        <w:t xml:space="preserve"> </w:t>
      </w:r>
      <w:r w:rsidR="00CB5229" w:rsidRPr="002665D2">
        <w:rPr>
          <w:rFonts w:ascii="Arial" w:hAnsi="Arial"/>
          <w:bCs/>
          <w:iCs/>
          <w:sz w:val="20"/>
          <w:szCs w:val="20"/>
          <w:lang w:val="en-AU"/>
        </w:rPr>
        <w:t>A</w:t>
      </w:r>
      <w:r w:rsidR="000120E1" w:rsidRPr="002665D2">
        <w:rPr>
          <w:rFonts w:ascii="Arial" w:hAnsi="Arial"/>
          <w:bCs/>
          <w:iCs/>
          <w:sz w:val="20"/>
          <w:szCs w:val="20"/>
          <w:lang w:val="en-AU"/>
        </w:rPr>
        <w:t xml:space="preserve"> strateg</w:t>
      </w:r>
      <w:r w:rsidR="00CB5229" w:rsidRPr="002665D2">
        <w:rPr>
          <w:rFonts w:ascii="Arial" w:hAnsi="Arial"/>
          <w:bCs/>
          <w:iCs/>
          <w:sz w:val="20"/>
          <w:szCs w:val="20"/>
          <w:lang w:val="en-AU"/>
        </w:rPr>
        <w:t>y</w:t>
      </w:r>
      <w:r w:rsidR="000120E1" w:rsidRPr="002665D2">
        <w:rPr>
          <w:rFonts w:ascii="Arial" w:hAnsi="Arial"/>
          <w:bCs/>
          <w:iCs/>
          <w:sz w:val="20"/>
          <w:szCs w:val="20"/>
          <w:lang w:val="en-AU"/>
        </w:rPr>
        <w:t xml:space="preserve"> adopted in o</w:t>
      </w:r>
      <w:r w:rsidR="00CB5229" w:rsidRPr="002665D2">
        <w:rPr>
          <w:rFonts w:ascii="Arial" w:hAnsi="Arial"/>
          <w:bCs/>
          <w:iCs/>
          <w:sz w:val="20"/>
          <w:szCs w:val="20"/>
          <w:lang w:val="en-AU"/>
        </w:rPr>
        <w:t>ne of the apartment building</w:t>
      </w:r>
      <w:r w:rsidR="000120E1" w:rsidRPr="002665D2">
        <w:rPr>
          <w:rFonts w:ascii="Arial" w:hAnsi="Arial"/>
          <w:bCs/>
          <w:iCs/>
          <w:sz w:val="20"/>
          <w:szCs w:val="20"/>
          <w:lang w:val="en-AU"/>
        </w:rPr>
        <w:t xml:space="preserve"> under study was to locate the letterboxes within the building complex and providing Australia post with keys to access the building for letter delivery. This is just an example, but other possible solutions/ideas should be debated.</w:t>
      </w:r>
    </w:p>
    <w:p w14:paraId="4E9D4D1E" w14:textId="77777777" w:rsidR="00782C92" w:rsidRPr="002665D2" w:rsidRDefault="00782C92" w:rsidP="00782C92">
      <w:pPr>
        <w:rPr>
          <w:rFonts w:ascii="Arial" w:hAnsi="Arial"/>
          <w:bCs/>
          <w:iCs/>
          <w:sz w:val="20"/>
          <w:szCs w:val="20"/>
          <w:lang w:val="en-AU"/>
        </w:rPr>
      </w:pPr>
    </w:p>
    <w:p w14:paraId="4AB8DA4C" w14:textId="6E1241D4" w:rsidR="00CD6E78" w:rsidRDefault="00782C92" w:rsidP="00D82A5C">
      <w:pPr>
        <w:jc w:val="both"/>
        <w:rPr>
          <w:rFonts w:ascii="Arial" w:hAnsi="Arial"/>
          <w:bCs/>
          <w:iCs/>
          <w:sz w:val="20"/>
          <w:szCs w:val="20"/>
          <w:lang w:val="en-AU"/>
        </w:rPr>
      </w:pPr>
      <w:r w:rsidRPr="002665D2">
        <w:rPr>
          <w:rFonts w:ascii="Arial" w:hAnsi="Arial"/>
          <w:bCs/>
          <w:iCs/>
          <w:sz w:val="20"/>
          <w:szCs w:val="20"/>
          <w:lang w:val="en-AU"/>
        </w:rPr>
        <w:t xml:space="preserve">Provision of sufficient </w:t>
      </w:r>
      <w:r w:rsidR="00875C77" w:rsidRPr="002665D2">
        <w:rPr>
          <w:rFonts w:ascii="Arial" w:hAnsi="Arial"/>
          <w:bCs/>
          <w:iCs/>
          <w:sz w:val="20"/>
          <w:szCs w:val="20"/>
          <w:lang w:val="en-AU"/>
        </w:rPr>
        <w:t xml:space="preserve">roof </w:t>
      </w:r>
      <w:r w:rsidRPr="002665D2">
        <w:rPr>
          <w:rFonts w:ascii="Arial" w:hAnsi="Arial"/>
          <w:bCs/>
          <w:iCs/>
          <w:sz w:val="20"/>
          <w:szCs w:val="20"/>
          <w:lang w:val="en-AU"/>
        </w:rPr>
        <w:t xml:space="preserve">cover over balconies would address issues related to rainwater or water spillage or waste and/or cigarette butt droppings from upper floors. </w:t>
      </w:r>
      <w:r w:rsidR="00875C77" w:rsidRPr="002665D2">
        <w:rPr>
          <w:rFonts w:ascii="Arial" w:hAnsi="Arial"/>
          <w:bCs/>
          <w:iCs/>
          <w:sz w:val="20"/>
          <w:szCs w:val="20"/>
          <w:lang w:val="en-AU"/>
        </w:rPr>
        <w:t xml:space="preserve">The residents living in both pre and post SEPP approved buildings reported these issues. </w:t>
      </w:r>
      <w:r w:rsidRPr="002665D2">
        <w:rPr>
          <w:rFonts w:ascii="Arial" w:hAnsi="Arial"/>
          <w:bCs/>
          <w:iCs/>
          <w:sz w:val="20"/>
          <w:szCs w:val="20"/>
          <w:lang w:val="en-AU"/>
        </w:rPr>
        <w:t xml:space="preserve">This is a safety issue for residents on the lower floor, particularly for families with small children who are likely to put cigarette butts in their mouth. </w:t>
      </w:r>
      <w:r w:rsidR="00875C77" w:rsidRPr="002665D2">
        <w:rPr>
          <w:rFonts w:ascii="Arial" w:hAnsi="Arial"/>
          <w:bCs/>
          <w:iCs/>
          <w:sz w:val="20"/>
          <w:szCs w:val="20"/>
          <w:lang w:val="en-AU"/>
        </w:rPr>
        <w:t>Some</w:t>
      </w:r>
      <w:r w:rsidRPr="002665D2">
        <w:rPr>
          <w:rFonts w:ascii="Arial" w:hAnsi="Arial"/>
          <w:bCs/>
          <w:iCs/>
          <w:sz w:val="20"/>
          <w:szCs w:val="20"/>
          <w:lang w:val="en-AU"/>
        </w:rPr>
        <w:t xml:space="preserve"> other residents reported instances of being drenched with water from upper floors. The residents living in lower floors that have a relatively bigger balcony than the upper floors are more likely to experience th</w:t>
      </w:r>
      <w:r w:rsidR="00875C77" w:rsidRPr="002665D2">
        <w:rPr>
          <w:rFonts w:ascii="Arial" w:hAnsi="Arial"/>
          <w:bCs/>
          <w:iCs/>
          <w:sz w:val="20"/>
          <w:szCs w:val="20"/>
          <w:lang w:val="en-AU"/>
        </w:rPr>
        <w:t>ese</w:t>
      </w:r>
      <w:r w:rsidRPr="002665D2">
        <w:rPr>
          <w:rFonts w:ascii="Arial" w:hAnsi="Arial"/>
          <w:bCs/>
          <w:iCs/>
          <w:sz w:val="20"/>
          <w:szCs w:val="20"/>
          <w:lang w:val="en-AU"/>
        </w:rPr>
        <w:t xml:space="preserve"> problem</w:t>
      </w:r>
      <w:r w:rsidR="00875C77" w:rsidRPr="002665D2">
        <w:rPr>
          <w:rFonts w:ascii="Arial" w:hAnsi="Arial"/>
          <w:bCs/>
          <w:iCs/>
          <w:sz w:val="20"/>
          <w:szCs w:val="20"/>
          <w:lang w:val="en-AU"/>
        </w:rPr>
        <w:t>s</w:t>
      </w:r>
      <w:r w:rsidRPr="002665D2">
        <w:rPr>
          <w:rFonts w:ascii="Arial" w:hAnsi="Arial"/>
          <w:bCs/>
          <w:iCs/>
          <w:sz w:val="20"/>
          <w:szCs w:val="20"/>
          <w:lang w:val="en-AU"/>
        </w:rPr>
        <w:t xml:space="preserve">. Besides, stuffy rooms are reported when a combination of insufficient window awnings and </w:t>
      </w:r>
      <w:r w:rsidR="00875C77" w:rsidRPr="002665D2">
        <w:rPr>
          <w:rFonts w:ascii="Arial" w:hAnsi="Arial"/>
          <w:bCs/>
          <w:iCs/>
          <w:sz w:val="20"/>
          <w:szCs w:val="20"/>
          <w:lang w:val="en-AU"/>
        </w:rPr>
        <w:t xml:space="preserve">sufficient roof </w:t>
      </w:r>
      <w:r w:rsidRPr="002665D2">
        <w:rPr>
          <w:rFonts w:ascii="Arial" w:hAnsi="Arial"/>
          <w:bCs/>
          <w:iCs/>
          <w:sz w:val="20"/>
          <w:szCs w:val="20"/>
          <w:lang w:val="en-AU"/>
        </w:rPr>
        <w:t>cover in the balcony during rain force</w:t>
      </w:r>
      <w:r w:rsidR="00875C77" w:rsidRPr="002665D2">
        <w:rPr>
          <w:rFonts w:ascii="Arial" w:hAnsi="Arial"/>
          <w:bCs/>
          <w:iCs/>
          <w:sz w:val="20"/>
          <w:szCs w:val="20"/>
          <w:lang w:val="en-AU"/>
        </w:rPr>
        <w:t>d</w:t>
      </w:r>
      <w:r w:rsidRPr="002665D2">
        <w:rPr>
          <w:rFonts w:ascii="Arial" w:hAnsi="Arial"/>
          <w:bCs/>
          <w:iCs/>
          <w:sz w:val="20"/>
          <w:szCs w:val="20"/>
          <w:lang w:val="en-AU"/>
        </w:rPr>
        <w:t xml:space="preserve"> </w:t>
      </w:r>
      <w:r w:rsidR="00875C77" w:rsidRPr="002665D2">
        <w:rPr>
          <w:rFonts w:ascii="Arial" w:hAnsi="Arial"/>
          <w:bCs/>
          <w:iCs/>
          <w:sz w:val="20"/>
          <w:szCs w:val="20"/>
          <w:lang w:val="en-AU"/>
        </w:rPr>
        <w:t>some residents to keep the</w:t>
      </w:r>
      <w:r w:rsidRPr="002665D2">
        <w:rPr>
          <w:rFonts w:ascii="Arial" w:hAnsi="Arial"/>
          <w:bCs/>
          <w:iCs/>
          <w:sz w:val="20"/>
          <w:szCs w:val="20"/>
          <w:lang w:val="en-AU"/>
        </w:rPr>
        <w:t xml:space="preserve"> </w:t>
      </w:r>
      <w:r w:rsidR="00875C77" w:rsidRPr="002665D2">
        <w:rPr>
          <w:rFonts w:ascii="Arial" w:hAnsi="Arial"/>
          <w:bCs/>
          <w:iCs/>
          <w:sz w:val="20"/>
          <w:szCs w:val="20"/>
          <w:lang w:val="en-AU"/>
        </w:rPr>
        <w:t xml:space="preserve">balcony door </w:t>
      </w:r>
      <w:r w:rsidRPr="002665D2">
        <w:rPr>
          <w:rFonts w:ascii="Arial" w:hAnsi="Arial"/>
          <w:bCs/>
          <w:iCs/>
          <w:sz w:val="20"/>
          <w:szCs w:val="20"/>
          <w:lang w:val="en-AU"/>
        </w:rPr>
        <w:t xml:space="preserve">closed. The </w:t>
      </w:r>
      <w:r w:rsidR="00D82A5C" w:rsidRPr="002665D2">
        <w:rPr>
          <w:rFonts w:ascii="Arial" w:hAnsi="Arial"/>
          <w:bCs/>
          <w:iCs/>
          <w:sz w:val="20"/>
          <w:szCs w:val="20"/>
          <w:lang w:val="en-AU"/>
        </w:rPr>
        <w:t>ADG</w:t>
      </w:r>
      <w:r w:rsidRPr="002665D2">
        <w:rPr>
          <w:rFonts w:ascii="Arial" w:hAnsi="Arial"/>
          <w:bCs/>
          <w:i/>
          <w:iCs/>
          <w:sz w:val="20"/>
          <w:szCs w:val="20"/>
          <w:lang w:val="en-AU"/>
        </w:rPr>
        <w:t xml:space="preserve"> </w:t>
      </w:r>
      <w:r w:rsidRPr="002665D2">
        <w:rPr>
          <w:rFonts w:ascii="Arial" w:hAnsi="Arial"/>
          <w:bCs/>
          <w:iCs/>
          <w:sz w:val="20"/>
          <w:szCs w:val="20"/>
          <w:lang w:val="en-AU"/>
        </w:rPr>
        <w:t>(NSW Planning and Environment 2015, p.95) stipulates the provision of adequate sunscreens, pergolas or shutters and operable screens with balustrades on the balconies to provide increased amenity</w:t>
      </w:r>
      <w:r w:rsidR="0085099F" w:rsidRPr="002665D2">
        <w:rPr>
          <w:rFonts w:ascii="Arial" w:hAnsi="Arial"/>
          <w:bCs/>
          <w:iCs/>
          <w:sz w:val="20"/>
          <w:szCs w:val="20"/>
          <w:lang w:val="en-AU"/>
        </w:rPr>
        <w:t xml:space="preserve"> and protection from natural </w:t>
      </w:r>
      <w:r w:rsidR="00D82A5C" w:rsidRPr="002665D2">
        <w:rPr>
          <w:rFonts w:ascii="Arial" w:hAnsi="Arial"/>
          <w:bCs/>
          <w:iCs/>
          <w:sz w:val="20"/>
          <w:szCs w:val="20"/>
          <w:lang w:val="en-AU"/>
        </w:rPr>
        <w:t xml:space="preserve">weather </w:t>
      </w:r>
      <w:r w:rsidR="0085099F" w:rsidRPr="002665D2">
        <w:rPr>
          <w:rFonts w:ascii="Arial" w:hAnsi="Arial"/>
          <w:bCs/>
          <w:iCs/>
          <w:sz w:val="20"/>
          <w:szCs w:val="20"/>
          <w:lang w:val="en-AU"/>
        </w:rPr>
        <w:t>elements</w:t>
      </w:r>
      <w:r w:rsidRPr="002665D2">
        <w:rPr>
          <w:rFonts w:ascii="Arial" w:hAnsi="Arial"/>
          <w:bCs/>
          <w:iCs/>
          <w:sz w:val="20"/>
          <w:szCs w:val="20"/>
          <w:lang w:val="en-AU"/>
        </w:rPr>
        <w:t>. The operable screens have the additional benefit of concealing storage or laundry in the balcony in addition to weather protection. Th</w:t>
      </w:r>
      <w:r w:rsidR="00D82A5C" w:rsidRPr="002665D2">
        <w:rPr>
          <w:rFonts w:ascii="Arial" w:hAnsi="Arial"/>
          <w:bCs/>
          <w:iCs/>
          <w:sz w:val="20"/>
          <w:szCs w:val="20"/>
          <w:lang w:val="en-AU"/>
        </w:rPr>
        <w:t xml:space="preserve">ese measures would prevent rain or waste or </w:t>
      </w:r>
      <w:r w:rsidRPr="002665D2">
        <w:rPr>
          <w:rFonts w:ascii="Arial" w:hAnsi="Arial"/>
          <w:bCs/>
          <w:iCs/>
          <w:sz w:val="20"/>
          <w:szCs w:val="20"/>
          <w:lang w:val="en-AU"/>
        </w:rPr>
        <w:t xml:space="preserve">water </w:t>
      </w:r>
      <w:r w:rsidR="00D82A5C" w:rsidRPr="002665D2">
        <w:rPr>
          <w:rFonts w:ascii="Arial" w:hAnsi="Arial"/>
          <w:bCs/>
          <w:iCs/>
          <w:sz w:val="20"/>
          <w:szCs w:val="20"/>
          <w:lang w:val="en-AU"/>
        </w:rPr>
        <w:t>spillages into lower balcony floors as well as enhance</w:t>
      </w:r>
      <w:r w:rsidRPr="002665D2">
        <w:rPr>
          <w:rFonts w:ascii="Arial" w:hAnsi="Arial"/>
          <w:bCs/>
          <w:iCs/>
          <w:sz w:val="20"/>
          <w:szCs w:val="20"/>
          <w:lang w:val="en-AU"/>
        </w:rPr>
        <w:t xml:space="preserve"> </w:t>
      </w:r>
      <w:r w:rsidR="00D82A5C" w:rsidRPr="002665D2">
        <w:rPr>
          <w:rFonts w:ascii="Arial" w:hAnsi="Arial"/>
          <w:bCs/>
          <w:iCs/>
          <w:sz w:val="20"/>
          <w:szCs w:val="20"/>
          <w:lang w:val="en-AU"/>
        </w:rPr>
        <w:t xml:space="preserve">the </w:t>
      </w:r>
      <w:r w:rsidRPr="002665D2">
        <w:rPr>
          <w:rFonts w:ascii="Arial" w:hAnsi="Arial"/>
          <w:bCs/>
          <w:iCs/>
          <w:sz w:val="20"/>
          <w:szCs w:val="20"/>
          <w:lang w:val="en-AU"/>
        </w:rPr>
        <w:t>us</w:t>
      </w:r>
      <w:r w:rsidR="00D82A5C" w:rsidRPr="002665D2">
        <w:rPr>
          <w:rFonts w:ascii="Arial" w:hAnsi="Arial"/>
          <w:bCs/>
          <w:iCs/>
          <w:sz w:val="20"/>
          <w:szCs w:val="20"/>
          <w:lang w:val="en-AU"/>
        </w:rPr>
        <w:t>e</w:t>
      </w:r>
      <w:r w:rsidRPr="002665D2">
        <w:rPr>
          <w:rFonts w:ascii="Arial" w:hAnsi="Arial"/>
          <w:bCs/>
          <w:iCs/>
          <w:sz w:val="20"/>
          <w:szCs w:val="20"/>
          <w:lang w:val="en-AU"/>
        </w:rPr>
        <w:t xml:space="preserve"> </w:t>
      </w:r>
      <w:r w:rsidR="00D82A5C" w:rsidRPr="002665D2">
        <w:rPr>
          <w:rFonts w:ascii="Arial" w:hAnsi="Arial"/>
          <w:bCs/>
          <w:iCs/>
          <w:sz w:val="20"/>
          <w:szCs w:val="20"/>
          <w:lang w:val="en-AU"/>
        </w:rPr>
        <w:t>of</w:t>
      </w:r>
      <w:r w:rsidRPr="002665D2">
        <w:rPr>
          <w:rFonts w:ascii="Arial" w:hAnsi="Arial"/>
          <w:bCs/>
          <w:iCs/>
          <w:sz w:val="20"/>
          <w:szCs w:val="20"/>
          <w:lang w:val="en-AU"/>
        </w:rPr>
        <w:t xml:space="preserve"> balcony as a pleasant, private </w:t>
      </w:r>
      <w:r w:rsidR="00D82A5C" w:rsidRPr="002665D2">
        <w:rPr>
          <w:rFonts w:ascii="Arial" w:hAnsi="Arial"/>
          <w:bCs/>
          <w:iCs/>
          <w:sz w:val="20"/>
          <w:szCs w:val="20"/>
          <w:lang w:val="en-AU"/>
        </w:rPr>
        <w:t>outdoor</w:t>
      </w:r>
      <w:r w:rsidRPr="002665D2">
        <w:rPr>
          <w:rFonts w:ascii="Arial" w:hAnsi="Arial"/>
          <w:bCs/>
          <w:iCs/>
          <w:sz w:val="20"/>
          <w:szCs w:val="20"/>
          <w:lang w:val="en-AU"/>
        </w:rPr>
        <w:t xml:space="preserve"> space. </w:t>
      </w:r>
      <w:r w:rsidR="0011300D" w:rsidRPr="002665D2">
        <w:rPr>
          <w:rFonts w:ascii="Arial" w:hAnsi="Arial"/>
          <w:bCs/>
          <w:iCs/>
          <w:sz w:val="20"/>
          <w:szCs w:val="20"/>
          <w:lang w:val="en-AU"/>
        </w:rPr>
        <w:t xml:space="preserve">Further, overhanging roof design that offers better protection from sun is recommended. </w:t>
      </w:r>
      <w:r w:rsidRPr="002665D2">
        <w:rPr>
          <w:rFonts w:ascii="Arial" w:hAnsi="Arial"/>
          <w:bCs/>
          <w:iCs/>
          <w:sz w:val="20"/>
          <w:szCs w:val="20"/>
          <w:lang w:val="en-AU"/>
        </w:rPr>
        <w:t>Additional suggested methods like awnings</w:t>
      </w:r>
      <w:r w:rsidR="00E71F76" w:rsidRPr="002665D2">
        <w:rPr>
          <w:rFonts w:ascii="Arial" w:hAnsi="Arial"/>
          <w:bCs/>
          <w:iCs/>
          <w:sz w:val="20"/>
          <w:szCs w:val="20"/>
          <w:lang w:val="en-AU"/>
        </w:rPr>
        <w:t xml:space="preserve"> or louvres</w:t>
      </w:r>
      <w:r w:rsidRPr="002665D2">
        <w:rPr>
          <w:rFonts w:ascii="Arial" w:hAnsi="Arial"/>
          <w:bCs/>
          <w:iCs/>
          <w:sz w:val="20"/>
          <w:szCs w:val="20"/>
          <w:lang w:val="en-AU"/>
        </w:rPr>
        <w:t xml:space="preserve"> for windows would provide shade as well as rain water</w:t>
      </w:r>
      <w:r w:rsidR="00E71F76" w:rsidRPr="002665D2">
        <w:rPr>
          <w:rFonts w:ascii="Arial" w:hAnsi="Arial"/>
          <w:bCs/>
          <w:iCs/>
          <w:sz w:val="20"/>
          <w:szCs w:val="20"/>
          <w:lang w:val="en-AU"/>
        </w:rPr>
        <w:t xml:space="preserve"> protection</w:t>
      </w:r>
      <w:r w:rsidRPr="002665D2">
        <w:rPr>
          <w:rFonts w:ascii="Arial" w:hAnsi="Arial"/>
          <w:bCs/>
          <w:iCs/>
          <w:sz w:val="20"/>
          <w:szCs w:val="20"/>
          <w:lang w:val="en-AU"/>
        </w:rPr>
        <w:t xml:space="preserve">. </w:t>
      </w:r>
      <w:r w:rsidR="00CD6E78" w:rsidRPr="00CD6E78">
        <w:rPr>
          <w:rFonts w:ascii="Arial" w:hAnsi="Arial"/>
          <w:bCs/>
          <w:iCs/>
          <w:sz w:val="20"/>
          <w:szCs w:val="20"/>
          <w:lang w:val="en-US"/>
        </w:rPr>
        <w:t>The architect believes that the features like operable screens in the balcony, adds to the construction cost. So in socio-economic areas often they are not provided, as it is not financially feasible due to high land cost. Good design always provides sufficient roof cover.</w:t>
      </w:r>
    </w:p>
    <w:p w14:paraId="56FDF5B7" w14:textId="77777777" w:rsidR="00CD6E78" w:rsidRDefault="00CD6E78" w:rsidP="00D82A5C">
      <w:pPr>
        <w:jc w:val="both"/>
        <w:rPr>
          <w:rFonts w:ascii="Arial" w:hAnsi="Arial"/>
          <w:bCs/>
          <w:iCs/>
          <w:sz w:val="20"/>
          <w:szCs w:val="20"/>
          <w:lang w:val="en-AU"/>
        </w:rPr>
      </w:pPr>
    </w:p>
    <w:p w14:paraId="61B4F27F" w14:textId="309B75AB" w:rsidR="00D14B3B" w:rsidRPr="002665D2" w:rsidRDefault="00106C1B" w:rsidP="00D82A5C">
      <w:pPr>
        <w:jc w:val="both"/>
        <w:rPr>
          <w:rFonts w:ascii="Arial" w:hAnsi="Arial"/>
          <w:bCs/>
          <w:iCs/>
          <w:sz w:val="20"/>
          <w:szCs w:val="20"/>
          <w:lang w:val="en-AU"/>
        </w:rPr>
      </w:pPr>
      <w:r w:rsidRPr="002665D2">
        <w:rPr>
          <w:rFonts w:ascii="Arial" w:hAnsi="Arial"/>
          <w:sz w:val="20"/>
          <w:szCs w:val="20"/>
          <w:lang w:val="en-AU"/>
        </w:rPr>
        <w:t xml:space="preserve">The review of the RFDC submitted to the Department of Planning and Infrastructure (2012, p. 19) recommends that open balconies are not advisable for upper floors, even as low as the seventh floor, due to strong winds that can make the space user-unfriendly. This resonates with the thesis survey findings, where some residents pointed out that strong draft of wind could rip off fly screen doors and makes the balcony space unusable. The </w:t>
      </w:r>
      <w:r w:rsidRPr="002665D2">
        <w:rPr>
          <w:rFonts w:ascii="Arial" w:hAnsi="Arial"/>
          <w:iCs/>
          <w:sz w:val="20"/>
          <w:szCs w:val="20"/>
          <w:lang w:val="en-AU"/>
        </w:rPr>
        <w:t>ADG</w:t>
      </w:r>
      <w:r w:rsidRPr="002665D2">
        <w:rPr>
          <w:rFonts w:ascii="Arial" w:hAnsi="Arial"/>
          <w:i/>
          <w:iCs/>
          <w:sz w:val="20"/>
          <w:szCs w:val="20"/>
          <w:lang w:val="en-AU"/>
        </w:rPr>
        <w:t xml:space="preserve"> </w:t>
      </w:r>
      <w:r w:rsidRPr="002665D2">
        <w:rPr>
          <w:rFonts w:ascii="Arial" w:hAnsi="Arial"/>
          <w:sz w:val="20"/>
          <w:szCs w:val="20"/>
          <w:lang w:val="en-AU"/>
        </w:rPr>
        <w:t xml:space="preserve">(NSW Planning and Environment 2015, p.93) suggests designing alternative measures like enclosed wintergardens or operable screens or </w:t>
      </w:r>
      <w:proofErr w:type="spellStart"/>
      <w:r w:rsidRPr="002665D2">
        <w:rPr>
          <w:rFonts w:ascii="Arial" w:hAnsi="Arial"/>
          <w:sz w:val="20"/>
          <w:szCs w:val="20"/>
          <w:lang w:val="en-AU"/>
        </w:rPr>
        <w:t>juliet</w:t>
      </w:r>
      <w:proofErr w:type="spellEnd"/>
      <w:r w:rsidRPr="002665D2">
        <w:rPr>
          <w:rFonts w:ascii="Arial" w:hAnsi="Arial"/>
          <w:sz w:val="20"/>
          <w:szCs w:val="20"/>
          <w:lang w:val="en-AU"/>
        </w:rPr>
        <w:t xml:space="preserve"> balconies or bay windows for apartments located in 10 storeys and up to combat wind or noise and so on. </w:t>
      </w:r>
      <w:r w:rsidR="00F86F22" w:rsidRPr="002665D2">
        <w:rPr>
          <w:rFonts w:ascii="Arial" w:hAnsi="Arial"/>
          <w:bCs/>
          <w:iCs/>
          <w:sz w:val="20"/>
          <w:szCs w:val="20"/>
          <w:lang w:val="en-AU"/>
        </w:rPr>
        <w:t xml:space="preserve">All these improvements </w:t>
      </w:r>
      <w:r w:rsidR="00D82A5C" w:rsidRPr="002665D2">
        <w:rPr>
          <w:rFonts w:ascii="Arial" w:hAnsi="Arial"/>
          <w:bCs/>
          <w:iCs/>
          <w:sz w:val="20"/>
          <w:szCs w:val="20"/>
          <w:lang w:val="en-AU"/>
        </w:rPr>
        <w:t>in comparison</w:t>
      </w:r>
      <w:r w:rsidR="00F86F22" w:rsidRPr="002665D2">
        <w:rPr>
          <w:rFonts w:ascii="Arial" w:hAnsi="Arial"/>
          <w:bCs/>
          <w:iCs/>
          <w:sz w:val="20"/>
          <w:szCs w:val="20"/>
          <w:lang w:val="en-AU"/>
        </w:rPr>
        <w:t xml:space="preserve"> to </w:t>
      </w:r>
      <w:r w:rsidR="00D82A5C" w:rsidRPr="002665D2">
        <w:rPr>
          <w:rFonts w:ascii="Arial" w:hAnsi="Arial"/>
          <w:bCs/>
          <w:iCs/>
          <w:sz w:val="20"/>
          <w:szCs w:val="20"/>
          <w:lang w:val="en-AU"/>
        </w:rPr>
        <w:t>RDFC 2002 standards, if implemented</w:t>
      </w:r>
      <w:r w:rsidR="00F86F22" w:rsidRPr="002665D2">
        <w:rPr>
          <w:rFonts w:ascii="Arial" w:hAnsi="Arial"/>
          <w:bCs/>
          <w:iCs/>
          <w:sz w:val="20"/>
          <w:szCs w:val="20"/>
          <w:lang w:val="en-AU"/>
        </w:rPr>
        <w:t xml:space="preserve"> </w:t>
      </w:r>
      <w:r w:rsidR="00D82A5C" w:rsidRPr="002665D2">
        <w:rPr>
          <w:rFonts w:ascii="Arial" w:hAnsi="Arial"/>
          <w:bCs/>
          <w:iCs/>
          <w:sz w:val="20"/>
          <w:szCs w:val="20"/>
          <w:lang w:val="en-AU"/>
        </w:rPr>
        <w:t xml:space="preserve">would </w:t>
      </w:r>
      <w:r w:rsidR="00717A34" w:rsidRPr="002665D2">
        <w:rPr>
          <w:rFonts w:ascii="Arial" w:hAnsi="Arial"/>
          <w:bCs/>
          <w:iCs/>
          <w:sz w:val="20"/>
          <w:szCs w:val="20"/>
          <w:lang w:val="en-AU"/>
        </w:rPr>
        <w:t xml:space="preserve">certainly </w:t>
      </w:r>
      <w:r w:rsidR="00D82A5C" w:rsidRPr="002665D2">
        <w:rPr>
          <w:rFonts w:ascii="Arial" w:hAnsi="Arial"/>
          <w:bCs/>
          <w:iCs/>
          <w:sz w:val="20"/>
          <w:szCs w:val="20"/>
          <w:lang w:val="en-AU"/>
        </w:rPr>
        <w:t>improve user convenience.</w:t>
      </w:r>
      <w:r w:rsidR="00CD6E78">
        <w:rPr>
          <w:rFonts w:ascii="Arial" w:hAnsi="Arial"/>
          <w:bCs/>
          <w:iCs/>
          <w:sz w:val="20"/>
          <w:szCs w:val="20"/>
          <w:lang w:val="en-AU"/>
        </w:rPr>
        <w:t xml:space="preserve"> </w:t>
      </w:r>
    </w:p>
    <w:p w14:paraId="42B57456" w14:textId="77777777" w:rsidR="00B50617" w:rsidRPr="002665D2" w:rsidRDefault="00B50617" w:rsidP="00B50617">
      <w:pPr>
        <w:rPr>
          <w:rFonts w:ascii="Arial" w:hAnsi="Arial"/>
          <w:sz w:val="20"/>
          <w:szCs w:val="20"/>
          <w:lang w:val="en-AU"/>
        </w:rPr>
      </w:pPr>
    </w:p>
    <w:p w14:paraId="3D52D98F" w14:textId="020EE749" w:rsidR="001B2326" w:rsidRPr="002665D2" w:rsidRDefault="00D32964" w:rsidP="001B2326">
      <w:pPr>
        <w:jc w:val="both"/>
        <w:rPr>
          <w:rFonts w:ascii="Arial" w:hAnsi="Arial"/>
          <w:sz w:val="20"/>
          <w:szCs w:val="20"/>
          <w:lang w:val="en-AU"/>
        </w:rPr>
      </w:pPr>
      <w:r w:rsidRPr="002665D2">
        <w:rPr>
          <w:rFonts w:ascii="Arial" w:hAnsi="Arial"/>
          <w:sz w:val="20"/>
          <w:szCs w:val="20"/>
          <w:lang w:val="en-AU"/>
        </w:rPr>
        <w:t xml:space="preserve">Some residents perceive </w:t>
      </w:r>
      <w:r w:rsidR="00B82CF1" w:rsidRPr="002665D2">
        <w:rPr>
          <w:rFonts w:ascii="Arial" w:hAnsi="Arial"/>
          <w:sz w:val="20"/>
          <w:szCs w:val="20"/>
          <w:lang w:val="en-AU"/>
        </w:rPr>
        <w:t xml:space="preserve">glass </w:t>
      </w:r>
      <w:r w:rsidRPr="002665D2">
        <w:rPr>
          <w:rFonts w:ascii="Arial" w:hAnsi="Arial"/>
          <w:sz w:val="20"/>
          <w:szCs w:val="20"/>
          <w:lang w:val="en-AU"/>
        </w:rPr>
        <w:t xml:space="preserve">balcony </w:t>
      </w:r>
      <w:r w:rsidR="00B82CF1" w:rsidRPr="002665D2">
        <w:rPr>
          <w:rFonts w:ascii="Arial" w:hAnsi="Arial"/>
          <w:sz w:val="20"/>
          <w:szCs w:val="20"/>
          <w:lang w:val="en-AU"/>
        </w:rPr>
        <w:t xml:space="preserve">balustrades </w:t>
      </w:r>
      <w:r w:rsidRPr="002665D2">
        <w:rPr>
          <w:rFonts w:ascii="Arial" w:hAnsi="Arial"/>
          <w:sz w:val="20"/>
          <w:szCs w:val="20"/>
          <w:lang w:val="en-AU"/>
        </w:rPr>
        <w:t xml:space="preserve">to be unsafe. In particular, families with children are particularly worried about the </w:t>
      </w:r>
      <w:r w:rsidR="00B82CF1" w:rsidRPr="002665D2">
        <w:rPr>
          <w:rFonts w:ascii="Arial" w:hAnsi="Arial"/>
          <w:sz w:val="20"/>
          <w:szCs w:val="20"/>
          <w:lang w:val="en-AU"/>
        </w:rPr>
        <w:t>wider gaps between the walls and the balustrades or low height of the balustrades</w:t>
      </w:r>
      <w:r w:rsidRPr="002665D2">
        <w:rPr>
          <w:rFonts w:ascii="Arial" w:hAnsi="Arial"/>
          <w:sz w:val="20"/>
          <w:szCs w:val="20"/>
          <w:lang w:val="en-AU"/>
        </w:rPr>
        <w:t>.</w:t>
      </w:r>
      <w:r w:rsidR="00B82CF1" w:rsidRPr="002665D2">
        <w:rPr>
          <w:rFonts w:ascii="Arial" w:hAnsi="Arial"/>
          <w:sz w:val="20"/>
          <w:szCs w:val="20"/>
          <w:lang w:val="en-AU"/>
        </w:rPr>
        <w:t xml:space="preserve"> </w:t>
      </w:r>
      <w:r w:rsidR="00B50617" w:rsidRPr="002665D2">
        <w:rPr>
          <w:rFonts w:ascii="Arial" w:hAnsi="Arial"/>
          <w:sz w:val="20"/>
          <w:szCs w:val="20"/>
          <w:lang w:val="en-AU"/>
        </w:rPr>
        <w:t xml:space="preserve">Good quality balustrades and superior workmanship in installing them enhances safety perception in the upper floors. </w:t>
      </w:r>
      <w:r w:rsidR="00467FE6" w:rsidRPr="002665D2">
        <w:rPr>
          <w:rFonts w:ascii="Arial" w:hAnsi="Arial"/>
          <w:sz w:val="20"/>
          <w:szCs w:val="20"/>
          <w:lang w:val="en-AU"/>
        </w:rPr>
        <w:t>The mandatory height requirement in building code (ABCB, 2013) for the balustrades including upper</w:t>
      </w:r>
      <w:r w:rsidR="00C7394A" w:rsidRPr="002665D2">
        <w:rPr>
          <w:rFonts w:ascii="Arial" w:hAnsi="Arial"/>
          <w:sz w:val="20"/>
          <w:szCs w:val="20"/>
          <w:lang w:val="en-AU"/>
        </w:rPr>
        <w:t xml:space="preserve"> </w:t>
      </w:r>
      <w:r w:rsidR="00467FE6" w:rsidRPr="002665D2">
        <w:rPr>
          <w:rFonts w:ascii="Arial" w:hAnsi="Arial"/>
          <w:sz w:val="20"/>
          <w:szCs w:val="20"/>
          <w:lang w:val="en-AU"/>
        </w:rPr>
        <w:t>floors is only 1 metre.</w:t>
      </w:r>
      <w:r w:rsidR="00C7394A" w:rsidRPr="002665D2">
        <w:rPr>
          <w:rFonts w:ascii="Arial" w:hAnsi="Arial"/>
          <w:sz w:val="20"/>
          <w:szCs w:val="20"/>
          <w:lang w:val="en-AU"/>
        </w:rPr>
        <w:t xml:space="preserve"> </w:t>
      </w:r>
      <w:r w:rsidR="004174D9" w:rsidRPr="002665D2">
        <w:rPr>
          <w:rFonts w:ascii="Arial" w:hAnsi="Arial"/>
          <w:sz w:val="20"/>
          <w:szCs w:val="20"/>
          <w:lang w:val="en-AU"/>
        </w:rPr>
        <w:t xml:space="preserve">So the </w:t>
      </w:r>
      <w:r w:rsidR="00F117A6">
        <w:rPr>
          <w:rFonts w:ascii="Arial" w:hAnsi="Arial"/>
          <w:sz w:val="20"/>
          <w:szCs w:val="20"/>
          <w:lang w:val="en-AU"/>
        </w:rPr>
        <w:t xml:space="preserve">architect agrees that </w:t>
      </w:r>
      <w:r w:rsidR="00EA6879" w:rsidRPr="002665D2">
        <w:rPr>
          <w:rFonts w:ascii="Arial" w:hAnsi="Arial"/>
          <w:sz w:val="20"/>
          <w:szCs w:val="20"/>
          <w:lang w:val="en-AU"/>
        </w:rPr>
        <w:t>balcony height is not really safe for small</w:t>
      </w:r>
      <w:r w:rsidR="004174D9" w:rsidRPr="002665D2">
        <w:rPr>
          <w:rFonts w:ascii="Arial" w:hAnsi="Arial"/>
          <w:sz w:val="20"/>
          <w:szCs w:val="20"/>
          <w:lang w:val="en-AU"/>
        </w:rPr>
        <w:t xml:space="preserve"> children, who tend to climb.</w:t>
      </w:r>
      <w:r w:rsidR="00EA6879" w:rsidRPr="002665D2">
        <w:rPr>
          <w:rFonts w:ascii="Arial" w:hAnsi="Arial"/>
          <w:sz w:val="20"/>
          <w:szCs w:val="20"/>
          <w:lang w:val="en-AU"/>
        </w:rPr>
        <w:t xml:space="preserve"> </w:t>
      </w:r>
      <w:r w:rsidR="004174D9" w:rsidRPr="002665D2">
        <w:rPr>
          <w:rFonts w:ascii="Arial" w:hAnsi="Arial"/>
          <w:sz w:val="20"/>
          <w:szCs w:val="20"/>
          <w:lang w:val="en-AU"/>
        </w:rPr>
        <w:t xml:space="preserve">There is no specification in relation of height requirements in both RFDC and ADG. But the ADG (NSW Planning and Environment 2015) </w:t>
      </w:r>
      <w:r w:rsidR="008237B1" w:rsidRPr="002665D2">
        <w:rPr>
          <w:rFonts w:ascii="Arial" w:hAnsi="Arial"/>
          <w:sz w:val="20"/>
          <w:szCs w:val="20"/>
          <w:lang w:val="en-AU"/>
        </w:rPr>
        <w:t xml:space="preserve">encourages designing child and pet friendly balconies. </w:t>
      </w:r>
      <w:r w:rsidR="001B2326" w:rsidRPr="002665D2">
        <w:rPr>
          <w:rFonts w:ascii="Arial" w:hAnsi="Arial"/>
          <w:sz w:val="20"/>
          <w:szCs w:val="20"/>
          <w:lang w:val="en-AU"/>
        </w:rPr>
        <w:t>Discouraging the use of full glass balustrades or suggestions to install balustrades away from the building/balcony edge or combining solid or partially solid balustrades address issues of privacy and safety.</w:t>
      </w:r>
      <w:r w:rsidR="00FE4562" w:rsidRPr="002665D2">
        <w:rPr>
          <w:rFonts w:ascii="Arial" w:hAnsi="Arial"/>
          <w:sz w:val="20"/>
          <w:szCs w:val="20"/>
          <w:lang w:val="en-AU"/>
        </w:rPr>
        <w:t xml:space="preserve"> Besides, provision of operable screens and shutters to secure balconies from elements of weather could make balconies more children friendly.</w:t>
      </w:r>
    </w:p>
    <w:p w14:paraId="18745ABC" w14:textId="77777777" w:rsidR="0099197D" w:rsidRPr="002665D2" w:rsidRDefault="0099197D" w:rsidP="00B50617">
      <w:pPr>
        <w:rPr>
          <w:rFonts w:ascii="Arial" w:hAnsi="Arial"/>
          <w:sz w:val="20"/>
          <w:szCs w:val="20"/>
          <w:lang w:val="en-AU"/>
        </w:rPr>
      </w:pPr>
    </w:p>
    <w:p w14:paraId="2DA99B01" w14:textId="77777777" w:rsidR="00055DEA" w:rsidRPr="002665D2" w:rsidRDefault="00055DEA" w:rsidP="00055DEA">
      <w:pPr>
        <w:pStyle w:val="Default"/>
        <w:rPr>
          <w:lang w:val="en-AU"/>
        </w:rPr>
      </w:pPr>
    </w:p>
    <w:p w14:paraId="4F93C4DA" w14:textId="26AA346F" w:rsidR="00AF163C" w:rsidRPr="00D65732" w:rsidRDefault="00AF163C" w:rsidP="00055DEA">
      <w:pPr>
        <w:pStyle w:val="Default"/>
        <w:rPr>
          <w:rFonts w:ascii="Arial" w:hAnsi="Arial"/>
          <w:color w:val="auto"/>
          <w:sz w:val="22"/>
          <w:szCs w:val="22"/>
          <w:lang w:val="en-AU"/>
        </w:rPr>
      </w:pPr>
      <w:r w:rsidRPr="00D65732">
        <w:rPr>
          <w:rFonts w:ascii="Arial" w:hAnsi="Arial"/>
          <w:b/>
          <w:bCs/>
          <w:i/>
          <w:iCs/>
          <w:color w:val="auto"/>
          <w:sz w:val="22"/>
          <w:szCs w:val="22"/>
          <w:lang w:val="en-AU"/>
        </w:rPr>
        <w:t>Lack of essential facilities</w:t>
      </w:r>
    </w:p>
    <w:p w14:paraId="679A4B24" w14:textId="77777777" w:rsidR="002751B6" w:rsidRPr="002665D2" w:rsidRDefault="002751B6" w:rsidP="00055DEA">
      <w:pPr>
        <w:pStyle w:val="Default"/>
        <w:rPr>
          <w:rFonts w:ascii="Arial" w:hAnsi="Arial"/>
          <w:color w:val="auto"/>
          <w:sz w:val="20"/>
          <w:szCs w:val="20"/>
          <w:lang w:val="en-AU"/>
        </w:rPr>
      </w:pPr>
    </w:p>
    <w:p w14:paraId="4E0BF74E" w14:textId="68ED39F1" w:rsidR="00730619" w:rsidRPr="002665D2" w:rsidRDefault="00730619" w:rsidP="00730619">
      <w:pPr>
        <w:pStyle w:val="Default"/>
        <w:jc w:val="both"/>
        <w:rPr>
          <w:rFonts w:ascii="Arial" w:hAnsi="Arial"/>
          <w:sz w:val="20"/>
          <w:szCs w:val="20"/>
          <w:lang w:val="en-AU"/>
        </w:rPr>
      </w:pPr>
      <w:r w:rsidRPr="002665D2">
        <w:rPr>
          <w:rFonts w:ascii="Arial" w:hAnsi="Arial"/>
          <w:color w:val="auto"/>
          <w:sz w:val="20"/>
          <w:szCs w:val="20"/>
          <w:lang w:val="en-AU"/>
        </w:rPr>
        <w:t>Firstly, p</w:t>
      </w:r>
      <w:r w:rsidR="00055DEA" w:rsidRPr="002665D2">
        <w:rPr>
          <w:rFonts w:ascii="Arial" w:hAnsi="Arial"/>
          <w:sz w:val="20"/>
          <w:szCs w:val="20"/>
          <w:lang w:val="en-AU"/>
        </w:rPr>
        <w:t xml:space="preserve">rovision of a car washing space in big apartment developments would </w:t>
      </w:r>
      <w:r w:rsidR="002751B6" w:rsidRPr="002665D2">
        <w:rPr>
          <w:rFonts w:ascii="Arial" w:hAnsi="Arial"/>
          <w:sz w:val="20"/>
          <w:szCs w:val="20"/>
          <w:lang w:val="en-AU"/>
        </w:rPr>
        <w:t>be useful for apartment residents</w:t>
      </w:r>
      <w:r w:rsidR="00055DEA" w:rsidRPr="002665D2">
        <w:rPr>
          <w:rFonts w:ascii="Arial" w:hAnsi="Arial"/>
          <w:sz w:val="20"/>
          <w:szCs w:val="20"/>
          <w:lang w:val="en-AU"/>
        </w:rPr>
        <w:t xml:space="preserve">. </w:t>
      </w:r>
      <w:r w:rsidR="0038797E">
        <w:rPr>
          <w:rFonts w:ascii="Arial" w:hAnsi="Arial"/>
          <w:sz w:val="20"/>
          <w:szCs w:val="20"/>
          <w:lang w:val="en-AU"/>
        </w:rPr>
        <w:t xml:space="preserve">This problem was highlighted by residents in Building D. </w:t>
      </w:r>
      <w:r w:rsidR="00ED346F" w:rsidRPr="002665D2">
        <w:rPr>
          <w:rFonts w:ascii="Arial" w:hAnsi="Arial"/>
          <w:sz w:val="20"/>
          <w:szCs w:val="20"/>
          <w:lang w:val="en-AU"/>
        </w:rPr>
        <w:t xml:space="preserve">There are no guidelines for </w:t>
      </w:r>
      <w:r w:rsidRPr="002665D2">
        <w:rPr>
          <w:rFonts w:ascii="Arial" w:hAnsi="Arial"/>
          <w:sz w:val="20"/>
          <w:szCs w:val="20"/>
          <w:lang w:val="en-AU"/>
        </w:rPr>
        <w:t xml:space="preserve">this </w:t>
      </w:r>
      <w:r w:rsidR="00ED346F" w:rsidRPr="002665D2">
        <w:rPr>
          <w:rFonts w:ascii="Arial" w:hAnsi="Arial"/>
          <w:sz w:val="20"/>
          <w:szCs w:val="20"/>
          <w:lang w:val="en-AU"/>
        </w:rPr>
        <w:t xml:space="preserve">provision </w:t>
      </w:r>
      <w:r w:rsidRPr="002665D2">
        <w:rPr>
          <w:rFonts w:ascii="Arial" w:hAnsi="Arial"/>
          <w:sz w:val="20"/>
          <w:szCs w:val="20"/>
          <w:lang w:val="en-AU"/>
        </w:rPr>
        <w:t>in the RFDC 2002</w:t>
      </w:r>
      <w:r w:rsidR="00ED346F" w:rsidRPr="002665D2">
        <w:rPr>
          <w:rFonts w:ascii="Arial" w:hAnsi="Arial"/>
          <w:sz w:val="20"/>
          <w:szCs w:val="20"/>
          <w:lang w:val="en-AU"/>
        </w:rPr>
        <w:t xml:space="preserve">. But the </w:t>
      </w:r>
      <w:r w:rsidRPr="002665D2">
        <w:rPr>
          <w:rFonts w:ascii="Arial" w:hAnsi="Arial"/>
          <w:iCs/>
          <w:sz w:val="20"/>
          <w:szCs w:val="20"/>
          <w:lang w:val="en-AU"/>
        </w:rPr>
        <w:t>ADG</w:t>
      </w:r>
      <w:r w:rsidR="00ED346F" w:rsidRPr="002665D2">
        <w:rPr>
          <w:rFonts w:ascii="Arial" w:hAnsi="Arial"/>
          <w:i/>
          <w:iCs/>
          <w:sz w:val="20"/>
          <w:szCs w:val="20"/>
          <w:lang w:val="en-AU"/>
        </w:rPr>
        <w:t xml:space="preserve"> </w:t>
      </w:r>
      <w:r w:rsidR="00ED346F" w:rsidRPr="002665D2">
        <w:rPr>
          <w:rFonts w:ascii="Arial" w:hAnsi="Arial"/>
          <w:sz w:val="20"/>
          <w:szCs w:val="20"/>
          <w:lang w:val="en-AU"/>
        </w:rPr>
        <w:t xml:space="preserve">(NSW Planning and Environment 2015, p.73) </w:t>
      </w:r>
      <w:r w:rsidRPr="002665D2">
        <w:rPr>
          <w:rFonts w:ascii="Arial" w:hAnsi="Arial"/>
          <w:sz w:val="20"/>
          <w:szCs w:val="20"/>
          <w:lang w:val="en-AU"/>
        </w:rPr>
        <w:t>recommends</w:t>
      </w:r>
      <w:r w:rsidR="00ED346F" w:rsidRPr="002665D2">
        <w:rPr>
          <w:rFonts w:ascii="Arial" w:hAnsi="Arial"/>
          <w:sz w:val="20"/>
          <w:szCs w:val="20"/>
          <w:lang w:val="en-AU"/>
        </w:rPr>
        <w:t xml:space="preserve"> the provision of car washing bays within the parking area. So future apartment buildings are likely to </w:t>
      </w:r>
      <w:r w:rsidR="00ED346F" w:rsidRPr="002665D2">
        <w:rPr>
          <w:rFonts w:ascii="Arial" w:hAnsi="Arial"/>
          <w:sz w:val="20"/>
          <w:szCs w:val="20"/>
          <w:lang w:val="en-AU"/>
        </w:rPr>
        <w:lastRenderedPageBreak/>
        <w:t>have car-washing bays.</w:t>
      </w:r>
      <w:r w:rsidRPr="002665D2">
        <w:rPr>
          <w:rFonts w:ascii="Arial" w:hAnsi="Arial"/>
          <w:sz w:val="20"/>
          <w:szCs w:val="20"/>
          <w:lang w:val="en-AU"/>
        </w:rPr>
        <w:t xml:space="preserve"> Secondly, though there are no specific guidelines for insect screen or fly screen installation for balcony doors in the ADG, such a provision could increase amenity for residents.</w:t>
      </w:r>
    </w:p>
    <w:p w14:paraId="5EAC454F" w14:textId="7B87ED3A" w:rsidR="00055DEA" w:rsidRPr="002665D2" w:rsidRDefault="00055DEA" w:rsidP="00730619">
      <w:pPr>
        <w:pStyle w:val="Default"/>
        <w:jc w:val="both"/>
        <w:rPr>
          <w:rFonts w:ascii="Arial" w:hAnsi="Arial"/>
          <w:sz w:val="20"/>
          <w:szCs w:val="20"/>
          <w:lang w:val="en-AU"/>
        </w:rPr>
      </w:pPr>
    </w:p>
    <w:p w14:paraId="0D01BFB5" w14:textId="0BB85C1B" w:rsidR="00942755" w:rsidRPr="00D65732" w:rsidRDefault="00942755" w:rsidP="00942755">
      <w:pPr>
        <w:rPr>
          <w:rFonts w:ascii="Arial" w:hAnsi="Arial"/>
          <w:b/>
          <w:sz w:val="22"/>
          <w:szCs w:val="22"/>
          <w:lang w:val="en-AU"/>
        </w:rPr>
      </w:pPr>
      <w:r w:rsidRPr="00D65732">
        <w:rPr>
          <w:rFonts w:ascii="Arial" w:hAnsi="Arial"/>
          <w:b/>
          <w:bCs/>
          <w:i/>
          <w:iCs/>
          <w:sz w:val="22"/>
          <w:szCs w:val="22"/>
          <w:lang w:val="en-AU"/>
        </w:rPr>
        <w:t>Miscellaneous design issues</w:t>
      </w:r>
    </w:p>
    <w:p w14:paraId="7F52D0FB" w14:textId="77777777" w:rsidR="00964D2F" w:rsidRPr="002665D2" w:rsidRDefault="00964D2F" w:rsidP="00964D2F">
      <w:pPr>
        <w:jc w:val="both"/>
        <w:rPr>
          <w:rFonts w:ascii="Arial" w:hAnsi="Arial"/>
          <w:color w:val="FF0000"/>
          <w:sz w:val="20"/>
          <w:szCs w:val="20"/>
          <w:lang w:val="en-AU"/>
        </w:rPr>
      </w:pPr>
    </w:p>
    <w:p w14:paraId="0932A53E" w14:textId="5B512B58" w:rsidR="00942755" w:rsidRPr="002665D2" w:rsidRDefault="00964D2F" w:rsidP="00964D2F">
      <w:pPr>
        <w:jc w:val="both"/>
        <w:rPr>
          <w:rFonts w:ascii="Arial" w:hAnsi="Arial"/>
          <w:sz w:val="20"/>
          <w:szCs w:val="20"/>
          <w:lang w:val="en-AU"/>
        </w:rPr>
      </w:pPr>
      <w:r w:rsidRPr="002665D2">
        <w:rPr>
          <w:rFonts w:ascii="Arial" w:hAnsi="Arial"/>
          <w:sz w:val="20"/>
          <w:szCs w:val="20"/>
          <w:lang w:val="en-AU"/>
        </w:rPr>
        <w:t>S</w:t>
      </w:r>
      <w:r w:rsidR="00942755" w:rsidRPr="002665D2">
        <w:rPr>
          <w:rFonts w:ascii="Arial" w:hAnsi="Arial"/>
          <w:sz w:val="20"/>
          <w:szCs w:val="20"/>
          <w:lang w:val="en-AU"/>
        </w:rPr>
        <w:t xml:space="preserve">torage </w:t>
      </w:r>
      <w:r w:rsidRPr="002665D2">
        <w:rPr>
          <w:rFonts w:ascii="Arial" w:hAnsi="Arial"/>
          <w:sz w:val="20"/>
          <w:szCs w:val="20"/>
          <w:lang w:val="en-AU"/>
        </w:rPr>
        <w:t xml:space="preserve">is an important aspect </w:t>
      </w:r>
      <w:r w:rsidR="00E8773B">
        <w:rPr>
          <w:rFonts w:ascii="Arial" w:hAnsi="Arial"/>
          <w:sz w:val="20"/>
          <w:szCs w:val="20"/>
          <w:lang w:val="en-AU"/>
        </w:rPr>
        <w:t xml:space="preserve">(Table 2) </w:t>
      </w:r>
      <w:r w:rsidRPr="002665D2">
        <w:rPr>
          <w:rFonts w:ascii="Arial" w:hAnsi="Arial"/>
          <w:sz w:val="20"/>
          <w:szCs w:val="20"/>
          <w:lang w:val="en-AU"/>
        </w:rPr>
        <w:t>for many apartment residents</w:t>
      </w:r>
      <w:r w:rsidR="00942755" w:rsidRPr="002665D2">
        <w:rPr>
          <w:rFonts w:ascii="Arial" w:hAnsi="Arial"/>
          <w:sz w:val="20"/>
          <w:szCs w:val="20"/>
          <w:lang w:val="en-AU"/>
        </w:rPr>
        <w:t xml:space="preserve">. The </w:t>
      </w:r>
      <w:r w:rsidRPr="002665D2">
        <w:rPr>
          <w:rFonts w:ascii="Arial" w:hAnsi="Arial"/>
          <w:iCs/>
          <w:sz w:val="20"/>
          <w:szCs w:val="20"/>
          <w:lang w:val="en-AU"/>
        </w:rPr>
        <w:t>ADG</w:t>
      </w:r>
      <w:r w:rsidR="00942755" w:rsidRPr="002665D2">
        <w:rPr>
          <w:rFonts w:ascii="Arial" w:hAnsi="Arial"/>
          <w:i/>
          <w:iCs/>
          <w:sz w:val="20"/>
          <w:szCs w:val="20"/>
          <w:lang w:val="en-AU"/>
        </w:rPr>
        <w:t xml:space="preserve"> </w:t>
      </w:r>
      <w:r w:rsidR="00942755" w:rsidRPr="002665D2">
        <w:rPr>
          <w:rFonts w:ascii="Arial" w:hAnsi="Arial"/>
          <w:sz w:val="20"/>
          <w:szCs w:val="20"/>
          <w:lang w:val="en-AU"/>
        </w:rPr>
        <w:t xml:space="preserve">(NSW Planning and Environment 2015, pp.100-101) recommends proportionate allocation of storage in relation to dwelling size. Thus bigger dwellings are likely to have more storage space and advise on a range of possible storage options with a minimum quota of 50% within the apartment. This varies from separate rooms or in-built storage provision in apartments or storage in balconies and car parks. </w:t>
      </w:r>
      <w:r w:rsidRPr="002665D2">
        <w:rPr>
          <w:rFonts w:ascii="Arial" w:hAnsi="Arial"/>
          <w:sz w:val="20"/>
          <w:szCs w:val="20"/>
          <w:lang w:val="en-AU"/>
        </w:rPr>
        <w:t xml:space="preserve">Further, it provides </w:t>
      </w:r>
      <w:r w:rsidR="004A287A" w:rsidRPr="002665D2">
        <w:rPr>
          <w:rFonts w:ascii="Arial" w:hAnsi="Arial"/>
          <w:sz w:val="20"/>
          <w:szCs w:val="20"/>
          <w:lang w:val="en-AU"/>
        </w:rPr>
        <w:t xml:space="preserve">more effective guidelines on better </w:t>
      </w:r>
      <w:r w:rsidRPr="002665D2">
        <w:rPr>
          <w:rFonts w:ascii="Arial" w:hAnsi="Arial"/>
          <w:sz w:val="20"/>
          <w:szCs w:val="20"/>
          <w:lang w:val="en-AU"/>
        </w:rPr>
        <w:t>screening of storage provision from public eye</w:t>
      </w:r>
      <w:r w:rsidR="004A287A" w:rsidRPr="002665D2">
        <w:rPr>
          <w:rFonts w:ascii="Arial" w:hAnsi="Arial"/>
          <w:sz w:val="20"/>
          <w:szCs w:val="20"/>
          <w:lang w:val="en-AU"/>
        </w:rPr>
        <w:t xml:space="preserve"> in the basement compared to RFDC 2002</w:t>
      </w:r>
      <w:r w:rsidRPr="002665D2">
        <w:rPr>
          <w:rFonts w:ascii="Arial" w:hAnsi="Arial"/>
          <w:sz w:val="20"/>
          <w:szCs w:val="20"/>
          <w:lang w:val="en-AU"/>
        </w:rPr>
        <w:t xml:space="preserve">. </w:t>
      </w:r>
      <w:r w:rsidR="00942755" w:rsidRPr="002665D2">
        <w:rPr>
          <w:rFonts w:ascii="Arial" w:hAnsi="Arial"/>
          <w:sz w:val="20"/>
          <w:szCs w:val="20"/>
          <w:lang w:val="en-AU"/>
        </w:rPr>
        <w:t xml:space="preserve">Besides, </w:t>
      </w:r>
      <w:r w:rsidR="004A287A" w:rsidRPr="002665D2">
        <w:rPr>
          <w:rFonts w:ascii="Arial" w:hAnsi="Arial"/>
          <w:sz w:val="20"/>
          <w:szCs w:val="20"/>
          <w:lang w:val="en-AU"/>
        </w:rPr>
        <w:t>undercover</w:t>
      </w:r>
      <w:r w:rsidR="00942755" w:rsidRPr="002665D2">
        <w:rPr>
          <w:rFonts w:ascii="Arial" w:hAnsi="Arial"/>
          <w:sz w:val="20"/>
          <w:szCs w:val="20"/>
          <w:lang w:val="en-AU"/>
        </w:rPr>
        <w:t xml:space="preserve"> storage provision </w:t>
      </w:r>
      <w:r w:rsidR="004A287A" w:rsidRPr="002665D2">
        <w:rPr>
          <w:rFonts w:ascii="Arial" w:hAnsi="Arial"/>
          <w:sz w:val="20"/>
          <w:szCs w:val="20"/>
          <w:lang w:val="en-AU"/>
        </w:rPr>
        <w:t>for bikes is suggested.</w:t>
      </w:r>
      <w:r w:rsidR="00942755" w:rsidRPr="002665D2">
        <w:rPr>
          <w:rFonts w:ascii="Arial" w:hAnsi="Arial"/>
          <w:sz w:val="20"/>
          <w:szCs w:val="20"/>
          <w:lang w:val="en-AU"/>
        </w:rPr>
        <w:t xml:space="preserve"> Thus with the new design </w:t>
      </w:r>
      <w:r w:rsidR="004A287A" w:rsidRPr="002665D2">
        <w:rPr>
          <w:rFonts w:ascii="Arial" w:hAnsi="Arial"/>
          <w:sz w:val="20"/>
          <w:szCs w:val="20"/>
          <w:lang w:val="en-AU"/>
        </w:rPr>
        <w:t>guidelines</w:t>
      </w:r>
      <w:r w:rsidR="00942755" w:rsidRPr="002665D2">
        <w:rPr>
          <w:rFonts w:ascii="Arial" w:hAnsi="Arial"/>
          <w:sz w:val="20"/>
          <w:szCs w:val="20"/>
          <w:lang w:val="en-AU"/>
        </w:rPr>
        <w:t>, future apartments are likely to have more storage facilities.</w:t>
      </w:r>
    </w:p>
    <w:p w14:paraId="42C99CB6" w14:textId="77777777" w:rsidR="0099197D" w:rsidRPr="002665D2" w:rsidRDefault="0099197D" w:rsidP="00B50617">
      <w:pPr>
        <w:rPr>
          <w:rFonts w:ascii="Arial" w:hAnsi="Arial"/>
          <w:sz w:val="20"/>
          <w:szCs w:val="20"/>
          <w:lang w:val="en-AU"/>
        </w:rPr>
      </w:pPr>
    </w:p>
    <w:p w14:paraId="59C42498" w14:textId="77777777" w:rsidR="005357A8" w:rsidRPr="002665D2" w:rsidRDefault="005357A8" w:rsidP="005357A8">
      <w:pPr>
        <w:rPr>
          <w:rFonts w:ascii="Arial" w:hAnsi="Arial"/>
          <w:sz w:val="20"/>
          <w:szCs w:val="20"/>
          <w:lang w:val="en-AU"/>
        </w:rPr>
      </w:pPr>
    </w:p>
    <w:p w14:paraId="139CFA9D" w14:textId="599F8E39" w:rsidR="00224894" w:rsidRPr="002665D2" w:rsidRDefault="005357A8" w:rsidP="000143D8">
      <w:pPr>
        <w:jc w:val="both"/>
        <w:rPr>
          <w:rFonts w:ascii="Arial" w:hAnsi="Arial"/>
          <w:sz w:val="20"/>
          <w:szCs w:val="20"/>
          <w:lang w:val="en-AU"/>
        </w:rPr>
      </w:pPr>
      <w:r w:rsidRPr="002665D2">
        <w:rPr>
          <w:rFonts w:ascii="Arial" w:hAnsi="Arial"/>
          <w:sz w:val="20"/>
          <w:szCs w:val="20"/>
          <w:lang w:val="en-AU"/>
        </w:rPr>
        <w:t xml:space="preserve">Adequate cross-ventilation in apartments and provision of a good exhaust fan or range hood in the kitchen could minimise the impact of cooking smells from nearby dwellings. The </w:t>
      </w:r>
      <w:r w:rsidR="009E571B" w:rsidRPr="002665D2">
        <w:rPr>
          <w:rFonts w:ascii="Arial" w:hAnsi="Arial"/>
          <w:iCs/>
          <w:sz w:val="20"/>
          <w:szCs w:val="20"/>
          <w:lang w:val="en-AU"/>
        </w:rPr>
        <w:t>ADG</w:t>
      </w:r>
      <w:r w:rsidRPr="002665D2">
        <w:rPr>
          <w:rFonts w:ascii="Arial" w:hAnsi="Arial"/>
          <w:iCs/>
          <w:sz w:val="20"/>
          <w:szCs w:val="20"/>
          <w:lang w:val="en-AU"/>
        </w:rPr>
        <w:t xml:space="preserve"> </w:t>
      </w:r>
      <w:r w:rsidRPr="002665D2">
        <w:rPr>
          <w:rFonts w:ascii="Arial" w:hAnsi="Arial"/>
          <w:sz w:val="20"/>
          <w:szCs w:val="20"/>
          <w:lang w:val="en-AU"/>
        </w:rPr>
        <w:t>(NSW Planning and Environment</w:t>
      </w:r>
      <w:r w:rsidR="00131889">
        <w:rPr>
          <w:rFonts w:ascii="Arial" w:hAnsi="Arial"/>
          <w:sz w:val="20"/>
          <w:szCs w:val="20"/>
          <w:lang w:val="en-AU"/>
        </w:rPr>
        <w:t>,</w:t>
      </w:r>
      <w:r w:rsidRPr="002665D2">
        <w:rPr>
          <w:rFonts w:ascii="Arial" w:hAnsi="Arial"/>
          <w:sz w:val="20"/>
          <w:szCs w:val="20"/>
          <w:lang w:val="en-AU"/>
        </w:rPr>
        <w:t xml:space="preserve"> 2015, pp.82-85) encourages the provision of natural ventilation</w:t>
      </w:r>
      <w:r w:rsidR="008B5A63" w:rsidRPr="002665D2">
        <w:rPr>
          <w:rFonts w:ascii="Arial" w:hAnsi="Arial"/>
          <w:sz w:val="20"/>
          <w:szCs w:val="20"/>
          <w:lang w:val="en-AU"/>
        </w:rPr>
        <w:t>.</w:t>
      </w:r>
      <w:r w:rsidR="009E571B" w:rsidRPr="002665D2">
        <w:rPr>
          <w:rFonts w:ascii="Arial" w:hAnsi="Arial"/>
          <w:sz w:val="20"/>
          <w:szCs w:val="20"/>
          <w:lang w:val="en-AU"/>
        </w:rPr>
        <w:t xml:space="preserve"> </w:t>
      </w:r>
      <w:r w:rsidR="008B5A63" w:rsidRPr="002665D2">
        <w:rPr>
          <w:rFonts w:ascii="Arial" w:hAnsi="Arial"/>
          <w:sz w:val="20"/>
          <w:szCs w:val="20"/>
          <w:lang w:val="en-AU"/>
        </w:rPr>
        <w:t xml:space="preserve">Some of the </w:t>
      </w:r>
      <w:r w:rsidR="00436DBD" w:rsidRPr="002665D2">
        <w:rPr>
          <w:rFonts w:ascii="Arial" w:hAnsi="Arial"/>
          <w:sz w:val="20"/>
          <w:szCs w:val="20"/>
          <w:lang w:val="en-AU"/>
        </w:rPr>
        <w:t xml:space="preserve">key </w:t>
      </w:r>
      <w:r w:rsidR="008B5A63" w:rsidRPr="002665D2">
        <w:rPr>
          <w:rFonts w:ascii="Arial" w:hAnsi="Arial"/>
          <w:sz w:val="20"/>
          <w:szCs w:val="20"/>
          <w:lang w:val="en-AU"/>
        </w:rPr>
        <w:t>measures include to</w:t>
      </w:r>
      <w:r w:rsidR="009E571B" w:rsidRPr="002665D2">
        <w:rPr>
          <w:rFonts w:ascii="Arial" w:hAnsi="Arial"/>
          <w:sz w:val="20"/>
          <w:szCs w:val="20"/>
          <w:lang w:val="en-AU"/>
        </w:rPr>
        <w:t xml:space="preserve"> minimis</w:t>
      </w:r>
      <w:r w:rsidR="008B5A63" w:rsidRPr="002665D2">
        <w:rPr>
          <w:rFonts w:ascii="Arial" w:hAnsi="Arial"/>
          <w:sz w:val="20"/>
          <w:szCs w:val="20"/>
          <w:lang w:val="en-AU"/>
        </w:rPr>
        <w:t>e building depths or</w:t>
      </w:r>
      <w:r w:rsidR="009E571B" w:rsidRPr="002665D2">
        <w:rPr>
          <w:rFonts w:ascii="Arial" w:hAnsi="Arial"/>
          <w:sz w:val="20"/>
          <w:szCs w:val="20"/>
          <w:lang w:val="en-AU"/>
        </w:rPr>
        <w:t xml:space="preserve"> </w:t>
      </w:r>
      <w:r w:rsidR="00436DBD" w:rsidRPr="002665D2">
        <w:rPr>
          <w:rFonts w:ascii="Arial" w:hAnsi="Arial"/>
          <w:sz w:val="20"/>
          <w:szCs w:val="20"/>
          <w:lang w:val="en-AU"/>
        </w:rPr>
        <w:t xml:space="preserve">to </w:t>
      </w:r>
      <w:r w:rsidR="009E571B" w:rsidRPr="002665D2">
        <w:rPr>
          <w:rFonts w:ascii="Arial" w:hAnsi="Arial"/>
          <w:sz w:val="20"/>
          <w:szCs w:val="20"/>
          <w:lang w:val="en-AU"/>
        </w:rPr>
        <w:t>includ</w:t>
      </w:r>
      <w:r w:rsidR="008B5A63" w:rsidRPr="002665D2">
        <w:rPr>
          <w:rFonts w:ascii="Arial" w:hAnsi="Arial"/>
          <w:sz w:val="20"/>
          <w:szCs w:val="20"/>
          <w:lang w:val="en-AU"/>
        </w:rPr>
        <w:t xml:space="preserve">e dual aspect apartments or to </w:t>
      </w:r>
      <w:r w:rsidR="00436DBD" w:rsidRPr="002665D2">
        <w:rPr>
          <w:rFonts w:ascii="Arial" w:hAnsi="Arial"/>
          <w:sz w:val="20"/>
          <w:szCs w:val="20"/>
          <w:lang w:val="en-AU"/>
        </w:rPr>
        <w:t xml:space="preserve">install </w:t>
      </w:r>
      <w:r w:rsidR="008B5A63" w:rsidRPr="002665D2">
        <w:rPr>
          <w:rFonts w:ascii="Arial" w:hAnsi="Arial"/>
          <w:sz w:val="20"/>
          <w:szCs w:val="20"/>
          <w:lang w:val="en-AU"/>
        </w:rPr>
        <w:t>operable balcony screens to regulate the natural flow of air.</w:t>
      </w:r>
      <w:r w:rsidR="00BE494B" w:rsidRPr="002665D2">
        <w:rPr>
          <w:rFonts w:ascii="Arial" w:hAnsi="Arial"/>
          <w:sz w:val="20"/>
          <w:szCs w:val="20"/>
          <w:lang w:val="en-AU"/>
        </w:rPr>
        <w:t xml:space="preserve"> </w:t>
      </w:r>
      <w:r w:rsidRPr="002665D2">
        <w:rPr>
          <w:rFonts w:ascii="Arial" w:hAnsi="Arial"/>
          <w:sz w:val="20"/>
          <w:szCs w:val="20"/>
          <w:lang w:val="en-AU"/>
        </w:rPr>
        <w:t>The measures facilitating natural ventilation could lessen the impact of cooking smells within apartments</w:t>
      </w:r>
      <w:r w:rsidR="00BE494B" w:rsidRPr="002665D2">
        <w:rPr>
          <w:rFonts w:ascii="Arial" w:hAnsi="Arial"/>
          <w:sz w:val="20"/>
          <w:szCs w:val="20"/>
          <w:lang w:val="en-AU"/>
        </w:rPr>
        <w:t>.</w:t>
      </w:r>
      <w:r w:rsidRPr="002665D2">
        <w:rPr>
          <w:rFonts w:ascii="Arial" w:hAnsi="Arial"/>
          <w:sz w:val="20"/>
          <w:szCs w:val="20"/>
          <w:lang w:val="en-AU"/>
        </w:rPr>
        <w:t xml:space="preserve"> </w:t>
      </w:r>
    </w:p>
    <w:p w14:paraId="08471DE6" w14:textId="77777777" w:rsidR="00224894" w:rsidRPr="002665D2" w:rsidRDefault="00224894" w:rsidP="004022A0">
      <w:pPr>
        <w:rPr>
          <w:rFonts w:ascii="Arial" w:hAnsi="Arial"/>
          <w:sz w:val="20"/>
          <w:szCs w:val="20"/>
          <w:lang w:val="en-AU"/>
        </w:rPr>
      </w:pPr>
    </w:p>
    <w:p w14:paraId="32EFBD0D" w14:textId="4AB732E4" w:rsidR="002019FB" w:rsidRPr="002665D2" w:rsidRDefault="005357A8" w:rsidP="00844633">
      <w:pPr>
        <w:jc w:val="both"/>
        <w:rPr>
          <w:rFonts w:ascii="Arial" w:hAnsi="Arial"/>
          <w:sz w:val="20"/>
          <w:szCs w:val="20"/>
          <w:lang w:val="en-AU"/>
        </w:rPr>
      </w:pPr>
      <w:r w:rsidRPr="002665D2">
        <w:rPr>
          <w:rFonts w:ascii="Arial" w:hAnsi="Arial"/>
          <w:sz w:val="20"/>
          <w:szCs w:val="20"/>
          <w:lang w:val="en-AU"/>
        </w:rPr>
        <w:t>Provision of rubbish disposal chutes on each floor could potentially resolve issues of leaving rubbish bags inside lifts and on common property</w:t>
      </w:r>
      <w:r w:rsidR="007D1613">
        <w:rPr>
          <w:rFonts w:ascii="Arial" w:hAnsi="Arial"/>
          <w:sz w:val="20"/>
          <w:szCs w:val="20"/>
          <w:lang w:val="en-AU"/>
        </w:rPr>
        <w:t xml:space="preserve"> as noted in multiple buildings</w:t>
      </w:r>
      <w:r w:rsidRPr="002665D2">
        <w:rPr>
          <w:rFonts w:ascii="Arial" w:hAnsi="Arial"/>
          <w:sz w:val="20"/>
          <w:szCs w:val="20"/>
          <w:lang w:val="en-AU"/>
        </w:rPr>
        <w:t xml:space="preserve"> </w:t>
      </w:r>
      <w:r w:rsidR="007D1613">
        <w:rPr>
          <w:rFonts w:ascii="Arial" w:hAnsi="Arial"/>
          <w:sz w:val="20"/>
          <w:szCs w:val="20"/>
          <w:lang w:val="en-AU"/>
        </w:rPr>
        <w:t xml:space="preserve">Also, it would be convenient for residents as noted particularly in Building G. </w:t>
      </w:r>
      <w:r w:rsidRPr="002665D2">
        <w:rPr>
          <w:rFonts w:ascii="Arial" w:hAnsi="Arial"/>
          <w:sz w:val="20"/>
          <w:szCs w:val="20"/>
          <w:lang w:val="en-AU"/>
        </w:rPr>
        <w:t xml:space="preserve">The </w:t>
      </w:r>
      <w:r w:rsidR="003E0DCC" w:rsidRPr="002665D2">
        <w:rPr>
          <w:rFonts w:ascii="Arial" w:hAnsi="Arial"/>
          <w:iCs/>
          <w:sz w:val="20"/>
          <w:szCs w:val="20"/>
          <w:lang w:val="en-AU"/>
        </w:rPr>
        <w:t>ADG</w:t>
      </w:r>
      <w:r w:rsidRPr="002665D2">
        <w:rPr>
          <w:rFonts w:ascii="Arial" w:hAnsi="Arial"/>
          <w:i/>
          <w:iCs/>
          <w:sz w:val="20"/>
          <w:szCs w:val="20"/>
          <w:lang w:val="en-AU"/>
        </w:rPr>
        <w:t xml:space="preserve"> </w:t>
      </w:r>
      <w:r w:rsidRPr="002665D2">
        <w:rPr>
          <w:rFonts w:ascii="Arial" w:hAnsi="Arial"/>
          <w:sz w:val="20"/>
          <w:szCs w:val="20"/>
          <w:lang w:val="en-AU"/>
        </w:rPr>
        <w:t>(NSW Planning and Environment</w:t>
      </w:r>
      <w:r w:rsidR="00131889">
        <w:rPr>
          <w:rFonts w:ascii="Arial" w:hAnsi="Arial"/>
          <w:sz w:val="20"/>
          <w:szCs w:val="20"/>
          <w:lang w:val="en-AU"/>
        </w:rPr>
        <w:t>,</w:t>
      </w:r>
      <w:r w:rsidRPr="002665D2">
        <w:rPr>
          <w:rFonts w:ascii="Arial" w:hAnsi="Arial"/>
          <w:sz w:val="20"/>
          <w:szCs w:val="20"/>
          <w:lang w:val="en-AU"/>
        </w:rPr>
        <w:t xml:space="preserve"> 2015, p. 131) advises that garbage chutes be provided on each floors for waste disposal in big developments. Further, it encourages provision of holding areas for bulky waste like mattresses in residential developments. Nonetheless, there is always a limit to such provisions.</w:t>
      </w:r>
      <w:r w:rsidR="003E0DCC" w:rsidRPr="002665D2">
        <w:rPr>
          <w:rFonts w:ascii="Arial" w:hAnsi="Arial"/>
          <w:sz w:val="20"/>
          <w:szCs w:val="20"/>
          <w:lang w:val="en-AU"/>
        </w:rPr>
        <w:t xml:space="preserve"> </w:t>
      </w:r>
      <w:r w:rsidR="001378B7" w:rsidRPr="002665D2">
        <w:rPr>
          <w:rFonts w:ascii="Arial" w:hAnsi="Arial"/>
          <w:sz w:val="20"/>
          <w:szCs w:val="20"/>
          <w:lang w:val="en-AU"/>
        </w:rPr>
        <w:t>These are all new measures not included in t</w:t>
      </w:r>
      <w:r w:rsidR="003E0DCC" w:rsidRPr="002665D2">
        <w:rPr>
          <w:rFonts w:ascii="Arial" w:hAnsi="Arial"/>
          <w:sz w:val="20"/>
          <w:szCs w:val="20"/>
          <w:lang w:val="en-AU"/>
        </w:rPr>
        <w:t>he RFDC (NSW Planning, 2002)</w:t>
      </w:r>
      <w:r w:rsidR="001378B7" w:rsidRPr="002665D2">
        <w:rPr>
          <w:rFonts w:ascii="Arial" w:hAnsi="Arial"/>
          <w:sz w:val="20"/>
          <w:szCs w:val="20"/>
          <w:lang w:val="en-AU"/>
        </w:rPr>
        <w:t>. Also, RFDC (NSW Planning, 2002) advises</w:t>
      </w:r>
      <w:r w:rsidR="003E0DCC" w:rsidRPr="002665D2">
        <w:rPr>
          <w:rFonts w:ascii="Arial" w:hAnsi="Arial"/>
          <w:sz w:val="20"/>
          <w:szCs w:val="20"/>
          <w:lang w:val="en-AU"/>
        </w:rPr>
        <w:t xml:space="preserve"> that bins rooms should be located away from the building entry for aesthetics and convenience.</w:t>
      </w:r>
      <w:r w:rsidR="00825B23" w:rsidRPr="002665D2">
        <w:rPr>
          <w:rFonts w:ascii="Arial" w:hAnsi="Arial"/>
          <w:sz w:val="20"/>
          <w:szCs w:val="20"/>
          <w:lang w:val="en-AU"/>
        </w:rPr>
        <w:t xml:space="preserve"> The </w:t>
      </w:r>
      <w:r w:rsidR="00825B23" w:rsidRPr="002665D2">
        <w:rPr>
          <w:rFonts w:ascii="Arial" w:hAnsi="Arial"/>
          <w:iCs/>
          <w:sz w:val="20"/>
          <w:szCs w:val="20"/>
          <w:lang w:val="en-AU"/>
        </w:rPr>
        <w:t xml:space="preserve">ADG </w:t>
      </w:r>
      <w:r w:rsidR="00825B23" w:rsidRPr="002665D2">
        <w:rPr>
          <w:rFonts w:ascii="Arial" w:hAnsi="Arial"/>
          <w:sz w:val="20"/>
          <w:szCs w:val="20"/>
          <w:lang w:val="en-AU"/>
        </w:rPr>
        <w:t>(NSW Planning and Environment</w:t>
      </w:r>
      <w:r w:rsidR="00131889">
        <w:rPr>
          <w:rFonts w:ascii="Arial" w:hAnsi="Arial"/>
          <w:sz w:val="20"/>
          <w:szCs w:val="20"/>
          <w:lang w:val="en-AU"/>
        </w:rPr>
        <w:t>,</w:t>
      </w:r>
      <w:r w:rsidR="00825B23" w:rsidRPr="002665D2">
        <w:rPr>
          <w:rFonts w:ascii="Arial" w:hAnsi="Arial"/>
          <w:sz w:val="20"/>
          <w:szCs w:val="20"/>
          <w:lang w:val="en-AU"/>
        </w:rPr>
        <w:t xml:space="preserve"> 2015, p.131) suggests that garbage rooms are located away from the front of the development or in the basement car park.</w:t>
      </w:r>
      <w:r w:rsidR="002019FB" w:rsidRPr="002665D2">
        <w:rPr>
          <w:rFonts w:ascii="Arial" w:hAnsi="Arial"/>
          <w:sz w:val="20"/>
          <w:szCs w:val="20"/>
          <w:lang w:val="en-AU"/>
        </w:rPr>
        <w:t xml:space="preserve"> But when apartment buildings have dual entrances, with the rear entrance facing a shopping centre car park (as in the case of Building B) or any public domain, it is necessary for rubbish rooms to be hidden away from the public view to minimise misuse by members of the public. Also, if garbage rooms are situated in the basement car park, it should be located away from the corridors accessing car park as it causes inconvenience for residents as in Building D (pre SEPP building).</w:t>
      </w:r>
    </w:p>
    <w:p w14:paraId="4F6CA2FB" w14:textId="77777777" w:rsidR="005357A8" w:rsidRPr="002665D2" w:rsidRDefault="005357A8" w:rsidP="005357A8">
      <w:pPr>
        <w:widowControl w:val="0"/>
        <w:autoSpaceDE w:val="0"/>
        <w:autoSpaceDN w:val="0"/>
        <w:adjustRightInd w:val="0"/>
        <w:rPr>
          <w:rFonts w:ascii="Times New Roman" w:hAnsi="Times New Roman" w:cs="Times New Roman"/>
          <w:color w:val="000000"/>
          <w:lang w:val="en-AU"/>
        </w:rPr>
      </w:pPr>
    </w:p>
    <w:p w14:paraId="1E670D5E" w14:textId="496544D9" w:rsidR="00224894" w:rsidRPr="002665D2" w:rsidRDefault="005357A8" w:rsidP="00742FA3">
      <w:pPr>
        <w:pStyle w:val="Default"/>
        <w:jc w:val="both"/>
        <w:rPr>
          <w:rFonts w:ascii="Arial" w:hAnsi="Arial" w:cs="Arial"/>
          <w:sz w:val="20"/>
          <w:szCs w:val="20"/>
          <w:lang w:val="en-AU"/>
        </w:rPr>
      </w:pPr>
      <w:r w:rsidRPr="002665D2">
        <w:rPr>
          <w:rFonts w:ascii="Arial" w:hAnsi="Arial"/>
          <w:sz w:val="20"/>
          <w:szCs w:val="20"/>
          <w:lang w:val="en-AU"/>
        </w:rPr>
        <w:t xml:space="preserve">A good apartment design should take into account the layout of the rooms in relation to adjacent apartments and make the design user-friendly. For instance, the location of the balcony of an adjacent dwelling next to a bedroom window or location of living rooms and bedrooms of adjacent dwellings next to each other are highly inappropriate. </w:t>
      </w:r>
      <w:r w:rsidRPr="002665D2">
        <w:rPr>
          <w:rFonts w:ascii="Arial" w:hAnsi="Arial" w:cs="Arial"/>
          <w:sz w:val="20"/>
          <w:szCs w:val="20"/>
          <w:lang w:val="en-AU"/>
        </w:rPr>
        <w:t xml:space="preserve">The </w:t>
      </w:r>
      <w:r w:rsidR="00EE78F7" w:rsidRPr="002665D2">
        <w:rPr>
          <w:rFonts w:ascii="Arial" w:hAnsi="Arial" w:cs="Arial"/>
          <w:iCs/>
          <w:sz w:val="20"/>
          <w:szCs w:val="20"/>
          <w:lang w:val="en-AU"/>
        </w:rPr>
        <w:t>ADG</w:t>
      </w:r>
      <w:r w:rsidRPr="002665D2">
        <w:rPr>
          <w:rFonts w:ascii="Arial" w:hAnsi="Arial" w:cs="Arial"/>
          <w:i/>
          <w:iCs/>
          <w:sz w:val="20"/>
          <w:szCs w:val="20"/>
          <w:lang w:val="en-AU"/>
        </w:rPr>
        <w:t xml:space="preserve"> </w:t>
      </w:r>
      <w:r w:rsidR="00EE78F7" w:rsidRPr="002665D2">
        <w:rPr>
          <w:rFonts w:ascii="Arial" w:hAnsi="Arial" w:cs="Arial"/>
          <w:sz w:val="20"/>
          <w:szCs w:val="20"/>
          <w:lang w:val="en-AU"/>
        </w:rPr>
        <w:t xml:space="preserve">(NSW Planning and </w:t>
      </w:r>
      <w:r w:rsidRPr="002665D2">
        <w:rPr>
          <w:rFonts w:ascii="Arial" w:hAnsi="Arial" w:cs="Arial"/>
          <w:sz w:val="20"/>
          <w:szCs w:val="20"/>
          <w:lang w:val="en-AU"/>
        </w:rPr>
        <w:t>Environment</w:t>
      </w:r>
      <w:r w:rsidR="00131889">
        <w:rPr>
          <w:rFonts w:ascii="Arial" w:hAnsi="Arial" w:cs="Arial"/>
          <w:sz w:val="20"/>
          <w:szCs w:val="20"/>
          <w:lang w:val="en-AU"/>
        </w:rPr>
        <w:t>,</w:t>
      </w:r>
      <w:r w:rsidRPr="002665D2">
        <w:rPr>
          <w:rFonts w:ascii="Arial" w:hAnsi="Arial" w:cs="Arial"/>
          <w:sz w:val="20"/>
          <w:szCs w:val="20"/>
          <w:lang w:val="en-AU"/>
        </w:rPr>
        <w:t xml:space="preserve"> 2015) recommends operable screens in balconies for visual privacy, grouping rooms with similar</w:t>
      </w:r>
      <w:r w:rsidR="00EE78F7" w:rsidRPr="002665D2">
        <w:rPr>
          <w:rFonts w:ascii="Arial" w:hAnsi="Arial" w:cs="Arial"/>
          <w:sz w:val="20"/>
          <w:szCs w:val="20"/>
          <w:lang w:val="en-AU"/>
        </w:rPr>
        <w:t xml:space="preserve"> functions for acoustic privacy</w:t>
      </w:r>
      <w:r w:rsidRPr="002665D2">
        <w:rPr>
          <w:rFonts w:ascii="Arial" w:hAnsi="Arial" w:cs="Arial"/>
          <w:sz w:val="20"/>
          <w:szCs w:val="20"/>
          <w:lang w:val="en-AU"/>
        </w:rPr>
        <w:t xml:space="preserve"> and location of living areas and bedrooms on the external face of the building. So apartment lay out is likely to improve for future buildings.</w:t>
      </w:r>
      <w:r w:rsidR="00742FA3" w:rsidRPr="002665D2">
        <w:rPr>
          <w:rFonts w:ascii="Arial" w:hAnsi="Arial" w:cs="Arial"/>
          <w:sz w:val="20"/>
          <w:szCs w:val="20"/>
          <w:lang w:val="en-AU"/>
        </w:rPr>
        <w:t xml:space="preserve"> Also, </w:t>
      </w:r>
      <w:r w:rsidR="00742FA3" w:rsidRPr="002665D2">
        <w:rPr>
          <w:rFonts w:ascii="Arial" w:hAnsi="Arial"/>
          <w:sz w:val="20"/>
          <w:szCs w:val="20"/>
          <w:lang w:val="en-AU"/>
        </w:rPr>
        <w:t>a</w:t>
      </w:r>
      <w:r w:rsidR="00804AF6" w:rsidRPr="002665D2">
        <w:rPr>
          <w:rFonts w:ascii="Arial" w:hAnsi="Arial"/>
          <w:sz w:val="20"/>
          <w:szCs w:val="20"/>
          <w:lang w:val="en-AU"/>
        </w:rPr>
        <w:t xml:space="preserve">partment buildings located in busy streets should have better sound proofing to reduce health hazards like lack of sleep and anxiety. The </w:t>
      </w:r>
      <w:r w:rsidR="00277CE6" w:rsidRPr="002665D2">
        <w:rPr>
          <w:rFonts w:ascii="Arial" w:hAnsi="Arial"/>
          <w:iCs/>
          <w:sz w:val="20"/>
          <w:szCs w:val="20"/>
          <w:lang w:val="en-AU"/>
        </w:rPr>
        <w:t>ADG</w:t>
      </w:r>
      <w:r w:rsidR="00804AF6" w:rsidRPr="002665D2">
        <w:rPr>
          <w:rFonts w:ascii="Arial" w:hAnsi="Arial"/>
          <w:i/>
          <w:iCs/>
          <w:sz w:val="20"/>
          <w:szCs w:val="20"/>
          <w:lang w:val="en-AU"/>
        </w:rPr>
        <w:t xml:space="preserve"> </w:t>
      </w:r>
      <w:r w:rsidR="00804AF6" w:rsidRPr="002665D2">
        <w:rPr>
          <w:rFonts w:ascii="Arial" w:hAnsi="Arial"/>
          <w:sz w:val="20"/>
          <w:szCs w:val="20"/>
          <w:lang w:val="en-AU"/>
        </w:rPr>
        <w:t>(N</w:t>
      </w:r>
      <w:r w:rsidR="00277CE6" w:rsidRPr="002665D2">
        <w:rPr>
          <w:rFonts w:ascii="Arial" w:hAnsi="Arial"/>
          <w:sz w:val="20"/>
          <w:szCs w:val="20"/>
          <w:lang w:val="en-AU"/>
        </w:rPr>
        <w:t>SW Planning and Environment</w:t>
      </w:r>
      <w:r w:rsidR="00131889">
        <w:rPr>
          <w:rFonts w:ascii="Arial" w:hAnsi="Arial"/>
          <w:sz w:val="20"/>
          <w:szCs w:val="20"/>
          <w:lang w:val="en-AU"/>
        </w:rPr>
        <w:t>,</w:t>
      </w:r>
      <w:r w:rsidR="00277CE6" w:rsidRPr="002665D2">
        <w:rPr>
          <w:rFonts w:ascii="Arial" w:hAnsi="Arial"/>
          <w:sz w:val="20"/>
          <w:szCs w:val="20"/>
          <w:lang w:val="en-AU"/>
        </w:rPr>
        <w:t xml:space="preserve"> 2015</w:t>
      </w:r>
      <w:r w:rsidR="00804AF6" w:rsidRPr="002665D2">
        <w:rPr>
          <w:rFonts w:ascii="Arial" w:hAnsi="Arial"/>
          <w:sz w:val="20"/>
          <w:szCs w:val="20"/>
          <w:lang w:val="en-AU"/>
        </w:rPr>
        <w:t xml:space="preserve">) encourages adequate sound proofing for buildings located near busy transport routes. Some of the suggested techniques like locating residential buildings on the podium or providing enclosed balconies with operable acoustic/glass louvres </w:t>
      </w:r>
      <w:r w:rsidR="00CF5CE5" w:rsidRPr="002665D2">
        <w:rPr>
          <w:rFonts w:ascii="Arial" w:hAnsi="Arial"/>
          <w:sz w:val="20"/>
          <w:szCs w:val="20"/>
          <w:lang w:val="en-AU"/>
        </w:rPr>
        <w:t xml:space="preserve">or double glazing of windows or providing acoustic seals are all steps in the right direction. </w:t>
      </w:r>
    </w:p>
    <w:p w14:paraId="72788133" w14:textId="77777777" w:rsidR="00224894" w:rsidRPr="002665D2" w:rsidRDefault="00224894" w:rsidP="004022A0">
      <w:pPr>
        <w:rPr>
          <w:rFonts w:ascii="Arial" w:hAnsi="Arial"/>
          <w:sz w:val="20"/>
          <w:szCs w:val="20"/>
          <w:lang w:val="en-AU"/>
        </w:rPr>
      </w:pPr>
    </w:p>
    <w:p w14:paraId="40D6CAC4" w14:textId="0B2D8FE2" w:rsidR="007F5C54" w:rsidRPr="00D65732" w:rsidRDefault="007F5C54" w:rsidP="004022A0">
      <w:pPr>
        <w:rPr>
          <w:rFonts w:ascii="Arial" w:hAnsi="Arial"/>
          <w:b/>
          <w:sz w:val="22"/>
          <w:szCs w:val="22"/>
          <w:lang w:val="en-AU"/>
        </w:rPr>
      </w:pPr>
      <w:r w:rsidRPr="00D65732">
        <w:rPr>
          <w:rFonts w:ascii="Arial" w:hAnsi="Arial"/>
          <w:b/>
          <w:sz w:val="22"/>
          <w:szCs w:val="22"/>
          <w:lang w:val="en-AU"/>
        </w:rPr>
        <w:t>Conclusion</w:t>
      </w:r>
    </w:p>
    <w:p w14:paraId="14016842" w14:textId="77777777" w:rsidR="00224894" w:rsidRDefault="00224894" w:rsidP="004022A0">
      <w:pPr>
        <w:rPr>
          <w:rFonts w:ascii="Arial" w:hAnsi="Arial"/>
          <w:sz w:val="20"/>
          <w:szCs w:val="20"/>
          <w:lang w:val="en-AU"/>
        </w:rPr>
      </w:pPr>
    </w:p>
    <w:p w14:paraId="1FB48130" w14:textId="324CF5FC" w:rsidR="00561C97" w:rsidRDefault="000F170A" w:rsidP="00775ADF">
      <w:pPr>
        <w:jc w:val="both"/>
        <w:rPr>
          <w:rFonts w:ascii="Arial" w:hAnsi="Arial"/>
          <w:sz w:val="20"/>
          <w:szCs w:val="20"/>
          <w:lang w:val="en-AU"/>
        </w:rPr>
      </w:pPr>
      <w:r>
        <w:rPr>
          <w:rFonts w:ascii="Arial" w:hAnsi="Arial"/>
          <w:sz w:val="20"/>
          <w:szCs w:val="20"/>
          <w:lang w:val="en-AU"/>
        </w:rPr>
        <w:t xml:space="preserve">Selection of multiple study sites </w:t>
      </w:r>
      <w:r w:rsidR="00E0347E">
        <w:rPr>
          <w:rFonts w:ascii="Arial" w:hAnsi="Arial"/>
          <w:sz w:val="20"/>
          <w:szCs w:val="20"/>
          <w:lang w:val="en-AU"/>
        </w:rPr>
        <w:t xml:space="preserve">with different socioeconomic areas would have given a better understanding of design issues associated with living in apartments. But the </w:t>
      </w:r>
      <w:r w:rsidR="009F240B">
        <w:rPr>
          <w:rFonts w:ascii="Arial" w:hAnsi="Arial"/>
          <w:sz w:val="20"/>
          <w:szCs w:val="20"/>
          <w:lang w:val="en-AU"/>
        </w:rPr>
        <w:t xml:space="preserve">time and resource constraints of an unfunded </w:t>
      </w:r>
      <w:r w:rsidR="00E80468">
        <w:rPr>
          <w:rFonts w:ascii="Arial" w:hAnsi="Arial"/>
          <w:sz w:val="20"/>
          <w:szCs w:val="20"/>
          <w:lang w:val="en-AU"/>
        </w:rPr>
        <w:t>PhD</w:t>
      </w:r>
      <w:r w:rsidR="009F240B">
        <w:rPr>
          <w:rFonts w:ascii="Arial" w:hAnsi="Arial"/>
          <w:sz w:val="20"/>
          <w:szCs w:val="20"/>
          <w:lang w:val="en-AU"/>
        </w:rPr>
        <w:t xml:space="preserve"> study restricted the scope of th</w:t>
      </w:r>
      <w:r w:rsidR="00E80468">
        <w:rPr>
          <w:rFonts w:ascii="Arial" w:hAnsi="Arial"/>
          <w:sz w:val="20"/>
          <w:szCs w:val="20"/>
          <w:lang w:val="en-AU"/>
        </w:rPr>
        <w:t>is</w:t>
      </w:r>
      <w:r w:rsidR="009F240B">
        <w:rPr>
          <w:rFonts w:ascii="Arial" w:hAnsi="Arial"/>
          <w:sz w:val="20"/>
          <w:szCs w:val="20"/>
          <w:lang w:val="en-AU"/>
        </w:rPr>
        <w:t xml:space="preserve"> study to a lower socio-economic area.</w:t>
      </w:r>
      <w:r w:rsidR="00E0347E">
        <w:rPr>
          <w:rFonts w:ascii="Arial" w:hAnsi="Arial"/>
          <w:sz w:val="20"/>
          <w:szCs w:val="20"/>
          <w:lang w:val="en-AU"/>
        </w:rPr>
        <w:t xml:space="preserve"> </w:t>
      </w:r>
      <w:r w:rsidR="00561C97">
        <w:rPr>
          <w:rFonts w:ascii="Arial" w:hAnsi="Arial"/>
          <w:sz w:val="20"/>
          <w:szCs w:val="20"/>
          <w:lang w:val="en-AU"/>
        </w:rPr>
        <w:t>The reflections suggest the changes in the new design guide is a step in the right direction, although there are few issues that need further attention like providing an additional lift or increasing the height of balcony balustrades</w:t>
      </w:r>
      <w:r w:rsidR="00905557">
        <w:rPr>
          <w:rFonts w:ascii="Arial" w:hAnsi="Arial"/>
          <w:sz w:val="20"/>
          <w:szCs w:val="20"/>
          <w:lang w:val="en-AU"/>
        </w:rPr>
        <w:t xml:space="preserve"> or initiating design strategies to combat letter box vandalism or to enhance building safety features </w:t>
      </w:r>
      <w:r w:rsidR="0058397B">
        <w:rPr>
          <w:rFonts w:ascii="Arial" w:hAnsi="Arial"/>
          <w:sz w:val="20"/>
          <w:szCs w:val="20"/>
          <w:lang w:val="en-AU"/>
        </w:rPr>
        <w:t xml:space="preserve">and </w:t>
      </w:r>
      <w:r w:rsidR="00905557">
        <w:rPr>
          <w:rFonts w:ascii="Arial" w:hAnsi="Arial"/>
          <w:sz w:val="20"/>
          <w:szCs w:val="20"/>
          <w:lang w:val="en-AU"/>
        </w:rPr>
        <w:t>green area provisions</w:t>
      </w:r>
      <w:proofErr w:type="gramStart"/>
      <w:r w:rsidR="0058397B">
        <w:rPr>
          <w:rFonts w:ascii="Arial" w:hAnsi="Arial"/>
          <w:sz w:val="20"/>
          <w:szCs w:val="20"/>
          <w:lang w:val="en-AU"/>
        </w:rPr>
        <w:t>.</w:t>
      </w:r>
      <w:r w:rsidR="00905557">
        <w:rPr>
          <w:rFonts w:ascii="Arial" w:hAnsi="Arial"/>
          <w:sz w:val="20"/>
          <w:szCs w:val="20"/>
          <w:lang w:val="en-AU"/>
        </w:rPr>
        <w:t>.</w:t>
      </w:r>
      <w:proofErr w:type="gramEnd"/>
      <w:r w:rsidR="00905557">
        <w:rPr>
          <w:rFonts w:ascii="Arial" w:hAnsi="Arial"/>
          <w:sz w:val="20"/>
          <w:szCs w:val="20"/>
          <w:lang w:val="en-AU"/>
        </w:rPr>
        <w:t xml:space="preserve"> </w:t>
      </w:r>
      <w:r w:rsidR="00775ADF">
        <w:rPr>
          <w:rFonts w:ascii="Arial" w:hAnsi="Arial"/>
          <w:sz w:val="20"/>
          <w:szCs w:val="20"/>
          <w:lang w:val="en-AU"/>
        </w:rPr>
        <w:t xml:space="preserve">But as architect notes some of these changes </w:t>
      </w:r>
      <w:r w:rsidR="0058397B">
        <w:rPr>
          <w:rFonts w:ascii="Arial" w:hAnsi="Arial"/>
          <w:sz w:val="20"/>
          <w:szCs w:val="20"/>
          <w:lang w:val="en-AU"/>
        </w:rPr>
        <w:t xml:space="preserve">like green area provisions for instance, </w:t>
      </w:r>
      <w:r w:rsidR="00775ADF">
        <w:rPr>
          <w:rFonts w:ascii="Arial" w:hAnsi="Arial"/>
          <w:sz w:val="20"/>
          <w:szCs w:val="20"/>
          <w:lang w:val="en-AU"/>
        </w:rPr>
        <w:t xml:space="preserve">are subjected to developer discretion in terms of cost </w:t>
      </w:r>
      <w:r w:rsidR="00775ADF">
        <w:rPr>
          <w:rFonts w:ascii="Arial" w:hAnsi="Arial"/>
          <w:sz w:val="20"/>
          <w:szCs w:val="20"/>
          <w:lang w:val="en-AU"/>
        </w:rPr>
        <w:lastRenderedPageBreak/>
        <w:t>effectiveness, especially in lower socioeconomic areas</w:t>
      </w:r>
      <w:r w:rsidR="002155BA">
        <w:rPr>
          <w:rFonts w:ascii="Arial" w:hAnsi="Arial"/>
          <w:sz w:val="20"/>
          <w:szCs w:val="20"/>
          <w:lang w:val="en-AU"/>
        </w:rPr>
        <w:t xml:space="preserve"> due to the advisory nature of the RFDC</w:t>
      </w:r>
      <w:r w:rsidR="00593607">
        <w:rPr>
          <w:rFonts w:ascii="Arial" w:hAnsi="Arial"/>
          <w:sz w:val="20"/>
          <w:szCs w:val="20"/>
          <w:lang w:val="en-AU"/>
        </w:rPr>
        <w:t>.</w:t>
      </w:r>
      <w:r w:rsidR="002155BA">
        <w:rPr>
          <w:rFonts w:ascii="Arial" w:hAnsi="Arial"/>
          <w:sz w:val="20"/>
          <w:szCs w:val="20"/>
          <w:lang w:val="en-AU"/>
        </w:rPr>
        <w:t xml:space="preserve"> </w:t>
      </w:r>
      <w:r w:rsidR="00775ADF">
        <w:rPr>
          <w:rFonts w:ascii="Arial" w:hAnsi="Arial"/>
          <w:sz w:val="20"/>
          <w:szCs w:val="20"/>
          <w:lang w:val="en-AU"/>
        </w:rPr>
        <w:t xml:space="preserve">Nonetheless, the new design guide </w:t>
      </w:r>
      <w:r w:rsidR="00E16B16">
        <w:rPr>
          <w:rFonts w:ascii="Arial" w:hAnsi="Arial"/>
          <w:sz w:val="20"/>
          <w:szCs w:val="20"/>
          <w:lang w:val="en-AU"/>
        </w:rPr>
        <w:t xml:space="preserve">that is better linked with SEPP65 </w:t>
      </w:r>
      <w:r w:rsidR="00775ADF">
        <w:rPr>
          <w:rFonts w:ascii="Arial" w:hAnsi="Arial"/>
          <w:sz w:val="20"/>
          <w:szCs w:val="20"/>
          <w:lang w:val="en-AU"/>
        </w:rPr>
        <w:t>is likely to enhance the design quality of the lower end of the apartment market. So a future study should examine buildings approved before RFDC, post RFDC and after the implementation of ADG to draw lessons for policy.</w:t>
      </w:r>
    </w:p>
    <w:p w14:paraId="3FDC0174" w14:textId="77777777" w:rsidR="00775ADF" w:rsidRDefault="00775ADF" w:rsidP="00775ADF">
      <w:pPr>
        <w:jc w:val="both"/>
        <w:rPr>
          <w:rFonts w:ascii="Arial" w:hAnsi="Arial"/>
          <w:sz w:val="20"/>
          <w:szCs w:val="20"/>
          <w:lang w:val="en-AU"/>
        </w:rPr>
      </w:pPr>
    </w:p>
    <w:p w14:paraId="04899AB8" w14:textId="77777777" w:rsidR="00D65732" w:rsidRDefault="00D65732" w:rsidP="00775ADF">
      <w:pPr>
        <w:jc w:val="both"/>
        <w:rPr>
          <w:rFonts w:ascii="Arial" w:hAnsi="Arial"/>
          <w:sz w:val="20"/>
          <w:szCs w:val="20"/>
          <w:lang w:val="en-AU"/>
        </w:rPr>
      </w:pPr>
    </w:p>
    <w:p w14:paraId="2E014030" w14:textId="77777777" w:rsidR="00D65732" w:rsidRDefault="00D65732" w:rsidP="00775ADF">
      <w:pPr>
        <w:jc w:val="both"/>
        <w:rPr>
          <w:rFonts w:ascii="Arial" w:hAnsi="Arial"/>
          <w:sz w:val="20"/>
          <w:szCs w:val="20"/>
          <w:lang w:val="en-AU"/>
        </w:rPr>
      </w:pPr>
    </w:p>
    <w:p w14:paraId="010845E3" w14:textId="77777777" w:rsidR="00D65732" w:rsidRDefault="00D65732" w:rsidP="00775ADF">
      <w:pPr>
        <w:jc w:val="both"/>
        <w:rPr>
          <w:rFonts w:ascii="Arial" w:hAnsi="Arial"/>
          <w:sz w:val="20"/>
          <w:szCs w:val="20"/>
          <w:lang w:val="en-AU"/>
        </w:rPr>
      </w:pPr>
    </w:p>
    <w:p w14:paraId="356DBDC7" w14:textId="77777777" w:rsidR="00D65732" w:rsidRDefault="00D65732" w:rsidP="00775ADF">
      <w:pPr>
        <w:jc w:val="both"/>
        <w:rPr>
          <w:rFonts w:ascii="Arial" w:hAnsi="Arial"/>
          <w:sz w:val="20"/>
          <w:szCs w:val="20"/>
          <w:lang w:val="en-AU"/>
        </w:rPr>
      </w:pPr>
    </w:p>
    <w:p w14:paraId="4104C1A4" w14:textId="77777777" w:rsidR="003E25E5" w:rsidRDefault="003E25E5" w:rsidP="00775ADF">
      <w:pPr>
        <w:jc w:val="both"/>
        <w:rPr>
          <w:rFonts w:ascii="Arial" w:hAnsi="Arial"/>
          <w:sz w:val="20"/>
          <w:szCs w:val="20"/>
          <w:lang w:val="en-AU"/>
        </w:rPr>
      </w:pPr>
    </w:p>
    <w:p w14:paraId="6E85853F" w14:textId="77777777" w:rsidR="003E25E5" w:rsidRPr="002665D2" w:rsidRDefault="003E25E5" w:rsidP="00775ADF">
      <w:pPr>
        <w:jc w:val="both"/>
        <w:rPr>
          <w:rFonts w:ascii="Arial" w:hAnsi="Arial"/>
          <w:sz w:val="20"/>
          <w:szCs w:val="20"/>
          <w:lang w:val="en-AU"/>
        </w:rPr>
      </w:pPr>
    </w:p>
    <w:p w14:paraId="49E1302B" w14:textId="5FA58978" w:rsidR="00224894" w:rsidRPr="00D65732" w:rsidRDefault="00224894" w:rsidP="004022A0">
      <w:pPr>
        <w:rPr>
          <w:rFonts w:ascii="Arial" w:hAnsi="Arial"/>
          <w:b/>
          <w:sz w:val="22"/>
          <w:szCs w:val="22"/>
          <w:lang w:val="en-AU"/>
        </w:rPr>
      </w:pPr>
      <w:r w:rsidRPr="00D65732">
        <w:rPr>
          <w:rFonts w:ascii="Arial" w:hAnsi="Arial"/>
          <w:b/>
          <w:sz w:val="22"/>
          <w:szCs w:val="22"/>
          <w:lang w:val="en-AU"/>
        </w:rPr>
        <w:t>References</w:t>
      </w:r>
    </w:p>
    <w:p w14:paraId="3B006C27" w14:textId="77777777" w:rsidR="009C1898" w:rsidRPr="002665D2" w:rsidRDefault="009C1898" w:rsidP="004022A0">
      <w:pPr>
        <w:rPr>
          <w:rFonts w:ascii="Arial" w:hAnsi="Arial"/>
          <w:b/>
          <w:sz w:val="20"/>
          <w:szCs w:val="20"/>
          <w:lang w:val="en-AU"/>
        </w:rPr>
      </w:pPr>
    </w:p>
    <w:p w14:paraId="1A41E4DE" w14:textId="6AED57B3" w:rsidR="009C1898" w:rsidRDefault="009C1898" w:rsidP="004022A0">
      <w:pPr>
        <w:rPr>
          <w:rFonts w:ascii="Arial" w:hAnsi="Arial"/>
          <w:sz w:val="20"/>
          <w:szCs w:val="20"/>
          <w:lang w:val="en-AU"/>
        </w:rPr>
      </w:pPr>
      <w:r w:rsidRPr="002665D2">
        <w:rPr>
          <w:rFonts w:ascii="Arial" w:hAnsi="Arial"/>
          <w:sz w:val="20"/>
          <w:szCs w:val="20"/>
          <w:lang w:val="en-AU"/>
        </w:rPr>
        <w:t xml:space="preserve">Australian Building Codes Board (ABCB) 2013, </w:t>
      </w:r>
      <w:r w:rsidRPr="002665D2">
        <w:rPr>
          <w:rFonts w:ascii="Arial" w:hAnsi="Arial"/>
          <w:i/>
          <w:iCs/>
          <w:sz w:val="20"/>
          <w:szCs w:val="20"/>
          <w:lang w:val="en-AU"/>
        </w:rPr>
        <w:t xml:space="preserve">National Construction Code Series (Volume one): </w:t>
      </w:r>
      <w:r w:rsidRPr="00BA6C6D">
        <w:rPr>
          <w:rFonts w:ascii="Arial" w:hAnsi="Arial"/>
          <w:i/>
          <w:iCs/>
          <w:sz w:val="20"/>
          <w:szCs w:val="20"/>
          <w:lang w:val="en-AU"/>
        </w:rPr>
        <w:t>Building Code of Australia (Class 2 to Class 9 Buildings)</w:t>
      </w:r>
      <w:r w:rsidRPr="00BA6C6D">
        <w:rPr>
          <w:rFonts w:ascii="Arial" w:hAnsi="Arial"/>
          <w:sz w:val="20"/>
          <w:szCs w:val="20"/>
          <w:lang w:val="en-AU"/>
        </w:rPr>
        <w:t>, Australian Government and States and Territories of Australia, Canberra.</w:t>
      </w:r>
    </w:p>
    <w:p w14:paraId="54C22EB3" w14:textId="77777777" w:rsidR="00391742" w:rsidRPr="00BA6C6D" w:rsidRDefault="00391742" w:rsidP="004022A0">
      <w:pPr>
        <w:rPr>
          <w:rFonts w:ascii="Arial" w:hAnsi="Arial"/>
          <w:sz w:val="20"/>
          <w:szCs w:val="20"/>
          <w:lang w:val="en-AU"/>
        </w:rPr>
      </w:pPr>
    </w:p>
    <w:p w14:paraId="4CA7149B" w14:textId="468F606B" w:rsidR="005C6496" w:rsidRPr="005C6496" w:rsidRDefault="005C6496" w:rsidP="005C6496">
      <w:pPr>
        <w:rPr>
          <w:rFonts w:ascii="Arial" w:hAnsi="Arial"/>
          <w:sz w:val="20"/>
          <w:szCs w:val="20"/>
          <w:lang w:val="en-US"/>
        </w:rPr>
      </w:pPr>
      <w:r w:rsidRPr="005C6496">
        <w:rPr>
          <w:rFonts w:ascii="Arial" w:hAnsi="Arial"/>
          <w:sz w:val="20"/>
          <w:szCs w:val="20"/>
          <w:lang w:val="en-US"/>
        </w:rPr>
        <w:t>Austr</w:t>
      </w:r>
      <w:r>
        <w:rPr>
          <w:rFonts w:ascii="Arial" w:hAnsi="Arial"/>
          <w:sz w:val="20"/>
          <w:szCs w:val="20"/>
          <w:lang w:val="en-US"/>
        </w:rPr>
        <w:t xml:space="preserve">alian Bureau of Statistics </w:t>
      </w:r>
      <w:r w:rsidR="00391742">
        <w:rPr>
          <w:rFonts w:ascii="Arial" w:hAnsi="Arial"/>
          <w:sz w:val="20"/>
          <w:szCs w:val="20"/>
          <w:lang w:val="en-US"/>
        </w:rPr>
        <w:t>(ABS) (</w:t>
      </w:r>
      <w:r>
        <w:rPr>
          <w:rFonts w:ascii="Arial" w:hAnsi="Arial"/>
          <w:sz w:val="20"/>
          <w:szCs w:val="20"/>
          <w:lang w:val="en-US"/>
        </w:rPr>
        <w:t>2013</w:t>
      </w:r>
      <w:r w:rsidR="00391742">
        <w:rPr>
          <w:rFonts w:ascii="Arial" w:hAnsi="Arial"/>
          <w:sz w:val="20"/>
          <w:szCs w:val="20"/>
          <w:lang w:val="en-US"/>
        </w:rPr>
        <w:t>)</w:t>
      </w:r>
      <w:r w:rsidRPr="005C6496">
        <w:rPr>
          <w:rFonts w:ascii="Arial" w:hAnsi="Arial"/>
          <w:sz w:val="20"/>
          <w:szCs w:val="20"/>
          <w:lang w:val="en-US"/>
        </w:rPr>
        <w:t xml:space="preserve">, ‘Data cubes: Statistical Area Level (SA2), </w:t>
      </w:r>
    </w:p>
    <w:p w14:paraId="40CE657C" w14:textId="77777777" w:rsidR="005C6496" w:rsidRPr="005C6496" w:rsidRDefault="005C6496" w:rsidP="005C6496">
      <w:pPr>
        <w:rPr>
          <w:rFonts w:ascii="Arial" w:hAnsi="Arial"/>
          <w:sz w:val="20"/>
          <w:szCs w:val="20"/>
          <w:lang w:val="en-US"/>
        </w:rPr>
      </w:pPr>
      <w:r w:rsidRPr="005C6496">
        <w:rPr>
          <w:rFonts w:ascii="Arial" w:hAnsi="Arial"/>
          <w:sz w:val="20"/>
          <w:szCs w:val="20"/>
          <w:lang w:val="en-US"/>
        </w:rPr>
        <w:t xml:space="preserve">Table 2’, in </w:t>
      </w:r>
      <w:r w:rsidRPr="005C6496">
        <w:rPr>
          <w:rFonts w:ascii="Arial" w:hAnsi="Arial"/>
          <w:i/>
          <w:iCs/>
          <w:sz w:val="20"/>
          <w:szCs w:val="20"/>
          <w:lang w:val="en-US"/>
        </w:rPr>
        <w:t>Socio- economic indexes for areas (SEIFA) 2011)</w:t>
      </w:r>
      <w:r w:rsidRPr="005C6496">
        <w:rPr>
          <w:rFonts w:ascii="Arial" w:hAnsi="Arial"/>
          <w:sz w:val="20"/>
          <w:szCs w:val="20"/>
          <w:lang w:val="en-US"/>
        </w:rPr>
        <w:t xml:space="preserve">, cat. no. </w:t>
      </w:r>
    </w:p>
    <w:p w14:paraId="172E63BE" w14:textId="49182475" w:rsidR="005C6496" w:rsidRDefault="005C6496" w:rsidP="005C6496">
      <w:pPr>
        <w:rPr>
          <w:rFonts w:ascii="Arial" w:hAnsi="Arial"/>
          <w:sz w:val="20"/>
          <w:szCs w:val="20"/>
          <w:lang w:val="en-US"/>
        </w:rPr>
      </w:pPr>
      <w:r w:rsidRPr="005C6496">
        <w:rPr>
          <w:rFonts w:ascii="Arial" w:hAnsi="Arial"/>
          <w:sz w:val="20"/>
          <w:szCs w:val="20"/>
          <w:lang w:val="en-US"/>
        </w:rPr>
        <w:t>2033.0.55.001, ABS, Canberra.</w:t>
      </w:r>
    </w:p>
    <w:p w14:paraId="38866138" w14:textId="77777777" w:rsidR="00391742" w:rsidRDefault="00391742" w:rsidP="005C6496">
      <w:pPr>
        <w:rPr>
          <w:rFonts w:ascii="Arial" w:hAnsi="Arial"/>
          <w:sz w:val="20"/>
          <w:szCs w:val="20"/>
          <w:lang w:val="en-US"/>
        </w:rPr>
      </w:pPr>
    </w:p>
    <w:p w14:paraId="164C732B" w14:textId="238C9CE8" w:rsidR="00391742" w:rsidRDefault="00391742" w:rsidP="005C6496">
      <w:pPr>
        <w:rPr>
          <w:rFonts w:ascii="Arial" w:hAnsi="Arial"/>
          <w:sz w:val="20"/>
          <w:szCs w:val="20"/>
          <w:lang w:val="en-US"/>
        </w:rPr>
      </w:pPr>
      <w:r w:rsidRPr="00391742">
        <w:rPr>
          <w:rFonts w:ascii="Arial" w:hAnsi="Arial"/>
          <w:sz w:val="20"/>
          <w:szCs w:val="20"/>
          <w:lang w:val="en-US"/>
        </w:rPr>
        <w:t xml:space="preserve">Australian Bureau of Statistics </w:t>
      </w:r>
      <w:r>
        <w:rPr>
          <w:rFonts w:ascii="Arial" w:hAnsi="Arial"/>
          <w:sz w:val="20"/>
          <w:szCs w:val="20"/>
          <w:lang w:val="en-US"/>
        </w:rPr>
        <w:t>(ABS) (</w:t>
      </w:r>
      <w:r w:rsidRPr="00391742">
        <w:rPr>
          <w:rFonts w:ascii="Arial" w:hAnsi="Arial"/>
          <w:sz w:val="20"/>
          <w:szCs w:val="20"/>
          <w:lang w:val="en-US"/>
        </w:rPr>
        <w:t>201</w:t>
      </w:r>
      <w:r>
        <w:rPr>
          <w:rFonts w:ascii="Arial" w:hAnsi="Arial"/>
          <w:sz w:val="20"/>
          <w:szCs w:val="20"/>
          <w:lang w:val="en-US"/>
        </w:rPr>
        <w:t>6a)</w:t>
      </w:r>
      <w:r w:rsidRPr="00391742">
        <w:rPr>
          <w:rFonts w:ascii="Arial" w:hAnsi="Arial"/>
          <w:sz w:val="20"/>
          <w:szCs w:val="20"/>
          <w:lang w:val="en-US"/>
        </w:rPr>
        <w:t xml:space="preserve">, </w:t>
      </w:r>
      <w:r w:rsidRPr="00391742">
        <w:rPr>
          <w:rFonts w:ascii="Arial" w:hAnsi="Arial"/>
          <w:i/>
          <w:iCs/>
          <w:sz w:val="20"/>
          <w:szCs w:val="20"/>
          <w:lang w:val="en-US"/>
        </w:rPr>
        <w:t xml:space="preserve">Census </w:t>
      </w:r>
      <w:proofErr w:type="spellStart"/>
      <w:r w:rsidRPr="00391742">
        <w:rPr>
          <w:rFonts w:ascii="Arial" w:hAnsi="Arial"/>
          <w:i/>
          <w:iCs/>
          <w:sz w:val="20"/>
          <w:szCs w:val="20"/>
          <w:lang w:val="en-US"/>
        </w:rPr>
        <w:t>QuickStats</w:t>
      </w:r>
      <w:proofErr w:type="spellEnd"/>
      <w:r w:rsidRPr="00391742">
        <w:rPr>
          <w:rFonts w:ascii="Arial" w:hAnsi="Arial"/>
          <w:i/>
          <w:iCs/>
          <w:sz w:val="20"/>
          <w:szCs w:val="20"/>
          <w:lang w:val="en-US"/>
        </w:rPr>
        <w:t>: Australia</w:t>
      </w:r>
      <w:r w:rsidRPr="00391742">
        <w:rPr>
          <w:rFonts w:ascii="Arial" w:hAnsi="Arial"/>
          <w:sz w:val="20"/>
          <w:szCs w:val="20"/>
          <w:lang w:val="en-US"/>
        </w:rPr>
        <w:t xml:space="preserve">, viewed </w:t>
      </w:r>
      <w:r>
        <w:rPr>
          <w:rFonts w:ascii="Arial" w:hAnsi="Arial"/>
          <w:sz w:val="20"/>
          <w:szCs w:val="20"/>
          <w:lang w:val="en-US"/>
        </w:rPr>
        <w:t>3</w:t>
      </w:r>
      <w:r w:rsidRPr="00391742">
        <w:rPr>
          <w:rFonts w:ascii="Arial" w:hAnsi="Arial"/>
          <w:sz w:val="20"/>
          <w:szCs w:val="20"/>
          <w:lang w:val="en-US"/>
        </w:rPr>
        <w:t xml:space="preserve"> J</w:t>
      </w:r>
      <w:r>
        <w:rPr>
          <w:rFonts w:ascii="Arial" w:hAnsi="Arial"/>
          <w:sz w:val="20"/>
          <w:szCs w:val="20"/>
          <w:lang w:val="en-US"/>
        </w:rPr>
        <w:t>uly</w:t>
      </w:r>
      <w:r w:rsidRPr="00391742">
        <w:rPr>
          <w:rFonts w:ascii="Arial" w:hAnsi="Arial"/>
          <w:sz w:val="20"/>
          <w:szCs w:val="20"/>
          <w:lang w:val="en-US"/>
        </w:rPr>
        <w:t xml:space="preserve"> 201</w:t>
      </w:r>
      <w:r>
        <w:rPr>
          <w:rFonts w:ascii="Arial" w:hAnsi="Arial"/>
          <w:sz w:val="20"/>
          <w:szCs w:val="20"/>
          <w:lang w:val="en-US"/>
        </w:rPr>
        <w:t>7</w:t>
      </w:r>
      <w:r w:rsidRPr="00391742">
        <w:rPr>
          <w:rFonts w:ascii="Arial" w:hAnsi="Arial"/>
          <w:sz w:val="20"/>
          <w:szCs w:val="20"/>
          <w:lang w:val="en-US"/>
        </w:rPr>
        <w:t>,</w:t>
      </w:r>
      <w:r>
        <w:rPr>
          <w:rFonts w:ascii="Arial" w:hAnsi="Arial"/>
          <w:sz w:val="20"/>
          <w:szCs w:val="20"/>
          <w:lang w:val="en-US"/>
        </w:rPr>
        <w:t xml:space="preserve"> </w:t>
      </w:r>
      <w:hyperlink r:id="rId8" w:history="1">
        <w:r w:rsidRPr="00EC2F31">
          <w:rPr>
            <w:rStyle w:val="Hyperlink"/>
            <w:rFonts w:ascii="Arial" w:hAnsi="Arial"/>
            <w:sz w:val="20"/>
            <w:szCs w:val="20"/>
            <w:lang w:val="en-US"/>
          </w:rPr>
          <w:t>http://www.censusdata.abs.gov.au/census_services/getproduct/census/2016/quickstat/036?opendocument</w:t>
        </w:r>
      </w:hyperlink>
    </w:p>
    <w:p w14:paraId="30C22D78" w14:textId="77777777" w:rsidR="00391742" w:rsidRDefault="00391742" w:rsidP="005C6496">
      <w:pPr>
        <w:rPr>
          <w:rFonts w:ascii="Arial" w:hAnsi="Arial"/>
          <w:sz w:val="20"/>
          <w:szCs w:val="20"/>
          <w:lang w:val="en-US"/>
        </w:rPr>
      </w:pPr>
    </w:p>
    <w:p w14:paraId="24573148" w14:textId="1AA89267" w:rsidR="00391742" w:rsidRDefault="00391742" w:rsidP="005C6496">
      <w:pPr>
        <w:rPr>
          <w:rFonts w:ascii="Arial" w:hAnsi="Arial"/>
          <w:sz w:val="20"/>
          <w:szCs w:val="20"/>
          <w:lang w:val="en-US"/>
        </w:rPr>
      </w:pPr>
      <w:r w:rsidRPr="00391742">
        <w:rPr>
          <w:rFonts w:ascii="Arial" w:hAnsi="Arial"/>
          <w:sz w:val="20"/>
          <w:szCs w:val="20"/>
          <w:lang w:val="en-US"/>
        </w:rPr>
        <w:t xml:space="preserve">Australian Bureau of Statistics </w:t>
      </w:r>
      <w:r>
        <w:rPr>
          <w:rFonts w:ascii="Arial" w:hAnsi="Arial"/>
          <w:sz w:val="20"/>
          <w:szCs w:val="20"/>
          <w:lang w:val="en-US"/>
        </w:rPr>
        <w:t>(ABS) (</w:t>
      </w:r>
      <w:r w:rsidRPr="00391742">
        <w:rPr>
          <w:rFonts w:ascii="Arial" w:hAnsi="Arial"/>
          <w:sz w:val="20"/>
          <w:szCs w:val="20"/>
          <w:lang w:val="en-US"/>
        </w:rPr>
        <w:t>201</w:t>
      </w:r>
      <w:r>
        <w:rPr>
          <w:rFonts w:ascii="Arial" w:hAnsi="Arial"/>
          <w:sz w:val="20"/>
          <w:szCs w:val="20"/>
          <w:lang w:val="en-US"/>
        </w:rPr>
        <w:t>6b)</w:t>
      </w:r>
      <w:r w:rsidRPr="00391742">
        <w:rPr>
          <w:rFonts w:ascii="Arial" w:hAnsi="Arial"/>
          <w:sz w:val="20"/>
          <w:szCs w:val="20"/>
          <w:lang w:val="en-US"/>
        </w:rPr>
        <w:t xml:space="preserve">, </w:t>
      </w:r>
      <w:r w:rsidRPr="00391742">
        <w:rPr>
          <w:rFonts w:ascii="Arial" w:hAnsi="Arial"/>
          <w:i/>
          <w:iCs/>
          <w:sz w:val="20"/>
          <w:szCs w:val="20"/>
          <w:lang w:val="en-US"/>
        </w:rPr>
        <w:t xml:space="preserve">Census </w:t>
      </w:r>
      <w:proofErr w:type="spellStart"/>
      <w:r w:rsidRPr="00391742">
        <w:rPr>
          <w:rFonts w:ascii="Arial" w:hAnsi="Arial"/>
          <w:i/>
          <w:iCs/>
          <w:sz w:val="20"/>
          <w:szCs w:val="20"/>
          <w:lang w:val="en-US"/>
        </w:rPr>
        <w:t>QuickStats</w:t>
      </w:r>
      <w:proofErr w:type="spellEnd"/>
      <w:r w:rsidRPr="00391742">
        <w:rPr>
          <w:rFonts w:ascii="Arial" w:hAnsi="Arial"/>
          <w:i/>
          <w:iCs/>
          <w:sz w:val="20"/>
          <w:szCs w:val="20"/>
          <w:lang w:val="en-US"/>
        </w:rPr>
        <w:t>: Greater Sydney, Greater Capital City Statistical Area (GCCSA), NSW</w:t>
      </w:r>
      <w:r w:rsidRPr="00391742">
        <w:rPr>
          <w:rFonts w:ascii="Arial" w:hAnsi="Arial"/>
          <w:sz w:val="20"/>
          <w:szCs w:val="20"/>
          <w:lang w:val="en-US"/>
        </w:rPr>
        <w:t xml:space="preserve">, viewed </w:t>
      </w:r>
      <w:r>
        <w:rPr>
          <w:rFonts w:ascii="Arial" w:hAnsi="Arial"/>
          <w:sz w:val="20"/>
          <w:szCs w:val="20"/>
          <w:lang w:val="en-US"/>
        </w:rPr>
        <w:t>3</w:t>
      </w:r>
      <w:r w:rsidRPr="00391742">
        <w:rPr>
          <w:rFonts w:ascii="Arial" w:hAnsi="Arial"/>
          <w:sz w:val="20"/>
          <w:szCs w:val="20"/>
          <w:lang w:val="en-US"/>
        </w:rPr>
        <w:t xml:space="preserve"> J</w:t>
      </w:r>
      <w:r>
        <w:rPr>
          <w:rFonts w:ascii="Arial" w:hAnsi="Arial"/>
          <w:sz w:val="20"/>
          <w:szCs w:val="20"/>
          <w:lang w:val="en-US"/>
        </w:rPr>
        <w:t>uly</w:t>
      </w:r>
      <w:r w:rsidRPr="00391742">
        <w:rPr>
          <w:rFonts w:ascii="Arial" w:hAnsi="Arial"/>
          <w:sz w:val="20"/>
          <w:szCs w:val="20"/>
          <w:lang w:val="en-US"/>
        </w:rPr>
        <w:t xml:space="preserve"> 201</w:t>
      </w:r>
      <w:r>
        <w:rPr>
          <w:rFonts w:ascii="Arial" w:hAnsi="Arial"/>
          <w:sz w:val="20"/>
          <w:szCs w:val="20"/>
          <w:lang w:val="en-US"/>
        </w:rPr>
        <w:t>7</w:t>
      </w:r>
      <w:r w:rsidRPr="00391742">
        <w:rPr>
          <w:rFonts w:ascii="Arial" w:hAnsi="Arial"/>
          <w:sz w:val="20"/>
          <w:szCs w:val="20"/>
          <w:lang w:val="en-US"/>
        </w:rPr>
        <w:t>,</w:t>
      </w:r>
      <w:r>
        <w:rPr>
          <w:rFonts w:ascii="Arial" w:hAnsi="Arial"/>
          <w:sz w:val="20"/>
          <w:szCs w:val="20"/>
          <w:lang w:val="en-US"/>
        </w:rPr>
        <w:t xml:space="preserve"> </w:t>
      </w:r>
      <w:hyperlink r:id="rId9" w:history="1">
        <w:r w:rsidRPr="00EC2F31">
          <w:rPr>
            <w:rStyle w:val="Hyperlink"/>
            <w:rFonts w:ascii="Arial" w:hAnsi="Arial"/>
            <w:sz w:val="20"/>
            <w:szCs w:val="20"/>
            <w:lang w:val="en-US"/>
          </w:rPr>
          <w:t>http://www.censusdata.abs.gov.au/census_services/getproduct/census/2016/quickstat/1GSYD?opendocument</w:t>
        </w:r>
      </w:hyperlink>
    </w:p>
    <w:p w14:paraId="4C0DFD88" w14:textId="77777777" w:rsidR="005C6496" w:rsidRDefault="005C6496" w:rsidP="005C6496">
      <w:pPr>
        <w:rPr>
          <w:rFonts w:ascii="Arial" w:hAnsi="Arial"/>
          <w:sz w:val="20"/>
          <w:szCs w:val="20"/>
          <w:lang w:val="en-US"/>
        </w:rPr>
      </w:pPr>
    </w:p>
    <w:p w14:paraId="78A970AC" w14:textId="0F90B2B0" w:rsidR="000769E5" w:rsidRPr="00BA6C6D" w:rsidRDefault="000769E5" w:rsidP="000769E5">
      <w:pPr>
        <w:rPr>
          <w:rFonts w:ascii="Arial" w:hAnsi="Arial"/>
          <w:sz w:val="20"/>
          <w:szCs w:val="20"/>
          <w:lang w:val="en-US"/>
        </w:rPr>
      </w:pPr>
      <w:r w:rsidRPr="00BA6C6D">
        <w:rPr>
          <w:rFonts w:ascii="Arial" w:hAnsi="Arial"/>
          <w:sz w:val="20"/>
          <w:szCs w:val="20"/>
          <w:lang w:val="en-US"/>
        </w:rPr>
        <w:t>Baker, T</w:t>
      </w:r>
      <w:r w:rsidR="00BC0334">
        <w:rPr>
          <w:rFonts w:ascii="Arial" w:hAnsi="Arial"/>
          <w:sz w:val="20"/>
          <w:szCs w:val="20"/>
          <w:lang w:val="en-US"/>
        </w:rPr>
        <w:t>.</w:t>
      </w:r>
      <w:r w:rsidRPr="00BA6C6D">
        <w:rPr>
          <w:rFonts w:ascii="Arial" w:hAnsi="Arial"/>
          <w:sz w:val="20"/>
          <w:szCs w:val="20"/>
          <w:lang w:val="en-US"/>
        </w:rPr>
        <w:t xml:space="preserve"> </w:t>
      </w:r>
      <w:r w:rsidR="00BC0334">
        <w:rPr>
          <w:rFonts w:ascii="Arial" w:hAnsi="Arial"/>
          <w:sz w:val="20"/>
          <w:szCs w:val="20"/>
          <w:lang w:val="en-US"/>
        </w:rPr>
        <w:t>(</w:t>
      </w:r>
      <w:r w:rsidRPr="00BA6C6D">
        <w:rPr>
          <w:rFonts w:ascii="Arial" w:hAnsi="Arial"/>
          <w:sz w:val="20"/>
          <w:szCs w:val="20"/>
          <w:lang w:val="en-US"/>
        </w:rPr>
        <w:t>2013</w:t>
      </w:r>
      <w:r w:rsidR="00BC0334">
        <w:rPr>
          <w:rFonts w:ascii="Arial" w:hAnsi="Arial"/>
          <w:sz w:val="20"/>
          <w:szCs w:val="20"/>
          <w:lang w:val="en-US"/>
        </w:rPr>
        <w:t xml:space="preserve">) </w:t>
      </w:r>
      <w:r w:rsidRPr="00BA6C6D">
        <w:rPr>
          <w:rFonts w:ascii="Arial" w:hAnsi="Arial"/>
          <w:sz w:val="20"/>
          <w:szCs w:val="20"/>
          <w:lang w:val="en-US"/>
        </w:rPr>
        <w:t>Home-making in Higher Density Cities: Residential Expe</w:t>
      </w:r>
      <w:r w:rsidR="00BC0334">
        <w:rPr>
          <w:rFonts w:ascii="Arial" w:hAnsi="Arial"/>
          <w:sz w:val="20"/>
          <w:szCs w:val="20"/>
          <w:lang w:val="en-US"/>
        </w:rPr>
        <w:t>riences in Newcastle, Australia</w:t>
      </w:r>
      <w:r w:rsidRPr="00BA6C6D">
        <w:rPr>
          <w:rFonts w:ascii="Arial" w:hAnsi="Arial"/>
          <w:sz w:val="20"/>
          <w:szCs w:val="20"/>
          <w:lang w:val="en-US"/>
        </w:rPr>
        <w:t xml:space="preserve">, </w:t>
      </w:r>
      <w:r w:rsidRPr="00BA6C6D">
        <w:rPr>
          <w:rFonts w:ascii="Arial" w:hAnsi="Arial"/>
          <w:i/>
          <w:iCs/>
          <w:sz w:val="20"/>
          <w:szCs w:val="20"/>
          <w:lang w:val="en-US"/>
        </w:rPr>
        <w:t xml:space="preserve">Urban Policy and Research, </w:t>
      </w:r>
      <w:r w:rsidR="00804D80">
        <w:rPr>
          <w:rFonts w:ascii="Arial" w:hAnsi="Arial"/>
          <w:sz w:val="20"/>
          <w:szCs w:val="20"/>
          <w:lang w:val="en-US"/>
        </w:rPr>
        <w:t xml:space="preserve">31 (3), </w:t>
      </w:r>
      <w:r w:rsidRPr="00BA6C6D">
        <w:rPr>
          <w:rFonts w:ascii="Arial" w:hAnsi="Arial"/>
          <w:sz w:val="20"/>
          <w:szCs w:val="20"/>
          <w:lang w:val="en-US"/>
        </w:rPr>
        <w:t>pp. 265-279.</w:t>
      </w:r>
    </w:p>
    <w:p w14:paraId="17546229" w14:textId="77777777" w:rsidR="000769E5" w:rsidRPr="00BA6C6D" w:rsidRDefault="000769E5" w:rsidP="000769E5">
      <w:pPr>
        <w:rPr>
          <w:rFonts w:ascii="Arial" w:hAnsi="Arial"/>
          <w:sz w:val="20"/>
          <w:szCs w:val="20"/>
          <w:lang w:val="en-US"/>
        </w:rPr>
      </w:pPr>
    </w:p>
    <w:p w14:paraId="20AD2EB2" w14:textId="7E0573F4" w:rsidR="00915D12" w:rsidRPr="00BA6C6D" w:rsidRDefault="00915D12" w:rsidP="000769E5">
      <w:pPr>
        <w:rPr>
          <w:rFonts w:ascii="Arial" w:hAnsi="Arial"/>
          <w:sz w:val="20"/>
          <w:szCs w:val="20"/>
          <w:lang w:val="en-US"/>
        </w:rPr>
      </w:pPr>
      <w:r w:rsidRPr="00BA6C6D">
        <w:rPr>
          <w:rFonts w:ascii="Arial" w:hAnsi="Arial"/>
          <w:sz w:val="20"/>
          <w:szCs w:val="20"/>
          <w:lang w:val="en-US"/>
        </w:rPr>
        <w:t>Butler-Bowdon, C</w:t>
      </w:r>
      <w:r w:rsidR="00804D80">
        <w:rPr>
          <w:rFonts w:ascii="Arial" w:hAnsi="Arial"/>
          <w:sz w:val="20"/>
          <w:szCs w:val="20"/>
          <w:lang w:val="en-US"/>
        </w:rPr>
        <w:t>.</w:t>
      </w:r>
      <w:r w:rsidRPr="00BA6C6D">
        <w:rPr>
          <w:rFonts w:ascii="Arial" w:hAnsi="Arial"/>
          <w:sz w:val="20"/>
          <w:szCs w:val="20"/>
          <w:lang w:val="en-US"/>
        </w:rPr>
        <w:t xml:space="preserve"> &amp; Pickett, C</w:t>
      </w:r>
      <w:r w:rsidR="00804D80">
        <w:rPr>
          <w:rFonts w:ascii="Arial" w:hAnsi="Arial"/>
          <w:sz w:val="20"/>
          <w:szCs w:val="20"/>
          <w:lang w:val="en-US"/>
        </w:rPr>
        <w:t>.</w:t>
      </w:r>
      <w:r w:rsidRPr="00BA6C6D">
        <w:rPr>
          <w:rFonts w:ascii="Arial" w:hAnsi="Arial"/>
          <w:sz w:val="20"/>
          <w:szCs w:val="20"/>
          <w:lang w:val="en-US"/>
        </w:rPr>
        <w:t xml:space="preserve"> </w:t>
      </w:r>
      <w:r w:rsidR="00804D80">
        <w:rPr>
          <w:rFonts w:ascii="Arial" w:hAnsi="Arial"/>
          <w:sz w:val="20"/>
          <w:szCs w:val="20"/>
          <w:lang w:val="en-US"/>
        </w:rPr>
        <w:t>(</w:t>
      </w:r>
      <w:r w:rsidRPr="00BA6C6D">
        <w:rPr>
          <w:rFonts w:ascii="Arial" w:hAnsi="Arial"/>
          <w:sz w:val="20"/>
          <w:szCs w:val="20"/>
          <w:lang w:val="en-US"/>
        </w:rPr>
        <w:t>2007</w:t>
      </w:r>
      <w:r w:rsidR="00804D80">
        <w:rPr>
          <w:rFonts w:ascii="Arial" w:hAnsi="Arial"/>
          <w:sz w:val="20"/>
          <w:szCs w:val="20"/>
          <w:lang w:val="en-US"/>
        </w:rPr>
        <w:t>)</w:t>
      </w:r>
      <w:r w:rsidRPr="00BA6C6D">
        <w:rPr>
          <w:rFonts w:ascii="Arial" w:hAnsi="Arial"/>
          <w:sz w:val="20"/>
          <w:szCs w:val="20"/>
          <w:lang w:val="en-US"/>
        </w:rPr>
        <w:t xml:space="preserve"> </w:t>
      </w:r>
      <w:r w:rsidRPr="00BA6C6D">
        <w:rPr>
          <w:rFonts w:ascii="Arial" w:hAnsi="Arial"/>
          <w:i/>
          <w:iCs/>
          <w:sz w:val="20"/>
          <w:szCs w:val="20"/>
          <w:lang w:val="en-US"/>
        </w:rPr>
        <w:t>Homes in the sky: apartment living in Australia</w:t>
      </w:r>
      <w:r w:rsidR="00CA01E5">
        <w:rPr>
          <w:rFonts w:ascii="Arial" w:hAnsi="Arial"/>
          <w:sz w:val="20"/>
          <w:szCs w:val="20"/>
          <w:lang w:val="en-US"/>
        </w:rPr>
        <w:t xml:space="preserve"> (Carlton, Vic.</w:t>
      </w:r>
      <w:r w:rsidRPr="00BA6C6D">
        <w:rPr>
          <w:rFonts w:ascii="Arial" w:hAnsi="Arial"/>
          <w:sz w:val="20"/>
          <w:szCs w:val="20"/>
          <w:lang w:val="en-US"/>
        </w:rPr>
        <w:t xml:space="preserve">, </w:t>
      </w:r>
      <w:proofErr w:type="gramStart"/>
      <w:r w:rsidRPr="00BA6C6D">
        <w:rPr>
          <w:rFonts w:ascii="Arial" w:hAnsi="Arial"/>
          <w:sz w:val="20"/>
          <w:szCs w:val="20"/>
          <w:lang w:val="en-US"/>
        </w:rPr>
        <w:t>Sydney :</w:t>
      </w:r>
      <w:proofErr w:type="gramEnd"/>
      <w:r w:rsidRPr="00BA6C6D">
        <w:rPr>
          <w:rFonts w:ascii="Arial" w:hAnsi="Arial"/>
          <w:sz w:val="20"/>
          <w:szCs w:val="20"/>
          <w:lang w:val="en-US"/>
        </w:rPr>
        <w:t xml:space="preserve"> </w:t>
      </w:r>
      <w:proofErr w:type="spellStart"/>
      <w:r w:rsidRPr="00BA6C6D">
        <w:rPr>
          <w:rFonts w:ascii="Arial" w:hAnsi="Arial"/>
          <w:sz w:val="20"/>
          <w:szCs w:val="20"/>
          <w:lang w:val="en-US"/>
        </w:rPr>
        <w:t>Miegunyah</w:t>
      </w:r>
      <w:proofErr w:type="spellEnd"/>
      <w:r w:rsidRPr="00BA6C6D">
        <w:rPr>
          <w:rFonts w:ascii="Arial" w:hAnsi="Arial"/>
          <w:sz w:val="20"/>
          <w:szCs w:val="20"/>
          <w:lang w:val="en-US"/>
        </w:rPr>
        <w:t xml:space="preserve"> Press in association with Historic Houses Trust</w:t>
      </w:r>
      <w:r w:rsidR="00CA01E5">
        <w:rPr>
          <w:rFonts w:ascii="Arial" w:hAnsi="Arial"/>
          <w:sz w:val="20"/>
          <w:szCs w:val="20"/>
          <w:lang w:val="en-US"/>
        </w:rPr>
        <w:t>)</w:t>
      </w:r>
      <w:r w:rsidRPr="00BA6C6D">
        <w:rPr>
          <w:rFonts w:ascii="Arial" w:hAnsi="Arial"/>
          <w:sz w:val="20"/>
          <w:szCs w:val="20"/>
          <w:lang w:val="en-US"/>
        </w:rPr>
        <w:t>.</w:t>
      </w:r>
    </w:p>
    <w:p w14:paraId="2EE5378F" w14:textId="77777777" w:rsidR="00915D12" w:rsidRPr="00BA6C6D" w:rsidRDefault="00915D12" w:rsidP="000769E5">
      <w:pPr>
        <w:rPr>
          <w:rFonts w:ascii="Arial" w:hAnsi="Arial"/>
          <w:sz w:val="20"/>
          <w:szCs w:val="20"/>
          <w:lang w:val="en-US"/>
        </w:rPr>
      </w:pPr>
    </w:p>
    <w:p w14:paraId="00EEACD9" w14:textId="2D7DB417" w:rsidR="000769E5" w:rsidRPr="00BA6C6D" w:rsidRDefault="000769E5" w:rsidP="000769E5">
      <w:pPr>
        <w:rPr>
          <w:rFonts w:ascii="Arial" w:hAnsi="Arial"/>
          <w:sz w:val="20"/>
          <w:szCs w:val="20"/>
          <w:lang w:val="en-US"/>
        </w:rPr>
      </w:pPr>
      <w:r w:rsidRPr="00BA6C6D">
        <w:rPr>
          <w:rFonts w:ascii="Arial" w:hAnsi="Arial"/>
          <w:sz w:val="20"/>
          <w:szCs w:val="20"/>
          <w:lang w:val="en-US"/>
        </w:rPr>
        <w:t>Buys, L</w:t>
      </w:r>
      <w:r w:rsidR="00CA01E5">
        <w:rPr>
          <w:rFonts w:ascii="Arial" w:hAnsi="Arial"/>
          <w:sz w:val="20"/>
          <w:szCs w:val="20"/>
          <w:lang w:val="en-US"/>
        </w:rPr>
        <w:t>.</w:t>
      </w:r>
      <w:r w:rsidRPr="00BA6C6D">
        <w:rPr>
          <w:rFonts w:ascii="Arial" w:hAnsi="Arial"/>
          <w:sz w:val="20"/>
          <w:szCs w:val="20"/>
          <w:lang w:val="en-US"/>
        </w:rPr>
        <w:t xml:space="preserve"> &amp; Miller, E</w:t>
      </w:r>
      <w:r w:rsidR="00CA01E5">
        <w:rPr>
          <w:rFonts w:ascii="Arial" w:hAnsi="Arial"/>
          <w:sz w:val="20"/>
          <w:szCs w:val="20"/>
          <w:lang w:val="en-US"/>
        </w:rPr>
        <w:t>.</w:t>
      </w:r>
      <w:r w:rsidRPr="00BA6C6D">
        <w:rPr>
          <w:rFonts w:ascii="Arial" w:hAnsi="Arial"/>
          <w:sz w:val="20"/>
          <w:szCs w:val="20"/>
          <w:lang w:val="en-US"/>
        </w:rPr>
        <w:t xml:space="preserve"> </w:t>
      </w:r>
      <w:r w:rsidR="00CA01E5">
        <w:rPr>
          <w:rFonts w:ascii="Arial" w:hAnsi="Arial"/>
          <w:sz w:val="20"/>
          <w:szCs w:val="20"/>
          <w:lang w:val="en-US"/>
        </w:rPr>
        <w:t xml:space="preserve">(2012) </w:t>
      </w:r>
      <w:r w:rsidRPr="00BA6C6D">
        <w:rPr>
          <w:rFonts w:ascii="Arial" w:hAnsi="Arial"/>
          <w:sz w:val="20"/>
          <w:szCs w:val="20"/>
          <w:lang w:val="en-US"/>
        </w:rPr>
        <w:t>Residential satisfaction in inner urban higher-density Brisbane, Australia: role of dwelling desig</w:t>
      </w:r>
      <w:r w:rsidR="00CA01E5">
        <w:rPr>
          <w:rFonts w:ascii="Arial" w:hAnsi="Arial"/>
          <w:sz w:val="20"/>
          <w:szCs w:val="20"/>
          <w:lang w:val="en-US"/>
        </w:rPr>
        <w:t xml:space="preserve">n, </w:t>
      </w:r>
      <w:proofErr w:type="spellStart"/>
      <w:r w:rsidR="00CA01E5">
        <w:rPr>
          <w:rFonts w:ascii="Arial" w:hAnsi="Arial"/>
          <w:sz w:val="20"/>
          <w:szCs w:val="20"/>
          <w:lang w:val="en-US"/>
        </w:rPr>
        <w:t>neighbourhood</w:t>
      </w:r>
      <w:proofErr w:type="spellEnd"/>
      <w:r w:rsidR="00CA01E5">
        <w:rPr>
          <w:rFonts w:ascii="Arial" w:hAnsi="Arial"/>
          <w:sz w:val="20"/>
          <w:szCs w:val="20"/>
          <w:lang w:val="en-US"/>
        </w:rPr>
        <w:t xml:space="preserve"> and </w:t>
      </w:r>
      <w:proofErr w:type="spellStart"/>
      <w:r w:rsidR="00CA01E5">
        <w:rPr>
          <w:rFonts w:ascii="Arial" w:hAnsi="Arial"/>
          <w:sz w:val="20"/>
          <w:szCs w:val="20"/>
          <w:lang w:val="en-US"/>
        </w:rPr>
        <w:t>neighbours</w:t>
      </w:r>
      <w:proofErr w:type="spellEnd"/>
      <w:r w:rsidRPr="00BA6C6D">
        <w:rPr>
          <w:rFonts w:ascii="Arial" w:hAnsi="Arial"/>
          <w:sz w:val="20"/>
          <w:szCs w:val="20"/>
          <w:lang w:val="en-US"/>
        </w:rPr>
        <w:t xml:space="preserve">, </w:t>
      </w:r>
      <w:r w:rsidRPr="00BA6C6D">
        <w:rPr>
          <w:rFonts w:ascii="Arial" w:hAnsi="Arial"/>
          <w:i/>
          <w:iCs/>
          <w:sz w:val="20"/>
          <w:szCs w:val="20"/>
          <w:lang w:val="en-US"/>
        </w:rPr>
        <w:t>Journal of Environ</w:t>
      </w:r>
      <w:r w:rsidR="00CA01E5">
        <w:rPr>
          <w:rFonts w:ascii="Arial" w:hAnsi="Arial"/>
          <w:i/>
          <w:iCs/>
          <w:sz w:val="20"/>
          <w:szCs w:val="20"/>
          <w:lang w:val="en-US"/>
        </w:rPr>
        <w:t>mental Planning and Management,</w:t>
      </w:r>
      <w:r w:rsidR="00CA01E5">
        <w:rPr>
          <w:rFonts w:ascii="Arial" w:hAnsi="Arial"/>
          <w:sz w:val="20"/>
          <w:szCs w:val="20"/>
          <w:lang w:val="en-US"/>
        </w:rPr>
        <w:t xml:space="preserve"> 55(</w:t>
      </w:r>
      <w:r w:rsidRPr="00BA6C6D">
        <w:rPr>
          <w:rFonts w:ascii="Arial" w:hAnsi="Arial"/>
          <w:sz w:val="20"/>
          <w:szCs w:val="20"/>
          <w:lang w:val="en-US"/>
        </w:rPr>
        <w:t>3</w:t>
      </w:r>
      <w:r w:rsidR="00CA01E5">
        <w:rPr>
          <w:rFonts w:ascii="Arial" w:hAnsi="Arial"/>
          <w:sz w:val="20"/>
          <w:szCs w:val="20"/>
          <w:lang w:val="en-US"/>
        </w:rPr>
        <w:t>)</w:t>
      </w:r>
      <w:r w:rsidRPr="00BA6C6D">
        <w:rPr>
          <w:rFonts w:ascii="Arial" w:hAnsi="Arial"/>
          <w:sz w:val="20"/>
          <w:szCs w:val="20"/>
          <w:lang w:val="en-US"/>
        </w:rPr>
        <w:t xml:space="preserve">, pp. 319-338. </w:t>
      </w:r>
    </w:p>
    <w:p w14:paraId="37FEDF46" w14:textId="77777777" w:rsidR="000769E5" w:rsidRPr="00BA6C6D" w:rsidRDefault="000769E5" w:rsidP="004022A0">
      <w:pPr>
        <w:rPr>
          <w:rFonts w:ascii="Arial" w:hAnsi="Arial"/>
          <w:sz w:val="20"/>
          <w:szCs w:val="20"/>
          <w:lang w:val="en-US"/>
        </w:rPr>
      </w:pPr>
    </w:p>
    <w:p w14:paraId="47C85878" w14:textId="0B86354D" w:rsidR="000769E5" w:rsidRPr="00BA6C6D" w:rsidRDefault="00915D12" w:rsidP="004022A0">
      <w:pPr>
        <w:rPr>
          <w:rFonts w:ascii="Arial" w:hAnsi="Arial"/>
          <w:sz w:val="20"/>
          <w:szCs w:val="20"/>
          <w:lang w:val="en-US"/>
        </w:rPr>
      </w:pPr>
      <w:r w:rsidRPr="00BA6C6D">
        <w:rPr>
          <w:rFonts w:ascii="Arial" w:hAnsi="Arial"/>
          <w:sz w:val="20"/>
          <w:szCs w:val="20"/>
          <w:lang w:val="en-US"/>
        </w:rPr>
        <w:t>Davies, A</w:t>
      </w:r>
      <w:r w:rsidR="00CA01E5">
        <w:rPr>
          <w:rFonts w:ascii="Arial" w:hAnsi="Arial"/>
          <w:sz w:val="20"/>
          <w:szCs w:val="20"/>
          <w:lang w:val="en-US"/>
        </w:rPr>
        <w:t>.</w:t>
      </w:r>
      <w:r w:rsidRPr="00BA6C6D">
        <w:rPr>
          <w:rFonts w:ascii="Arial" w:hAnsi="Arial"/>
          <w:sz w:val="20"/>
          <w:szCs w:val="20"/>
          <w:lang w:val="en-US"/>
        </w:rPr>
        <w:t xml:space="preserve"> &amp; Young, S</w:t>
      </w:r>
      <w:r w:rsidR="00CA01E5">
        <w:rPr>
          <w:rFonts w:ascii="Arial" w:hAnsi="Arial"/>
          <w:sz w:val="20"/>
          <w:szCs w:val="20"/>
          <w:lang w:val="en-US"/>
        </w:rPr>
        <w:t>.</w:t>
      </w:r>
      <w:r w:rsidRPr="00BA6C6D">
        <w:rPr>
          <w:rFonts w:ascii="Arial" w:hAnsi="Arial"/>
          <w:sz w:val="20"/>
          <w:szCs w:val="20"/>
          <w:lang w:val="en-US"/>
        </w:rPr>
        <w:t xml:space="preserve"> </w:t>
      </w:r>
      <w:r w:rsidR="00CA01E5">
        <w:rPr>
          <w:rFonts w:ascii="Arial" w:hAnsi="Arial"/>
          <w:sz w:val="20"/>
          <w:szCs w:val="20"/>
          <w:lang w:val="en-US"/>
        </w:rPr>
        <w:t>(</w:t>
      </w:r>
      <w:r w:rsidRPr="00BA6C6D">
        <w:rPr>
          <w:rFonts w:ascii="Arial" w:hAnsi="Arial"/>
          <w:sz w:val="20"/>
          <w:szCs w:val="20"/>
          <w:lang w:val="en-US"/>
        </w:rPr>
        <w:t>1976</w:t>
      </w:r>
      <w:r w:rsidR="00CA01E5">
        <w:rPr>
          <w:rFonts w:ascii="Arial" w:hAnsi="Arial"/>
          <w:sz w:val="20"/>
          <w:szCs w:val="20"/>
          <w:lang w:val="en-US"/>
        </w:rPr>
        <w:t xml:space="preserve">) </w:t>
      </w:r>
      <w:r w:rsidRPr="00BA6C6D">
        <w:rPr>
          <w:rFonts w:ascii="Arial" w:hAnsi="Arial"/>
          <w:sz w:val="20"/>
          <w:szCs w:val="20"/>
          <w:lang w:val="en-US"/>
        </w:rPr>
        <w:t xml:space="preserve">Survey of users of five medium </w:t>
      </w:r>
      <w:r w:rsidR="00CA01E5">
        <w:rPr>
          <w:rFonts w:ascii="Arial" w:hAnsi="Arial"/>
          <w:sz w:val="20"/>
          <w:szCs w:val="20"/>
          <w:lang w:val="en-US"/>
        </w:rPr>
        <w:t>density housing types in Sydney</w:t>
      </w:r>
      <w:r w:rsidRPr="00BA6C6D">
        <w:rPr>
          <w:rFonts w:ascii="Arial" w:hAnsi="Arial"/>
          <w:sz w:val="20"/>
          <w:szCs w:val="20"/>
          <w:lang w:val="en-US"/>
        </w:rPr>
        <w:t>, in R</w:t>
      </w:r>
      <w:r w:rsidR="00CA01E5">
        <w:rPr>
          <w:rFonts w:ascii="Arial" w:hAnsi="Arial"/>
          <w:sz w:val="20"/>
          <w:szCs w:val="20"/>
          <w:lang w:val="en-US"/>
        </w:rPr>
        <w:t>. Thorne</w:t>
      </w:r>
      <w:r w:rsidRPr="00BA6C6D">
        <w:rPr>
          <w:rFonts w:ascii="Arial" w:hAnsi="Arial"/>
          <w:sz w:val="20"/>
          <w:szCs w:val="20"/>
          <w:lang w:val="en-US"/>
        </w:rPr>
        <w:t xml:space="preserve"> (</w:t>
      </w:r>
      <w:r w:rsidR="00CA01E5">
        <w:rPr>
          <w:rFonts w:ascii="Arial" w:hAnsi="Arial"/>
          <w:sz w:val="20"/>
          <w:szCs w:val="20"/>
          <w:lang w:val="en-US"/>
        </w:rPr>
        <w:t>E</w:t>
      </w:r>
      <w:r w:rsidRPr="00BA6C6D">
        <w:rPr>
          <w:rFonts w:ascii="Arial" w:hAnsi="Arial"/>
          <w:sz w:val="20"/>
          <w:szCs w:val="20"/>
          <w:lang w:val="en-US"/>
        </w:rPr>
        <w:t xml:space="preserve">d.), </w:t>
      </w:r>
      <w:r w:rsidRPr="00BA6C6D">
        <w:rPr>
          <w:rFonts w:ascii="Arial" w:hAnsi="Arial"/>
          <w:i/>
          <w:iCs/>
          <w:sz w:val="20"/>
          <w:szCs w:val="20"/>
          <w:lang w:val="en-US"/>
        </w:rPr>
        <w:t>Medium Density Housing in Sydney- 2 surveys: attitudes of users and non-users</w:t>
      </w:r>
      <w:r w:rsidRPr="00BA6C6D">
        <w:rPr>
          <w:rFonts w:ascii="Arial" w:hAnsi="Arial"/>
          <w:sz w:val="20"/>
          <w:szCs w:val="20"/>
          <w:lang w:val="en-US"/>
        </w:rPr>
        <w:t xml:space="preserve"> </w:t>
      </w:r>
      <w:r w:rsidR="00CA01E5">
        <w:rPr>
          <w:rFonts w:ascii="Arial" w:hAnsi="Arial"/>
          <w:sz w:val="20"/>
          <w:szCs w:val="20"/>
          <w:lang w:val="en-US"/>
        </w:rPr>
        <w:t>(</w:t>
      </w:r>
      <w:r w:rsidRPr="00BA6C6D">
        <w:rPr>
          <w:rFonts w:ascii="Arial" w:hAnsi="Arial"/>
          <w:sz w:val="20"/>
          <w:szCs w:val="20"/>
          <w:lang w:val="en-US"/>
        </w:rPr>
        <w:t>Ian Buchan Fell Research Centre, University of Sydney</w:t>
      </w:r>
      <w:r w:rsidR="00CA01E5">
        <w:rPr>
          <w:rFonts w:ascii="Arial" w:hAnsi="Arial"/>
          <w:sz w:val="20"/>
          <w:szCs w:val="20"/>
          <w:lang w:val="en-US"/>
        </w:rPr>
        <w:t>)</w:t>
      </w:r>
      <w:r w:rsidRPr="00BA6C6D">
        <w:rPr>
          <w:rFonts w:ascii="Arial" w:hAnsi="Arial"/>
          <w:sz w:val="20"/>
          <w:szCs w:val="20"/>
          <w:lang w:val="en-US"/>
        </w:rPr>
        <w:t>.</w:t>
      </w:r>
    </w:p>
    <w:p w14:paraId="739C70AC" w14:textId="77777777" w:rsidR="00F55F0D" w:rsidRPr="00BA6C6D" w:rsidRDefault="00F55F0D" w:rsidP="004022A0">
      <w:pPr>
        <w:rPr>
          <w:rFonts w:ascii="Arial" w:hAnsi="Arial"/>
          <w:sz w:val="20"/>
          <w:szCs w:val="20"/>
          <w:lang w:val="en-US"/>
        </w:rPr>
      </w:pPr>
    </w:p>
    <w:p w14:paraId="4A4D19CC" w14:textId="46A28829" w:rsidR="00915D12" w:rsidRPr="00BA6C6D" w:rsidRDefault="00F55F0D" w:rsidP="004022A0">
      <w:pPr>
        <w:rPr>
          <w:rFonts w:ascii="Arial" w:hAnsi="Arial"/>
          <w:sz w:val="20"/>
          <w:szCs w:val="20"/>
          <w:lang w:val="en-US"/>
        </w:rPr>
      </w:pPr>
      <w:r w:rsidRPr="00BA6C6D">
        <w:rPr>
          <w:rFonts w:ascii="Arial" w:hAnsi="Arial"/>
          <w:sz w:val="20"/>
          <w:szCs w:val="20"/>
          <w:lang w:val="en-US"/>
        </w:rPr>
        <w:t>Davison, A</w:t>
      </w:r>
      <w:r w:rsidR="005657B0">
        <w:rPr>
          <w:rFonts w:ascii="Arial" w:hAnsi="Arial"/>
          <w:sz w:val="20"/>
          <w:szCs w:val="20"/>
          <w:lang w:val="en-US"/>
        </w:rPr>
        <w:t>.</w:t>
      </w:r>
      <w:r w:rsidRPr="00BA6C6D">
        <w:rPr>
          <w:rFonts w:ascii="Arial" w:hAnsi="Arial"/>
          <w:sz w:val="20"/>
          <w:szCs w:val="20"/>
          <w:lang w:val="en-US"/>
        </w:rPr>
        <w:t xml:space="preserve"> </w:t>
      </w:r>
      <w:r w:rsidR="005657B0">
        <w:rPr>
          <w:rFonts w:ascii="Arial" w:hAnsi="Arial"/>
          <w:sz w:val="20"/>
          <w:szCs w:val="20"/>
          <w:lang w:val="en-US"/>
        </w:rPr>
        <w:t xml:space="preserve">(2006) </w:t>
      </w:r>
      <w:r w:rsidRPr="00BA6C6D">
        <w:rPr>
          <w:rFonts w:ascii="Arial" w:hAnsi="Arial"/>
          <w:sz w:val="20"/>
          <w:szCs w:val="20"/>
          <w:lang w:val="en-US"/>
        </w:rPr>
        <w:t>Stuck in a Cul-de-sac? Suburban History and Ur</w:t>
      </w:r>
      <w:r w:rsidR="005657B0">
        <w:rPr>
          <w:rFonts w:ascii="Arial" w:hAnsi="Arial"/>
          <w:sz w:val="20"/>
          <w:szCs w:val="20"/>
          <w:lang w:val="en-US"/>
        </w:rPr>
        <w:t>ban Sustainability in Australia</w:t>
      </w:r>
      <w:r w:rsidRPr="00BA6C6D">
        <w:rPr>
          <w:rFonts w:ascii="Arial" w:hAnsi="Arial"/>
          <w:sz w:val="20"/>
          <w:szCs w:val="20"/>
          <w:lang w:val="en-US"/>
        </w:rPr>
        <w:t xml:space="preserve">, </w:t>
      </w:r>
      <w:r w:rsidRPr="00BA6C6D">
        <w:rPr>
          <w:rFonts w:ascii="Arial" w:hAnsi="Arial"/>
          <w:i/>
          <w:iCs/>
          <w:sz w:val="20"/>
          <w:szCs w:val="20"/>
          <w:lang w:val="en-US"/>
        </w:rPr>
        <w:t xml:space="preserve">Urban Policy and Research, </w:t>
      </w:r>
      <w:r w:rsidR="005657B0">
        <w:rPr>
          <w:rFonts w:ascii="Arial" w:hAnsi="Arial"/>
          <w:sz w:val="20"/>
          <w:szCs w:val="20"/>
          <w:lang w:val="en-US"/>
        </w:rPr>
        <w:t>24</w:t>
      </w:r>
      <w:r w:rsidRPr="00BA6C6D">
        <w:rPr>
          <w:rFonts w:ascii="Arial" w:hAnsi="Arial"/>
          <w:sz w:val="20"/>
          <w:szCs w:val="20"/>
          <w:lang w:val="en-US"/>
        </w:rPr>
        <w:t xml:space="preserve"> </w:t>
      </w:r>
      <w:r w:rsidR="005657B0">
        <w:rPr>
          <w:rFonts w:ascii="Arial" w:hAnsi="Arial"/>
          <w:sz w:val="20"/>
          <w:szCs w:val="20"/>
          <w:lang w:val="en-US"/>
        </w:rPr>
        <w:t>(</w:t>
      </w:r>
      <w:r w:rsidRPr="00BA6C6D">
        <w:rPr>
          <w:rFonts w:ascii="Arial" w:hAnsi="Arial"/>
          <w:sz w:val="20"/>
          <w:szCs w:val="20"/>
          <w:lang w:val="en-US"/>
        </w:rPr>
        <w:t>2</w:t>
      </w:r>
      <w:r w:rsidR="005657B0">
        <w:rPr>
          <w:rFonts w:ascii="Arial" w:hAnsi="Arial"/>
          <w:sz w:val="20"/>
          <w:szCs w:val="20"/>
          <w:lang w:val="en-US"/>
        </w:rPr>
        <w:t>)</w:t>
      </w:r>
      <w:r w:rsidRPr="00BA6C6D">
        <w:rPr>
          <w:rFonts w:ascii="Arial" w:hAnsi="Arial"/>
          <w:sz w:val="20"/>
          <w:szCs w:val="20"/>
          <w:lang w:val="en-US"/>
        </w:rPr>
        <w:t>, pp. 201-216.</w:t>
      </w:r>
    </w:p>
    <w:p w14:paraId="43A3BD52" w14:textId="77777777" w:rsidR="00F55F0D" w:rsidRPr="00BA6C6D" w:rsidRDefault="00F55F0D" w:rsidP="004022A0">
      <w:pPr>
        <w:rPr>
          <w:rFonts w:ascii="Arial" w:hAnsi="Arial"/>
          <w:sz w:val="20"/>
          <w:szCs w:val="20"/>
          <w:lang w:val="en-US"/>
        </w:rPr>
      </w:pPr>
    </w:p>
    <w:p w14:paraId="6638880E" w14:textId="30F4DEF3" w:rsidR="003B7C50" w:rsidRPr="00BA6C6D" w:rsidRDefault="003B7C50" w:rsidP="004022A0">
      <w:pPr>
        <w:rPr>
          <w:rFonts w:ascii="Arial" w:hAnsi="Arial"/>
          <w:sz w:val="20"/>
          <w:szCs w:val="20"/>
          <w:lang w:val="en-AU"/>
        </w:rPr>
      </w:pPr>
      <w:r w:rsidRPr="00BA6C6D">
        <w:rPr>
          <w:rFonts w:ascii="Arial" w:hAnsi="Arial"/>
          <w:sz w:val="20"/>
          <w:szCs w:val="20"/>
          <w:lang w:val="en-AU"/>
        </w:rPr>
        <w:t xml:space="preserve">Department of Planning and Infrastructure </w:t>
      </w:r>
      <w:r w:rsidR="004D3187">
        <w:rPr>
          <w:rFonts w:ascii="Arial" w:hAnsi="Arial"/>
          <w:sz w:val="20"/>
          <w:szCs w:val="20"/>
          <w:lang w:val="en-AU"/>
        </w:rPr>
        <w:t>(</w:t>
      </w:r>
      <w:r w:rsidRPr="00BA6C6D">
        <w:rPr>
          <w:rFonts w:ascii="Arial" w:hAnsi="Arial"/>
          <w:sz w:val="20"/>
          <w:szCs w:val="20"/>
          <w:lang w:val="en-AU"/>
        </w:rPr>
        <w:t>2012</w:t>
      </w:r>
      <w:r w:rsidR="004D3187">
        <w:rPr>
          <w:rFonts w:ascii="Arial" w:hAnsi="Arial"/>
          <w:sz w:val="20"/>
          <w:szCs w:val="20"/>
          <w:lang w:val="en-AU"/>
        </w:rPr>
        <w:t>)</w:t>
      </w:r>
      <w:r w:rsidRPr="00BA6C6D">
        <w:rPr>
          <w:rFonts w:ascii="Arial" w:hAnsi="Arial"/>
          <w:sz w:val="20"/>
          <w:szCs w:val="20"/>
          <w:lang w:val="en-AU"/>
        </w:rPr>
        <w:t xml:space="preserve">, </w:t>
      </w:r>
      <w:r w:rsidRPr="00BA6C6D">
        <w:rPr>
          <w:rFonts w:ascii="Arial" w:hAnsi="Arial"/>
          <w:i/>
          <w:iCs/>
          <w:sz w:val="20"/>
          <w:szCs w:val="20"/>
          <w:lang w:val="en-AU"/>
        </w:rPr>
        <w:t>Review of SEPP 65 and the Residential Flat Design Code Response to Discussion Paper</w:t>
      </w:r>
      <w:r w:rsidRPr="00BA6C6D">
        <w:rPr>
          <w:rFonts w:ascii="Arial" w:hAnsi="Arial"/>
          <w:sz w:val="20"/>
          <w:szCs w:val="20"/>
          <w:lang w:val="en-AU"/>
        </w:rPr>
        <w:t>, viewed 22 November 2014, council@cityofsydney.nsw.gov.au</w:t>
      </w:r>
    </w:p>
    <w:p w14:paraId="21C864E5" w14:textId="77777777" w:rsidR="003B7C50" w:rsidRPr="00BA6C6D" w:rsidRDefault="003B7C50" w:rsidP="004022A0">
      <w:pPr>
        <w:rPr>
          <w:rFonts w:ascii="Arial" w:hAnsi="Arial"/>
          <w:sz w:val="20"/>
          <w:szCs w:val="20"/>
          <w:lang w:val="en-AU"/>
        </w:rPr>
      </w:pPr>
    </w:p>
    <w:p w14:paraId="6847625D" w14:textId="3715879A" w:rsidR="0052627E" w:rsidRPr="00BA6C6D" w:rsidRDefault="0052627E" w:rsidP="0052627E">
      <w:pPr>
        <w:widowControl w:val="0"/>
        <w:autoSpaceDE w:val="0"/>
        <w:autoSpaceDN w:val="0"/>
        <w:adjustRightInd w:val="0"/>
        <w:rPr>
          <w:rFonts w:ascii="Arial" w:hAnsi="Arial" w:cs="Times New Roman"/>
          <w:color w:val="000000"/>
          <w:sz w:val="20"/>
          <w:szCs w:val="20"/>
          <w:lang w:val="en-US"/>
        </w:rPr>
      </w:pPr>
      <w:proofErr w:type="spellStart"/>
      <w:r w:rsidRPr="0052627E">
        <w:rPr>
          <w:rFonts w:ascii="Arial" w:hAnsi="Arial" w:cs="Times New Roman"/>
          <w:color w:val="000000"/>
          <w:sz w:val="20"/>
          <w:szCs w:val="20"/>
          <w:lang w:val="en-US"/>
        </w:rPr>
        <w:t>Easthope</w:t>
      </w:r>
      <w:proofErr w:type="spellEnd"/>
      <w:r w:rsidRPr="0052627E">
        <w:rPr>
          <w:rFonts w:ascii="Arial" w:hAnsi="Arial" w:cs="Times New Roman"/>
          <w:color w:val="000000"/>
          <w:sz w:val="20"/>
          <w:szCs w:val="20"/>
          <w:lang w:val="en-US"/>
        </w:rPr>
        <w:t>, H</w:t>
      </w:r>
      <w:r w:rsidR="004D3187">
        <w:rPr>
          <w:rFonts w:ascii="Arial" w:hAnsi="Arial" w:cs="Times New Roman"/>
          <w:color w:val="000000"/>
          <w:sz w:val="20"/>
          <w:szCs w:val="20"/>
          <w:lang w:val="en-US"/>
        </w:rPr>
        <w:t>.</w:t>
      </w:r>
      <w:r w:rsidRPr="0052627E">
        <w:rPr>
          <w:rFonts w:ascii="Arial" w:hAnsi="Arial" w:cs="Times New Roman"/>
          <w:color w:val="000000"/>
          <w:sz w:val="20"/>
          <w:szCs w:val="20"/>
          <w:lang w:val="en-US"/>
        </w:rPr>
        <w:t>, Randolph, B</w:t>
      </w:r>
      <w:r w:rsidR="004D3187">
        <w:rPr>
          <w:rFonts w:ascii="Arial" w:hAnsi="Arial" w:cs="Times New Roman"/>
          <w:color w:val="000000"/>
          <w:sz w:val="20"/>
          <w:szCs w:val="20"/>
          <w:lang w:val="en-US"/>
        </w:rPr>
        <w:t>.</w:t>
      </w:r>
      <w:r w:rsidRPr="0052627E">
        <w:rPr>
          <w:rFonts w:ascii="Arial" w:hAnsi="Arial" w:cs="Times New Roman"/>
          <w:color w:val="000000"/>
          <w:sz w:val="20"/>
          <w:szCs w:val="20"/>
          <w:lang w:val="en-US"/>
        </w:rPr>
        <w:t xml:space="preserve"> &amp; Judd, S</w:t>
      </w:r>
      <w:r w:rsidR="004D3187">
        <w:rPr>
          <w:rFonts w:ascii="Arial" w:hAnsi="Arial" w:cs="Times New Roman"/>
          <w:color w:val="000000"/>
          <w:sz w:val="20"/>
          <w:szCs w:val="20"/>
          <w:lang w:val="en-US"/>
        </w:rPr>
        <w:t>.</w:t>
      </w:r>
      <w:r w:rsidRPr="0052627E">
        <w:rPr>
          <w:rFonts w:ascii="Arial" w:hAnsi="Arial" w:cs="Times New Roman"/>
          <w:color w:val="000000"/>
          <w:sz w:val="20"/>
          <w:szCs w:val="20"/>
          <w:lang w:val="en-US"/>
        </w:rPr>
        <w:t xml:space="preserve"> </w:t>
      </w:r>
      <w:r w:rsidR="004D3187">
        <w:rPr>
          <w:rFonts w:ascii="Arial" w:hAnsi="Arial" w:cs="Times New Roman"/>
          <w:color w:val="000000"/>
          <w:sz w:val="20"/>
          <w:szCs w:val="20"/>
          <w:lang w:val="en-US"/>
        </w:rPr>
        <w:t xml:space="preserve">(2012) </w:t>
      </w:r>
      <w:r w:rsidRPr="0052627E">
        <w:rPr>
          <w:rFonts w:ascii="Arial" w:hAnsi="Arial" w:cs="Times New Roman"/>
          <w:color w:val="000000"/>
          <w:sz w:val="20"/>
          <w:szCs w:val="20"/>
          <w:lang w:val="en-US"/>
        </w:rPr>
        <w:t>Governing the Compact City: The role and effectiveness of strata manag</w:t>
      </w:r>
      <w:r w:rsidR="004D3187">
        <w:rPr>
          <w:rFonts w:ascii="Arial" w:hAnsi="Arial" w:cs="Times New Roman"/>
          <w:color w:val="000000"/>
          <w:sz w:val="20"/>
          <w:szCs w:val="20"/>
          <w:lang w:val="en-US"/>
        </w:rPr>
        <w:t>ement</w:t>
      </w:r>
      <w:r w:rsidRPr="0052627E">
        <w:rPr>
          <w:rFonts w:ascii="Arial" w:hAnsi="Arial" w:cs="Times New Roman"/>
          <w:color w:val="000000"/>
          <w:sz w:val="20"/>
          <w:szCs w:val="20"/>
          <w:lang w:val="en-US"/>
        </w:rPr>
        <w:t xml:space="preserve">, </w:t>
      </w:r>
      <w:r w:rsidR="004D3187">
        <w:rPr>
          <w:rFonts w:ascii="Arial" w:hAnsi="Arial" w:cs="Times New Roman"/>
          <w:color w:val="000000"/>
          <w:sz w:val="20"/>
          <w:szCs w:val="20"/>
          <w:lang w:val="en-US"/>
        </w:rPr>
        <w:t>(</w:t>
      </w:r>
      <w:r w:rsidRPr="0052627E">
        <w:rPr>
          <w:rFonts w:ascii="Arial" w:hAnsi="Arial" w:cs="Times New Roman"/>
          <w:color w:val="000000"/>
          <w:sz w:val="20"/>
          <w:szCs w:val="20"/>
          <w:lang w:val="en-US"/>
        </w:rPr>
        <w:t>City Futures Research Centre, F</w:t>
      </w:r>
      <w:r w:rsidR="004D3187">
        <w:rPr>
          <w:rFonts w:ascii="Arial" w:hAnsi="Arial" w:cs="Times New Roman"/>
          <w:color w:val="000000"/>
          <w:sz w:val="20"/>
          <w:szCs w:val="20"/>
          <w:lang w:val="en-US"/>
        </w:rPr>
        <w:t>aculty of the Built Environment:</w:t>
      </w:r>
      <w:r w:rsidRPr="0052627E">
        <w:rPr>
          <w:rFonts w:ascii="Arial" w:hAnsi="Arial" w:cs="Times New Roman"/>
          <w:color w:val="000000"/>
          <w:sz w:val="20"/>
          <w:szCs w:val="20"/>
          <w:lang w:val="en-US"/>
        </w:rPr>
        <w:t xml:space="preserve"> University of New South Wales</w:t>
      </w:r>
      <w:r w:rsidR="004D3187">
        <w:rPr>
          <w:rFonts w:ascii="Arial" w:hAnsi="Arial" w:cs="Times New Roman"/>
          <w:color w:val="000000"/>
          <w:sz w:val="20"/>
          <w:szCs w:val="20"/>
          <w:lang w:val="en-US"/>
        </w:rPr>
        <w:t>)</w:t>
      </w:r>
      <w:r w:rsidRPr="0052627E">
        <w:rPr>
          <w:rFonts w:ascii="Arial" w:hAnsi="Arial" w:cs="Times New Roman"/>
          <w:color w:val="000000"/>
          <w:sz w:val="20"/>
          <w:szCs w:val="20"/>
          <w:lang w:val="en-US"/>
        </w:rPr>
        <w:t xml:space="preserve">. </w:t>
      </w:r>
    </w:p>
    <w:p w14:paraId="6B91CAE6" w14:textId="77777777" w:rsidR="00BA6C6D" w:rsidRPr="00BA6C6D" w:rsidRDefault="00BA6C6D" w:rsidP="0052627E">
      <w:pPr>
        <w:widowControl w:val="0"/>
        <w:autoSpaceDE w:val="0"/>
        <w:autoSpaceDN w:val="0"/>
        <w:adjustRightInd w:val="0"/>
        <w:rPr>
          <w:rFonts w:ascii="Arial" w:hAnsi="Arial" w:cs="Times New Roman"/>
          <w:color w:val="000000"/>
          <w:sz w:val="20"/>
          <w:szCs w:val="20"/>
          <w:lang w:val="en-US"/>
        </w:rPr>
      </w:pPr>
    </w:p>
    <w:p w14:paraId="5321C394" w14:textId="37A570CD" w:rsidR="00BA6C6D" w:rsidRPr="00BA6C6D" w:rsidRDefault="00BA6C6D" w:rsidP="0052627E">
      <w:pPr>
        <w:widowControl w:val="0"/>
        <w:autoSpaceDE w:val="0"/>
        <w:autoSpaceDN w:val="0"/>
        <w:adjustRightInd w:val="0"/>
        <w:rPr>
          <w:rFonts w:ascii="Arial" w:hAnsi="Arial" w:cs="Times New Roman"/>
          <w:color w:val="000000"/>
          <w:sz w:val="20"/>
          <w:szCs w:val="20"/>
          <w:lang w:val="en-US"/>
        </w:rPr>
      </w:pPr>
      <w:r w:rsidRPr="00BA6C6D">
        <w:rPr>
          <w:rFonts w:ascii="Arial" w:hAnsi="Arial" w:cs="Times New Roman"/>
          <w:color w:val="000000"/>
          <w:sz w:val="20"/>
          <w:szCs w:val="20"/>
          <w:lang w:val="en-US"/>
        </w:rPr>
        <w:t>Forster, C</w:t>
      </w:r>
      <w:r w:rsidR="004D3187">
        <w:rPr>
          <w:rFonts w:ascii="Arial" w:hAnsi="Arial" w:cs="Times New Roman"/>
          <w:color w:val="000000"/>
          <w:sz w:val="20"/>
          <w:szCs w:val="20"/>
          <w:lang w:val="en-US"/>
        </w:rPr>
        <w:t>.</w:t>
      </w:r>
      <w:r w:rsidRPr="00BA6C6D">
        <w:rPr>
          <w:rFonts w:ascii="Arial" w:hAnsi="Arial" w:cs="Times New Roman"/>
          <w:color w:val="000000"/>
          <w:sz w:val="20"/>
          <w:szCs w:val="20"/>
          <w:lang w:val="en-US"/>
        </w:rPr>
        <w:t xml:space="preserve"> </w:t>
      </w:r>
      <w:r w:rsidR="004D3187">
        <w:rPr>
          <w:rFonts w:ascii="Arial" w:hAnsi="Arial" w:cs="Times New Roman"/>
          <w:color w:val="000000"/>
          <w:sz w:val="20"/>
          <w:szCs w:val="20"/>
          <w:lang w:val="en-US"/>
        </w:rPr>
        <w:t xml:space="preserve">(2006) </w:t>
      </w:r>
      <w:r w:rsidRPr="00BA6C6D">
        <w:rPr>
          <w:rFonts w:ascii="Arial" w:hAnsi="Arial" w:cs="Times New Roman"/>
          <w:color w:val="000000"/>
          <w:sz w:val="20"/>
          <w:szCs w:val="20"/>
          <w:lang w:val="en-US"/>
        </w:rPr>
        <w:t>The challenge of change: Australian cities and urban</w:t>
      </w:r>
      <w:r w:rsidR="004D3187">
        <w:rPr>
          <w:rFonts w:ascii="Arial" w:hAnsi="Arial" w:cs="Times New Roman"/>
          <w:color w:val="000000"/>
          <w:sz w:val="20"/>
          <w:szCs w:val="20"/>
          <w:lang w:val="en-US"/>
        </w:rPr>
        <w:t xml:space="preserve"> planning in the new millennium</w:t>
      </w:r>
      <w:r w:rsidRPr="00BA6C6D">
        <w:rPr>
          <w:rFonts w:ascii="Arial" w:hAnsi="Arial" w:cs="Times New Roman"/>
          <w:color w:val="000000"/>
          <w:sz w:val="20"/>
          <w:szCs w:val="20"/>
          <w:lang w:val="en-US"/>
        </w:rPr>
        <w:t xml:space="preserve">, </w:t>
      </w:r>
      <w:r w:rsidRPr="00BA6C6D">
        <w:rPr>
          <w:rFonts w:ascii="Arial" w:hAnsi="Arial" w:cs="Times New Roman"/>
          <w:i/>
          <w:iCs/>
          <w:color w:val="000000"/>
          <w:sz w:val="20"/>
          <w:szCs w:val="20"/>
          <w:lang w:val="en-US"/>
        </w:rPr>
        <w:t>Geographical Research</w:t>
      </w:r>
      <w:r w:rsidR="004D3187">
        <w:rPr>
          <w:rFonts w:ascii="Arial" w:hAnsi="Arial" w:cs="Times New Roman"/>
          <w:i/>
          <w:iCs/>
          <w:color w:val="000000"/>
          <w:sz w:val="20"/>
          <w:szCs w:val="20"/>
          <w:lang w:val="en-US"/>
        </w:rPr>
        <w:t xml:space="preserve">, </w:t>
      </w:r>
      <w:r w:rsidR="004D3187">
        <w:rPr>
          <w:rFonts w:ascii="Arial" w:hAnsi="Arial" w:cs="Times New Roman"/>
          <w:color w:val="000000"/>
          <w:sz w:val="20"/>
          <w:szCs w:val="20"/>
          <w:lang w:val="en-US"/>
        </w:rPr>
        <w:t>44</w:t>
      </w:r>
      <w:r w:rsidRPr="00BA6C6D">
        <w:rPr>
          <w:rFonts w:ascii="Arial" w:hAnsi="Arial" w:cs="Times New Roman"/>
          <w:color w:val="000000"/>
          <w:sz w:val="20"/>
          <w:szCs w:val="20"/>
          <w:lang w:val="en-US"/>
        </w:rPr>
        <w:t xml:space="preserve"> </w:t>
      </w:r>
      <w:r w:rsidR="004D3187">
        <w:rPr>
          <w:rFonts w:ascii="Arial" w:hAnsi="Arial" w:cs="Times New Roman"/>
          <w:color w:val="000000"/>
          <w:sz w:val="20"/>
          <w:szCs w:val="20"/>
          <w:lang w:val="en-US"/>
        </w:rPr>
        <w:t>(</w:t>
      </w:r>
      <w:r w:rsidRPr="00BA6C6D">
        <w:rPr>
          <w:rFonts w:ascii="Arial" w:hAnsi="Arial" w:cs="Times New Roman"/>
          <w:color w:val="000000"/>
          <w:sz w:val="20"/>
          <w:szCs w:val="20"/>
          <w:lang w:val="en-US"/>
        </w:rPr>
        <w:t>2</w:t>
      </w:r>
      <w:r w:rsidR="004D3187">
        <w:rPr>
          <w:rFonts w:ascii="Arial" w:hAnsi="Arial" w:cs="Times New Roman"/>
          <w:color w:val="000000"/>
          <w:sz w:val="20"/>
          <w:szCs w:val="20"/>
          <w:lang w:val="en-US"/>
        </w:rPr>
        <w:t>)</w:t>
      </w:r>
      <w:r w:rsidRPr="00BA6C6D">
        <w:rPr>
          <w:rFonts w:ascii="Arial" w:hAnsi="Arial" w:cs="Times New Roman"/>
          <w:color w:val="000000"/>
          <w:sz w:val="20"/>
          <w:szCs w:val="20"/>
          <w:lang w:val="en-US"/>
        </w:rPr>
        <w:t>, pp. 173-182.</w:t>
      </w:r>
    </w:p>
    <w:p w14:paraId="2207212D" w14:textId="77777777" w:rsidR="0052627E" w:rsidRDefault="0052627E" w:rsidP="0052627E">
      <w:pPr>
        <w:widowControl w:val="0"/>
        <w:autoSpaceDE w:val="0"/>
        <w:autoSpaceDN w:val="0"/>
        <w:adjustRightInd w:val="0"/>
        <w:rPr>
          <w:rFonts w:ascii="Arial" w:hAnsi="Arial" w:cs="Times New Roman"/>
          <w:color w:val="000000"/>
          <w:sz w:val="20"/>
          <w:szCs w:val="20"/>
          <w:lang w:val="en-US"/>
        </w:rPr>
      </w:pPr>
    </w:p>
    <w:p w14:paraId="2C88607B" w14:textId="4A5DB18D" w:rsidR="00D81524" w:rsidRPr="00BA6C6D" w:rsidRDefault="00D81524" w:rsidP="00D81524">
      <w:pPr>
        <w:rPr>
          <w:rFonts w:ascii="Arial" w:hAnsi="Arial"/>
          <w:sz w:val="20"/>
          <w:szCs w:val="20"/>
          <w:lang w:val="en-AU"/>
        </w:rPr>
      </w:pPr>
      <w:proofErr w:type="spellStart"/>
      <w:r w:rsidRPr="00BA6C6D">
        <w:rPr>
          <w:rFonts w:ascii="Arial" w:hAnsi="Arial"/>
          <w:sz w:val="20"/>
          <w:szCs w:val="20"/>
          <w:lang w:val="en-AU"/>
        </w:rPr>
        <w:t>Gaden</w:t>
      </w:r>
      <w:proofErr w:type="spellEnd"/>
      <w:r w:rsidRPr="00BA6C6D">
        <w:rPr>
          <w:rFonts w:ascii="Arial" w:hAnsi="Arial"/>
          <w:sz w:val="20"/>
          <w:szCs w:val="20"/>
          <w:lang w:val="en-AU"/>
        </w:rPr>
        <w:t xml:space="preserve">-Urbis. (2015). Changes </w:t>
      </w:r>
      <w:r w:rsidR="00E27B03">
        <w:rPr>
          <w:rFonts w:ascii="Arial" w:hAnsi="Arial"/>
          <w:sz w:val="20"/>
          <w:szCs w:val="20"/>
          <w:lang w:val="en-AU"/>
        </w:rPr>
        <w:t>to SEPP 65 Seminar 30 July 2015, viewed</w:t>
      </w:r>
      <w:r w:rsidRPr="00BA6C6D">
        <w:rPr>
          <w:rFonts w:ascii="Arial" w:hAnsi="Arial"/>
          <w:sz w:val="20"/>
          <w:szCs w:val="20"/>
          <w:lang w:val="en-AU"/>
        </w:rPr>
        <w:t xml:space="preserve"> </w:t>
      </w:r>
      <w:r w:rsidR="00E27B03">
        <w:rPr>
          <w:rFonts w:ascii="Arial" w:hAnsi="Arial"/>
          <w:sz w:val="20"/>
          <w:szCs w:val="20"/>
          <w:lang w:val="en-AU"/>
        </w:rPr>
        <w:t xml:space="preserve">19 June 2017, </w:t>
      </w:r>
      <w:hyperlink r:id="rId10" w:history="1">
        <w:r w:rsidRPr="00BA6C6D">
          <w:rPr>
            <w:rStyle w:val="Hyperlink"/>
            <w:rFonts w:ascii="Arial" w:hAnsi="Arial"/>
            <w:sz w:val="20"/>
            <w:szCs w:val="20"/>
            <w:lang w:val="en-AU"/>
          </w:rPr>
          <w:t>https://urbis.com.au/app/uploads/2015/08/Gadens_Urbis_-SEPP-65- Seminar_30July2015.pdf</w:t>
        </w:r>
      </w:hyperlink>
      <w:r w:rsidRPr="00BA6C6D">
        <w:rPr>
          <w:rFonts w:ascii="Arial" w:hAnsi="Arial"/>
          <w:sz w:val="20"/>
          <w:szCs w:val="20"/>
          <w:lang w:val="en-AU"/>
        </w:rPr>
        <w:t xml:space="preserve"> </w:t>
      </w:r>
    </w:p>
    <w:p w14:paraId="3DB38F2C" w14:textId="77777777" w:rsidR="00D81524" w:rsidRDefault="00D81524" w:rsidP="0052627E">
      <w:pPr>
        <w:widowControl w:val="0"/>
        <w:autoSpaceDE w:val="0"/>
        <w:autoSpaceDN w:val="0"/>
        <w:adjustRightInd w:val="0"/>
        <w:rPr>
          <w:rFonts w:ascii="Arial" w:hAnsi="Arial" w:cs="Times New Roman"/>
          <w:color w:val="000000"/>
          <w:sz w:val="20"/>
          <w:szCs w:val="20"/>
          <w:lang w:val="en-US"/>
        </w:rPr>
      </w:pPr>
    </w:p>
    <w:p w14:paraId="44F90E51" w14:textId="629B9E80" w:rsidR="00C10CC8" w:rsidRPr="0052627E" w:rsidRDefault="00C10CC8" w:rsidP="0052627E">
      <w:pPr>
        <w:widowControl w:val="0"/>
        <w:autoSpaceDE w:val="0"/>
        <w:autoSpaceDN w:val="0"/>
        <w:adjustRightInd w:val="0"/>
        <w:rPr>
          <w:rFonts w:ascii="Arial" w:hAnsi="Arial" w:cs="Times New Roman"/>
          <w:color w:val="000000"/>
          <w:sz w:val="20"/>
          <w:szCs w:val="20"/>
          <w:lang w:val="en-US"/>
        </w:rPr>
      </w:pPr>
      <w:r w:rsidRPr="00C10CC8">
        <w:rPr>
          <w:rFonts w:ascii="Arial" w:hAnsi="Arial" w:cs="Times New Roman"/>
          <w:color w:val="000000"/>
          <w:sz w:val="20"/>
          <w:szCs w:val="20"/>
          <w:lang w:val="en-US"/>
        </w:rPr>
        <w:t>Kelly, J</w:t>
      </w:r>
      <w:r w:rsidR="00E27B03">
        <w:rPr>
          <w:rFonts w:ascii="Arial" w:hAnsi="Arial" w:cs="Times New Roman"/>
          <w:color w:val="000000"/>
          <w:sz w:val="20"/>
          <w:szCs w:val="20"/>
          <w:lang w:val="en-US"/>
        </w:rPr>
        <w:t>.</w:t>
      </w:r>
      <w:r w:rsidRPr="00C10CC8">
        <w:rPr>
          <w:rFonts w:ascii="Arial" w:hAnsi="Arial" w:cs="Times New Roman"/>
          <w:color w:val="000000"/>
          <w:sz w:val="20"/>
          <w:szCs w:val="20"/>
          <w:lang w:val="en-US"/>
        </w:rPr>
        <w:t>F</w:t>
      </w:r>
      <w:r w:rsidR="00E27B03">
        <w:rPr>
          <w:rFonts w:ascii="Arial" w:hAnsi="Arial" w:cs="Times New Roman"/>
          <w:color w:val="000000"/>
          <w:sz w:val="20"/>
          <w:szCs w:val="20"/>
          <w:lang w:val="en-US"/>
        </w:rPr>
        <w:t>.</w:t>
      </w:r>
      <w:r w:rsidRPr="00C10CC8">
        <w:rPr>
          <w:rFonts w:ascii="Arial" w:hAnsi="Arial" w:cs="Times New Roman"/>
          <w:color w:val="000000"/>
          <w:sz w:val="20"/>
          <w:szCs w:val="20"/>
          <w:lang w:val="en-US"/>
        </w:rPr>
        <w:t xml:space="preserve">, </w:t>
      </w:r>
      <w:proofErr w:type="spellStart"/>
      <w:r w:rsidRPr="00C10CC8">
        <w:rPr>
          <w:rFonts w:ascii="Arial" w:hAnsi="Arial" w:cs="Times New Roman"/>
          <w:color w:val="000000"/>
          <w:sz w:val="20"/>
          <w:szCs w:val="20"/>
          <w:lang w:val="en-US"/>
        </w:rPr>
        <w:t>Weidmann</w:t>
      </w:r>
      <w:proofErr w:type="spellEnd"/>
      <w:r w:rsidRPr="00C10CC8">
        <w:rPr>
          <w:rFonts w:ascii="Arial" w:hAnsi="Arial" w:cs="Times New Roman"/>
          <w:color w:val="000000"/>
          <w:sz w:val="20"/>
          <w:szCs w:val="20"/>
          <w:lang w:val="en-US"/>
        </w:rPr>
        <w:t>, B</w:t>
      </w:r>
      <w:r w:rsidR="00E27B03">
        <w:rPr>
          <w:rFonts w:ascii="Arial" w:hAnsi="Arial" w:cs="Times New Roman"/>
          <w:color w:val="000000"/>
          <w:sz w:val="20"/>
          <w:szCs w:val="20"/>
          <w:lang w:val="en-US"/>
        </w:rPr>
        <w:t>.</w:t>
      </w:r>
      <w:r w:rsidRPr="00C10CC8">
        <w:rPr>
          <w:rFonts w:ascii="Arial" w:hAnsi="Arial" w:cs="Times New Roman"/>
          <w:color w:val="000000"/>
          <w:sz w:val="20"/>
          <w:szCs w:val="20"/>
          <w:lang w:val="en-US"/>
        </w:rPr>
        <w:t xml:space="preserve"> &amp; Walsh, M</w:t>
      </w:r>
      <w:r w:rsidR="00E27B03">
        <w:rPr>
          <w:rFonts w:ascii="Arial" w:hAnsi="Arial" w:cs="Times New Roman"/>
          <w:color w:val="000000"/>
          <w:sz w:val="20"/>
          <w:szCs w:val="20"/>
          <w:lang w:val="en-US"/>
        </w:rPr>
        <w:t>.</w:t>
      </w:r>
      <w:r w:rsidRPr="00C10CC8">
        <w:rPr>
          <w:rFonts w:ascii="Arial" w:hAnsi="Arial" w:cs="Times New Roman"/>
          <w:color w:val="000000"/>
          <w:sz w:val="20"/>
          <w:szCs w:val="20"/>
          <w:lang w:val="en-US"/>
        </w:rPr>
        <w:t xml:space="preserve"> </w:t>
      </w:r>
      <w:r w:rsidR="00E27B03">
        <w:rPr>
          <w:rFonts w:ascii="Arial" w:hAnsi="Arial" w:cs="Times New Roman"/>
          <w:color w:val="000000"/>
          <w:sz w:val="20"/>
          <w:szCs w:val="20"/>
          <w:lang w:val="en-US"/>
        </w:rPr>
        <w:t>(2011) The Housing We'd Choose</w:t>
      </w:r>
      <w:r w:rsidRPr="00C10CC8">
        <w:rPr>
          <w:rFonts w:ascii="Arial" w:hAnsi="Arial" w:cs="Times New Roman"/>
          <w:color w:val="000000"/>
          <w:sz w:val="20"/>
          <w:szCs w:val="20"/>
          <w:lang w:val="en-US"/>
        </w:rPr>
        <w:t xml:space="preserve">, </w:t>
      </w:r>
      <w:r w:rsidR="00E27B03">
        <w:rPr>
          <w:rFonts w:ascii="Arial" w:hAnsi="Arial" w:cs="Times New Roman"/>
          <w:color w:val="000000"/>
          <w:sz w:val="20"/>
          <w:szCs w:val="20"/>
          <w:lang w:val="en-US"/>
        </w:rPr>
        <w:t>(</w:t>
      </w:r>
      <w:r w:rsidRPr="00C10CC8">
        <w:rPr>
          <w:rFonts w:ascii="Arial" w:hAnsi="Arial" w:cs="Times New Roman"/>
          <w:color w:val="000000"/>
          <w:sz w:val="20"/>
          <w:szCs w:val="20"/>
          <w:lang w:val="en-US"/>
        </w:rPr>
        <w:t>Grattan Institute, Melbourne</w:t>
      </w:r>
      <w:r w:rsidR="00E27B03">
        <w:rPr>
          <w:rFonts w:ascii="Arial" w:hAnsi="Arial" w:cs="Times New Roman"/>
          <w:color w:val="000000"/>
          <w:sz w:val="20"/>
          <w:szCs w:val="20"/>
          <w:lang w:val="en-US"/>
        </w:rPr>
        <w:t>)</w:t>
      </w:r>
      <w:r w:rsidRPr="00C10CC8">
        <w:rPr>
          <w:rFonts w:ascii="Arial" w:hAnsi="Arial" w:cs="Times New Roman"/>
          <w:color w:val="000000"/>
          <w:sz w:val="20"/>
          <w:szCs w:val="20"/>
          <w:lang w:val="en-US"/>
        </w:rPr>
        <w:t>.</w:t>
      </w:r>
    </w:p>
    <w:p w14:paraId="5FC6E94A" w14:textId="77777777" w:rsidR="0052627E" w:rsidRPr="00BA6C6D" w:rsidRDefault="0052627E" w:rsidP="004022A0">
      <w:pPr>
        <w:rPr>
          <w:rFonts w:ascii="Arial" w:hAnsi="Arial"/>
          <w:sz w:val="20"/>
          <w:szCs w:val="20"/>
          <w:lang w:val="en-AU"/>
        </w:rPr>
      </w:pPr>
    </w:p>
    <w:p w14:paraId="2E4A4D43" w14:textId="4AB8BD5A" w:rsidR="009C1898" w:rsidRPr="00BA6C6D" w:rsidRDefault="009C1898" w:rsidP="004022A0">
      <w:pPr>
        <w:rPr>
          <w:rFonts w:ascii="Arial" w:hAnsi="Arial"/>
          <w:sz w:val="20"/>
          <w:szCs w:val="20"/>
          <w:lang w:val="en-AU"/>
        </w:rPr>
      </w:pPr>
      <w:r w:rsidRPr="00BA6C6D">
        <w:rPr>
          <w:rFonts w:ascii="Arial" w:hAnsi="Arial"/>
          <w:sz w:val="20"/>
          <w:szCs w:val="20"/>
          <w:lang w:val="en-AU"/>
        </w:rPr>
        <w:lastRenderedPageBreak/>
        <w:t xml:space="preserve">London Development Agency </w:t>
      </w:r>
      <w:r w:rsidR="000C17F5">
        <w:rPr>
          <w:rFonts w:ascii="Arial" w:hAnsi="Arial"/>
          <w:sz w:val="20"/>
          <w:szCs w:val="20"/>
          <w:lang w:val="en-AU"/>
        </w:rPr>
        <w:t>(</w:t>
      </w:r>
      <w:r w:rsidRPr="00BA6C6D">
        <w:rPr>
          <w:rFonts w:ascii="Arial" w:hAnsi="Arial"/>
          <w:sz w:val="20"/>
          <w:szCs w:val="20"/>
          <w:lang w:val="en-AU"/>
        </w:rPr>
        <w:t>2010</w:t>
      </w:r>
      <w:r w:rsidR="000C17F5">
        <w:rPr>
          <w:rFonts w:ascii="Arial" w:hAnsi="Arial"/>
          <w:sz w:val="20"/>
          <w:szCs w:val="20"/>
          <w:lang w:val="en-AU"/>
        </w:rPr>
        <w:t>)</w:t>
      </w:r>
      <w:r w:rsidRPr="00BA6C6D">
        <w:rPr>
          <w:rFonts w:ascii="Arial" w:hAnsi="Arial"/>
          <w:sz w:val="20"/>
          <w:szCs w:val="20"/>
          <w:lang w:val="en-AU"/>
        </w:rPr>
        <w:t xml:space="preserve"> </w:t>
      </w:r>
      <w:r w:rsidRPr="00BA6C6D">
        <w:rPr>
          <w:rFonts w:ascii="Arial" w:hAnsi="Arial"/>
          <w:i/>
          <w:iCs/>
          <w:sz w:val="20"/>
          <w:szCs w:val="20"/>
          <w:lang w:val="en-AU"/>
        </w:rPr>
        <w:t>London Housing Design Guide</w:t>
      </w:r>
      <w:r w:rsidRPr="00BA6C6D">
        <w:rPr>
          <w:rFonts w:ascii="Arial" w:hAnsi="Arial"/>
          <w:sz w:val="20"/>
          <w:szCs w:val="20"/>
          <w:lang w:val="en-AU"/>
        </w:rPr>
        <w:t>, viewed 23 November 2014, http://www.lda.gov.uk/publications-and-media/publications/design-guide.aspx</w:t>
      </w:r>
    </w:p>
    <w:p w14:paraId="7382D815" w14:textId="77777777" w:rsidR="009C1898" w:rsidRPr="00BA6C6D" w:rsidRDefault="009C1898" w:rsidP="004022A0">
      <w:pPr>
        <w:rPr>
          <w:rFonts w:ascii="Arial" w:hAnsi="Arial"/>
          <w:sz w:val="20"/>
          <w:szCs w:val="20"/>
          <w:lang w:val="en-AU"/>
        </w:rPr>
      </w:pPr>
    </w:p>
    <w:p w14:paraId="134A9905" w14:textId="49B0811A" w:rsidR="00411A7A" w:rsidRPr="00411A7A" w:rsidRDefault="00411A7A" w:rsidP="00411A7A">
      <w:pPr>
        <w:rPr>
          <w:rFonts w:ascii="Arial" w:hAnsi="Arial"/>
          <w:sz w:val="20"/>
          <w:szCs w:val="20"/>
          <w:lang w:val="en-US"/>
        </w:rPr>
      </w:pPr>
      <w:r w:rsidRPr="00411A7A">
        <w:rPr>
          <w:rFonts w:ascii="Arial" w:hAnsi="Arial"/>
          <w:sz w:val="20"/>
          <w:szCs w:val="20"/>
          <w:lang w:val="en-US"/>
        </w:rPr>
        <w:t>m3property Strategists</w:t>
      </w:r>
      <w:r w:rsidR="000C17F5">
        <w:rPr>
          <w:rFonts w:ascii="Arial" w:hAnsi="Arial"/>
          <w:sz w:val="20"/>
          <w:szCs w:val="20"/>
          <w:lang w:val="en-US"/>
        </w:rPr>
        <w:t>. (2016</w:t>
      </w:r>
      <w:proofErr w:type="gramStart"/>
      <w:r w:rsidR="000C17F5">
        <w:rPr>
          <w:rFonts w:ascii="Arial" w:hAnsi="Arial"/>
          <w:sz w:val="20"/>
          <w:szCs w:val="20"/>
          <w:lang w:val="en-US"/>
        </w:rPr>
        <w:t>)  Sydney</w:t>
      </w:r>
      <w:proofErr w:type="gramEnd"/>
      <w:r w:rsidR="000C17F5">
        <w:rPr>
          <w:rFonts w:ascii="Arial" w:hAnsi="Arial"/>
          <w:sz w:val="20"/>
          <w:szCs w:val="20"/>
          <w:lang w:val="en-US"/>
        </w:rPr>
        <w:t xml:space="preserve"> Apartment Market</w:t>
      </w:r>
      <w:r w:rsidRPr="00411A7A">
        <w:rPr>
          <w:rFonts w:ascii="Arial" w:hAnsi="Arial"/>
          <w:sz w:val="20"/>
          <w:szCs w:val="20"/>
          <w:lang w:val="en-US"/>
        </w:rPr>
        <w:t xml:space="preserve">, </w:t>
      </w:r>
      <w:r w:rsidRPr="00411A7A">
        <w:rPr>
          <w:rFonts w:ascii="Arial" w:hAnsi="Arial"/>
          <w:i/>
          <w:iCs/>
          <w:sz w:val="20"/>
          <w:szCs w:val="20"/>
          <w:lang w:val="en-US"/>
        </w:rPr>
        <w:t xml:space="preserve">Comm3ntary, </w:t>
      </w:r>
      <w:r w:rsidRPr="00411A7A">
        <w:rPr>
          <w:rFonts w:ascii="Arial" w:hAnsi="Arial"/>
          <w:sz w:val="20"/>
          <w:szCs w:val="20"/>
          <w:lang w:val="en-US"/>
        </w:rPr>
        <w:t xml:space="preserve">Spring 2016, viewed 31 October 2016, </w:t>
      </w:r>
    </w:p>
    <w:p w14:paraId="2FDD14CE" w14:textId="77777777" w:rsidR="00411A7A" w:rsidRPr="00411A7A" w:rsidRDefault="00411A7A" w:rsidP="00411A7A">
      <w:pPr>
        <w:rPr>
          <w:rFonts w:ascii="Arial" w:hAnsi="Arial"/>
          <w:sz w:val="20"/>
          <w:szCs w:val="20"/>
          <w:lang w:val="en-US"/>
        </w:rPr>
      </w:pPr>
      <w:r w:rsidRPr="00411A7A">
        <w:rPr>
          <w:rFonts w:ascii="Arial" w:hAnsi="Arial"/>
          <w:sz w:val="20"/>
          <w:szCs w:val="20"/>
          <w:lang w:val="en-US"/>
        </w:rPr>
        <w:t xml:space="preserve">http://www.m3property.com.au/wp-content/uploads/2016/09/NSW-Residential-Comm3ntary-report-Spring-September-2016.pdf </w:t>
      </w:r>
    </w:p>
    <w:p w14:paraId="7DA8882C" w14:textId="67C35BF6" w:rsidR="009C1898" w:rsidRPr="00BA6C6D" w:rsidRDefault="009C1898" w:rsidP="00411A7A">
      <w:pPr>
        <w:rPr>
          <w:rFonts w:ascii="Arial" w:hAnsi="Arial"/>
          <w:sz w:val="20"/>
          <w:szCs w:val="20"/>
          <w:lang w:val="en-AU"/>
        </w:rPr>
      </w:pPr>
    </w:p>
    <w:p w14:paraId="48177D56" w14:textId="65014096" w:rsidR="0084529E" w:rsidRPr="00BA6C6D" w:rsidRDefault="00A232A4" w:rsidP="004022A0">
      <w:pPr>
        <w:rPr>
          <w:rFonts w:ascii="Arial" w:hAnsi="Arial"/>
          <w:sz w:val="20"/>
          <w:szCs w:val="20"/>
          <w:lang w:val="en-AU"/>
        </w:rPr>
      </w:pPr>
      <w:r w:rsidRPr="00BA6C6D">
        <w:rPr>
          <w:rFonts w:ascii="Arial" w:hAnsi="Arial"/>
          <w:sz w:val="20"/>
          <w:szCs w:val="20"/>
          <w:lang w:val="en-AU"/>
        </w:rPr>
        <w:t xml:space="preserve">New South Wales </w:t>
      </w:r>
      <w:r w:rsidR="00FB7532" w:rsidRPr="00BA6C6D">
        <w:rPr>
          <w:rFonts w:ascii="Arial" w:hAnsi="Arial"/>
          <w:sz w:val="20"/>
          <w:szCs w:val="20"/>
          <w:lang w:val="en-AU"/>
        </w:rPr>
        <w:t xml:space="preserve">(NSW) </w:t>
      </w:r>
      <w:r w:rsidRPr="00BA6C6D">
        <w:rPr>
          <w:rFonts w:ascii="Arial" w:hAnsi="Arial"/>
          <w:sz w:val="20"/>
          <w:szCs w:val="20"/>
          <w:lang w:val="en-AU"/>
        </w:rPr>
        <w:t xml:space="preserve">Department of Planning (2002). </w:t>
      </w:r>
      <w:r w:rsidRPr="00BA6C6D">
        <w:rPr>
          <w:rFonts w:ascii="Arial" w:hAnsi="Arial"/>
          <w:i/>
          <w:iCs/>
          <w:sz w:val="20"/>
          <w:szCs w:val="20"/>
          <w:lang w:val="en-AU"/>
        </w:rPr>
        <w:t>Residential Flat Design Code</w:t>
      </w:r>
      <w:r w:rsidRPr="00BA6C6D">
        <w:rPr>
          <w:rFonts w:ascii="Arial" w:hAnsi="Arial"/>
          <w:sz w:val="20"/>
          <w:szCs w:val="20"/>
          <w:lang w:val="en-AU"/>
        </w:rPr>
        <w:t xml:space="preserve">. </w:t>
      </w:r>
      <w:r w:rsidR="000C17F5">
        <w:rPr>
          <w:rFonts w:ascii="Arial" w:hAnsi="Arial"/>
          <w:sz w:val="20"/>
          <w:szCs w:val="20"/>
          <w:lang w:val="en-AU"/>
        </w:rPr>
        <w:t>Viewed 12 June 2017,</w:t>
      </w:r>
      <w:r w:rsidRPr="00BA6C6D">
        <w:rPr>
          <w:rFonts w:ascii="Arial" w:hAnsi="Arial"/>
          <w:sz w:val="20"/>
          <w:szCs w:val="20"/>
          <w:lang w:val="en-AU"/>
        </w:rPr>
        <w:t xml:space="preserve"> </w:t>
      </w:r>
      <w:hyperlink r:id="rId11" w:history="1">
        <w:r w:rsidRPr="00BA6C6D">
          <w:rPr>
            <w:rStyle w:val="Hyperlink"/>
            <w:rFonts w:ascii="Arial" w:hAnsi="Arial"/>
            <w:sz w:val="20"/>
            <w:szCs w:val="20"/>
            <w:lang w:val="en-AU"/>
          </w:rPr>
          <w:t>http://www.planning.nsw.gov.au/~/media/Files/DPE/Manuals-and-guides/residential-flat-design-code-2002-02.ashx</w:t>
        </w:r>
      </w:hyperlink>
      <w:r w:rsidRPr="00BA6C6D">
        <w:rPr>
          <w:rFonts w:ascii="Arial" w:hAnsi="Arial"/>
          <w:sz w:val="20"/>
          <w:szCs w:val="20"/>
          <w:lang w:val="en-AU"/>
        </w:rPr>
        <w:t xml:space="preserve"> </w:t>
      </w:r>
    </w:p>
    <w:p w14:paraId="3C757E10" w14:textId="77777777" w:rsidR="001F5DEE" w:rsidRDefault="001F5DEE" w:rsidP="004022A0">
      <w:pPr>
        <w:rPr>
          <w:rFonts w:ascii="Arial" w:hAnsi="Arial"/>
          <w:sz w:val="20"/>
          <w:szCs w:val="20"/>
          <w:lang w:val="en-AU"/>
        </w:rPr>
      </w:pPr>
    </w:p>
    <w:p w14:paraId="1EDCA4D3" w14:textId="0871AFEE" w:rsidR="00E009A4" w:rsidRDefault="00E009A4" w:rsidP="004022A0">
      <w:pPr>
        <w:rPr>
          <w:rFonts w:ascii="Arial" w:hAnsi="Arial"/>
          <w:sz w:val="20"/>
          <w:szCs w:val="20"/>
          <w:lang w:val="en-AU"/>
        </w:rPr>
      </w:pPr>
      <w:r w:rsidRPr="00E009A4">
        <w:rPr>
          <w:rFonts w:ascii="Arial" w:hAnsi="Arial"/>
          <w:sz w:val="20"/>
          <w:szCs w:val="20"/>
          <w:lang w:val="en-US"/>
        </w:rPr>
        <w:t>New South Wales</w:t>
      </w:r>
      <w:r w:rsidR="000C17F5">
        <w:rPr>
          <w:rFonts w:ascii="Arial" w:hAnsi="Arial"/>
          <w:sz w:val="20"/>
          <w:szCs w:val="20"/>
          <w:lang w:val="en-US"/>
        </w:rPr>
        <w:t xml:space="preserve"> (NSW)</w:t>
      </w:r>
      <w:r w:rsidRPr="00E009A4">
        <w:rPr>
          <w:rFonts w:ascii="Arial" w:hAnsi="Arial"/>
          <w:sz w:val="20"/>
          <w:szCs w:val="20"/>
          <w:lang w:val="en-US"/>
        </w:rPr>
        <w:t xml:space="preserve"> Department of Planning </w:t>
      </w:r>
      <w:r w:rsidR="000C17F5">
        <w:rPr>
          <w:rFonts w:ascii="Arial" w:hAnsi="Arial"/>
          <w:sz w:val="20"/>
          <w:szCs w:val="20"/>
          <w:lang w:val="en-US"/>
        </w:rPr>
        <w:t>(2010)</w:t>
      </w:r>
      <w:r w:rsidRPr="00E009A4">
        <w:rPr>
          <w:rFonts w:ascii="Arial" w:hAnsi="Arial"/>
          <w:sz w:val="20"/>
          <w:szCs w:val="20"/>
          <w:lang w:val="en-US"/>
        </w:rPr>
        <w:t xml:space="preserve"> </w:t>
      </w:r>
      <w:r w:rsidRPr="00E009A4">
        <w:rPr>
          <w:rFonts w:ascii="Arial" w:hAnsi="Arial"/>
          <w:i/>
          <w:iCs/>
          <w:sz w:val="20"/>
          <w:szCs w:val="20"/>
          <w:lang w:val="en-US"/>
        </w:rPr>
        <w:t>Metropolitan Plan For Sydney 2036</w:t>
      </w:r>
      <w:r w:rsidRPr="00E009A4">
        <w:rPr>
          <w:rFonts w:ascii="Arial" w:hAnsi="Arial"/>
          <w:sz w:val="20"/>
          <w:szCs w:val="20"/>
          <w:lang w:val="en-US"/>
        </w:rPr>
        <w:t>, NSW Department of Planning.</w:t>
      </w:r>
    </w:p>
    <w:p w14:paraId="11ABEF1F" w14:textId="77777777" w:rsidR="00E009A4" w:rsidRDefault="00E009A4" w:rsidP="004022A0">
      <w:pPr>
        <w:rPr>
          <w:rFonts w:ascii="Arial" w:hAnsi="Arial"/>
          <w:sz w:val="20"/>
          <w:szCs w:val="20"/>
          <w:lang w:val="en-AU"/>
        </w:rPr>
      </w:pPr>
    </w:p>
    <w:p w14:paraId="41D3A2B0" w14:textId="0C7704A5" w:rsidR="00E009A4" w:rsidRDefault="00E009A4" w:rsidP="004022A0">
      <w:pPr>
        <w:rPr>
          <w:rFonts w:ascii="Arial" w:hAnsi="Arial"/>
          <w:sz w:val="20"/>
          <w:szCs w:val="20"/>
          <w:lang w:val="en-AU"/>
        </w:rPr>
      </w:pPr>
      <w:r w:rsidRPr="00E009A4">
        <w:rPr>
          <w:rFonts w:ascii="Arial" w:hAnsi="Arial"/>
          <w:sz w:val="20"/>
          <w:szCs w:val="20"/>
          <w:lang w:val="en-US"/>
        </w:rPr>
        <w:t xml:space="preserve">New South Wales </w:t>
      </w:r>
      <w:r w:rsidR="000C17F5">
        <w:rPr>
          <w:rFonts w:ascii="Arial" w:hAnsi="Arial"/>
          <w:sz w:val="20"/>
          <w:szCs w:val="20"/>
          <w:lang w:val="en-US"/>
        </w:rPr>
        <w:t xml:space="preserve">(NSW) </w:t>
      </w:r>
      <w:r w:rsidRPr="00BA6C6D">
        <w:rPr>
          <w:rFonts w:ascii="Arial" w:hAnsi="Arial"/>
          <w:sz w:val="20"/>
          <w:szCs w:val="20"/>
          <w:lang w:val="en-AU"/>
        </w:rPr>
        <w:t xml:space="preserve">Department of </w:t>
      </w:r>
      <w:r w:rsidRPr="00E009A4">
        <w:rPr>
          <w:rFonts w:ascii="Arial" w:hAnsi="Arial"/>
          <w:sz w:val="20"/>
          <w:szCs w:val="20"/>
          <w:lang w:val="en-US"/>
        </w:rPr>
        <w:t xml:space="preserve">Planning and Environment </w:t>
      </w:r>
      <w:r>
        <w:rPr>
          <w:rFonts w:ascii="Arial" w:hAnsi="Arial"/>
          <w:sz w:val="20"/>
          <w:szCs w:val="20"/>
          <w:lang w:val="en-US"/>
        </w:rPr>
        <w:t>(</w:t>
      </w:r>
      <w:r w:rsidRPr="00E009A4">
        <w:rPr>
          <w:rFonts w:ascii="Arial" w:hAnsi="Arial"/>
          <w:sz w:val="20"/>
          <w:szCs w:val="20"/>
          <w:lang w:val="en-US"/>
        </w:rPr>
        <w:t>2014</w:t>
      </w:r>
      <w:r>
        <w:rPr>
          <w:rFonts w:ascii="Arial" w:hAnsi="Arial"/>
          <w:sz w:val="20"/>
          <w:szCs w:val="20"/>
          <w:lang w:val="en-US"/>
        </w:rPr>
        <w:t>a)</w:t>
      </w:r>
      <w:r w:rsidRPr="00E009A4">
        <w:rPr>
          <w:rFonts w:ascii="Arial" w:hAnsi="Arial"/>
          <w:sz w:val="20"/>
          <w:szCs w:val="20"/>
          <w:lang w:val="en-US"/>
        </w:rPr>
        <w:t xml:space="preserve"> </w:t>
      </w:r>
      <w:r w:rsidRPr="00E009A4">
        <w:rPr>
          <w:rFonts w:ascii="Arial" w:hAnsi="Arial"/>
          <w:i/>
          <w:iCs/>
          <w:sz w:val="20"/>
          <w:szCs w:val="20"/>
          <w:lang w:val="en-US"/>
        </w:rPr>
        <w:t>A Plan for Growing Sydney</w:t>
      </w:r>
      <w:r w:rsidRPr="00E009A4">
        <w:rPr>
          <w:rFonts w:ascii="Arial" w:hAnsi="Arial"/>
          <w:sz w:val="20"/>
          <w:szCs w:val="20"/>
          <w:lang w:val="en-US"/>
        </w:rPr>
        <w:t>, NSW Government</w:t>
      </w:r>
    </w:p>
    <w:p w14:paraId="6F1524B5" w14:textId="77777777" w:rsidR="00E009A4" w:rsidRPr="00BA6C6D" w:rsidRDefault="00E009A4" w:rsidP="004022A0">
      <w:pPr>
        <w:rPr>
          <w:rFonts w:ascii="Arial" w:hAnsi="Arial"/>
          <w:sz w:val="20"/>
          <w:szCs w:val="20"/>
          <w:lang w:val="en-AU"/>
        </w:rPr>
      </w:pPr>
    </w:p>
    <w:p w14:paraId="29991376" w14:textId="708C6E5B" w:rsidR="000C17F5" w:rsidRPr="000C17F5" w:rsidRDefault="001F5DEE" w:rsidP="004022A0">
      <w:pPr>
        <w:rPr>
          <w:rFonts w:ascii="Arial" w:hAnsi="Arial"/>
          <w:color w:val="0000FF" w:themeColor="hyperlink"/>
          <w:sz w:val="20"/>
          <w:szCs w:val="20"/>
          <w:u w:val="single"/>
          <w:lang w:val="en-AU"/>
        </w:rPr>
      </w:pPr>
      <w:r w:rsidRPr="00BA6C6D">
        <w:rPr>
          <w:rFonts w:ascii="Arial" w:hAnsi="Arial"/>
          <w:sz w:val="20"/>
          <w:szCs w:val="20"/>
          <w:lang w:val="en-AU"/>
        </w:rPr>
        <w:t>New South Wales (NSW) Department of Planning and Environment (2014</w:t>
      </w:r>
      <w:r w:rsidR="00E009A4">
        <w:rPr>
          <w:rFonts w:ascii="Arial" w:hAnsi="Arial"/>
          <w:sz w:val="20"/>
          <w:szCs w:val="20"/>
          <w:lang w:val="en-AU"/>
        </w:rPr>
        <w:t>b</w:t>
      </w:r>
      <w:r w:rsidR="000C17F5">
        <w:rPr>
          <w:rFonts w:ascii="Arial" w:hAnsi="Arial"/>
          <w:sz w:val="20"/>
          <w:szCs w:val="20"/>
          <w:lang w:val="en-AU"/>
        </w:rPr>
        <w:t>)</w:t>
      </w:r>
      <w:r w:rsidRPr="00BA6C6D">
        <w:rPr>
          <w:rFonts w:ascii="Arial" w:hAnsi="Arial"/>
          <w:sz w:val="20"/>
          <w:szCs w:val="20"/>
          <w:lang w:val="en-AU"/>
        </w:rPr>
        <w:t xml:space="preserve"> Design Quality of Reside</w:t>
      </w:r>
      <w:r w:rsidR="000C17F5">
        <w:rPr>
          <w:rFonts w:ascii="Arial" w:hAnsi="Arial"/>
          <w:sz w:val="20"/>
          <w:szCs w:val="20"/>
          <w:lang w:val="en-AU"/>
        </w:rPr>
        <w:t>ntial Flat Development (SEPP65)</w:t>
      </w:r>
      <w:r w:rsidRPr="00BA6C6D">
        <w:rPr>
          <w:rFonts w:ascii="Arial" w:hAnsi="Arial"/>
          <w:sz w:val="20"/>
          <w:szCs w:val="20"/>
          <w:lang w:val="en-AU"/>
        </w:rPr>
        <w:t xml:space="preserve">: Proposed amendments to SEPP 65 </w:t>
      </w:r>
      <w:r w:rsidR="000C17F5">
        <w:rPr>
          <w:rFonts w:ascii="Arial" w:hAnsi="Arial"/>
          <w:sz w:val="20"/>
          <w:szCs w:val="20"/>
          <w:lang w:val="en-AU"/>
        </w:rPr>
        <w:t xml:space="preserve">and the Residential Flat Design </w:t>
      </w:r>
      <w:r w:rsidRPr="00BA6C6D">
        <w:rPr>
          <w:rFonts w:ascii="Arial" w:hAnsi="Arial"/>
          <w:sz w:val="20"/>
          <w:szCs w:val="20"/>
          <w:lang w:val="en-AU"/>
        </w:rPr>
        <w:t>Code</w:t>
      </w:r>
      <w:r w:rsidR="000C17F5">
        <w:rPr>
          <w:rFonts w:ascii="Arial" w:hAnsi="Arial"/>
          <w:sz w:val="20"/>
          <w:szCs w:val="20"/>
          <w:lang w:val="en-AU"/>
        </w:rPr>
        <w:t xml:space="preserve">, viewed 19 June 2017, </w:t>
      </w:r>
      <w:hyperlink r:id="rId12" w:history="1">
        <w:r w:rsidR="005C2CCC" w:rsidRPr="00BA6C6D">
          <w:rPr>
            <w:rStyle w:val="Hyperlink"/>
            <w:rFonts w:ascii="Arial" w:hAnsi="Arial"/>
            <w:sz w:val="20"/>
            <w:szCs w:val="20"/>
            <w:lang w:val="en-AU"/>
          </w:rPr>
          <w:t>http://125.255.86.103/EBP/Open/2014/10/CCL_28102014_AGN_Attachment_3057_1.htm</w:t>
        </w:r>
      </w:hyperlink>
    </w:p>
    <w:p w14:paraId="48302675" w14:textId="77777777" w:rsidR="0084529E" w:rsidRPr="00BA6C6D" w:rsidRDefault="0084529E" w:rsidP="004022A0">
      <w:pPr>
        <w:rPr>
          <w:rFonts w:ascii="Arial" w:hAnsi="Arial"/>
          <w:sz w:val="20"/>
          <w:szCs w:val="20"/>
          <w:lang w:val="en-AU"/>
        </w:rPr>
      </w:pPr>
    </w:p>
    <w:p w14:paraId="06F46AF5" w14:textId="67A7CD8A" w:rsidR="00FB7532" w:rsidRPr="00BA6C6D" w:rsidRDefault="00FB7532" w:rsidP="00FB7532">
      <w:pPr>
        <w:rPr>
          <w:rFonts w:ascii="Arial" w:hAnsi="Arial"/>
          <w:sz w:val="20"/>
          <w:szCs w:val="20"/>
          <w:lang w:val="en-AU"/>
        </w:rPr>
      </w:pPr>
      <w:r w:rsidRPr="00BA6C6D">
        <w:rPr>
          <w:rFonts w:ascii="Arial" w:hAnsi="Arial"/>
          <w:sz w:val="20"/>
          <w:szCs w:val="20"/>
          <w:lang w:val="en-AU"/>
        </w:rPr>
        <w:t xml:space="preserve">New South Wales (NSW) Planning and Environment (2015). </w:t>
      </w:r>
      <w:r w:rsidRPr="00BA6C6D">
        <w:rPr>
          <w:rFonts w:ascii="Arial" w:hAnsi="Arial"/>
          <w:i/>
          <w:sz w:val="20"/>
          <w:szCs w:val="20"/>
          <w:lang w:val="en-AU"/>
        </w:rPr>
        <w:t>Apartment Design Guide</w:t>
      </w:r>
      <w:r w:rsidR="000C17F5">
        <w:rPr>
          <w:rFonts w:ascii="Arial" w:hAnsi="Arial"/>
          <w:sz w:val="20"/>
          <w:szCs w:val="20"/>
          <w:lang w:val="en-AU"/>
        </w:rPr>
        <w:t>,</w:t>
      </w:r>
      <w:r w:rsidRPr="00BA6C6D">
        <w:rPr>
          <w:rFonts w:ascii="Arial" w:hAnsi="Arial"/>
          <w:sz w:val="20"/>
          <w:szCs w:val="20"/>
          <w:lang w:val="en-AU"/>
        </w:rPr>
        <w:t xml:space="preserve"> </w:t>
      </w:r>
      <w:r w:rsidR="000C17F5">
        <w:rPr>
          <w:rFonts w:ascii="Arial" w:hAnsi="Arial"/>
          <w:sz w:val="20"/>
          <w:szCs w:val="20"/>
          <w:lang w:val="en-AU"/>
        </w:rPr>
        <w:t xml:space="preserve">viewed 12 June 2017, </w:t>
      </w:r>
      <w:r w:rsidRPr="00BA6C6D">
        <w:rPr>
          <w:rFonts w:ascii="Arial" w:hAnsi="Arial"/>
          <w:sz w:val="20"/>
          <w:szCs w:val="20"/>
          <w:lang w:val="en-AU"/>
        </w:rPr>
        <w:t xml:space="preserve"> </w:t>
      </w:r>
      <w:hyperlink r:id="rId13" w:history="1">
        <w:r w:rsidRPr="00BA6C6D">
          <w:rPr>
            <w:rStyle w:val="Hyperlink"/>
            <w:rFonts w:ascii="Arial" w:hAnsi="Arial"/>
            <w:sz w:val="20"/>
            <w:szCs w:val="20"/>
            <w:lang w:val="en-AU"/>
          </w:rPr>
          <w:t>http://www</w:t>
        </w:r>
        <w:r w:rsidR="000C17F5">
          <w:rPr>
            <w:rStyle w:val="Hyperlink"/>
            <w:rFonts w:ascii="Arial" w:hAnsi="Arial"/>
            <w:sz w:val="20"/>
            <w:szCs w:val="20"/>
            <w:lang w:val="en-AU"/>
          </w:rPr>
          <w:t xml:space="preserve">.planning.nsw.gov.au/Policy-and </w:t>
        </w:r>
        <w:r w:rsidRPr="00BA6C6D">
          <w:rPr>
            <w:rStyle w:val="Hyperlink"/>
            <w:rFonts w:ascii="Arial" w:hAnsi="Arial"/>
            <w:sz w:val="20"/>
            <w:szCs w:val="20"/>
            <w:lang w:val="en-AU"/>
          </w:rPr>
          <w:t>Legislation/Housing/~/media/7ED8E40113064120AEE3432457390171.ashx</w:t>
        </w:r>
      </w:hyperlink>
      <w:r w:rsidRPr="00BA6C6D">
        <w:rPr>
          <w:rFonts w:ascii="Arial" w:hAnsi="Arial"/>
          <w:sz w:val="20"/>
          <w:szCs w:val="20"/>
          <w:lang w:val="en-AU"/>
        </w:rPr>
        <w:t xml:space="preserve"> </w:t>
      </w:r>
    </w:p>
    <w:p w14:paraId="43C2AA59" w14:textId="77777777" w:rsidR="00FB7532" w:rsidRPr="00BA6C6D" w:rsidRDefault="00FB7532" w:rsidP="004022A0">
      <w:pPr>
        <w:rPr>
          <w:rFonts w:ascii="Arial" w:hAnsi="Arial"/>
          <w:sz w:val="20"/>
          <w:szCs w:val="20"/>
          <w:lang w:val="en-AU"/>
        </w:rPr>
      </w:pPr>
    </w:p>
    <w:p w14:paraId="28C1944D" w14:textId="082A5D49" w:rsidR="00171CFA" w:rsidRDefault="004022A0" w:rsidP="004022A0">
      <w:pPr>
        <w:rPr>
          <w:rFonts w:ascii="Arial" w:hAnsi="Arial"/>
          <w:bCs/>
          <w:sz w:val="20"/>
          <w:szCs w:val="20"/>
          <w:lang w:val="en-AU"/>
        </w:rPr>
      </w:pPr>
      <w:r w:rsidRPr="00BA6C6D">
        <w:rPr>
          <w:rFonts w:ascii="Arial" w:hAnsi="Arial"/>
          <w:sz w:val="20"/>
          <w:szCs w:val="20"/>
          <w:lang w:val="en-AU"/>
        </w:rPr>
        <w:t>Moore, T., Alve</w:t>
      </w:r>
      <w:r w:rsidR="00A232A4" w:rsidRPr="00BA6C6D">
        <w:rPr>
          <w:rFonts w:ascii="Arial" w:hAnsi="Arial"/>
          <w:sz w:val="20"/>
          <w:szCs w:val="20"/>
          <w:lang w:val="en-AU"/>
        </w:rPr>
        <w:t>s, T., Horne, R. and Martel, A. (201</w:t>
      </w:r>
      <w:r w:rsidR="00BE2DA2">
        <w:rPr>
          <w:rFonts w:ascii="Arial" w:hAnsi="Arial"/>
          <w:sz w:val="20"/>
          <w:szCs w:val="20"/>
          <w:lang w:val="en-AU"/>
        </w:rPr>
        <w:t>5</w:t>
      </w:r>
      <w:r w:rsidR="00A232A4" w:rsidRPr="00BA6C6D">
        <w:rPr>
          <w:rFonts w:ascii="Arial" w:hAnsi="Arial"/>
          <w:sz w:val="20"/>
          <w:szCs w:val="20"/>
          <w:lang w:val="en-AU"/>
        </w:rPr>
        <w:t>)</w:t>
      </w:r>
      <w:r w:rsidRPr="00BA6C6D">
        <w:rPr>
          <w:rFonts w:ascii="Arial" w:hAnsi="Arial"/>
          <w:sz w:val="20"/>
          <w:szCs w:val="20"/>
          <w:lang w:val="en-AU"/>
        </w:rPr>
        <w:t xml:space="preserve"> </w:t>
      </w:r>
      <w:r w:rsidR="00BE2DA2">
        <w:rPr>
          <w:rFonts w:ascii="Arial" w:hAnsi="Arial"/>
          <w:sz w:val="20"/>
          <w:szCs w:val="20"/>
          <w:lang w:val="en-AU"/>
        </w:rPr>
        <w:t>‘</w:t>
      </w:r>
      <w:r w:rsidRPr="00BA6C6D">
        <w:rPr>
          <w:rFonts w:ascii="Arial" w:hAnsi="Arial"/>
          <w:sz w:val="20"/>
          <w:szCs w:val="20"/>
          <w:lang w:val="en-AU"/>
        </w:rPr>
        <w:t>Improving Design Outcomes in the Built Environment through Design Review Panels and Design Guidelines</w:t>
      </w:r>
      <w:r w:rsidR="00BE2DA2">
        <w:rPr>
          <w:rFonts w:ascii="Arial" w:hAnsi="Arial"/>
          <w:sz w:val="20"/>
          <w:szCs w:val="20"/>
          <w:lang w:val="en-AU"/>
        </w:rPr>
        <w:t>’, in P Burton &amp; H Shearer (</w:t>
      </w:r>
      <w:proofErr w:type="spellStart"/>
      <w:r w:rsidR="00BE2DA2">
        <w:rPr>
          <w:rFonts w:ascii="Arial" w:hAnsi="Arial"/>
          <w:sz w:val="20"/>
          <w:szCs w:val="20"/>
          <w:lang w:val="en-AU"/>
        </w:rPr>
        <w:t>eds</w:t>
      </w:r>
      <w:proofErr w:type="spellEnd"/>
      <w:r w:rsidR="00BE2DA2">
        <w:rPr>
          <w:rFonts w:ascii="Arial" w:hAnsi="Arial"/>
          <w:sz w:val="20"/>
          <w:szCs w:val="20"/>
          <w:lang w:val="en-AU"/>
        </w:rPr>
        <w:t xml:space="preserve">), </w:t>
      </w:r>
      <w:r w:rsidR="00BE2DA2" w:rsidRPr="00BA6C6D">
        <w:rPr>
          <w:rFonts w:ascii="Arial" w:hAnsi="Arial"/>
          <w:bCs/>
          <w:i/>
          <w:iCs/>
          <w:sz w:val="20"/>
          <w:szCs w:val="20"/>
          <w:lang w:val="en-AU"/>
        </w:rPr>
        <w:t>Proceedings of the State of Australian Cities National Conference</w:t>
      </w:r>
      <w:r w:rsidR="00BE2DA2" w:rsidRPr="00BA6C6D">
        <w:rPr>
          <w:rFonts w:ascii="Arial" w:hAnsi="Arial"/>
          <w:bCs/>
          <w:sz w:val="20"/>
          <w:szCs w:val="20"/>
          <w:lang w:val="en-AU"/>
        </w:rPr>
        <w:t xml:space="preserve">, </w:t>
      </w:r>
      <w:r w:rsidR="00BE2DA2">
        <w:rPr>
          <w:rFonts w:ascii="Arial" w:hAnsi="Arial"/>
          <w:bCs/>
          <w:sz w:val="20"/>
          <w:szCs w:val="20"/>
          <w:lang w:val="en-AU"/>
        </w:rPr>
        <w:t>9</w:t>
      </w:r>
      <w:r w:rsidR="00BE2DA2" w:rsidRPr="00BA6C6D">
        <w:rPr>
          <w:rFonts w:ascii="Arial" w:hAnsi="Arial"/>
          <w:bCs/>
          <w:sz w:val="20"/>
          <w:szCs w:val="20"/>
          <w:lang w:val="en-AU"/>
        </w:rPr>
        <w:t>-</w:t>
      </w:r>
      <w:r w:rsidR="00BE2DA2">
        <w:rPr>
          <w:rFonts w:ascii="Arial" w:hAnsi="Arial"/>
          <w:bCs/>
          <w:sz w:val="20"/>
          <w:szCs w:val="20"/>
          <w:lang w:val="en-AU"/>
        </w:rPr>
        <w:t>11</w:t>
      </w:r>
      <w:r w:rsidR="00BE2DA2" w:rsidRPr="00BA6C6D">
        <w:rPr>
          <w:rFonts w:ascii="Arial" w:hAnsi="Arial"/>
          <w:bCs/>
          <w:sz w:val="20"/>
          <w:szCs w:val="20"/>
          <w:lang w:val="en-AU"/>
        </w:rPr>
        <w:t xml:space="preserve"> </w:t>
      </w:r>
      <w:r w:rsidR="00BE2DA2">
        <w:rPr>
          <w:rFonts w:ascii="Arial" w:hAnsi="Arial"/>
          <w:bCs/>
          <w:sz w:val="20"/>
          <w:szCs w:val="20"/>
          <w:lang w:val="en-AU"/>
        </w:rPr>
        <w:t>December</w:t>
      </w:r>
      <w:r w:rsidR="00BE2DA2" w:rsidRPr="00BA6C6D">
        <w:rPr>
          <w:rFonts w:ascii="Arial" w:hAnsi="Arial"/>
          <w:bCs/>
          <w:sz w:val="20"/>
          <w:szCs w:val="20"/>
          <w:lang w:val="en-AU"/>
        </w:rPr>
        <w:t xml:space="preserve">, </w:t>
      </w:r>
      <w:r w:rsidR="00BE2DA2">
        <w:rPr>
          <w:rFonts w:ascii="Arial" w:hAnsi="Arial"/>
          <w:bCs/>
          <w:sz w:val="20"/>
          <w:szCs w:val="20"/>
          <w:lang w:val="en-AU"/>
        </w:rPr>
        <w:t>Gold Coast</w:t>
      </w:r>
      <w:r w:rsidR="00BE2DA2" w:rsidRPr="00BA6C6D">
        <w:rPr>
          <w:rFonts w:ascii="Arial" w:hAnsi="Arial"/>
          <w:bCs/>
          <w:sz w:val="20"/>
          <w:szCs w:val="20"/>
          <w:lang w:val="en-AU"/>
        </w:rPr>
        <w:t xml:space="preserve">, </w:t>
      </w:r>
      <w:r w:rsidR="00BE2DA2">
        <w:rPr>
          <w:rFonts w:ascii="Arial" w:hAnsi="Arial"/>
          <w:bCs/>
          <w:sz w:val="20"/>
          <w:szCs w:val="20"/>
          <w:lang w:val="en-AU"/>
        </w:rPr>
        <w:t xml:space="preserve">Queensland, </w:t>
      </w:r>
      <w:r w:rsidR="00BE2DA2" w:rsidRPr="00BA6C6D">
        <w:rPr>
          <w:rFonts w:ascii="Arial" w:hAnsi="Arial"/>
          <w:bCs/>
          <w:sz w:val="20"/>
          <w:szCs w:val="20"/>
          <w:lang w:val="en-AU"/>
        </w:rPr>
        <w:t xml:space="preserve">viewed 3 </w:t>
      </w:r>
      <w:r w:rsidR="00BE2DA2">
        <w:rPr>
          <w:rFonts w:ascii="Arial" w:hAnsi="Arial"/>
          <w:bCs/>
          <w:sz w:val="20"/>
          <w:szCs w:val="20"/>
          <w:lang w:val="en-AU"/>
        </w:rPr>
        <w:t>July</w:t>
      </w:r>
      <w:r w:rsidR="00BE2DA2" w:rsidRPr="00BA6C6D">
        <w:rPr>
          <w:rFonts w:ascii="Arial" w:hAnsi="Arial"/>
          <w:bCs/>
          <w:sz w:val="20"/>
          <w:szCs w:val="20"/>
          <w:lang w:val="en-AU"/>
        </w:rPr>
        <w:t xml:space="preserve"> 201</w:t>
      </w:r>
      <w:r w:rsidR="00BE2DA2">
        <w:rPr>
          <w:rFonts w:ascii="Arial" w:hAnsi="Arial"/>
          <w:bCs/>
          <w:sz w:val="20"/>
          <w:szCs w:val="20"/>
          <w:lang w:val="en-AU"/>
        </w:rPr>
        <w:t xml:space="preserve">7, </w:t>
      </w:r>
      <w:hyperlink r:id="rId14" w:history="1">
        <w:r w:rsidR="00171CFA" w:rsidRPr="0055743A">
          <w:rPr>
            <w:rStyle w:val="Hyperlink"/>
            <w:rFonts w:ascii="Arial" w:hAnsi="Arial"/>
            <w:sz w:val="20"/>
            <w:szCs w:val="20"/>
            <w:lang w:val="en-AU"/>
          </w:rPr>
          <w:t>http://apo.org.au/system/files/63346/apo-nid63346-66526.pdf</w:t>
        </w:r>
      </w:hyperlink>
    </w:p>
    <w:p w14:paraId="20A20DE6" w14:textId="77777777" w:rsidR="0051393C" w:rsidRDefault="0051393C" w:rsidP="004022A0">
      <w:pPr>
        <w:rPr>
          <w:rFonts w:ascii="Arial" w:hAnsi="Arial"/>
          <w:bCs/>
          <w:sz w:val="20"/>
          <w:szCs w:val="20"/>
          <w:lang w:val="en-AU"/>
        </w:rPr>
      </w:pPr>
    </w:p>
    <w:p w14:paraId="68359106" w14:textId="225C85A6" w:rsidR="0051393C" w:rsidRDefault="0051393C" w:rsidP="004022A0">
      <w:pPr>
        <w:rPr>
          <w:rFonts w:ascii="Arial" w:hAnsi="Arial"/>
          <w:sz w:val="20"/>
          <w:szCs w:val="20"/>
          <w:lang w:val="en-US"/>
        </w:rPr>
      </w:pPr>
      <w:r w:rsidRPr="0051393C">
        <w:rPr>
          <w:rFonts w:ascii="Arial" w:hAnsi="Arial"/>
          <w:sz w:val="20"/>
          <w:szCs w:val="20"/>
          <w:lang w:val="en-US"/>
        </w:rPr>
        <w:t>Randolph, B</w:t>
      </w:r>
      <w:r w:rsidR="000C17F5">
        <w:rPr>
          <w:rFonts w:ascii="Arial" w:hAnsi="Arial"/>
          <w:sz w:val="20"/>
          <w:szCs w:val="20"/>
          <w:lang w:val="en-US"/>
        </w:rPr>
        <w:t>.</w:t>
      </w:r>
      <w:r w:rsidRPr="0051393C">
        <w:rPr>
          <w:rFonts w:ascii="Arial" w:hAnsi="Arial"/>
          <w:sz w:val="20"/>
          <w:szCs w:val="20"/>
          <w:lang w:val="en-US"/>
        </w:rPr>
        <w:t xml:space="preserve"> </w:t>
      </w:r>
      <w:r>
        <w:rPr>
          <w:rFonts w:ascii="Arial" w:hAnsi="Arial"/>
          <w:sz w:val="20"/>
          <w:szCs w:val="20"/>
          <w:lang w:val="en-US"/>
        </w:rPr>
        <w:t>(</w:t>
      </w:r>
      <w:r w:rsidRPr="0051393C">
        <w:rPr>
          <w:rFonts w:ascii="Arial" w:hAnsi="Arial"/>
          <w:sz w:val="20"/>
          <w:szCs w:val="20"/>
          <w:lang w:val="en-US"/>
        </w:rPr>
        <w:t>2006</w:t>
      </w:r>
      <w:r>
        <w:rPr>
          <w:rFonts w:ascii="Arial" w:hAnsi="Arial"/>
          <w:sz w:val="20"/>
          <w:szCs w:val="20"/>
          <w:lang w:val="en-US"/>
        </w:rPr>
        <w:t>)</w:t>
      </w:r>
      <w:r w:rsidR="000C17F5">
        <w:rPr>
          <w:rFonts w:ascii="Arial" w:hAnsi="Arial"/>
          <w:sz w:val="20"/>
          <w:szCs w:val="20"/>
          <w:lang w:val="en-US"/>
        </w:rPr>
        <w:t xml:space="preserve"> </w:t>
      </w:r>
      <w:r w:rsidRPr="0051393C">
        <w:rPr>
          <w:rFonts w:ascii="Arial" w:hAnsi="Arial"/>
          <w:sz w:val="20"/>
          <w:szCs w:val="20"/>
          <w:lang w:val="en-US"/>
        </w:rPr>
        <w:t>Delivering the compact city in Australia: current</w:t>
      </w:r>
      <w:r w:rsidR="000C17F5">
        <w:rPr>
          <w:rFonts w:ascii="Arial" w:hAnsi="Arial"/>
          <w:sz w:val="20"/>
          <w:szCs w:val="20"/>
          <w:lang w:val="en-US"/>
        </w:rPr>
        <w:t xml:space="preserve"> trends and future implications</w:t>
      </w:r>
      <w:r w:rsidRPr="0051393C">
        <w:rPr>
          <w:rFonts w:ascii="Arial" w:hAnsi="Arial"/>
          <w:sz w:val="20"/>
          <w:szCs w:val="20"/>
          <w:lang w:val="en-US"/>
        </w:rPr>
        <w:t xml:space="preserve">, </w:t>
      </w:r>
      <w:r w:rsidRPr="0051393C">
        <w:rPr>
          <w:rFonts w:ascii="Arial" w:hAnsi="Arial"/>
          <w:i/>
          <w:iCs/>
          <w:sz w:val="20"/>
          <w:szCs w:val="20"/>
          <w:lang w:val="en-US"/>
        </w:rPr>
        <w:t xml:space="preserve">Urban Policy and Research, </w:t>
      </w:r>
      <w:r w:rsidR="000C17F5">
        <w:rPr>
          <w:rFonts w:ascii="Arial" w:hAnsi="Arial"/>
          <w:sz w:val="20"/>
          <w:szCs w:val="20"/>
          <w:lang w:val="en-US"/>
        </w:rPr>
        <w:t>24 (4)</w:t>
      </w:r>
      <w:r w:rsidRPr="0051393C">
        <w:rPr>
          <w:rFonts w:ascii="Arial" w:hAnsi="Arial"/>
          <w:sz w:val="20"/>
          <w:szCs w:val="20"/>
          <w:lang w:val="en-US"/>
        </w:rPr>
        <w:t>, pp. 473-490.</w:t>
      </w:r>
    </w:p>
    <w:p w14:paraId="00AA835C" w14:textId="77777777" w:rsidR="00AE74EA" w:rsidRDefault="00AE74EA" w:rsidP="004022A0">
      <w:pPr>
        <w:rPr>
          <w:rFonts w:ascii="Arial" w:hAnsi="Arial"/>
          <w:sz w:val="20"/>
          <w:szCs w:val="20"/>
          <w:lang w:val="en-US"/>
        </w:rPr>
      </w:pPr>
    </w:p>
    <w:p w14:paraId="2A645646" w14:textId="5DA94756" w:rsidR="00AE74EA" w:rsidRDefault="00AE74EA" w:rsidP="004022A0">
      <w:pPr>
        <w:rPr>
          <w:rFonts w:ascii="Arial" w:hAnsi="Arial"/>
          <w:sz w:val="20"/>
          <w:szCs w:val="20"/>
          <w:lang w:val="en-US"/>
        </w:rPr>
      </w:pPr>
      <w:r w:rsidRPr="00AE74EA">
        <w:rPr>
          <w:rFonts w:ascii="Arial" w:hAnsi="Arial"/>
          <w:sz w:val="20"/>
          <w:szCs w:val="20"/>
          <w:lang w:val="en-US"/>
        </w:rPr>
        <w:t>Roberts, B</w:t>
      </w:r>
      <w:r w:rsidR="00C92269">
        <w:rPr>
          <w:rFonts w:ascii="Arial" w:hAnsi="Arial"/>
          <w:sz w:val="20"/>
          <w:szCs w:val="20"/>
          <w:lang w:val="en-US"/>
        </w:rPr>
        <w:t>.</w:t>
      </w:r>
      <w:r w:rsidRPr="00AE74EA">
        <w:rPr>
          <w:rFonts w:ascii="Arial" w:hAnsi="Arial"/>
          <w:sz w:val="20"/>
          <w:szCs w:val="20"/>
          <w:lang w:val="en-US"/>
        </w:rPr>
        <w:t>H</w:t>
      </w:r>
      <w:r w:rsidR="00C92269">
        <w:rPr>
          <w:rFonts w:ascii="Arial" w:hAnsi="Arial"/>
          <w:sz w:val="20"/>
          <w:szCs w:val="20"/>
          <w:lang w:val="en-US"/>
        </w:rPr>
        <w:t>.</w:t>
      </w:r>
      <w:r w:rsidRPr="00AE74EA">
        <w:rPr>
          <w:rFonts w:ascii="Arial" w:hAnsi="Arial"/>
          <w:sz w:val="20"/>
          <w:szCs w:val="20"/>
          <w:lang w:val="en-US"/>
        </w:rPr>
        <w:t xml:space="preserve"> </w:t>
      </w:r>
      <w:r w:rsidR="00C92269">
        <w:rPr>
          <w:rFonts w:ascii="Arial" w:hAnsi="Arial"/>
          <w:sz w:val="20"/>
          <w:szCs w:val="20"/>
          <w:lang w:val="en-US"/>
        </w:rPr>
        <w:t>(</w:t>
      </w:r>
      <w:r w:rsidRPr="00AE74EA">
        <w:rPr>
          <w:rFonts w:ascii="Arial" w:hAnsi="Arial"/>
          <w:sz w:val="20"/>
          <w:szCs w:val="20"/>
          <w:lang w:val="en-US"/>
        </w:rPr>
        <w:t>2007</w:t>
      </w:r>
      <w:r w:rsidR="00C92269">
        <w:rPr>
          <w:rFonts w:ascii="Arial" w:hAnsi="Arial"/>
          <w:sz w:val="20"/>
          <w:szCs w:val="20"/>
          <w:lang w:val="en-US"/>
        </w:rPr>
        <w:t xml:space="preserve">) </w:t>
      </w:r>
      <w:r w:rsidRPr="00AE74EA">
        <w:rPr>
          <w:rFonts w:ascii="Arial" w:hAnsi="Arial"/>
          <w:sz w:val="20"/>
          <w:szCs w:val="20"/>
          <w:lang w:val="en-US"/>
        </w:rPr>
        <w:t xml:space="preserve">Changes in urban density: its implications on the sustainable development </w:t>
      </w:r>
      <w:r w:rsidR="00C92269">
        <w:rPr>
          <w:rFonts w:ascii="Arial" w:hAnsi="Arial"/>
          <w:sz w:val="20"/>
          <w:szCs w:val="20"/>
          <w:lang w:val="en-US"/>
        </w:rPr>
        <w:t>of Australian cities</w:t>
      </w:r>
      <w:r w:rsidRPr="00AE74EA">
        <w:rPr>
          <w:rFonts w:ascii="Arial" w:hAnsi="Arial"/>
          <w:sz w:val="20"/>
          <w:szCs w:val="20"/>
          <w:lang w:val="en-US"/>
        </w:rPr>
        <w:t xml:space="preserve">, Proceedings of the </w:t>
      </w:r>
      <w:r w:rsidRPr="00AE74EA">
        <w:rPr>
          <w:rFonts w:ascii="Arial" w:hAnsi="Arial"/>
          <w:i/>
          <w:iCs/>
          <w:sz w:val="20"/>
          <w:szCs w:val="20"/>
          <w:lang w:val="en-US"/>
        </w:rPr>
        <w:t>State of Australian Cities National Conference</w:t>
      </w:r>
      <w:r w:rsidRPr="00AE74EA">
        <w:rPr>
          <w:rFonts w:ascii="Arial" w:hAnsi="Arial"/>
          <w:sz w:val="20"/>
          <w:szCs w:val="20"/>
          <w:lang w:val="en-US"/>
        </w:rPr>
        <w:t>, Adelaide, pp. 720-739,viewed 20 November 2015, http://soac.fbe.unsw.edu.au/2007/SOAC/changesinurbandensity.pdf</w:t>
      </w:r>
    </w:p>
    <w:p w14:paraId="7D5D3F11" w14:textId="77777777" w:rsidR="00D154EC" w:rsidRPr="00BA6C6D" w:rsidRDefault="00D154EC">
      <w:pPr>
        <w:rPr>
          <w:rFonts w:ascii="Arial" w:hAnsi="Arial"/>
          <w:sz w:val="20"/>
          <w:szCs w:val="20"/>
          <w:lang w:val="en-AU"/>
        </w:rPr>
      </w:pPr>
    </w:p>
    <w:p w14:paraId="4A2FD4F3" w14:textId="1ACD1D62" w:rsidR="009D55C0" w:rsidRPr="00BA6C6D" w:rsidRDefault="009D55C0" w:rsidP="009D55C0">
      <w:pPr>
        <w:jc w:val="both"/>
        <w:rPr>
          <w:rFonts w:ascii="Arial" w:hAnsi="Arial"/>
          <w:bCs/>
          <w:sz w:val="20"/>
          <w:szCs w:val="20"/>
          <w:lang w:val="en-AU"/>
        </w:rPr>
      </w:pPr>
      <w:r w:rsidRPr="00BA6C6D">
        <w:rPr>
          <w:rFonts w:ascii="Arial" w:hAnsi="Arial"/>
          <w:bCs/>
          <w:sz w:val="20"/>
          <w:szCs w:val="20"/>
          <w:lang w:val="en-AU"/>
        </w:rPr>
        <w:t>Sajan, J</w:t>
      </w:r>
      <w:r w:rsidR="00C92269">
        <w:rPr>
          <w:rFonts w:ascii="Arial" w:hAnsi="Arial"/>
          <w:bCs/>
          <w:sz w:val="20"/>
          <w:szCs w:val="20"/>
          <w:lang w:val="en-AU"/>
        </w:rPr>
        <w:t xml:space="preserve">. (2013) </w:t>
      </w:r>
      <w:r w:rsidRPr="00BA6C6D">
        <w:rPr>
          <w:rFonts w:ascii="Arial" w:hAnsi="Arial"/>
          <w:bCs/>
          <w:sz w:val="20"/>
          <w:szCs w:val="20"/>
          <w:lang w:val="en-AU"/>
        </w:rPr>
        <w:t xml:space="preserve">Predictors of Overall Living Satisfaction in Medium Density References 260 </w:t>
      </w:r>
    </w:p>
    <w:p w14:paraId="0A341523" w14:textId="1244DE77" w:rsidR="009D55C0" w:rsidRPr="00BA6C6D" w:rsidRDefault="009D55C0" w:rsidP="009D55C0">
      <w:pPr>
        <w:jc w:val="both"/>
        <w:rPr>
          <w:rFonts w:ascii="Arial" w:hAnsi="Arial"/>
          <w:bCs/>
          <w:sz w:val="20"/>
          <w:szCs w:val="20"/>
          <w:lang w:val="en-AU"/>
        </w:rPr>
      </w:pPr>
      <w:r w:rsidRPr="00BA6C6D">
        <w:rPr>
          <w:rFonts w:ascii="Arial" w:hAnsi="Arial"/>
          <w:bCs/>
          <w:sz w:val="20"/>
          <w:szCs w:val="20"/>
          <w:lang w:val="en-AU"/>
        </w:rPr>
        <w:t xml:space="preserve">Residential satisfaction in medium density apartment housing in Sydney: A case study of Fairfield </w:t>
      </w:r>
    </w:p>
    <w:p w14:paraId="3B1F1D7F" w14:textId="25345E62" w:rsidR="009D55C0" w:rsidRPr="00BA6C6D" w:rsidRDefault="009D55C0" w:rsidP="009D55C0">
      <w:pPr>
        <w:jc w:val="both"/>
        <w:rPr>
          <w:rFonts w:ascii="Arial" w:hAnsi="Arial"/>
          <w:bCs/>
          <w:sz w:val="20"/>
          <w:szCs w:val="20"/>
          <w:lang w:val="en-AU"/>
        </w:rPr>
      </w:pPr>
      <w:r w:rsidRPr="00BA6C6D">
        <w:rPr>
          <w:rFonts w:ascii="Arial" w:hAnsi="Arial"/>
          <w:bCs/>
          <w:sz w:val="20"/>
          <w:szCs w:val="20"/>
          <w:lang w:val="en-AU"/>
        </w:rPr>
        <w:t xml:space="preserve">Housing: </w:t>
      </w:r>
      <w:r w:rsidR="00C92269">
        <w:rPr>
          <w:rFonts w:ascii="Arial" w:hAnsi="Arial"/>
          <w:bCs/>
          <w:sz w:val="20"/>
          <w:szCs w:val="20"/>
          <w:lang w:val="en-AU"/>
        </w:rPr>
        <w:t>Results from a Household Survey</w:t>
      </w:r>
      <w:r w:rsidRPr="00BA6C6D">
        <w:rPr>
          <w:rFonts w:ascii="Arial" w:hAnsi="Arial"/>
          <w:bCs/>
          <w:sz w:val="20"/>
          <w:szCs w:val="20"/>
          <w:lang w:val="en-AU"/>
        </w:rPr>
        <w:t xml:space="preserve">, in K </w:t>
      </w:r>
      <w:proofErr w:type="spellStart"/>
      <w:r w:rsidRPr="00BA6C6D">
        <w:rPr>
          <w:rFonts w:ascii="Arial" w:hAnsi="Arial"/>
          <w:bCs/>
          <w:sz w:val="20"/>
          <w:szCs w:val="20"/>
          <w:lang w:val="en-AU"/>
        </w:rPr>
        <w:t>Ruming</w:t>
      </w:r>
      <w:proofErr w:type="spellEnd"/>
      <w:r w:rsidRPr="00BA6C6D">
        <w:rPr>
          <w:rFonts w:ascii="Arial" w:hAnsi="Arial"/>
          <w:bCs/>
          <w:sz w:val="20"/>
          <w:szCs w:val="20"/>
          <w:lang w:val="en-AU"/>
        </w:rPr>
        <w:t xml:space="preserve">, B Randolph &amp; N </w:t>
      </w:r>
      <w:proofErr w:type="spellStart"/>
      <w:r w:rsidRPr="00BA6C6D">
        <w:rPr>
          <w:rFonts w:ascii="Arial" w:hAnsi="Arial"/>
          <w:bCs/>
          <w:sz w:val="20"/>
          <w:szCs w:val="20"/>
          <w:lang w:val="en-AU"/>
        </w:rPr>
        <w:t>Gurran</w:t>
      </w:r>
      <w:proofErr w:type="spellEnd"/>
      <w:r w:rsidRPr="00BA6C6D">
        <w:rPr>
          <w:rFonts w:ascii="Arial" w:hAnsi="Arial"/>
          <w:bCs/>
          <w:sz w:val="20"/>
          <w:szCs w:val="20"/>
          <w:lang w:val="en-AU"/>
        </w:rPr>
        <w:t xml:space="preserve"> (</w:t>
      </w:r>
      <w:proofErr w:type="spellStart"/>
      <w:r w:rsidRPr="00BA6C6D">
        <w:rPr>
          <w:rFonts w:ascii="Arial" w:hAnsi="Arial"/>
          <w:bCs/>
          <w:sz w:val="20"/>
          <w:szCs w:val="20"/>
          <w:lang w:val="en-AU"/>
        </w:rPr>
        <w:t>eds</w:t>
      </w:r>
      <w:proofErr w:type="spellEnd"/>
      <w:r w:rsidRPr="00BA6C6D">
        <w:rPr>
          <w:rFonts w:ascii="Arial" w:hAnsi="Arial"/>
          <w:bCs/>
          <w:sz w:val="20"/>
          <w:szCs w:val="20"/>
          <w:lang w:val="en-AU"/>
        </w:rPr>
        <w:t xml:space="preserve">), </w:t>
      </w:r>
      <w:r w:rsidRPr="00BA6C6D">
        <w:rPr>
          <w:rFonts w:ascii="Arial" w:hAnsi="Arial"/>
          <w:bCs/>
          <w:i/>
          <w:iCs/>
          <w:sz w:val="20"/>
          <w:szCs w:val="20"/>
          <w:lang w:val="en-AU"/>
        </w:rPr>
        <w:t>Proceedings of the State of Australian Cities National Conference</w:t>
      </w:r>
      <w:r w:rsidRPr="00BA6C6D">
        <w:rPr>
          <w:rFonts w:ascii="Arial" w:hAnsi="Arial"/>
          <w:bCs/>
          <w:sz w:val="20"/>
          <w:szCs w:val="20"/>
          <w:lang w:val="en-AU"/>
        </w:rPr>
        <w:t xml:space="preserve">, 26-29 November, Sydney, viewed 13 December 2014, http://www.soacconference.com.au/wp-content/uploads/2013/12/Sajan- Social.pdf </w:t>
      </w:r>
    </w:p>
    <w:p w14:paraId="2645907F" w14:textId="77777777" w:rsidR="009D55C0" w:rsidRPr="00BA6C6D" w:rsidRDefault="009D55C0" w:rsidP="009D55C0">
      <w:pPr>
        <w:jc w:val="both"/>
        <w:rPr>
          <w:rFonts w:ascii="Arial" w:hAnsi="Arial"/>
          <w:bCs/>
          <w:sz w:val="20"/>
          <w:szCs w:val="20"/>
          <w:lang w:val="en-AU"/>
        </w:rPr>
      </w:pPr>
    </w:p>
    <w:p w14:paraId="7C833595" w14:textId="149049B5" w:rsidR="009D55C0" w:rsidRPr="00BA6C6D" w:rsidRDefault="009D55C0" w:rsidP="009D55C0">
      <w:pPr>
        <w:jc w:val="both"/>
        <w:rPr>
          <w:rFonts w:ascii="Arial" w:hAnsi="Arial"/>
          <w:bCs/>
          <w:sz w:val="20"/>
          <w:szCs w:val="20"/>
          <w:lang w:val="en-AU"/>
        </w:rPr>
      </w:pPr>
      <w:r w:rsidRPr="00BA6C6D">
        <w:rPr>
          <w:rFonts w:ascii="Arial" w:hAnsi="Arial"/>
          <w:bCs/>
          <w:sz w:val="20"/>
          <w:szCs w:val="20"/>
          <w:lang w:val="en-AU"/>
        </w:rPr>
        <w:t>Sajan, J</w:t>
      </w:r>
      <w:r w:rsidR="00C92269">
        <w:rPr>
          <w:rFonts w:ascii="Arial" w:hAnsi="Arial"/>
          <w:bCs/>
          <w:sz w:val="20"/>
          <w:szCs w:val="20"/>
          <w:lang w:val="en-AU"/>
        </w:rPr>
        <w:t xml:space="preserve">. (2015) </w:t>
      </w:r>
      <w:r w:rsidRPr="00BA6C6D">
        <w:rPr>
          <w:rFonts w:ascii="Arial" w:hAnsi="Arial"/>
          <w:bCs/>
          <w:sz w:val="20"/>
          <w:szCs w:val="20"/>
          <w:lang w:val="en-AU"/>
        </w:rPr>
        <w:t>Design implications for multi-own</w:t>
      </w:r>
      <w:r w:rsidR="00C92269">
        <w:rPr>
          <w:rFonts w:ascii="Arial" w:hAnsi="Arial"/>
          <w:bCs/>
          <w:sz w:val="20"/>
          <w:szCs w:val="20"/>
          <w:lang w:val="en-AU"/>
        </w:rPr>
        <w:t>ed properties from a household survey</w:t>
      </w:r>
      <w:r w:rsidRPr="00BA6C6D">
        <w:rPr>
          <w:rFonts w:ascii="Arial" w:hAnsi="Arial"/>
          <w:bCs/>
          <w:sz w:val="20"/>
          <w:szCs w:val="20"/>
          <w:lang w:val="en-AU"/>
        </w:rPr>
        <w:t xml:space="preserve">, </w:t>
      </w:r>
      <w:r w:rsidRPr="00BA6C6D">
        <w:rPr>
          <w:rFonts w:ascii="Arial" w:hAnsi="Arial"/>
          <w:bCs/>
          <w:i/>
          <w:iCs/>
          <w:sz w:val="20"/>
          <w:szCs w:val="20"/>
          <w:lang w:val="en-AU"/>
        </w:rPr>
        <w:t>International Journal of Housing Markets and Analysis</w:t>
      </w:r>
      <w:r w:rsidR="00C92269">
        <w:rPr>
          <w:rFonts w:ascii="Arial" w:hAnsi="Arial"/>
          <w:bCs/>
          <w:sz w:val="20"/>
          <w:szCs w:val="20"/>
          <w:lang w:val="en-AU"/>
        </w:rPr>
        <w:t xml:space="preserve">, 8 (4), </w:t>
      </w:r>
      <w:r w:rsidRPr="00BA6C6D">
        <w:rPr>
          <w:rFonts w:ascii="Arial" w:hAnsi="Arial"/>
          <w:bCs/>
          <w:sz w:val="20"/>
          <w:szCs w:val="20"/>
          <w:lang w:val="en-AU"/>
        </w:rPr>
        <w:t xml:space="preserve">pp.502- 518. </w:t>
      </w:r>
    </w:p>
    <w:p w14:paraId="5B4AC9DB" w14:textId="77777777" w:rsidR="009D55C0" w:rsidRPr="00BA6C6D" w:rsidRDefault="009D55C0" w:rsidP="009627BF">
      <w:pPr>
        <w:jc w:val="both"/>
        <w:rPr>
          <w:rFonts w:ascii="Arial" w:hAnsi="Arial"/>
          <w:bCs/>
          <w:sz w:val="20"/>
          <w:szCs w:val="20"/>
          <w:lang w:val="en-AU"/>
        </w:rPr>
      </w:pPr>
    </w:p>
    <w:p w14:paraId="65A68DFC" w14:textId="0C016A47" w:rsidR="00CA7D3E" w:rsidRPr="00BA6C6D" w:rsidRDefault="00CA7D3E" w:rsidP="008E298C">
      <w:pPr>
        <w:rPr>
          <w:rFonts w:ascii="Arial" w:hAnsi="Arial"/>
          <w:sz w:val="20"/>
          <w:szCs w:val="20"/>
          <w:lang w:val="en-AU"/>
        </w:rPr>
      </w:pPr>
      <w:r w:rsidRPr="00BA6C6D">
        <w:rPr>
          <w:rFonts w:ascii="Arial" w:hAnsi="Arial"/>
          <w:bCs/>
          <w:sz w:val="20"/>
          <w:szCs w:val="20"/>
          <w:lang w:val="en-AU"/>
        </w:rPr>
        <w:t xml:space="preserve">State Environmental </w:t>
      </w:r>
      <w:r w:rsidR="008E298C">
        <w:rPr>
          <w:rFonts w:ascii="Arial" w:hAnsi="Arial"/>
          <w:bCs/>
          <w:sz w:val="20"/>
          <w:szCs w:val="20"/>
          <w:lang w:val="en-AU"/>
        </w:rPr>
        <w:t>Planning Policy (SEPP65) (2002)</w:t>
      </w:r>
      <w:r w:rsidRPr="00BA6C6D">
        <w:rPr>
          <w:rFonts w:ascii="Arial" w:hAnsi="Arial"/>
          <w:bCs/>
          <w:sz w:val="20"/>
          <w:szCs w:val="20"/>
          <w:lang w:val="en-AU"/>
        </w:rPr>
        <w:t xml:space="preserve"> Design Quality </w:t>
      </w:r>
      <w:r w:rsidR="008E298C">
        <w:rPr>
          <w:rFonts w:ascii="Arial" w:hAnsi="Arial"/>
          <w:bCs/>
          <w:sz w:val="20"/>
          <w:szCs w:val="20"/>
          <w:lang w:val="en-AU"/>
        </w:rPr>
        <w:t>of Residential Flat Development,</w:t>
      </w:r>
      <w:r w:rsidR="008E298C" w:rsidRPr="008E298C">
        <w:rPr>
          <w:rFonts w:ascii="Arial" w:hAnsi="Arial"/>
          <w:sz w:val="20"/>
          <w:szCs w:val="20"/>
          <w:lang w:val="en-AU"/>
        </w:rPr>
        <w:t xml:space="preserve"> </w:t>
      </w:r>
      <w:r w:rsidR="008E298C">
        <w:rPr>
          <w:rFonts w:ascii="Arial" w:hAnsi="Arial"/>
          <w:sz w:val="20"/>
          <w:szCs w:val="20"/>
          <w:lang w:val="en-AU"/>
        </w:rPr>
        <w:t>viewed 19 June 2017,</w:t>
      </w:r>
      <w:r w:rsidR="008E298C">
        <w:rPr>
          <w:rFonts w:ascii="Arial" w:hAnsi="Arial"/>
          <w:bCs/>
          <w:sz w:val="20"/>
          <w:szCs w:val="20"/>
          <w:lang w:val="en-AU"/>
        </w:rPr>
        <w:t xml:space="preserve"> </w:t>
      </w:r>
      <w:hyperlink r:id="rId15" w:anchor="/view/EPI/2002/530/historical2002-07-26/part1/cl3" w:history="1">
        <w:r w:rsidRPr="00BA6C6D">
          <w:rPr>
            <w:rStyle w:val="Hyperlink"/>
            <w:rFonts w:ascii="Arial" w:hAnsi="Arial"/>
            <w:bCs/>
            <w:sz w:val="20"/>
            <w:szCs w:val="20"/>
            <w:lang w:val="en-AU"/>
          </w:rPr>
          <w:t>http://www.legislation.nsw.gov.au/#/view/EPI/2002/530/historical2002-07-26/part1/cl3</w:t>
        </w:r>
      </w:hyperlink>
      <w:r w:rsidRPr="00BA6C6D">
        <w:rPr>
          <w:rFonts w:ascii="Arial" w:hAnsi="Arial"/>
          <w:bCs/>
          <w:sz w:val="20"/>
          <w:szCs w:val="20"/>
          <w:lang w:val="en-AU"/>
        </w:rPr>
        <w:t xml:space="preserve"> </w:t>
      </w:r>
    </w:p>
    <w:p w14:paraId="2A442465" w14:textId="77777777" w:rsidR="00CA7D3E" w:rsidRPr="00BA6C6D" w:rsidRDefault="00CA7D3E" w:rsidP="009627BF">
      <w:pPr>
        <w:jc w:val="both"/>
        <w:rPr>
          <w:rFonts w:ascii="Arial" w:hAnsi="Arial"/>
          <w:bCs/>
          <w:sz w:val="20"/>
          <w:szCs w:val="20"/>
          <w:lang w:val="en-AU"/>
        </w:rPr>
      </w:pPr>
    </w:p>
    <w:p w14:paraId="45338D90" w14:textId="38BA5634" w:rsidR="00E455BF" w:rsidRDefault="0084529E" w:rsidP="009627BF">
      <w:pPr>
        <w:jc w:val="both"/>
        <w:rPr>
          <w:rFonts w:ascii="Arial" w:hAnsi="Arial"/>
          <w:bCs/>
          <w:sz w:val="20"/>
          <w:szCs w:val="20"/>
          <w:lang w:val="en-AU"/>
        </w:rPr>
      </w:pPr>
      <w:r w:rsidRPr="00BA6C6D">
        <w:rPr>
          <w:rFonts w:ascii="Arial" w:hAnsi="Arial"/>
          <w:bCs/>
          <w:sz w:val="20"/>
          <w:szCs w:val="20"/>
          <w:lang w:val="en-AU"/>
        </w:rPr>
        <w:t>State Environm</w:t>
      </w:r>
      <w:r w:rsidR="009627BF" w:rsidRPr="00BA6C6D">
        <w:rPr>
          <w:rFonts w:ascii="Arial" w:hAnsi="Arial"/>
          <w:bCs/>
          <w:sz w:val="20"/>
          <w:szCs w:val="20"/>
          <w:lang w:val="en-AU"/>
        </w:rPr>
        <w:t>ental Planning Policy (SEPP65)</w:t>
      </w:r>
      <w:r w:rsidR="00CA7D3E" w:rsidRPr="00BA6C6D">
        <w:rPr>
          <w:rFonts w:ascii="Arial" w:hAnsi="Arial"/>
          <w:bCs/>
          <w:sz w:val="20"/>
          <w:szCs w:val="20"/>
          <w:lang w:val="en-AU"/>
        </w:rPr>
        <w:t xml:space="preserve"> (2015)</w:t>
      </w:r>
      <w:r w:rsidR="009627BF" w:rsidRPr="00BA6C6D">
        <w:rPr>
          <w:rFonts w:ascii="Arial" w:hAnsi="Arial"/>
          <w:bCs/>
          <w:sz w:val="20"/>
          <w:szCs w:val="20"/>
          <w:lang w:val="en-AU"/>
        </w:rPr>
        <w:t xml:space="preserve"> </w:t>
      </w:r>
      <w:r w:rsidRPr="00BA6C6D">
        <w:rPr>
          <w:rFonts w:ascii="Arial" w:hAnsi="Arial"/>
          <w:bCs/>
          <w:sz w:val="20"/>
          <w:szCs w:val="20"/>
          <w:lang w:val="en-AU"/>
        </w:rPr>
        <w:t>Design Quality of Residential Apartment Development</w:t>
      </w:r>
      <w:r w:rsidR="00E455BF">
        <w:rPr>
          <w:rFonts w:ascii="Arial" w:hAnsi="Arial"/>
          <w:bCs/>
          <w:sz w:val="20"/>
          <w:szCs w:val="20"/>
          <w:lang w:val="en-AU"/>
        </w:rPr>
        <w:t xml:space="preserve">, </w:t>
      </w:r>
      <w:r w:rsidR="00E455BF">
        <w:rPr>
          <w:rFonts w:ascii="Arial" w:hAnsi="Arial"/>
          <w:sz w:val="20"/>
          <w:szCs w:val="20"/>
          <w:lang w:val="en-AU"/>
        </w:rPr>
        <w:t>viewed 19 June 2017,</w:t>
      </w:r>
    </w:p>
    <w:p w14:paraId="7A4024A7" w14:textId="647DB271" w:rsidR="0084529E" w:rsidRDefault="00051757" w:rsidP="009627BF">
      <w:pPr>
        <w:jc w:val="both"/>
        <w:rPr>
          <w:rFonts w:ascii="Arial" w:hAnsi="Arial"/>
          <w:sz w:val="20"/>
          <w:szCs w:val="20"/>
          <w:lang w:val="en-AU"/>
        </w:rPr>
      </w:pPr>
      <w:hyperlink r:id="rId16" w:anchor="/view/EPI/2002/530/whole" w:history="1">
        <w:r w:rsidR="0084529E" w:rsidRPr="00BA6C6D">
          <w:rPr>
            <w:rStyle w:val="Hyperlink"/>
            <w:rFonts w:ascii="Arial" w:hAnsi="Arial"/>
            <w:sz w:val="20"/>
            <w:szCs w:val="20"/>
            <w:lang w:val="en-AU"/>
          </w:rPr>
          <w:t>http://www.legislation.nsw.gov.au/#/view/EPI/2002/530/whole</w:t>
        </w:r>
      </w:hyperlink>
      <w:r w:rsidR="009627BF" w:rsidRPr="00BA6C6D">
        <w:rPr>
          <w:rFonts w:ascii="Arial" w:hAnsi="Arial"/>
          <w:sz w:val="20"/>
          <w:szCs w:val="20"/>
          <w:lang w:val="en-AU"/>
        </w:rPr>
        <w:t xml:space="preserve"> </w:t>
      </w:r>
    </w:p>
    <w:p w14:paraId="50D8954A" w14:textId="77777777" w:rsidR="00D81524" w:rsidRDefault="00D81524" w:rsidP="009627BF">
      <w:pPr>
        <w:jc w:val="both"/>
        <w:rPr>
          <w:rFonts w:ascii="Arial" w:hAnsi="Arial"/>
          <w:sz w:val="20"/>
          <w:szCs w:val="20"/>
          <w:lang w:val="en-AU"/>
        </w:rPr>
      </w:pPr>
    </w:p>
    <w:p w14:paraId="79FBDEE4" w14:textId="4DD1875D" w:rsidR="00AE74EA" w:rsidRDefault="00AE74EA" w:rsidP="009627BF">
      <w:pPr>
        <w:jc w:val="both"/>
        <w:rPr>
          <w:rFonts w:ascii="Arial" w:hAnsi="Arial"/>
          <w:sz w:val="20"/>
          <w:szCs w:val="20"/>
          <w:lang w:val="en-AU"/>
        </w:rPr>
      </w:pPr>
      <w:r w:rsidRPr="00AE74EA">
        <w:rPr>
          <w:rFonts w:ascii="Arial" w:hAnsi="Arial"/>
          <w:sz w:val="20"/>
          <w:szCs w:val="20"/>
          <w:lang w:val="en-US"/>
        </w:rPr>
        <w:t>Troy, P</w:t>
      </w:r>
      <w:r w:rsidR="00E455BF">
        <w:rPr>
          <w:rFonts w:ascii="Arial" w:hAnsi="Arial"/>
          <w:sz w:val="20"/>
          <w:szCs w:val="20"/>
          <w:lang w:val="en-US"/>
        </w:rPr>
        <w:t>.</w:t>
      </w:r>
      <w:r w:rsidRPr="00AE74EA">
        <w:rPr>
          <w:rFonts w:ascii="Arial" w:hAnsi="Arial"/>
          <w:sz w:val="20"/>
          <w:szCs w:val="20"/>
          <w:lang w:val="en-US"/>
        </w:rPr>
        <w:t>N</w:t>
      </w:r>
      <w:r w:rsidR="00E455BF">
        <w:rPr>
          <w:rFonts w:ascii="Arial" w:hAnsi="Arial"/>
          <w:sz w:val="20"/>
          <w:szCs w:val="20"/>
          <w:lang w:val="en-US"/>
        </w:rPr>
        <w:t>.</w:t>
      </w:r>
      <w:r w:rsidRPr="00AE74EA">
        <w:rPr>
          <w:rFonts w:ascii="Arial" w:hAnsi="Arial"/>
          <w:sz w:val="20"/>
          <w:szCs w:val="20"/>
          <w:lang w:val="en-US"/>
        </w:rPr>
        <w:t xml:space="preserve"> </w:t>
      </w:r>
      <w:r w:rsidR="00E455BF">
        <w:rPr>
          <w:rFonts w:ascii="Arial" w:hAnsi="Arial"/>
          <w:sz w:val="20"/>
          <w:szCs w:val="20"/>
          <w:lang w:val="en-US"/>
        </w:rPr>
        <w:t>(1996)</w:t>
      </w:r>
      <w:r w:rsidRPr="00AE74EA">
        <w:rPr>
          <w:rFonts w:ascii="Arial" w:hAnsi="Arial"/>
          <w:sz w:val="20"/>
          <w:szCs w:val="20"/>
          <w:lang w:val="en-US"/>
        </w:rPr>
        <w:t xml:space="preserve"> </w:t>
      </w:r>
      <w:r w:rsidRPr="00AE74EA">
        <w:rPr>
          <w:rFonts w:ascii="Arial" w:hAnsi="Arial"/>
          <w:i/>
          <w:iCs/>
          <w:sz w:val="20"/>
          <w:szCs w:val="20"/>
          <w:lang w:val="en-US"/>
        </w:rPr>
        <w:t>The Perils of Urban Consolidation: A Discussion of Australian Housing and Urban Development Policies</w:t>
      </w:r>
      <w:r w:rsidRPr="00AE74EA">
        <w:rPr>
          <w:rFonts w:ascii="Arial" w:hAnsi="Arial"/>
          <w:sz w:val="20"/>
          <w:szCs w:val="20"/>
          <w:lang w:val="en-US"/>
        </w:rPr>
        <w:t xml:space="preserve"> </w:t>
      </w:r>
      <w:r w:rsidR="00E455BF">
        <w:rPr>
          <w:rFonts w:ascii="Arial" w:hAnsi="Arial"/>
          <w:sz w:val="20"/>
          <w:szCs w:val="20"/>
          <w:lang w:val="en-US"/>
        </w:rPr>
        <w:t xml:space="preserve">(Sydney, </w:t>
      </w:r>
      <w:r w:rsidRPr="00AE74EA">
        <w:rPr>
          <w:rFonts w:ascii="Arial" w:hAnsi="Arial"/>
          <w:sz w:val="20"/>
          <w:szCs w:val="20"/>
          <w:lang w:val="en-US"/>
        </w:rPr>
        <w:t>The Federa</w:t>
      </w:r>
      <w:r w:rsidR="00E455BF">
        <w:rPr>
          <w:rFonts w:ascii="Arial" w:hAnsi="Arial"/>
          <w:sz w:val="20"/>
          <w:szCs w:val="20"/>
          <w:lang w:val="en-US"/>
        </w:rPr>
        <w:t xml:space="preserve">tion Press). </w:t>
      </w:r>
    </w:p>
    <w:p w14:paraId="4EA2DA9F" w14:textId="77777777" w:rsidR="00AE74EA" w:rsidRDefault="00AE74EA" w:rsidP="009627BF">
      <w:pPr>
        <w:jc w:val="both"/>
        <w:rPr>
          <w:rFonts w:ascii="Arial" w:hAnsi="Arial"/>
          <w:sz w:val="20"/>
          <w:szCs w:val="20"/>
          <w:lang w:val="en-AU"/>
        </w:rPr>
      </w:pPr>
    </w:p>
    <w:p w14:paraId="1FE42B0D" w14:textId="1355A578" w:rsidR="00D81524" w:rsidRDefault="00D81524" w:rsidP="009627BF">
      <w:pPr>
        <w:jc w:val="both"/>
        <w:rPr>
          <w:rFonts w:ascii="Arial" w:hAnsi="Arial"/>
          <w:sz w:val="20"/>
          <w:szCs w:val="20"/>
          <w:lang w:val="en-US"/>
        </w:rPr>
      </w:pPr>
      <w:r w:rsidRPr="00D81524">
        <w:rPr>
          <w:rFonts w:ascii="Arial" w:hAnsi="Arial"/>
          <w:sz w:val="20"/>
          <w:szCs w:val="20"/>
          <w:lang w:val="en-US"/>
        </w:rPr>
        <w:t xml:space="preserve">Urban Task Force </w:t>
      </w:r>
      <w:r w:rsidR="00E455BF">
        <w:rPr>
          <w:rFonts w:ascii="Arial" w:hAnsi="Arial"/>
          <w:sz w:val="20"/>
          <w:szCs w:val="20"/>
          <w:lang w:val="en-US"/>
        </w:rPr>
        <w:t>(2015) Who lives in Apartments?</w:t>
      </w:r>
      <w:r w:rsidRPr="00D81524">
        <w:rPr>
          <w:rFonts w:ascii="Arial" w:hAnsi="Arial"/>
          <w:sz w:val="20"/>
          <w:szCs w:val="20"/>
          <w:lang w:val="en-US"/>
        </w:rPr>
        <w:t xml:space="preserve"> </w:t>
      </w:r>
      <w:r w:rsidRPr="00D81524">
        <w:rPr>
          <w:rFonts w:ascii="Arial" w:hAnsi="Arial"/>
          <w:i/>
          <w:iCs/>
          <w:sz w:val="20"/>
          <w:szCs w:val="20"/>
          <w:lang w:val="en-US"/>
        </w:rPr>
        <w:t xml:space="preserve">Urban ideas </w:t>
      </w:r>
      <w:r w:rsidRPr="00D81524">
        <w:rPr>
          <w:rFonts w:ascii="Arial" w:hAnsi="Arial"/>
          <w:sz w:val="20"/>
          <w:szCs w:val="20"/>
          <w:lang w:val="en-US"/>
        </w:rPr>
        <w:t xml:space="preserve">(May, Issue 13), viewed 12 October 2016, </w:t>
      </w:r>
      <w:hyperlink r:id="rId17" w:history="1">
        <w:r w:rsidRPr="00EC2F31">
          <w:rPr>
            <w:rStyle w:val="Hyperlink"/>
            <w:rFonts w:ascii="Arial" w:hAnsi="Arial"/>
            <w:sz w:val="20"/>
            <w:szCs w:val="20"/>
            <w:lang w:val="en-US"/>
          </w:rPr>
          <w:t>http://www.urbantaskforce.com.au</w:t>
        </w:r>
      </w:hyperlink>
    </w:p>
    <w:p w14:paraId="302E36BD" w14:textId="77777777" w:rsidR="00D81524" w:rsidRPr="00BA6C6D" w:rsidRDefault="00D81524" w:rsidP="009627BF">
      <w:pPr>
        <w:jc w:val="both"/>
        <w:rPr>
          <w:rFonts w:ascii="Arial" w:hAnsi="Arial"/>
          <w:sz w:val="20"/>
          <w:szCs w:val="20"/>
          <w:lang w:val="en-AU"/>
        </w:rPr>
      </w:pPr>
    </w:p>
    <w:p w14:paraId="553FCD6D" w14:textId="77777777" w:rsidR="0084529E" w:rsidRPr="00BA6C6D" w:rsidRDefault="0084529E">
      <w:pPr>
        <w:rPr>
          <w:rFonts w:ascii="Arial" w:hAnsi="Arial"/>
          <w:sz w:val="20"/>
          <w:szCs w:val="20"/>
          <w:lang w:val="en-AU"/>
        </w:rPr>
      </w:pPr>
    </w:p>
    <w:p w14:paraId="43E4C56F" w14:textId="77777777" w:rsidR="00691919" w:rsidRPr="00BA6C6D" w:rsidRDefault="00691919" w:rsidP="00691919">
      <w:pPr>
        <w:rPr>
          <w:rFonts w:ascii="Arial" w:hAnsi="Arial"/>
          <w:sz w:val="20"/>
          <w:szCs w:val="20"/>
          <w:lang w:val="en-AU"/>
        </w:rPr>
      </w:pPr>
    </w:p>
    <w:p w14:paraId="2B668BAE" w14:textId="77777777" w:rsidR="00691919" w:rsidRPr="00BA6C6D" w:rsidRDefault="00691919" w:rsidP="00691919">
      <w:pPr>
        <w:jc w:val="both"/>
        <w:rPr>
          <w:rFonts w:ascii="Arial" w:hAnsi="Arial"/>
          <w:sz w:val="20"/>
          <w:szCs w:val="20"/>
          <w:lang w:val="en-AU"/>
        </w:rPr>
      </w:pPr>
    </w:p>
    <w:p w14:paraId="69DA3919" w14:textId="77777777" w:rsidR="001938A5" w:rsidRPr="002665D2" w:rsidRDefault="001938A5">
      <w:pPr>
        <w:rPr>
          <w:rFonts w:ascii="Arial" w:hAnsi="Arial"/>
          <w:sz w:val="20"/>
          <w:szCs w:val="20"/>
          <w:lang w:val="en-AU"/>
        </w:rPr>
      </w:pPr>
    </w:p>
    <w:sectPr w:rsidR="001938A5" w:rsidRPr="002665D2" w:rsidSect="006753B7">
      <w:headerReference w:type="even" r:id="rId18"/>
      <w:headerReference w:type="default" r:id="rId19"/>
      <w:footerReference w:type="even" r:id="rId20"/>
      <w:footerReference w:type="default" r:id="rId21"/>
      <w:headerReference w:type="first" r:id="rId22"/>
      <w:footerReference w:type="first" r:id="rId23"/>
      <w:pgSz w:w="11900" w:h="16840"/>
      <w:pgMar w:top="1134" w:right="1418" w:bottom="1134"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38E92" w15:done="0"/>
  <w15:commentEx w15:paraId="0354F3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38E92" w16cid:durableId="1D85C5B4"/>
  <w16cid:commentId w16cid:paraId="0354F346" w16cid:durableId="1D85E76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5B456" w14:textId="77777777" w:rsidR="00051757" w:rsidRDefault="00051757" w:rsidP="00051757">
      <w:r>
        <w:separator/>
      </w:r>
    </w:p>
  </w:endnote>
  <w:endnote w:type="continuationSeparator" w:id="0">
    <w:p w14:paraId="600B5CF4" w14:textId="77777777" w:rsidR="00051757" w:rsidRDefault="00051757" w:rsidP="0005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C716" w14:textId="77777777" w:rsidR="00051757" w:rsidRDefault="000517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5D6E2" w14:textId="77777777" w:rsidR="00051757" w:rsidRDefault="0005175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A17A" w14:textId="77777777" w:rsidR="00051757" w:rsidRDefault="000517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AD366" w14:textId="77777777" w:rsidR="00051757" w:rsidRDefault="00051757" w:rsidP="00051757">
      <w:r>
        <w:separator/>
      </w:r>
    </w:p>
  </w:footnote>
  <w:footnote w:type="continuationSeparator" w:id="0">
    <w:p w14:paraId="091653C9" w14:textId="77777777" w:rsidR="00051757" w:rsidRDefault="00051757" w:rsidP="000517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2E0F" w14:textId="77777777" w:rsidR="00051757" w:rsidRDefault="0005175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FD8E" w14:textId="69131B45" w:rsidR="00051757" w:rsidRPr="00051757" w:rsidRDefault="00051757" w:rsidP="00051757">
    <w:pPr>
      <w:pStyle w:val="Header"/>
    </w:pPr>
    <w:r>
      <w:rPr>
        <w:rFonts w:ascii="Arial" w:hAnsi="Arial" w:cs="Arial"/>
        <w:sz w:val="20"/>
        <w:szCs w:val="20"/>
        <w:lang w:val="en-AU"/>
      </w:rPr>
      <w:t xml:space="preserve">SOAC </w:t>
    </w:r>
    <w:r>
      <w:rPr>
        <w:rFonts w:ascii="Arial" w:hAnsi="Arial" w:cs="Arial"/>
        <w:sz w:val="20"/>
        <w:szCs w:val="20"/>
        <w:lang w:val="en-AU"/>
      </w:rPr>
      <w:t>2017</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32488" w14:textId="77777777" w:rsidR="00051757" w:rsidRDefault="000517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636DE"/>
    <w:multiLevelType w:val="hybridMultilevel"/>
    <w:tmpl w:val="EBDD74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B09E5A"/>
    <w:multiLevelType w:val="hybridMultilevel"/>
    <w:tmpl w:val="2B5107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55719BC"/>
    <w:multiLevelType w:val="hybridMultilevel"/>
    <w:tmpl w:val="67C443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6CB3B59"/>
    <w:multiLevelType w:val="hybridMultilevel"/>
    <w:tmpl w:val="7579E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27D33BB"/>
    <w:multiLevelType w:val="hybridMultilevel"/>
    <w:tmpl w:val="8AC00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37A2B80"/>
    <w:multiLevelType w:val="hybridMultilevel"/>
    <w:tmpl w:val="8F9FD0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8345BEB"/>
    <w:multiLevelType w:val="hybridMultilevel"/>
    <w:tmpl w:val="1D0725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AF776D0"/>
    <w:multiLevelType w:val="hybridMultilevel"/>
    <w:tmpl w:val="82222D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EF5DC4F"/>
    <w:multiLevelType w:val="hybridMultilevel"/>
    <w:tmpl w:val="C399AD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5F47534"/>
    <w:multiLevelType w:val="hybridMultilevel"/>
    <w:tmpl w:val="C9D3F9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7DC969C"/>
    <w:multiLevelType w:val="hybridMultilevel"/>
    <w:tmpl w:val="D6F9D1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E2F6FF5"/>
    <w:multiLevelType w:val="hybridMultilevel"/>
    <w:tmpl w:val="9EC347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3B31F51"/>
    <w:multiLevelType w:val="hybridMultilevel"/>
    <w:tmpl w:val="063D4C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2126111"/>
    <w:multiLevelType w:val="hybridMultilevel"/>
    <w:tmpl w:val="4DB628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6450E23"/>
    <w:multiLevelType w:val="hybridMultilevel"/>
    <w:tmpl w:val="2E8F2B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A33785E"/>
    <w:multiLevelType w:val="hybridMultilevel"/>
    <w:tmpl w:val="142D98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AF0DDD0"/>
    <w:multiLevelType w:val="hybridMultilevel"/>
    <w:tmpl w:val="FDD60B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2"/>
  </w:num>
  <w:num w:numId="3">
    <w:abstractNumId w:val="15"/>
  </w:num>
  <w:num w:numId="4">
    <w:abstractNumId w:val="14"/>
  </w:num>
  <w:num w:numId="5">
    <w:abstractNumId w:val="7"/>
  </w:num>
  <w:num w:numId="6">
    <w:abstractNumId w:val="5"/>
  </w:num>
  <w:num w:numId="7">
    <w:abstractNumId w:val="1"/>
  </w:num>
  <w:num w:numId="8">
    <w:abstractNumId w:val="12"/>
  </w:num>
  <w:num w:numId="9">
    <w:abstractNumId w:val="10"/>
  </w:num>
  <w:num w:numId="10">
    <w:abstractNumId w:val="4"/>
  </w:num>
  <w:num w:numId="11">
    <w:abstractNumId w:val="13"/>
  </w:num>
  <w:num w:numId="12">
    <w:abstractNumId w:val="11"/>
  </w:num>
  <w:num w:numId="13">
    <w:abstractNumId w:val="8"/>
  </w:num>
  <w:num w:numId="14">
    <w:abstractNumId w:val="9"/>
  </w:num>
  <w:num w:numId="15">
    <w:abstractNumId w:val="16"/>
  </w:num>
  <w:num w:numId="16">
    <w:abstractNumId w:val="3"/>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j Cy">
    <w15:presenceInfo w15:providerId="Windows Live" w15:userId="2ebcf1fcca6877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A2"/>
    <w:rsid w:val="000058B1"/>
    <w:rsid w:val="000120E1"/>
    <w:rsid w:val="000143D8"/>
    <w:rsid w:val="00031B78"/>
    <w:rsid w:val="00031FEE"/>
    <w:rsid w:val="00037257"/>
    <w:rsid w:val="00042323"/>
    <w:rsid w:val="00051757"/>
    <w:rsid w:val="00055DEA"/>
    <w:rsid w:val="0005744C"/>
    <w:rsid w:val="00060A03"/>
    <w:rsid w:val="000769E5"/>
    <w:rsid w:val="0009181A"/>
    <w:rsid w:val="000A4CC1"/>
    <w:rsid w:val="000C17F5"/>
    <w:rsid w:val="000C3D5A"/>
    <w:rsid w:val="000C54A7"/>
    <w:rsid w:val="000C7879"/>
    <w:rsid w:val="000E6F7A"/>
    <w:rsid w:val="000F170A"/>
    <w:rsid w:val="000F2FB0"/>
    <w:rsid w:val="000F35BE"/>
    <w:rsid w:val="000F35E9"/>
    <w:rsid w:val="00106C1B"/>
    <w:rsid w:val="0011069C"/>
    <w:rsid w:val="0011300D"/>
    <w:rsid w:val="00120671"/>
    <w:rsid w:val="00126A1E"/>
    <w:rsid w:val="00131889"/>
    <w:rsid w:val="00135649"/>
    <w:rsid w:val="00137496"/>
    <w:rsid w:val="001378B7"/>
    <w:rsid w:val="00141156"/>
    <w:rsid w:val="001503E2"/>
    <w:rsid w:val="00171939"/>
    <w:rsid w:val="00171CFA"/>
    <w:rsid w:val="00184132"/>
    <w:rsid w:val="001938A5"/>
    <w:rsid w:val="001959A9"/>
    <w:rsid w:val="001A0545"/>
    <w:rsid w:val="001B2326"/>
    <w:rsid w:val="001B2D40"/>
    <w:rsid w:val="001C665D"/>
    <w:rsid w:val="001C7F38"/>
    <w:rsid w:val="001E2D93"/>
    <w:rsid w:val="001E35B9"/>
    <w:rsid w:val="001F5DEE"/>
    <w:rsid w:val="002019FB"/>
    <w:rsid w:val="00213ABF"/>
    <w:rsid w:val="002155BA"/>
    <w:rsid w:val="00223C6C"/>
    <w:rsid w:val="00224894"/>
    <w:rsid w:val="00232930"/>
    <w:rsid w:val="00235205"/>
    <w:rsid w:val="00241C8F"/>
    <w:rsid w:val="002435FC"/>
    <w:rsid w:val="002478E5"/>
    <w:rsid w:val="002511F6"/>
    <w:rsid w:val="00251913"/>
    <w:rsid w:val="002665D2"/>
    <w:rsid w:val="00272B9F"/>
    <w:rsid w:val="002751B6"/>
    <w:rsid w:val="00277CE6"/>
    <w:rsid w:val="0028281C"/>
    <w:rsid w:val="002852C8"/>
    <w:rsid w:val="00295C12"/>
    <w:rsid w:val="002A01BA"/>
    <w:rsid w:val="002A6355"/>
    <w:rsid w:val="002B6F27"/>
    <w:rsid w:val="002E2793"/>
    <w:rsid w:val="002E446F"/>
    <w:rsid w:val="0030420D"/>
    <w:rsid w:val="00322D57"/>
    <w:rsid w:val="0032326F"/>
    <w:rsid w:val="003305A7"/>
    <w:rsid w:val="00341943"/>
    <w:rsid w:val="00342F5E"/>
    <w:rsid w:val="003457C3"/>
    <w:rsid w:val="00356D32"/>
    <w:rsid w:val="00375369"/>
    <w:rsid w:val="003759E0"/>
    <w:rsid w:val="0038797E"/>
    <w:rsid w:val="00390BBE"/>
    <w:rsid w:val="00391742"/>
    <w:rsid w:val="00391AAE"/>
    <w:rsid w:val="003A62DF"/>
    <w:rsid w:val="003A6FB1"/>
    <w:rsid w:val="003B7C50"/>
    <w:rsid w:val="003C3D49"/>
    <w:rsid w:val="003D06C9"/>
    <w:rsid w:val="003D3A7D"/>
    <w:rsid w:val="003E0DCC"/>
    <w:rsid w:val="003E25E5"/>
    <w:rsid w:val="003E383D"/>
    <w:rsid w:val="003F2286"/>
    <w:rsid w:val="004022A0"/>
    <w:rsid w:val="00411A7A"/>
    <w:rsid w:val="00415019"/>
    <w:rsid w:val="00415E4C"/>
    <w:rsid w:val="004174D9"/>
    <w:rsid w:val="00424423"/>
    <w:rsid w:val="00427A96"/>
    <w:rsid w:val="00436DBD"/>
    <w:rsid w:val="00451F2D"/>
    <w:rsid w:val="00467FE6"/>
    <w:rsid w:val="004829F3"/>
    <w:rsid w:val="00497B7D"/>
    <w:rsid w:val="004A287A"/>
    <w:rsid w:val="004C0896"/>
    <w:rsid w:val="004D3187"/>
    <w:rsid w:val="004D660A"/>
    <w:rsid w:val="004E04F0"/>
    <w:rsid w:val="004E429D"/>
    <w:rsid w:val="004E453F"/>
    <w:rsid w:val="004E697D"/>
    <w:rsid w:val="004F45D1"/>
    <w:rsid w:val="00503C18"/>
    <w:rsid w:val="0051393C"/>
    <w:rsid w:val="00513C9D"/>
    <w:rsid w:val="0052627E"/>
    <w:rsid w:val="00534858"/>
    <w:rsid w:val="005357A8"/>
    <w:rsid w:val="00540503"/>
    <w:rsid w:val="005449E0"/>
    <w:rsid w:val="00545341"/>
    <w:rsid w:val="00550471"/>
    <w:rsid w:val="005532E5"/>
    <w:rsid w:val="00561C97"/>
    <w:rsid w:val="005626F7"/>
    <w:rsid w:val="005657B0"/>
    <w:rsid w:val="005747A7"/>
    <w:rsid w:val="00582CD3"/>
    <w:rsid w:val="0058397B"/>
    <w:rsid w:val="00593607"/>
    <w:rsid w:val="00595708"/>
    <w:rsid w:val="005C2CCC"/>
    <w:rsid w:val="005C4DEE"/>
    <w:rsid w:val="005C6496"/>
    <w:rsid w:val="005D2099"/>
    <w:rsid w:val="005E2480"/>
    <w:rsid w:val="00601B72"/>
    <w:rsid w:val="00604EB8"/>
    <w:rsid w:val="00621C77"/>
    <w:rsid w:val="006276E5"/>
    <w:rsid w:val="006332EE"/>
    <w:rsid w:val="006551C9"/>
    <w:rsid w:val="00670629"/>
    <w:rsid w:val="006753B7"/>
    <w:rsid w:val="00691919"/>
    <w:rsid w:val="006A2629"/>
    <w:rsid w:val="006B2BBC"/>
    <w:rsid w:val="006B6420"/>
    <w:rsid w:val="006C0652"/>
    <w:rsid w:val="006C702D"/>
    <w:rsid w:val="006C750A"/>
    <w:rsid w:val="006D0D17"/>
    <w:rsid w:val="006D2D76"/>
    <w:rsid w:val="006E7183"/>
    <w:rsid w:val="006F04ED"/>
    <w:rsid w:val="006F18A3"/>
    <w:rsid w:val="00717A34"/>
    <w:rsid w:val="00720A0C"/>
    <w:rsid w:val="00724C7B"/>
    <w:rsid w:val="00730619"/>
    <w:rsid w:val="00735DA2"/>
    <w:rsid w:val="00742FA3"/>
    <w:rsid w:val="00757EBB"/>
    <w:rsid w:val="007602AC"/>
    <w:rsid w:val="00775ADF"/>
    <w:rsid w:val="0077603D"/>
    <w:rsid w:val="007769EF"/>
    <w:rsid w:val="00776DE5"/>
    <w:rsid w:val="00780F73"/>
    <w:rsid w:val="0078257D"/>
    <w:rsid w:val="00782C92"/>
    <w:rsid w:val="00792DC3"/>
    <w:rsid w:val="007979B1"/>
    <w:rsid w:val="007B2C64"/>
    <w:rsid w:val="007B5847"/>
    <w:rsid w:val="007C0F82"/>
    <w:rsid w:val="007C4281"/>
    <w:rsid w:val="007D1613"/>
    <w:rsid w:val="007D4434"/>
    <w:rsid w:val="007E7343"/>
    <w:rsid w:val="007F1383"/>
    <w:rsid w:val="007F5C54"/>
    <w:rsid w:val="00804AF6"/>
    <w:rsid w:val="00804D80"/>
    <w:rsid w:val="00805472"/>
    <w:rsid w:val="008116F1"/>
    <w:rsid w:val="008130E5"/>
    <w:rsid w:val="00820EBA"/>
    <w:rsid w:val="008237B1"/>
    <w:rsid w:val="00825B23"/>
    <w:rsid w:val="008264A9"/>
    <w:rsid w:val="00830DEA"/>
    <w:rsid w:val="00833CA7"/>
    <w:rsid w:val="00844633"/>
    <w:rsid w:val="0084515A"/>
    <w:rsid w:val="0084529E"/>
    <w:rsid w:val="0085099F"/>
    <w:rsid w:val="008532C4"/>
    <w:rsid w:val="00860E7A"/>
    <w:rsid w:val="00861D36"/>
    <w:rsid w:val="00875C77"/>
    <w:rsid w:val="00875F23"/>
    <w:rsid w:val="008824BF"/>
    <w:rsid w:val="0089618B"/>
    <w:rsid w:val="008A1DFB"/>
    <w:rsid w:val="008A6016"/>
    <w:rsid w:val="008B01FE"/>
    <w:rsid w:val="008B5A63"/>
    <w:rsid w:val="008C1FC2"/>
    <w:rsid w:val="008C5435"/>
    <w:rsid w:val="008D43F8"/>
    <w:rsid w:val="008E298C"/>
    <w:rsid w:val="008E3858"/>
    <w:rsid w:val="008F384D"/>
    <w:rsid w:val="00901B9F"/>
    <w:rsid w:val="00905557"/>
    <w:rsid w:val="00915D12"/>
    <w:rsid w:val="00916245"/>
    <w:rsid w:val="00922E62"/>
    <w:rsid w:val="009240CE"/>
    <w:rsid w:val="009345A2"/>
    <w:rsid w:val="00942755"/>
    <w:rsid w:val="00954512"/>
    <w:rsid w:val="009627BF"/>
    <w:rsid w:val="00964D2F"/>
    <w:rsid w:val="00967BF3"/>
    <w:rsid w:val="0099089D"/>
    <w:rsid w:val="0099197D"/>
    <w:rsid w:val="00996A16"/>
    <w:rsid w:val="009A532A"/>
    <w:rsid w:val="009B4717"/>
    <w:rsid w:val="009B6E5D"/>
    <w:rsid w:val="009C1898"/>
    <w:rsid w:val="009D226C"/>
    <w:rsid w:val="009D3D91"/>
    <w:rsid w:val="009D55C0"/>
    <w:rsid w:val="009E0EB2"/>
    <w:rsid w:val="009E571B"/>
    <w:rsid w:val="009F240B"/>
    <w:rsid w:val="009F6340"/>
    <w:rsid w:val="00A232A4"/>
    <w:rsid w:val="00A3511F"/>
    <w:rsid w:val="00A36C8F"/>
    <w:rsid w:val="00A36DE6"/>
    <w:rsid w:val="00A430AB"/>
    <w:rsid w:val="00A47051"/>
    <w:rsid w:val="00A501F7"/>
    <w:rsid w:val="00A558F7"/>
    <w:rsid w:val="00A56EBE"/>
    <w:rsid w:val="00A92330"/>
    <w:rsid w:val="00A92C34"/>
    <w:rsid w:val="00AA42CA"/>
    <w:rsid w:val="00AB39D0"/>
    <w:rsid w:val="00AC0221"/>
    <w:rsid w:val="00AD2F7F"/>
    <w:rsid w:val="00AD4EDF"/>
    <w:rsid w:val="00AE0639"/>
    <w:rsid w:val="00AE74EA"/>
    <w:rsid w:val="00AF163C"/>
    <w:rsid w:val="00AF68EE"/>
    <w:rsid w:val="00B17222"/>
    <w:rsid w:val="00B302F8"/>
    <w:rsid w:val="00B30CB8"/>
    <w:rsid w:val="00B31565"/>
    <w:rsid w:val="00B315DA"/>
    <w:rsid w:val="00B31A96"/>
    <w:rsid w:val="00B3695B"/>
    <w:rsid w:val="00B41861"/>
    <w:rsid w:val="00B44E18"/>
    <w:rsid w:val="00B50617"/>
    <w:rsid w:val="00B601D1"/>
    <w:rsid w:val="00B628E5"/>
    <w:rsid w:val="00B630D5"/>
    <w:rsid w:val="00B6351D"/>
    <w:rsid w:val="00B73D84"/>
    <w:rsid w:val="00B82CF1"/>
    <w:rsid w:val="00B87481"/>
    <w:rsid w:val="00B960B0"/>
    <w:rsid w:val="00BA1E6B"/>
    <w:rsid w:val="00BA24F4"/>
    <w:rsid w:val="00BA6C6D"/>
    <w:rsid w:val="00BC0334"/>
    <w:rsid w:val="00BC1668"/>
    <w:rsid w:val="00BD086A"/>
    <w:rsid w:val="00BD405C"/>
    <w:rsid w:val="00BD654A"/>
    <w:rsid w:val="00BD7820"/>
    <w:rsid w:val="00BE2DA2"/>
    <w:rsid w:val="00BE494B"/>
    <w:rsid w:val="00BF0470"/>
    <w:rsid w:val="00C003C3"/>
    <w:rsid w:val="00C10CC8"/>
    <w:rsid w:val="00C16BEC"/>
    <w:rsid w:val="00C2085D"/>
    <w:rsid w:val="00C341CE"/>
    <w:rsid w:val="00C5175D"/>
    <w:rsid w:val="00C53FA3"/>
    <w:rsid w:val="00C55A8F"/>
    <w:rsid w:val="00C63A59"/>
    <w:rsid w:val="00C7394A"/>
    <w:rsid w:val="00C76CCB"/>
    <w:rsid w:val="00C92269"/>
    <w:rsid w:val="00C946D5"/>
    <w:rsid w:val="00CA01E5"/>
    <w:rsid w:val="00CA0AC7"/>
    <w:rsid w:val="00CA21E4"/>
    <w:rsid w:val="00CA7D3E"/>
    <w:rsid w:val="00CB5229"/>
    <w:rsid w:val="00CB65C0"/>
    <w:rsid w:val="00CD6AFB"/>
    <w:rsid w:val="00CD6E78"/>
    <w:rsid w:val="00CE30EF"/>
    <w:rsid w:val="00CE67E2"/>
    <w:rsid w:val="00CF0C62"/>
    <w:rsid w:val="00CF5CE5"/>
    <w:rsid w:val="00CF5DC6"/>
    <w:rsid w:val="00D05160"/>
    <w:rsid w:val="00D14B3B"/>
    <w:rsid w:val="00D154EC"/>
    <w:rsid w:val="00D31B9A"/>
    <w:rsid w:val="00D32964"/>
    <w:rsid w:val="00D3768F"/>
    <w:rsid w:val="00D46472"/>
    <w:rsid w:val="00D56897"/>
    <w:rsid w:val="00D65732"/>
    <w:rsid w:val="00D806FD"/>
    <w:rsid w:val="00D81524"/>
    <w:rsid w:val="00D82A5C"/>
    <w:rsid w:val="00D90505"/>
    <w:rsid w:val="00DB3FC5"/>
    <w:rsid w:val="00DC1E56"/>
    <w:rsid w:val="00E009A4"/>
    <w:rsid w:val="00E0347E"/>
    <w:rsid w:val="00E035FB"/>
    <w:rsid w:val="00E05951"/>
    <w:rsid w:val="00E05DC5"/>
    <w:rsid w:val="00E16B16"/>
    <w:rsid w:val="00E26F31"/>
    <w:rsid w:val="00E27B03"/>
    <w:rsid w:val="00E44937"/>
    <w:rsid w:val="00E455BF"/>
    <w:rsid w:val="00E45FCD"/>
    <w:rsid w:val="00E51AAA"/>
    <w:rsid w:val="00E601DE"/>
    <w:rsid w:val="00E71F76"/>
    <w:rsid w:val="00E76AA1"/>
    <w:rsid w:val="00E80468"/>
    <w:rsid w:val="00E837FF"/>
    <w:rsid w:val="00E84373"/>
    <w:rsid w:val="00E84438"/>
    <w:rsid w:val="00E8773B"/>
    <w:rsid w:val="00E96F1E"/>
    <w:rsid w:val="00EA3B13"/>
    <w:rsid w:val="00EA6879"/>
    <w:rsid w:val="00EB5575"/>
    <w:rsid w:val="00EB7D25"/>
    <w:rsid w:val="00EC2760"/>
    <w:rsid w:val="00ED16AB"/>
    <w:rsid w:val="00ED2F24"/>
    <w:rsid w:val="00ED346F"/>
    <w:rsid w:val="00EE0016"/>
    <w:rsid w:val="00EE055F"/>
    <w:rsid w:val="00EE692F"/>
    <w:rsid w:val="00EE78F7"/>
    <w:rsid w:val="00EF2C3C"/>
    <w:rsid w:val="00EF5CCC"/>
    <w:rsid w:val="00F117A6"/>
    <w:rsid w:val="00F30B42"/>
    <w:rsid w:val="00F40A41"/>
    <w:rsid w:val="00F452B8"/>
    <w:rsid w:val="00F50B65"/>
    <w:rsid w:val="00F51D7A"/>
    <w:rsid w:val="00F55F0D"/>
    <w:rsid w:val="00F70F07"/>
    <w:rsid w:val="00F725C9"/>
    <w:rsid w:val="00F74BC1"/>
    <w:rsid w:val="00F76277"/>
    <w:rsid w:val="00F762C8"/>
    <w:rsid w:val="00F77AC8"/>
    <w:rsid w:val="00F82438"/>
    <w:rsid w:val="00F85ECA"/>
    <w:rsid w:val="00F8609B"/>
    <w:rsid w:val="00F86F22"/>
    <w:rsid w:val="00FA6520"/>
    <w:rsid w:val="00FA6B43"/>
    <w:rsid w:val="00FB1FE9"/>
    <w:rsid w:val="00FB7532"/>
    <w:rsid w:val="00FD325E"/>
    <w:rsid w:val="00FE1100"/>
    <w:rsid w:val="00FE4562"/>
    <w:rsid w:val="00FE7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F9E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29E"/>
    <w:rPr>
      <w:color w:val="0000FF" w:themeColor="hyperlink"/>
      <w:u w:val="single"/>
    </w:rPr>
  </w:style>
  <w:style w:type="character" w:styleId="FollowedHyperlink">
    <w:name w:val="FollowedHyperlink"/>
    <w:basedOn w:val="DefaultParagraphFont"/>
    <w:uiPriority w:val="99"/>
    <w:semiHidden/>
    <w:unhideWhenUsed/>
    <w:rsid w:val="0084529E"/>
    <w:rPr>
      <w:color w:val="800080" w:themeColor="followedHyperlink"/>
      <w:u w:val="single"/>
    </w:rPr>
  </w:style>
  <w:style w:type="table" w:styleId="TableGrid">
    <w:name w:val="Table Grid"/>
    <w:basedOn w:val="TableNormal"/>
    <w:uiPriority w:val="59"/>
    <w:rsid w:val="004E4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5DEA"/>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8130E5"/>
    <w:rPr>
      <w:sz w:val="16"/>
      <w:szCs w:val="16"/>
    </w:rPr>
  </w:style>
  <w:style w:type="paragraph" w:styleId="CommentText">
    <w:name w:val="annotation text"/>
    <w:basedOn w:val="Normal"/>
    <w:link w:val="CommentTextChar"/>
    <w:uiPriority w:val="99"/>
    <w:semiHidden/>
    <w:unhideWhenUsed/>
    <w:rsid w:val="008130E5"/>
    <w:rPr>
      <w:sz w:val="20"/>
      <w:szCs w:val="20"/>
    </w:rPr>
  </w:style>
  <w:style w:type="character" w:customStyle="1" w:styleId="CommentTextChar">
    <w:name w:val="Comment Text Char"/>
    <w:basedOn w:val="DefaultParagraphFont"/>
    <w:link w:val="CommentText"/>
    <w:uiPriority w:val="99"/>
    <w:semiHidden/>
    <w:rsid w:val="008130E5"/>
    <w:rPr>
      <w:sz w:val="20"/>
      <w:szCs w:val="20"/>
      <w:lang w:val="en-GB"/>
    </w:rPr>
  </w:style>
  <w:style w:type="paragraph" w:styleId="CommentSubject">
    <w:name w:val="annotation subject"/>
    <w:basedOn w:val="CommentText"/>
    <w:next w:val="CommentText"/>
    <w:link w:val="CommentSubjectChar"/>
    <w:uiPriority w:val="99"/>
    <w:semiHidden/>
    <w:unhideWhenUsed/>
    <w:rsid w:val="008130E5"/>
    <w:rPr>
      <w:b/>
      <w:bCs/>
    </w:rPr>
  </w:style>
  <w:style w:type="character" w:customStyle="1" w:styleId="CommentSubjectChar">
    <w:name w:val="Comment Subject Char"/>
    <w:basedOn w:val="CommentTextChar"/>
    <w:link w:val="CommentSubject"/>
    <w:uiPriority w:val="99"/>
    <w:semiHidden/>
    <w:rsid w:val="008130E5"/>
    <w:rPr>
      <w:b/>
      <w:bCs/>
      <w:sz w:val="20"/>
      <w:szCs w:val="20"/>
      <w:lang w:val="en-GB"/>
    </w:rPr>
  </w:style>
  <w:style w:type="paragraph" w:styleId="BalloonText">
    <w:name w:val="Balloon Text"/>
    <w:basedOn w:val="Normal"/>
    <w:link w:val="BalloonTextChar"/>
    <w:uiPriority w:val="99"/>
    <w:semiHidden/>
    <w:unhideWhenUsed/>
    <w:rsid w:val="00813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0E5"/>
    <w:rPr>
      <w:rFonts w:ascii="Segoe UI" w:hAnsi="Segoe UI" w:cs="Segoe UI"/>
      <w:sz w:val="18"/>
      <w:szCs w:val="18"/>
      <w:lang w:val="en-GB"/>
    </w:rPr>
  </w:style>
  <w:style w:type="character" w:customStyle="1" w:styleId="UnresolvedMention">
    <w:name w:val="Unresolved Mention"/>
    <w:basedOn w:val="DefaultParagraphFont"/>
    <w:uiPriority w:val="99"/>
    <w:semiHidden/>
    <w:unhideWhenUsed/>
    <w:rsid w:val="00171CFA"/>
    <w:rPr>
      <w:color w:val="808080"/>
      <w:shd w:val="clear" w:color="auto" w:fill="E6E6E6"/>
    </w:rPr>
  </w:style>
  <w:style w:type="paragraph" w:styleId="Header">
    <w:name w:val="header"/>
    <w:basedOn w:val="Normal"/>
    <w:link w:val="HeaderChar"/>
    <w:uiPriority w:val="99"/>
    <w:unhideWhenUsed/>
    <w:rsid w:val="00051757"/>
    <w:pPr>
      <w:tabs>
        <w:tab w:val="center" w:pos="4320"/>
        <w:tab w:val="right" w:pos="8640"/>
      </w:tabs>
    </w:pPr>
  </w:style>
  <w:style w:type="character" w:customStyle="1" w:styleId="HeaderChar">
    <w:name w:val="Header Char"/>
    <w:basedOn w:val="DefaultParagraphFont"/>
    <w:link w:val="Header"/>
    <w:uiPriority w:val="99"/>
    <w:rsid w:val="00051757"/>
    <w:rPr>
      <w:lang w:val="en-GB"/>
    </w:rPr>
  </w:style>
  <w:style w:type="paragraph" w:styleId="Footer">
    <w:name w:val="footer"/>
    <w:basedOn w:val="Normal"/>
    <w:link w:val="FooterChar"/>
    <w:uiPriority w:val="99"/>
    <w:unhideWhenUsed/>
    <w:rsid w:val="00051757"/>
    <w:pPr>
      <w:tabs>
        <w:tab w:val="center" w:pos="4320"/>
        <w:tab w:val="right" w:pos="8640"/>
      </w:tabs>
    </w:pPr>
  </w:style>
  <w:style w:type="character" w:customStyle="1" w:styleId="FooterChar">
    <w:name w:val="Footer Char"/>
    <w:basedOn w:val="DefaultParagraphFont"/>
    <w:link w:val="Footer"/>
    <w:uiPriority w:val="99"/>
    <w:rsid w:val="00051757"/>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29E"/>
    <w:rPr>
      <w:color w:val="0000FF" w:themeColor="hyperlink"/>
      <w:u w:val="single"/>
    </w:rPr>
  </w:style>
  <w:style w:type="character" w:styleId="FollowedHyperlink">
    <w:name w:val="FollowedHyperlink"/>
    <w:basedOn w:val="DefaultParagraphFont"/>
    <w:uiPriority w:val="99"/>
    <w:semiHidden/>
    <w:unhideWhenUsed/>
    <w:rsid w:val="0084529E"/>
    <w:rPr>
      <w:color w:val="800080" w:themeColor="followedHyperlink"/>
      <w:u w:val="single"/>
    </w:rPr>
  </w:style>
  <w:style w:type="table" w:styleId="TableGrid">
    <w:name w:val="Table Grid"/>
    <w:basedOn w:val="TableNormal"/>
    <w:uiPriority w:val="59"/>
    <w:rsid w:val="004E4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5DEA"/>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8130E5"/>
    <w:rPr>
      <w:sz w:val="16"/>
      <w:szCs w:val="16"/>
    </w:rPr>
  </w:style>
  <w:style w:type="paragraph" w:styleId="CommentText">
    <w:name w:val="annotation text"/>
    <w:basedOn w:val="Normal"/>
    <w:link w:val="CommentTextChar"/>
    <w:uiPriority w:val="99"/>
    <w:semiHidden/>
    <w:unhideWhenUsed/>
    <w:rsid w:val="008130E5"/>
    <w:rPr>
      <w:sz w:val="20"/>
      <w:szCs w:val="20"/>
    </w:rPr>
  </w:style>
  <w:style w:type="character" w:customStyle="1" w:styleId="CommentTextChar">
    <w:name w:val="Comment Text Char"/>
    <w:basedOn w:val="DefaultParagraphFont"/>
    <w:link w:val="CommentText"/>
    <w:uiPriority w:val="99"/>
    <w:semiHidden/>
    <w:rsid w:val="008130E5"/>
    <w:rPr>
      <w:sz w:val="20"/>
      <w:szCs w:val="20"/>
      <w:lang w:val="en-GB"/>
    </w:rPr>
  </w:style>
  <w:style w:type="paragraph" w:styleId="CommentSubject">
    <w:name w:val="annotation subject"/>
    <w:basedOn w:val="CommentText"/>
    <w:next w:val="CommentText"/>
    <w:link w:val="CommentSubjectChar"/>
    <w:uiPriority w:val="99"/>
    <w:semiHidden/>
    <w:unhideWhenUsed/>
    <w:rsid w:val="008130E5"/>
    <w:rPr>
      <w:b/>
      <w:bCs/>
    </w:rPr>
  </w:style>
  <w:style w:type="character" w:customStyle="1" w:styleId="CommentSubjectChar">
    <w:name w:val="Comment Subject Char"/>
    <w:basedOn w:val="CommentTextChar"/>
    <w:link w:val="CommentSubject"/>
    <w:uiPriority w:val="99"/>
    <w:semiHidden/>
    <w:rsid w:val="008130E5"/>
    <w:rPr>
      <w:b/>
      <w:bCs/>
      <w:sz w:val="20"/>
      <w:szCs w:val="20"/>
      <w:lang w:val="en-GB"/>
    </w:rPr>
  </w:style>
  <w:style w:type="paragraph" w:styleId="BalloonText">
    <w:name w:val="Balloon Text"/>
    <w:basedOn w:val="Normal"/>
    <w:link w:val="BalloonTextChar"/>
    <w:uiPriority w:val="99"/>
    <w:semiHidden/>
    <w:unhideWhenUsed/>
    <w:rsid w:val="00813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0E5"/>
    <w:rPr>
      <w:rFonts w:ascii="Segoe UI" w:hAnsi="Segoe UI" w:cs="Segoe UI"/>
      <w:sz w:val="18"/>
      <w:szCs w:val="18"/>
      <w:lang w:val="en-GB"/>
    </w:rPr>
  </w:style>
  <w:style w:type="character" w:customStyle="1" w:styleId="UnresolvedMention">
    <w:name w:val="Unresolved Mention"/>
    <w:basedOn w:val="DefaultParagraphFont"/>
    <w:uiPriority w:val="99"/>
    <w:semiHidden/>
    <w:unhideWhenUsed/>
    <w:rsid w:val="00171CFA"/>
    <w:rPr>
      <w:color w:val="808080"/>
      <w:shd w:val="clear" w:color="auto" w:fill="E6E6E6"/>
    </w:rPr>
  </w:style>
  <w:style w:type="paragraph" w:styleId="Header">
    <w:name w:val="header"/>
    <w:basedOn w:val="Normal"/>
    <w:link w:val="HeaderChar"/>
    <w:uiPriority w:val="99"/>
    <w:unhideWhenUsed/>
    <w:rsid w:val="00051757"/>
    <w:pPr>
      <w:tabs>
        <w:tab w:val="center" w:pos="4320"/>
        <w:tab w:val="right" w:pos="8640"/>
      </w:tabs>
    </w:pPr>
  </w:style>
  <w:style w:type="character" w:customStyle="1" w:styleId="HeaderChar">
    <w:name w:val="Header Char"/>
    <w:basedOn w:val="DefaultParagraphFont"/>
    <w:link w:val="Header"/>
    <w:uiPriority w:val="99"/>
    <w:rsid w:val="00051757"/>
    <w:rPr>
      <w:lang w:val="en-GB"/>
    </w:rPr>
  </w:style>
  <w:style w:type="paragraph" w:styleId="Footer">
    <w:name w:val="footer"/>
    <w:basedOn w:val="Normal"/>
    <w:link w:val="FooterChar"/>
    <w:uiPriority w:val="99"/>
    <w:unhideWhenUsed/>
    <w:rsid w:val="00051757"/>
    <w:pPr>
      <w:tabs>
        <w:tab w:val="center" w:pos="4320"/>
        <w:tab w:val="right" w:pos="8640"/>
      </w:tabs>
    </w:pPr>
  </w:style>
  <w:style w:type="character" w:customStyle="1" w:styleId="FooterChar">
    <w:name w:val="Footer Char"/>
    <w:basedOn w:val="DefaultParagraphFont"/>
    <w:link w:val="Footer"/>
    <w:uiPriority w:val="99"/>
    <w:rsid w:val="0005175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41742">
      <w:bodyDiv w:val="1"/>
      <w:marLeft w:val="0"/>
      <w:marRight w:val="0"/>
      <w:marTop w:val="0"/>
      <w:marBottom w:val="0"/>
      <w:divBdr>
        <w:top w:val="none" w:sz="0" w:space="0" w:color="auto"/>
        <w:left w:val="none" w:sz="0" w:space="0" w:color="auto"/>
        <w:bottom w:val="none" w:sz="0" w:space="0" w:color="auto"/>
        <w:right w:val="none" w:sz="0" w:space="0" w:color="auto"/>
      </w:divBdr>
      <w:divsChild>
        <w:div w:id="936331340">
          <w:marLeft w:val="0"/>
          <w:marRight w:val="0"/>
          <w:marTop w:val="0"/>
          <w:marBottom w:val="0"/>
          <w:divBdr>
            <w:top w:val="none" w:sz="0" w:space="0" w:color="auto"/>
            <w:left w:val="none" w:sz="0" w:space="0" w:color="auto"/>
            <w:bottom w:val="none" w:sz="0" w:space="0" w:color="auto"/>
            <w:right w:val="none" w:sz="0" w:space="0" w:color="auto"/>
          </w:divBdr>
        </w:div>
      </w:divsChild>
    </w:div>
    <w:div w:id="1915234034">
      <w:bodyDiv w:val="1"/>
      <w:marLeft w:val="0"/>
      <w:marRight w:val="0"/>
      <w:marTop w:val="0"/>
      <w:marBottom w:val="0"/>
      <w:divBdr>
        <w:top w:val="none" w:sz="0" w:space="0" w:color="auto"/>
        <w:left w:val="none" w:sz="0" w:space="0" w:color="auto"/>
        <w:bottom w:val="none" w:sz="0" w:space="0" w:color="auto"/>
        <w:right w:val="none" w:sz="0" w:space="0" w:color="auto"/>
      </w:divBdr>
      <w:divsChild>
        <w:div w:id="19126975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ensusdata.abs.gov.au/census_services/getproduct/census/2016/quickstat/1GSYD?opendocument"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6/09/relationships/commentsIds" Target="commentsIds.xml"/><Relationship Id="rId27" Type="http://schemas.microsoft.com/office/2011/relationships/people" Target="people.xml"/><Relationship Id="rId28" Type="http://schemas.microsoft.com/office/2011/relationships/commentsExtended" Target="commentsExtended.xml"/><Relationship Id="rId10" Type="http://schemas.openxmlformats.org/officeDocument/2006/relationships/hyperlink" Target="https://urbis.com.au/app/uploads/2015/08/Gadens_Urbis_-SEPP-65-%20Seminar_30July2015.pdf" TargetMode="External"/><Relationship Id="rId11" Type="http://schemas.openxmlformats.org/officeDocument/2006/relationships/hyperlink" Target="http://www.planning.nsw.gov.au/~/media/Files/DPE/Manuals-and-guides/residential-flat-design-code-2002-02.ashx" TargetMode="External"/><Relationship Id="rId12" Type="http://schemas.openxmlformats.org/officeDocument/2006/relationships/hyperlink" Target="http://125.255.86.103/EBP/Open/2014/10/CCL_28102014_AGN_Attachment_3057_1.htm" TargetMode="External"/><Relationship Id="rId13" Type="http://schemas.openxmlformats.org/officeDocument/2006/relationships/hyperlink" Target="http://www.planning.nsw.gov.au/Policy-and%20Legislation/Housing/~/media/7ED8E40113064120AEE3432457390171.ashx" TargetMode="External"/><Relationship Id="rId14" Type="http://schemas.openxmlformats.org/officeDocument/2006/relationships/hyperlink" Target="http://apo.org.au/system/files/63346/apo-nid63346-66526.pdf" TargetMode="External"/><Relationship Id="rId15" Type="http://schemas.openxmlformats.org/officeDocument/2006/relationships/hyperlink" Target="http://www.legislation.nsw.gov.au/" TargetMode="External"/><Relationship Id="rId16" Type="http://schemas.openxmlformats.org/officeDocument/2006/relationships/hyperlink" Target="http://www.legislation.nsw.gov.au/" TargetMode="External"/><Relationship Id="rId17" Type="http://schemas.openxmlformats.org/officeDocument/2006/relationships/hyperlink" Target="http://www.urbantaskforce.com.au"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ensusdata.abs.gov.au/census_services/getproduct/census/2016/quickstat/036?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6088</Words>
  <Characters>34703</Characters>
  <Application>Microsoft Macintosh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 Sajan</dc:creator>
  <cp:keywords/>
  <dc:description/>
  <cp:lastModifiedBy>Lara Birchby</cp:lastModifiedBy>
  <cp:revision>2</cp:revision>
  <dcterms:created xsi:type="dcterms:W3CDTF">2018-04-24T03:23:00Z</dcterms:created>
  <dcterms:modified xsi:type="dcterms:W3CDTF">2018-04-24T03:23:00Z</dcterms:modified>
</cp:coreProperties>
</file>