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D04AF" w14:textId="5BBD431E" w:rsidR="00571E93" w:rsidRPr="00600FCA" w:rsidRDefault="00571E93" w:rsidP="0041750D">
      <w:pPr>
        <w:jc w:val="center"/>
        <w:rPr>
          <w:rFonts w:cs="Arial"/>
          <w:b/>
          <w:color w:val="000000"/>
          <w:sz w:val="28"/>
          <w:szCs w:val="28"/>
          <w:shd w:val="clear" w:color="auto" w:fill="FFFFFF"/>
        </w:rPr>
      </w:pPr>
      <w:r w:rsidRPr="00600FCA">
        <w:rPr>
          <w:rFonts w:cs="Arial"/>
          <w:b/>
          <w:color w:val="000000"/>
          <w:sz w:val="28"/>
          <w:szCs w:val="28"/>
          <w:shd w:val="clear" w:color="auto" w:fill="FFFFFF"/>
        </w:rPr>
        <w:t>Full-</w:t>
      </w:r>
      <w:bookmarkStart w:id="0" w:name="_GoBack"/>
      <w:r w:rsidRPr="00600FCA">
        <w:rPr>
          <w:rFonts w:cs="Arial"/>
          <w:b/>
          <w:color w:val="000000"/>
          <w:sz w:val="28"/>
          <w:szCs w:val="28"/>
          <w:shd w:val="clear" w:color="auto" w:fill="FFFFFF"/>
        </w:rPr>
        <w:t xml:space="preserve">stack </w:t>
      </w:r>
      <w:bookmarkEnd w:id="0"/>
      <w:r w:rsidRPr="00600FCA">
        <w:rPr>
          <w:rFonts w:cs="Arial"/>
          <w:b/>
          <w:color w:val="000000"/>
          <w:sz w:val="28"/>
          <w:szCs w:val="28"/>
          <w:shd w:val="clear" w:color="auto" w:fill="FFFFFF"/>
        </w:rPr>
        <w:t>engagement: vertical integration and process-precursors that promote bottom-up urban transformation.</w:t>
      </w:r>
    </w:p>
    <w:p w14:paraId="394954D6" w14:textId="59EA409D" w:rsidR="00571E93" w:rsidRDefault="00571E93" w:rsidP="0041750D">
      <w:pPr>
        <w:rPr>
          <w:rFonts w:cs="Arial"/>
          <w:szCs w:val="20"/>
        </w:rPr>
      </w:pPr>
    </w:p>
    <w:p w14:paraId="45974219" w14:textId="7BFFD45F" w:rsidR="00C14D3A" w:rsidRPr="00C14D3A" w:rsidRDefault="00C14D3A" w:rsidP="00C14D3A">
      <w:pPr>
        <w:jc w:val="center"/>
        <w:rPr>
          <w:rFonts w:cs="Arial"/>
          <w:b/>
          <w:szCs w:val="20"/>
        </w:rPr>
      </w:pPr>
      <w:r w:rsidRPr="00C14D3A">
        <w:rPr>
          <w:rFonts w:cs="Arial"/>
          <w:b/>
          <w:szCs w:val="20"/>
        </w:rPr>
        <w:t>Authors: Stephen Glackin</w:t>
      </w:r>
      <w:r w:rsidRPr="00C14D3A">
        <w:rPr>
          <w:rFonts w:cs="Arial"/>
          <w:b/>
          <w:szCs w:val="20"/>
          <w:vertAlign w:val="superscript"/>
        </w:rPr>
        <w:t>1</w:t>
      </w:r>
      <w:r w:rsidRPr="00C14D3A">
        <w:rPr>
          <w:rFonts w:cs="Arial"/>
          <w:b/>
          <w:szCs w:val="20"/>
        </w:rPr>
        <w:t xml:space="preserve"> and Ori Gudes</w:t>
      </w:r>
      <w:r w:rsidRPr="00C14D3A">
        <w:rPr>
          <w:rFonts w:cs="Arial"/>
          <w:b/>
          <w:szCs w:val="20"/>
          <w:vertAlign w:val="superscript"/>
        </w:rPr>
        <w:t>2</w:t>
      </w:r>
    </w:p>
    <w:p w14:paraId="61671FB0" w14:textId="4C379CC5" w:rsidR="00C14D3A" w:rsidRDefault="00C14D3A" w:rsidP="0041750D">
      <w:pPr>
        <w:rPr>
          <w:rFonts w:cs="Arial"/>
          <w:szCs w:val="20"/>
        </w:rPr>
      </w:pPr>
    </w:p>
    <w:p w14:paraId="0C8618BF" w14:textId="451A9792" w:rsidR="00C14D3A" w:rsidRPr="00C14D3A" w:rsidRDefault="00C14D3A" w:rsidP="0041750D">
      <w:pPr>
        <w:rPr>
          <w:rFonts w:cs="Arial"/>
          <w:i/>
          <w:szCs w:val="20"/>
        </w:rPr>
      </w:pPr>
      <w:r w:rsidRPr="00C14D3A">
        <w:rPr>
          <w:rFonts w:cs="Arial"/>
          <w:i/>
          <w:szCs w:val="20"/>
        </w:rPr>
        <w:t>1. The Centre for Urban Transitions, Swinburne University, Hawthorn, Victoria.</w:t>
      </w:r>
    </w:p>
    <w:p w14:paraId="563B4CD2" w14:textId="087886CE" w:rsidR="00C14D3A" w:rsidRPr="00C14D3A" w:rsidRDefault="00C14D3A" w:rsidP="0041750D">
      <w:pPr>
        <w:rPr>
          <w:rFonts w:cs="Arial"/>
          <w:i/>
          <w:szCs w:val="20"/>
        </w:rPr>
      </w:pPr>
      <w:r w:rsidRPr="00C14D3A">
        <w:rPr>
          <w:rFonts w:cs="Arial"/>
          <w:i/>
          <w:szCs w:val="20"/>
        </w:rPr>
        <w:t xml:space="preserve">2. City Futures, University of New South Wales, Sydney, New South Wales </w:t>
      </w:r>
    </w:p>
    <w:p w14:paraId="4E55BA53" w14:textId="77777777" w:rsidR="00C14D3A" w:rsidRPr="00314DDB" w:rsidRDefault="00C14D3A" w:rsidP="0041750D">
      <w:pPr>
        <w:rPr>
          <w:rFonts w:cs="Arial"/>
          <w:szCs w:val="20"/>
        </w:rPr>
      </w:pPr>
    </w:p>
    <w:p w14:paraId="1418AB24" w14:textId="194598E6" w:rsidR="00600FCA" w:rsidRDefault="00600FCA" w:rsidP="0041750D">
      <w:pPr>
        <w:rPr>
          <w:rFonts w:cs="Arial"/>
          <w:szCs w:val="20"/>
        </w:rPr>
      </w:pPr>
      <w:r>
        <w:rPr>
          <w:rFonts w:cs="Arial"/>
          <w:b/>
          <w:sz w:val="22"/>
          <w:szCs w:val="22"/>
        </w:rPr>
        <w:t>Abstract</w:t>
      </w:r>
    </w:p>
    <w:p w14:paraId="4D487679" w14:textId="56B6C7D1" w:rsidR="00571E93" w:rsidRPr="00314DDB" w:rsidRDefault="00571E93" w:rsidP="0041750D">
      <w:pPr>
        <w:rPr>
          <w:rFonts w:cs="Arial"/>
          <w:szCs w:val="20"/>
        </w:rPr>
      </w:pPr>
      <w:r w:rsidRPr="00314DDB">
        <w:rPr>
          <w:rFonts w:cs="Arial"/>
          <w:szCs w:val="20"/>
        </w:rPr>
        <w:t>Cities are comprised of hundreds of thousands, if not millions, of small parcels of individually owned land. The fractured nature of these tenures, combined with the network of administrative and infrastructural bodies governing them, makes any form of significant and coordinated planning change incredibly complicated, if not untenable. This plurality, of both ownership and regulation, necessitates that stakeholder negotiation across the range of stakeholder groups is required to affect any meaningful change</w:t>
      </w:r>
      <w:proofErr w:type="gramStart"/>
      <w:r w:rsidRPr="00314DDB">
        <w:rPr>
          <w:rFonts w:cs="Arial"/>
          <w:szCs w:val="20"/>
        </w:rPr>
        <w:t>;</w:t>
      </w:r>
      <w:proofErr w:type="gramEnd"/>
      <w:r w:rsidRPr="00314DDB">
        <w:rPr>
          <w:rFonts w:cs="Arial"/>
          <w:szCs w:val="20"/>
        </w:rPr>
        <w:t xml:space="preserve"> particularly in an urban context. This range of stakeholder engagement is referred to as “Full stack” in the presentation title. The term is taken from software engineering and refers to a form of programming that covers all levels of the software “stack”</w:t>
      </w:r>
      <w:proofErr w:type="gramStart"/>
      <w:r w:rsidRPr="00314DDB">
        <w:rPr>
          <w:rFonts w:cs="Arial"/>
          <w:szCs w:val="20"/>
        </w:rPr>
        <w:t>;</w:t>
      </w:r>
      <w:proofErr w:type="gramEnd"/>
      <w:r w:rsidRPr="00314DDB">
        <w:rPr>
          <w:rFonts w:cs="Arial"/>
          <w:szCs w:val="20"/>
        </w:rPr>
        <w:t xml:space="preserve"> from the machine code and its distribution through to the well-designed human interfaces. Similarly, “full stack engagement” is an engagement methodology that aims to traverses the complete hierarchy of stakeholders within a field of enquiry and vertically </w:t>
      </w:r>
      <w:proofErr w:type="gramStart"/>
      <w:r w:rsidRPr="00314DDB">
        <w:rPr>
          <w:rFonts w:cs="Arial"/>
          <w:szCs w:val="20"/>
        </w:rPr>
        <w:t>align</w:t>
      </w:r>
      <w:proofErr w:type="gramEnd"/>
      <w:r w:rsidRPr="00314DDB">
        <w:rPr>
          <w:rFonts w:cs="Arial"/>
          <w:szCs w:val="20"/>
        </w:rPr>
        <w:t xml:space="preserve"> all levels of stakeholder self-interest. Rather than simply present yet anothe</w:t>
      </w:r>
      <w:r w:rsidR="00E57AA3">
        <w:rPr>
          <w:rFonts w:cs="Arial"/>
          <w:szCs w:val="20"/>
        </w:rPr>
        <w:t>r methodology, this paper</w:t>
      </w:r>
      <w:r w:rsidRPr="00314DDB">
        <w:rPr>
          <w:rFonts w:cs="Arial"/>
          <w:szCs w:val="20"/>
        </w:rPr>
        <w:t xml:space="preserve"> also cover</w:t>
      </w:r>
      <w:r w:rsidR="00E06160">
        <w:rPr>
          <w:rFonts w:cs="Arial"/>
          <w:szCs w:val="20"/>
        </w:rPr>
        <w:t>s</w:t>
      </w:r>
      <w:r w:rsidRPr="00314DDB">
        <w:rPr>
          <w:rFonts w:cs="Arial"/>
          <w:szCs w:val="20"/>
        </w:rPr>
        <w:t xml:space="preserve"> a worked example; illustrating how state government, local government, community members, infrastructure suppliers and a range of industry experts have been organised so as to promote precinct scale regeneration of the urban greyfields. </w:t>
      </w:r>
    </w:p>
    <w:p w14:paraId="6FF5ECE6" w14:textId="77777777" w:rsidR="00571E93" w:rsidRPr="00314DDB" w:rsidRDefault="00571E93" w:rsidP="0041750D">
      <w:pPr>
        <w:rPr>
          <w:rFonts w:cs="Arial"/>
          <w:szCs w:val="20"/>
        </w:rPr>
      </w:pPr>
    </w:p>
    <w:p w14:paraId="488E37CE" w14:textId="485C0A75" w:rsidR="00571E93" w:rsidRDefault="00885FC9" w:rsidP="0041750D">
      <w:pPr>
        <w:rPr>
          <w:rFonts w:cs="Arial"/>
          <w:b/>
          <w:sz w:val="22"/>
          <w:szCs w:val="22"/>
        </w:rPr>
      </w:pPr>
      <w:r w:rsidRPr="00885FC9">
        <w:rPr>
          <w:rFonts w:cs="Arial"/>
          <w:b/>
          <w:sz w:val="22"/>
          <w:szCs w:val="22"/>
        </w:rPr>
        <w:t>Keywords</w:t>
      </w:r>
    </w:p>
    <w:p w14:paraId="0E09FD14" w14:textId="0FFE9E60" w:rsidR="00885FC9" w:rsidRPr="00885FC9" w:rsidRDefault="00582B14" w:rsidP="0041750D">
      <w:pPr>
        <w:rPr>
          <w:rFonts w:cs="Arial"/>
          <w:b/>
          <w:sz w:val="22"/>
          <w:szCs w:val="22"/>
        </w:rPr>
      </w:pPr>
      <w:r w:rsidRPr="00582B14">
        <w:rPr>
          <w:rFonts w:cs="Arial"/>
          <w:szCs w:val="20"/>
        </w:rPr>
        <w:t>Engageme</w:t>
      </w:r>
      <w:r>
        <w:rPr>
          <w:rFonts w:cs="Arial"/>
          <w:szCs w:val="20"/>
        </w:rPr>
        <w:t>nt;</w:t>
      </w:r>
      <w:r>
        <w:rPr>
          <w:rFonts w:cs="Arial"/>
          <w:b/>
          <w:sz w:val="22"/>
          <w:szCs w:val="22"/>
        </w:rPr>
        <w:t xml:space="preserve"> </w:t>
      </w:r>
      <w:r>
        <w:rPr>
          <w:rFonts w:cs="Arial"/>
          <w:szCs w:val="20"/>
        </w:rPr>
        <w:t xml:space="preserve">planning; housing; method; </w:t>
      </w:r>
    </w:p>
    <w:p w14:paraId="431C01D9" w14:textId="77777777" w:rsidR="00885FC9" w:rsidRDefault="00885FC9" w:rsidP="0041750D">
      <w:pPr>
        <w:rPr>
          <w:rFonts w:cs="Arial"/>
          <w:szCs w:val="20"/>
        </w:rPr>
      </w:pPr>
    </w:p>
    <w:p w14:paraId="12FFA43E" w14:textId="03126362" w:rsidR="00571E93" w:rsidRPr="00885FC9" w:rsidRDefault="003D16F3" w:rsidP="0041750D">
      <w:pPr>
        <w:rPr>
          <w:rFonts w:cs="Arial"/>
          <w:b/>
          <w:sz w:val="22"/>
          <w:szCs w:val="22"/>
        </w:rPr>
      </w:pPr>
      <w:r>
        <w:rPr>
          <w:rFonts w:cs="Arial"/>
          <w:b/>
          <w:sz w:val="22"/>
          <w:szCs w:val="22"/>
        </w:rPr>
        <w:t xml:space="preserve">1. </w:t>
      </w:r>
      <w:r w:rsidR="008C27B6">
        <w:rPr>
          <w:rFonts w:cs="Arial"/>
          <w:b/>
          <w:sz w:val="22"/>
          <w:szCs w:val="22"/>
        </w:rPr>
        <w:t>Introduction</w:t>
      </w:r>
    </w:p>
    <w:p w14:paraId="00704EA5" w14:textId="1B5407AE" w:rsidR="0094718E" w:rsidRDefault="00280E48" w:rsidP="0041750D">
      <w:pPr>
        <w:rPr>
          <w:rFonts w:cs="Arial"/>
          <w:szCs w:val="20"/>
        </w:rPr>
      </w:pPr>
      <w:r>
        <w:rPr>
          <w:rFonts w:cs="Arial"/>
          <w:szCs w:val="20"/>
        </w:rPr>
        <w:t>Building new houses on the city’s fringe is</w:t>
      </w:r>
      <w:r w:rsidR="008935EF">
        <w:rPr>
          <w:rFonts w:cs="Arial"/>
          <w:szCs w:val="20"/>
        </w:rPr>
        <w:t>, by development standards, a</w:t>
      </w:r>
      <w:r>
        <w:rPr>
          <w:rFonts w:cs="Arial"/>
          <w:szCs w:val="20"/>
        </w:rPr>
        <w:t xml:space="preserve"> reasonably simple</w:t>
      </w:r>
      <w:r w:rsidR="008935EF">
        <w:rPr>
          <w:rFonts w:cs="Arial"/>
          <w:szCs w:val="20"/>
        </w:rPr>
        <w:t xml:space="preserve"> affair</w:t>
      </w:r>
      <w:r>
        <w:rPr>
          <w:rFonts w:cs="Arial"/>
          <w:szCs w:val="20"/>
        </w:rPr>
        <w:t>; land is acquired, rezoned,</w:t>
      </w:r>
      <w:r w:rsidR="008935EF">
        <w:rPr>
          <w:rFonts w:cs="Arial"/>
          <w:szCs w:val="20"/>
        </w:rPr>
        <w:t xml:space="preserve"> built</w:t>
      </w:r>
      <w:r>
        <w:rPr>
          <w:rFonts w:cs="Arial"/>
          <w:szCs w:val="20"/>
        </w:rPr>
        <w:t xml:space="preserve"> and sold. This simplicity </w:t>
      </w:r>
      <w:r w:rsidR="00E86E05">
        <w:rPr>
          <w:rFonts w:cs="Arial"/>
          <w:szCs w:val="20"/>
        </w:rPr>
        <w:t>comes</w:t>
      </w:r>
      <w:r w:rsidR="00302154">
        <w:rPr>
          <w:rFonts w:cs="Arial"/>
          <w:szCs w:val="20"/>
        </w:rPr>
        <w:t xml:space="preserve"> despite</w:t>
      </w:r>
      <w:r>
        <w:rPr>
          <w:rFonts w:cs="Arial"/>
          <w:szCs w:val="20"/>
        </w:rPr>
        <w:t xml:space="preserve"> having no significant infrastructural capacity, typically being a </w:t>
      </w:r>
      <w:r w:rsidR="008935EF">
        <w:rPr>
          <w:rFonts w:cs="Arial"/>
          <w:szCs w:val="20"/>
        </w:rPr>
        <w:t xml:space="preserve">large </w:t>
      </w:r>
      <w:r>
        <w:rPr>
          <w:rFonts w:cs="Arial"/>
          <w:szCs w:val="20"/>
        </w:rPr>
        <w:t xml:space="preserve">distance from jobs, and generally </w:t>
      </w:r>
      <w:r w:rsidR="00302154">
        <w:rPr>
          <w:rFonts w:cs="Arial"/>
          <w:szCs w:val="20"/>
        </w:rPr>
        <w:t xml:space="preserve">having </w:t>
      </w:r>
      <w:r w:rsidR="008935EF">
        <w:rPr>
          <w:rFonts w:cs="Arial"/>
          <w:szCs w:val="20"/>
        </w:rPr>
        <w:t xml:space="preserve">little going for </w:t>
      </w:r>
      <w:r>
        <w:rPr>
          <w:rFonts w:cs="Arial"/>
          <w:szCs w:val="20"/>
        </w:rPr>
        <w:t>it</w:t>
      </w:r>
      <w:r w:rsidR="00B73263">
        <w:rPr>
          <w:rFonts w:cs="Arial"/>
          <w:szCs w:val="20"/>
        </w:rPr>
        <w:t xml:space="preserve"> </w:t>
      </w:r>
      <w:r w:rsidR="00B73263">
        <w:rPr>
          <w:rFonts w:cs="Arial"/>
          <w:szCs w:val="20"/>
        </w:rPr>
        <w:fldChar w:fldCharType="begin"/>
      </w:r>
      <w:r w:rsidR="00B3236F">
        <w:rPr>
          <w:rFonts w:cs="Arial"/>
          <w:szCs w:val="20"/>
        </w:rPr>
        <w:instrText xml:space="preserve"> ADDIN EN.CITE &lt;EndNote&gt;&lt;Cite&gt;&lt;Author&gt;Newman&lt;/Author&gt;&lt;Year&gt;2009&lt;/Year&gt;&lt;RecNum&gt;79&lt;/RecNum&gt;&lt;DisplayText&gt;(Newman et al., 2009)&lt;/DisplayText&gt;&lt;record&gt;&lt;rec-number&gt;79&lt;/rec-number&gt;&lt;foreign-keys&gt;&lt;key app="EN" db-id="5ae2fdermwpr2ceeapzpfaftrzts9tfdvwwd" timestamp="0"&gt;79&lt;/key&gt;&lt;/foreign-keys&gt;&lt;ref-type name="Book"&gt;6&lt;/ref-type&gt;&lt;contributors&gt;&lt;authors&gt;&lt;author&gt;Peter Newman     &lt;/author&gt;&lt;author&gt;Timothy Beatley     &lt;/author&gt;&lt;author&gt;Heather Boyer  &lt;/author&gt;&lt;/authors&gt;&lt;/contributors&gt;&lt;titles&gt;&lt;title&gt;Resilient Cities: Responding to Peak Oil and Climate Change&lt;/title&gt;&lt;/titles&gt;&lt;dates&gt;&lt;year&gt;2009&lt;/year&gt;&lt;/dates&gt;&lt;pub-location&gt;Washington&lt;/pub-location&gt;&lt;publisher&gt;Island Press&lt;/publisher&gt;&lt;urls&gt;&lt;/urls&gt;&lt;/record&gt;&lt;/Cite&gt;&lt;/EndNote&gt;</w:instrText>
      </w:r>
      <w:r w:rsidR="00B73263">
        <w:rPr>
          <w:rFonts w:cs="Arial"/>
          <w:szCs w:val="20"/>
        </w:rPr>
        <w:fldChar w:fldCharType="separate"/>
      </w:r>
      <w:r w:rsidR="00B3236F">
        <w:rPr>
          <w:rFonts w:cs="Arial"/>
          <w:noProof/>
          <w:szCs w:val="20"/>
        </w:rPr>
        <w:t>(Newman et al., 2009)</w:t>
      </w:r>
      <w:r w:rsidR="00B73263">
        <w:rPr>
          <w:rFonts w:cs="Arial"/>
          <w:szCs w:val="20"/>
        </w:rPr>
        <w:fldChar w:fldCharType="end"/>
      </w:r>
      <w:r w:rsidR="00302154">
        <w:rPr>
          <w:rFonts w:cs="Arial"/>
          <w:szCs w:val="20"/>
        </w:rPr>
        <w:t xml:space="preserve">. Effectively the ease of development comes from two factors; that </w:t>
      </w:r>
      <w:proofErr w:type="gramStart"/>
      <w:r w:rsidR="00302154">
        <w:rPr>
          <w:rFonts w:cs="Arial"/>
          <w:szCs w:val="20"/>
        </w:rPr>
        <w:t>the land is owned by one person or group</w:t>
      </w:r>
      <w:proofErr w:type="gramEnd"/>
      <w:r w:rsidR="00302154">
        <w:rPr>
          <w:rFonts w:cs="Arial"/>
          <w:szCs w:val="20"/>
        </w:rPr>
        <w:t xml:space="preserve">, and that it is undeveloped, meaning that large scale infrastructure can be easily and reasonably cheaply delivered. However, given that </w:t>
      </w:r>
      <w:r w:rsidR="00653F31">
        <w:rPr>
          <w:rFonts w:cs="Arial"/>
          <w:szCs w:val="20"/>
        </w:rPr>
        <w:t>most</w:t>
      </w:r>
      <w:r w:rsidR="00302154">
        <w:rPr>
          <w:rFonts w:cs="Arial"/>
          <w:szCs w:val="20"/>
        </w:rPr>
        <w:t xml:space="preserve"> Australians </w:t>
      </w:r>
      <w:r w:rsidR="00E06160">
        <w:rPr>
          <w:rFonts w:cs="Arial"/>
          <w:szCs w:val="20"/>
        </w:rPr>
        <w:t>live</w:t>
      </w:r>
      <w:r w:rsidR="00302154">
        <w:rPr>
          <w:rFonts w:cs="Arial"/>
          <w:szCs w:val="20"/>
        </w:rPr>
        <w:t xml:space="preserve"> in urban centres, and all state governments </w:t>
      </w:r>
      <w:r w:rsidR="008C6CD0">
        <w:rPr>
          <w:rFonts w:cs="Arial"/>
          <w:szCs w:val="20"/>
        </w:rPr>
        <w:t>are pushing for net increase</w:t>
      </w:r>
      <w:r w:rsidR="00E06160">
        <w:rPr>
          <w:rFonts w:cs="Arial"/>
          <w:szCs w:val="20"/>
        </w:rPr>
        <w:t>s</w:t>
      </w:r>
      <w:r w:rsidR="008C6CD0">
        <w:rPr>
          <w:rFonts w:cs="Arial"/>
          <w:szCs w:val="20"/>
        </w:rPr>
        <w:t xml:space="preserve"> in housing to come from infill (at roughly the rate of 70%)</w:t>
      </w:r>
      <w:r w:rsidR="00B73263">
        <w:rPr>
          <w:rFonts w:cs="Arial"/>
          <w:szCs w:val="20"/>
        </w:rPr>
        <w:t xml:space="preserve"> </w:t>
      </w:r>
      <w:r w:rsidR="00B73263">
        <w:rPr>
          <w:rFonts w:cs="Arial"/>
          <w:szCs w:val="20"/>
        </w:rPr>
        <w:fldChar w:fldCharType="begin"/>
      </w:r>
      <w:r w:rsidR="00B3236F">
        <w:rPr>
          <w:rFonts w:cs="Arial"/>
          <w:szCs w:val="20"/>
        </w:rPr>
        <w:instrText xml:space="preserve"> ADDIN EN.CITE &lt;EndNote&gt;&lt;Cite&gt;&lt;Author&gt;Department of Environment Land Water and Planning&lt;/Author&gt;&lt;Year&gt;2015&lt;/Year&gt;&lt;RecNum&gt;348&lt;/RecNum&gt;&lt;DisplayText&gt;(Department of Environment Land Water and Planning, 2015; Department of Planning and Local Government, 2010; Department of Planning &amp;amp; Environment, 2014)&lt;/DisplayText&gt;&lt;record&gt;&lt;rec-number&gt;348&lt;/rec-number&gt;&lt;foreign-keys&gt;&lt;key app="EN" db-id="5ae2fdermwpr2ceeapzpfaftrzts9tfdvwwd" timestamp="1448240819"&gt;348&lt;/key&gt;&lt;/foreign-keys&gt;&lt;ref-type name="Government Document"&gt;46&lt;/ref-type&gt;&lt;contributors&gt;&lt;authors&gt;&lt;author&gt;Department of Environment Land Water and Planning,&lt;/author&gt;&lt;/authors&gt;&lt;/contributors&gt;&lt;titles&gt;&lt;title&gt;Plan Melbourne Refresh Discussion Paper&lt;/title&gt;&lt;/titles&gt;&lt;dates&gt;&lt;year&gt;2015&lt;/year&gt;&lt;/dates&gt;&lt;pub-location&gt;Melbourne&lt;/pub-location&gt;&lt;publisher&gt;Victorian Government&lt;/publisher&gt;&lt;urls&gt;&lt;/urls&gt;&lt;/record&gt;&lt;/Cite&gt;&lt;Cite&gt;&lt;Author&gt;Department of Planning and Local Government&lt;/Author&gt;&lt;Year&gt;2010&lt;/Year&gt;&lt;RecNum&gt;204&lt;/RecNum&gt;&lt;record&gt;&lt;rec-number&gt;204&lt;/rec-number&gt;&lt;foreign-keys&gt;&lt;key app="EN" db-id="5ae2fdermwpr2ceeapzpfaftrzts9tfdvwwd" timestamp="0"&gt;204&lt;/key&gt;&lt;/foreign-keys&gt;&lt;ref-type name="Government Document"&gt;46&lt;/ref-type&gt;&lt;contributors&gt;&lt;authors&gt;&lt;author&gt;Department of Planning and Local Government,&lt;/author&gt;&lt;/authors&gt;&lt;/contributors&gt;&lt;titles&gt;&lt;title&gt;The Thirty Year Plan for Greater Adelaide&lt;/title&gt;&lt;/titles&gt;&lt;dates&gt;&lt;year&gt;2010&lt;/year&gt;&lt;/dates&gt;&lt;pub-location&gt;Adelaide&lt;/pub-location&gt;&lt;urls&gt;&lt;/urls&gt;&lt;/record&gt;&lt;/Cite&gt;&lt;Cite&gt;&lt;Author&gt;Department of Planning &amp;amp; Environment&lt;/Author&gt;&lt;Year&gt;2014&lt;/Year&gt;&lt;RecNum&gt;350&lt;/RecNum&gt;&lt;record&gt;&lt;rec-number&gt;350&lt;/rec-number&gt;&lt;foreign-keys&gt;&lt;key app="EN" db-id="5ae2fdermwpr2ceeapzpfaftrzts9tfdvwwd" timestamp="1449101906"&gt;350&lt;/key&gt;&lt;/foreign-keys&gt;&lt;ref-type name="Report"&gt;27&lt;/ref-type&gt;&lt;contributors&gt;&lt;authors&gt;&lt;author&gt;Department of Planning &amp;amp; Environment,&lt;/author&gt;&lt;/authors&gt;&lt;tertiary-authors&gt;&lt;author&gt;NSW Government&lt;/author&gt;&lt;/tertiary-authors&gt;&lt;/contributors&gt;&lt;titles&gt;&lt;title&gt;A Plan for Growing Sydney&lt;/title&gt;&lt;/titles&gt;&lt;dates&gt;&lt;year&gt;2014&lt;/year&gt;&lt;/dates&gt;&lt;pub-location&gt;Sydney&lt;/pub-location&gt;&lt;urls&gt;&lt;/urls&gt;&lt;/record&gt;&lt;/Cite&gt;&lt;/EndNote&gt;</w:instrText>
      </w:r>
      <w:r w:rsidR="00B73263">
        <w:rPr>
          <w:rFonts w:cs="Arial"/>
          <w:szCs w:val="20"/>
        </w:rPr>
        <w:fldChar w:fldCharType="separate"/>
      </w:r>
      <w:r w:rsidR="00B3236F">
        <w:rPr>
          <w:rFonts w:cs="Arial"/>
          <w:noProof/>
          <w:szCs w:val="20"/>
        </w:rPr>
        <w:t>(Department of Environment Land Water and Planning, 2015; Department of Planning and Local Government, 2010; Department of Planning &amp; Environment, 2014)</w:t>
      </w:r>
      <w:r w:rsidR="00B73263">
        <w:rPr>
          <w:rFonts w:cs="Arial"/>
          <w:szCs w:val="20"/>
        </w:rPr>
        <w:fldChar w:fldCharType="end"/>
      </w:r>
      <w:r w:rsidR="008C6CD0">
        <w:rPr>
          <w:rFonts w:cs="Arial"/>
          <w:szCs w:val="20"/>
        </w:rPr>
        <w:t xml:space="preserve"> significant issues arise about how to deliver new required infrastructure to established urban areas </w:t>
      </w:r>
      <w:r w:rsidR="00B77F6F">
        <w:rPr>
          <w:rFonts w:cs="Arial"/>
          <w:szCs w:val="20"/>
        </w:rPr>
        <w:t xml:space="preserve">undergoing intensification. </w:t>
      </w:r>
      <w:r w:rsidR="008C6CD0">
        <w:rPr>
          <w:rFonts w:cs="Arial"/>
          <w:szCs w:val="20"/>
        </w:rPr>
        <w:t>This issue is compounded by the ever-reducing size of redeveloped lots occurring in these urban centres.</w:t>
      </w:r>
      <w:r w:rsidR="00E06160">
        <w:rPr>
          <w:rFonts w:cs="Arial"/>
          <w:szCs w:val="20"/>
        </w:rPr>
        <w:t xml:space="preserve"> </w:t>
      </w:r>
      <w:proofErr w:type="gramStart"/>
      <w:r w:rsidR="0094718E">
        <w:rPr>
          <w:rFonts w:cs="Arial"/>
          <w:szCs w:val="20"/>
        </w:rPr>
        <w:t>Increases in land value, combined with the typical redevelopment mode of land parcel subdivision, is</w:t>
      </w:r>
      <w:proofErr w:type="gramEnd"/>
      <w:r w:rsidR="0094718E">
        <w:rPr>
          <w:rFonts w:cs="Arial"/>
          <w:szCs w:val="20"/>
        </w:rPr>
        <w:t xml:space="preserve"> producing smaller units of land</w:t>
      </w:r>
      <w:r w:rsidR="000E74C2">
        <w:rPr>
          <w:rFonts w:cs="Arial"/>
          <w:szCs w:val="20"/>
        </w:rPr>
        <w:t xml:space="preserve"> in all major metropolitan centres</w:t>
      </w:r>
      <w:r w:rsidR="0094718E">
        <w:rPr>
          <w:rFonts w:cs="Arial"/>
          <w:szCs w:val="20"/>
        </w:rPr>
        <w:t>. This fracturing of land parcels has specific issues when taken at the lot level, in terms of dwelling desig</w:t>
      </w:r>
      <w:r w:rsidR="0087052B">
        <w:rPr>
          <w:rFonts w:cs="Arial"/>
          <w:szCs w:val="20"/>
        </w:rPr>
        <w:t xml:space="preserve">n and neighbourhood change </w:t>
      </w:r>
      <w:r w:rsidR="0087052B">
        <w:rPr>
          <w:rFonts w:cs="Arial"/>
          <w:szCs w:val="20"/>
        </w:rPr>
        <w:fldChar w:fldCharType="begin"/>
      </w:r>
      <w:r w:rsidR="00B3236F">
        <w:rPr>
          <w:rFonts w:cs="Arial"/>
          <w:szCs w:val="20"/>
        </w:rPr>
        <w:instrText xml:space="preserve"> ADDIN EN.CITE &lt;EndNote&gt;&lt;Cite&gt;&lt;Author&gt;Newton&lt;/Author&gt;&lt;Year&gt;2011&lt;/Year&gt;&lt;RecNum&gt;37&lt;/RecNum&gt;&lt;DisplayText&gt;(Newton et al., 2011; Newton and Glackin, 2014)&lt;/DisplayText&gt;&lt;record&gt;&lt;rec-number&gt;37&lt;/rec-number&gt;&lt;foreign-keys&gt;&lt;key app="EN" db-id="5ae2fdermwpr2ceeapzpfaftrzts9tfdvwwd" timestamp="0"&gt;37&lt;/key&gt;&lt;/foreign-keys&gt;&lt;ref-type name="Book"&gt;6&lt;/ref-type&gt;&lt;contributors&gt;&lt;authors&gt;&lt;author&gt;Newton, Peter&lt;/author&gt;&lt;author&gt;Murray, Shane&lt;/author&gt;&lt;author&gt;Wakefield, Ron&lt;/author&gt;&lt;author&gt;Murphy, Catherine&lt;/author&gt;&lt;author&gt;Khor, Lee-anne&lt;/author&gt;&lt;author&gt;Morgan, Tom&lt;/author&gt;&lt;/authors&gt;&lt;/contributors&gt;&lt;titles&gt;&lt;title&gt;Towards a New Development Model for Housing Regeneration in Greyfield Residential Precincts&lt;/title&gt;&lt;/titles&gt;&lt;dates&gt;&lt;year&gt;2011&lt;/year&gt;&lt;/dates&gt;&lt;pub-location&gt;Melbourne&lt;/pub-location&gt;&lt;publisher&gt;Australian Housing and Urban Research Institute (AHURI)&lt;/publisher&gt;&lt;urls&gt;&lt;/urls&gt;&lt;/record&gt;&lt;/Cite&gt;&lt;Cite&gt;&lt;Author&gt;Newton&lt;/Author&gt;&lt;Year&gt;2014&lt;/Year&gt;&lt;RecNum&gt;225&lt;/RecNum&gt;&lt;record&gt;&lt;rec-number&gt;225&lt;/rec-number&gt;&lt;foreign-keys&gt;&lt;key app="EN" db-id="5ae2fdermwpr2ceeapzpfaftrzts9tfdvwwd" timestamp="0"&gt;225&lt;/key&gt;&lt;/foreign-keys&gt;&lt;ref-type name="Journal Article"&gt;17&lt;/ref-type&gt;&lt;contributors&gt;&lt;authors&gt;&lt;author&gt;Newton, Peter&lt;/author&gt;&lt;author&gt;Glackin, Stephen&lt;/author&gt;&lt;/authors&gt;&lt;/contributors&gt;&lt;titles&gt;&lt;title&gt;Understanding Infill: Towards New Policy and Practice for Urban Regeneration in the Established Suburbs of Australia&amp;apos;s Cities&lt;/title&gt;&lt;secondary-title&gt;Urban Policy and Research&lt;/secondary-title&gt;&lt;/titles&gt;&lt;volume&gt;In Press&lt;/volume&gt;&lt;dates&gt;&lt;year&gt;2014&lt;/year&gt;&lt;/dates&gt;&lt;urls&gt;&lt;/urls&gt;&lt;/record&gt;&lt;/Cite&gt;&lt;/EndNote&gt;</w:instrText>
      </w:r>
      <w:r w:rsidR="0087052B">
        <w:rPr>
          <w:rFonts w:cs="Arial"/>
          <w:szCs w:val="20"/>
        </w:rPr>
        <w:fldChar w:fldCharType="separate"/>
      </w:r>
      <w:r w:rsidR="00B3236F">
        <w:rPr>
          <w:rFonts w:cs="Arial"/>
          <w:noProof/>
          <w:szCs w:val="20"/>
        </w:rPr>
        <w:t>(Newton et al., 2011; Newton and Glackin, 2014)</w:t>
      </w:r>
      <w:r w:rsidR="0087052B">
        <w:rPr>
          <w:rFonts w:cs="Arial"/>
          <w:szCs w:val="20"/>
        </w:rPr>
        <w:fldChar w:fldCharType="end"/>
      </w:r>
      <w:r w:rsidR="0094718E">
        <w:rPr>
          <w:rFonts w:cs="Arial"/>
          <w:szCs w:val="20"/>
        </w:rPr>
        <w:t>. However,</w:t>
      </w:r>
      <w:r w:rsidR="00195E15">
        <w:rPr>
          <w:rFonts w:cs="Arial"/>
          <w:szCs w:val="20"/>
        </w:rPr>
        <w:t xml:space="preserve"> when the thousands of subdivisions occurring across a city each year are </w:t>
      </w:r>
      <w:r w:rsidR="00B77F6F">
        <w:rPr>
          <w:rFonts w:cs="Arial"/>
          <w:szCs w:val="20"/>
        </w:rPr>
        <w:t>considered,</w:t>
      </w:r>
      <w:r w:rsidR="00195E15">
        <w:rPr>
          <w:rFonts w:cs="Arial"/>
          <w:szCs w:val="20"/>
        </w:rPr>
        <w:t xml:space="preserve"> the effect, at a metropolitan scale</w:t>
      </w:r>
      <w:r w:rsidR="008C6CD0">
        <w:rPr>
          <w:rFonts w:cs="Arial"/>
          <w:szCs w:val="20"/>
        </w:rPr>
        <w:t xml:space="preserve">, is to make the provision of any significant infrastructure almost untenable. </w:t>
      </w:r>
      <w:r w:rsidR="00195E15">
        <w:rPr>
          <w:rFonts w:cs="Arial"/>
          <w:szCs w:val="20"/>
        </w:rPr>
        <w:t xml:space="preserve"> </w:t>
      </w:r>
      <w:r w:rsidR="0094718E">
        <w:rPr>
          <w:rFonts w:cs="Arial"/>
          <w:szCs w:val="20"/>
        </w:rPr>
        <w:t xml:space="preserve">    </w:t>
      </w:r>
    </w:p>
    <w:p w14:paraId="4F146377" w14:textId="3F7B837E" w:rsidR="0094718E" w:rsidRDefault="0094718E" w:rsidP="0041750D">
      <w:pPr>
        <w:rPr>
          <w:rFonts w:cs="Arial"/>
          <w:szCs w:val="20"/>
        </w:rPr>
      </w:pPr>
      <w:r>
        <w:rPr>
          <w:rFonts w:cs="Arial"/>
          <w:szCs w:val="20"/>
        </w:rPr>
        <w:t xml:space="preserve">   </w:t>
      </w:r>
    </w:p>
    <w:p w14:paraId="7B45F35B" w14:textId="7047244C" w:rsidR="00580BCE" w:rsidRDefault="00571E93" w:rsidP="0041750D">
      <w:pPr>
        <w:rPr>
          <w:rFonts w:cs="Arial"/>
          <w:szCs w:val="20"/>
        </w:rPr>
      </w:pPr>
      <w:r w:rsidRPr="00314DDB">
        <w:rPr>
          <w:rFonts w:cs="Arial"/>
          <w:szCs w:val="20"/>
        </w:rPr>
        <w:t xml:space="preserve">Greening the Greyfields </w:t>
      </w:r>
      <w:r w:rsidR="0087052B">
        <w:rPr>
          <w:rFonts w:cs="Arial"/>
          <w:szCs w:val="20"/>
        </w:rPr>
        <w:fldChar w:fldCharType="begin"/>
      </w:r>
      <w:r w:rsidR="00B3236F">
        <w:rPr>
          <w:rFonts w:cs="Arial"/>
          <w:szCs w:val="20"/>
        </w:rPr>
        <w:instrText xml:space="preserve"> ADDIN EN.CITE &lt;EndNote&gt;&lt;Cite&gt;&lt;Author&gt;Newton&lt;/Author&gt;&lt;Year&gt;2012&lt;/Year&gt;&lt;RecNum&gt;207&lt;/RecNum&gt;&lt;DisplayText&gt;(Newton et al., 2012)&lt;/DisplayText&gt;&lt;record&gt;&lt;rec-number&gt;207&lt;/rec-number&gt;&lt;foreign-keys&gt;&lt;key app="EN" db-id="5ae2fdermwpr2ceeapzpfaftrzts9tfdvwwd" timestamp="0"&gt;207&lt;/key&gt;&lt;/foreign-keys&gt;&lt;ref-type name="Conference Paper"&gt;47&lt;/ref-type&gt;&lt;contributors&gt;&lt;authors&gt;&lt;author&gt;Newton, Peter&lt;/author&gt;&lt;author&gt;Newman, Peter&lt;/author&gt;&lt;author&gt;Glackin, Stephen&lt;/author&gt;&lt;author&gt;Trubka, Roman&lt;/author&gt;&lt;/authors&gt;&lt;/contributors&gt;&lt;titles&gt;&lt;title&gt;Greening the Greyfields: Unlocking the Redevelopment Potential of the Middle Suburbs in Australian Cities&lt;/title&gt;&lt;secondary-title&gt;International Conference on Urban Planning and Regional Development&lt;/secondary-title&gt;&lt;/titles&gt;&lt;dates&gt;&lt;year&gt;2012&lt;/year&gt;&lt;pub-dates&gt;&lt;date&gt;November 14 -16&lt;/date&gt;&lt;/pub-dates&gt;&lt;/dates&gt;&lt;pub-location&gt;Venice&lt;/pub-location&gt;&lt;urls&gt;&lt;/urls&gt;&lt;/record&gt;&lt;/Cite&gt;&lt;/EndNote&gt;</w:instrText>
      </w:r>
      <w:r w:rsidR="0087052B">
        <w:rPr>
          <w:rFonts w:cs="Arial"/>
          <w:szCs w:val="20"/>
        </w:rPr>
        <w:fldChar w:fldCharType="separate"/>
      </w:r>
      <w:r w:rsidR="00B3236F">
        <w:rPr>
          <w:rFonts w:cs="Arial"/>
          <w:noProof/>
          <w:szCs w:val="20"/>
        </w:rPr>
        <w:t>(Newton et al., 2012)</w:t>
      </w:r>
      <w:r w:rsidR="0087052B">
        <w:rPr>
          <w:rFonts w:cs="Arial"/>
          <w:szCs w:val="20"/>
        </w:rPr>
        <w:fldChar w:fldCharType="end"/>
      </w:r>
      <w:r w:rsidR="0087052B">
        <w:rPr>
          <w:rFonts w:cs="Arial"/>
          <w:szCs w:val="20"/>
        </w:rPr>
        <w:t xml:space="preserve"> </w:t>
      </w:r>
      <w:r w:rsidR="00620396">
        <w:rPr>
          <w:rFonts w:cs="Arial"/>
          <w:szCs w:val="20"/>
        </w:rPr>
        <w:t xml:space="preserve">was a research project that set out to ascertain </w:t>
      </w:r>
      <w:r w:rsidR="00580BCE">
        <w:rPr>
          <w:rFonts w:cs="Arial"/>
          <w:szCs w:val="20"/>
        </w:rPr>
        <w:t>if a</w:t>
      </w:r>
      <w:r w:rsidR="00620396">
        <w:rPr>
          <w:rFonts w:cs="Arial"/>
          <w:szCs w:val="20"/>
        </w:rPr>
        <w:t xml:space="preserve"> new method of infill redevelopment</w:t>
      </w:r>
      <w:r w:rsidR="00580BCE">
        <w:rPr>
          <w:rFonts w:cs="Arial"/>
          <w:szCs w:val="20"/>
        </w:rPr>
        <w:t xml:space="preserve"> was viable</w:t>
      </w:r>
      <w:r w:rsidR="00620396">
        <w:rPr>
          <w:rFonts w:cs="Arial"/>
          <w:szCs w:val="20"/>
        </w:rPr>
        <w:t>; one that could deliver more dwellings than the current suboptimal subdivision model, while simultaneously delivering infrastruc</w:t>
      </w:r>
      <w:r w:rsidR="00580BCE">
        <w:rPr>
          <w:rFonts w:cs="Arial"/>
          <w:szCs w:val="20"/>
        </w:rPr>
        <w:t>tural benefit</w:t>
      </w:r>
      <w:r w:rsidR="00620396">
        <w:rPr>
          <w:rFonts w:cs="Arial"/>
          <w:szCs w:val="20"/>
        </w:rPr>
        <w:t xml:space="preserve">. The </w:t>
      </w:r>
      <w:r w:rsidR="00580BCE">
        <w:rPr>
          <w:rFonts w:cs="Arial"/>
          <w:szCs w:val="20"/>
        </w:rPr>
        <w:t>focus</w:t>
      </w:r>
      <w:r w:rsidR="00620396">
        <w:rPr>
          <w:rFonts w:cs="Arial"/>
          <w:szCs w:val="20"/>
        </w:rPr>
        <w:t xml:space="preserve"> was to explore the viability of “precinct scale” redevelopment</w:t>
      </w:r>
      <w:r w:rsidR="00657198">
        <w:rPr>
          <w:rFonts w:cs="Arial"/>
          <w:szCs w:val="20"/>
        </w:rPr>
        <w:t xml:space="preserve">; where land parcels could be amalgamated and redeveloped simultaneously, allowing for economies of scale allowing far more effective infrastructural retro-fitting. </w:t>
      </w:r>
      <w:r w:rsidRPr="00314DDB">
        <w:rPr>
          <w:rFonts w:cs="Arial"/>
          <w:szCs w:val="20"/>
        </w:rPr>
        <w:t>At the time of commencement, the project’s aim was to reduce urban sprawl and deliver significant sustainability benefits by promoting precinct-scale (4-40+ land parcels) redevelopment of aging housing stock in Australian suburbs. The logic behind the project was that the middle suburbs of Australian cities were going through piecemeal, lot-by-lot, redevelopment, with little strategic overview or direction. However, with policy intervention from strategic planners</w:t>
      </w:r>
      <w:r w:rsidR="00580BCE">
        <w:rPr>
          <w:rFonts w:cs="Arial"/>
          <w:szCs w:val="20"/>
        </w:rPr>
        <w:t>,</w:t>
      </w:r>
      <w:r w:rsidRPr="00314DDB">
        <w:rPr>
          <w:rFonts w:cs="Arial"/>
          <w:szCs w:val="20"/>
        </w:rPr>
        <w:t xml:space="preserve"> these lots could provide far more dwellings, and far greater social and environmental ecological benefits if developed as amalgamated lots (precincts), rather than individually. </w:t>
      </w:r>
    </w:p>
    <w:p w14:paraId="231AE028" w14:textId="77777777" w:rsidR="00580BCE" w:rsidRDefault="00580BCE" w:rsidP="0041750D">
      <w:pPr>
        <w:rPr>
          <w:rFonts w:cs="Arial"/>
          <w:szCs w:val="20"/>
        </w:rPr>
      </w:pPr>
    </w:p>
    <w:p w14:paraId="3AA9233B" w14:textId="5DA7E3A2" w:rsidR="00571E93" w:rsidRPr="00314DDB" w:rsidRDefault="00580BCE" w:rsidP="0041750D">
      <w:pPr>
        <w:rPr>
          <w:rFonts w:cs="Arial"/>
          <w:szCs w:val="20"/>
        </w:rPr>
      </w:pPr>
      <w:r>
        <w:rPr>
          <w:rFonts w:cs="Arial"/>
          <w:szCs w:val="20"/>
        </w:rPr>
        <w:lastRenderedPageBreak/>
        <w:t>T</w:t>
      </w:r>
      <w:r w:rsidR="00571E93" w:rsidRPr="00314DDB">
        <w:rPr>
          <w:rFonts w:cs="Arial"/>
          <w:szCs w:val="20"/>
        </w:rPr>
        <w:t>he first four years of the project</w:t>
      </w:r>
      <w:r>
        <w:rPr>
          <w:rFonts w:cs="Arial"/>
          <w:szCs w:val="20"/>
        </w:rPr>
        <w:t xml:space="preserve"> delivered </w:t>
      </w:r>
      <w:r w:rsidR="00571E93" w:rsidRPr="00314DDB">
        <w:rPr>
          <w:rFonts w:cs="Arial"/>
          <w:szCs w:val="20"/>
        </w:rPr>
        <w:t xml:space="preserve">numerous tools </w:t>
      </w:r>
      <w:r>
        <w:rPr>
          <w:rFonts w:cs="Arial"/>
          <w:szCs w:val="20"/>
        </w:rPr>
        <w:t xml:space="preserve">that </w:t>
      </w:r>
      <w:r w:rsidR="00571E93" w:rsidRPr="00314DDB">
        <w:rPr>
          <w:rFonts w:cs="Arial"/>
          <w:szCs w:val="20"/>
        </w:rPr>
        <w:t>illustrate</w:t>
      </w:r>
      <w:r>
        <w:rPr>
          <w:rFonts w:cs="Arial"/>
          <w:szCs w:val="20"/>
        </w:rPr>
        <w:t>d</w:t>
      </w:r>
      <w:r w:rsidR="00571E93" w:rsidRPr="00314DDB">
        <w:rPr>
          <w:rFonts w:cs="Arial"/>
          <w:szCs w:val="20"/>
        </w:rPr>
        <w:t xml:space="preserve"> the economic benefits of precinct scale redevelopment, as well as where these precincts could occur and the social and environmental benefits that could be achieved. In the final year, where the project was to be implemented as planning protocol in state and municipal governments, it was evident that simply presenting the tools to government and industry was not enough; a business case had to be established and residents had to be engaged to properly activate the concept. This led to a further two years of funding to develop the process to a point where it could be taken up by planners, developers and landowners. The following paper describes the process that have been undertaken by researches </w:t>
      </w:r>
      <w:r w:rsidR="00E83128">
        <w:rPr>
          <w:rFonts w:cs="Arial"/>
          <w:szCs w:val="20"/>
        </w:rPr>
        <w:t xml:space="preserve">to </w:t>
      </w:r>
      <w:r w:rsidR="00571E93" w:rsidRPr="00314DDB">
        <w:rPr>
          <w:rFonts w:cs="Arial"/>
          <w:szCs w:val="20"/>
        </w:rPr>
        <w:t>and how the project has moved form a largely academic exercise into a project that has now been taken up by state and local planning policy to be included in metropolitan a</w:t>
      </w:r>
      <w:r w:rsidR="000C363C">
        <w:rPr>
          <w:rFonts w:cs="Arial"/>
          <w:szCs w:val="20"/>
        </w:rPr>
        <w:t xml:space="preserve">nd municipal planning documents </w:t>
      </w:r>
      <w:r w:rsidR="000C363C">
        <w:rPr>
          <w:rFonts w:cs="Arial"/>
          <w:szCs w:val="20"/>
        </w:rPr>
        <w:fldChar w:fldCharType="begin"/>
      </w:r>
      <w:r w:rsidR="00B3236F">
        <w:rPr>
          <w:rFonts w:cs="Arial"/>
          <w:szCs w:val="20"/>
        </w:rPr>
        <w:instrText xml:space="preserve"> ADDIN EN.CITE &lt;EndNote&gt;&lt;Cite&gt;&lt;Author&gt;The Victorian Department of Environment Land Water and Planning&lt;/Author&gt;&lt;Year&gt;2017&lt;/Year&gt;&lt;RecNum&gt;371&lt;/RecNum&gt;&lt;DisplayText&gt;(The Victorian Department of Environment Land Water and Planning, 2017; Maroondah City Council, 2016)&lt;/DisplayText&gt;&lt;record&gt;&lt;rec-number&gt;371&lt;/rec-number&gt;&lt;foreign-keys&gt;&lt;key app="EN" db-id="5ae2fdermwpr2ceeapzpfaftrzts9tfdvwwd" timestamp="1499832046"&gt;371&lt;/key&gt;&lt;/foreign-keys&gt;&lt;ref-type name="Government Document"&gt;46&lt;/ref-type&gt;&lt;contributors&gt;&lt;authors&gt;&lt;author&gt;The Victorian Department of Environment Land Water and Planning,&lt;/author&gt;&lt;/authors&gt;&lt;/contributors&gt;&lt;titles&gt;&lt;title&gt;Plan Melbourne 2017&lt;/title&gt;&lt;/titles&gt;&lt;dates&gt;&lt;year&gt;2017&lt;/year&gt;&lt;/dates&gt;&lt;pub-location&gt;Melbourne&lt;/pub-location&gt;&lt;publisher&gt;Victorian Government&lt;/publisher&gt;&lt;urls&gt;&lt;/urls&gt;&lt;/record&gt;&lt;/Cite&gt;&lt;Cite&gt;&lt;Author&gt;Maroondah City Council&lt;/Author&gt;&lt;Year&gt;2016&lt;/Year&gt;&lt;RecNum&gt;366&lt;/RecNum&gt;&lt;record&gt;&lt;rec-number&gt;366&lt;/rec-number&gt;&lt;foreign-keys&gt;&lt;key app="EN" db-id="5ae2fdermwpr2ceeapzpfaftrzts9tfdvwwd" timestamp="1463974095"&gt;366&lt;/key&gt;&lt;/foreign-keys&gt;&lt;ref-type name="Report"&gt;27&lt;/ref-type&gt;&lt;contributors&gt;&lt;authors&gt;&lt;author&gt;Maroondah City Council,&lt;/author&gt;&lt;/authors&gt;&lt;/contributors&gt;&lt;titles&gt;&lt;title&gt;Maroondah Housing Strategy&lt;/title&gt;&lt;/titles&gt;&lt;dates&gt;&lt;year&gt;2016&lt;/year&gt;&lt;/dates&gt;&lt;pub-location&gt;Maroondah&lt;/pub-location&gt;&lt;publisher&gt;Maroondah City Council&lt;/publisher&gt;&lt;urls&gt;&lt;/urls&gt;&lt;/record&gt;&lt;/Cite&gt;&lt;/EndNote&gt;</w:instrText>
      </w:r>
      <w:r w:rsidR="000C363C">
        <w:rPr>
          <w:rFonts w:cs="Arial"/>
          <w:szCs w:val="20"/>
        </w:rPr>
        <w:fldChar w:fldCharType="separate"/>
      </w:r>
      <w:r w:rsidR="00B3236F">
        <w:rPr>
          <w:rFonts w:cs="Arial"/>
          <w:noProof/>
          <w:szCs w:val="20"/>
        </w:rPr>
        <w:t>(The Victorian Department of Environment Land Water and Planning, 2017; Maroondah City Council, 2016)</w:t>
      </w:r>
      <w:r w:rsidR="000C363C">
        <w:rPr>
          <w:rFonts w:cs="Arial"/>
          <w:szCs w:val="20"/>
        </w:rPr>
        <w:fldChar w:fldCharType="end"/>
      </w:r>
      <w:r w:rsidR="00571E93" w:rsidRPr="00314DDB">
        <w:rPr>
          <w:rFonts w:cs="Arial"/>
          <w:szCs w:val="20"/>
        </w:rPr>
        <w:t>.</w:t>
      </w:r>
    </w:p>
    <w:p w14:paraId="05B95C4A" w14:textId="341C6487" w:rsidR="00571E93" w:rsidRDefault="00571E93" w:rsidP="0041750D">
      <w:pPr>
        <w:rPr>
          <w:rFonts w:cs="Arial"/>
          <w:szCs w:val="20"/>
        </w:rPr>
      </w:pPr>
      <w:r w:rsidRPr="00314DDB">
        <w:rPr>
          <w:rFonts w:cs="Arial"/>
          <w:szCs w:val="20"/>
        </w:rPr>
        <w:t xml:space="preserve"> </w:t>
      </w:r>
    </w:p>
    <w:p w14:paraId="33162BCB" w14:textId="7F624ACE" w:rsidR="00571E93" w:rsidRPr="00885FC9" w:rsidRDefault="003D16F3" w:rsidP="0041750D">
      <w:pPr>
        <w:rPr>
          <w:rFonts w:cs="Arial"/>
          <w:b/>
          <w:sz w:val="22"/>
          <w:szCs w:val="22"/>
        </w:rPr>
      </w:pPr>
      <w:r>
        <w:rPr>
          <w:rFonts w:cs="Arial"/>
          <w:b/>
          <w:sz w:val="22"/>
          <w:szCs w:val="22"/>
        </w:rPr>
        <w:t xml:space="preserve">2. </w:t>
      </w:r>
      <w:proofErr w:type="gramStart"/>
      <w:r w:rsidR="00885FC9">
        <w:rPr>
          <w:rFonts w:cs="Arial"/>
          <w:b/>
          <w:sz w:val="22"/>
          <w:szCs w:val="22"/>
        </w:rPr>
        <w:t>Context</w:t>
      </w:r>
      <w:proofErr w:type="gramEnd"/>
      <w:r w:rsidR="00885FC9">
        <w:rPr>
          <w:rFonts w:cs="Arial"/>
          <w:b/>
          <w:sz w:val="22"/>
          <w:szCs w:val="22"/>
        </w:rPr>
        <w:t xml:space="preserve"> and </w:t>
      </w:r>
      <w:r w:rsidR="00571E93" w:rsidRPr="00885FC9">
        <w:rPr>
          <w:rFonts w:cs="Arial"/>
          <w:b/>
          <w:sz w:val="22"/>
          <w:szCs w:val="22"/>
        </w:rPr>
        <w:t xml:space="preserve">Complexity </w:t>
      </w:r>
    </w:p>
    <w:p w14:paraId="7642D486" w14:textId="2DE542B3" w:rsidR="00571E93" w:rsidRPr="00314DDB" w:rsidRDefault="00571E93" w:rsidP="0041750D">
      <w:pPr>
        <w:rPr>
          <w:rFonts w:cs="Arial"/>
          <w:szCs w:val="20"/>
        </w:rPr>
      </w:pPr>
      <w:r w:rsidRPr="00314DDB">
        <w:rPr>
          <w:rFonts w:cs="Arial"/>
          <w:szCs w:val="20"/>
        </w:rPr>
        <w:t xml:space="preserve">Greening the Greyfields (GtG) </w:t>
      </w:r>
      <w:r w:rsidR="00B630D6">
        <w:rPr>
          <w:rFonts w:cs="Arial"/>
          <w:szCs w:val="20"/>
        </w:rPr>
        <w:t>is a project chiefly f</w:t>
      </w:r>
      <w:r w:rsidRPr="00314DDB">
        <w:rPr>
          <w:rFonts w:cs="Arial"/>
          <w:szCs w:val="20"/>
        </w:rPr>
        <w:t>unded by the Cooperative Research Centre for Spatial Information (CRCSI)</w:t>
      </w:r>
      <w:r w:rsidR="00B630D6">
        <w:rPr>
          <w:rFonts w:cs="Arial"/>
          <w:szCs w:val="20"/>
        </w:rPr>
        <w:t>, three</w:t>
      </w:r>
      <w:r w:rsidRPr="00314DDB">
        <w:rPr>
          <w:rFonts w:cs="Arial"/>
          <w:szCs w:val="20"/>
        </w:rPr>
        <w:t xml:space="preserve"> stat</w:t>
      </w:r>
      <w:r w:rsidR="00B630D6">
        <w:rPr>
          <w:rFonts w:cs="Arial"/>
          <w:szCs w:val="20"/>
        </w:rPr>
        <w:t xml:space="preserve">e planning departments and four </w:t>
      </w:r>
      <w:r w:rsidRPr="00314DDB">
        <w:rPr>
          <w:rFonts w:cs="Arial"/>
          <w:szCs w:val="20"/>
        </w:rPr>
        <w:t>municipalities in Victoria</w:t>
      </w:r>
      <w:r w:rsidR="00B630D6">
        <w:rPr>
          <w:rFonts w:cs="Arial"/>
          <w:szCs w:val="20"/>
        </w:rPr>
        <w:t xml:space="preserve">, New South Wales, </w:t>
      </w:r>
      <w:proofErr w:type="gramStart"/>
      <w:r w:rsidRPr="00314DDB">
        <w:rPr>
          <w:rFonts w:cs="Arial"/>
          <w:szCs w:val="20"/>
        </w:rPr>
        <w:t>Western</w:t>
      </w:r>
      <w:proofErr w:type="gramEnd"/>
      <w:r w:rsidRPr="00314DDB">
        <w:rPr>
          <w:rFonts w:cs="Arial"/>
          <w:szCs w:val="20"/>
        </w:rPr>
        <w:t xml:space="preserve"> Australia. Its aim </w:t>
      </w:r>
      <w:r w:rsidR="00B630D6">
        <w:rPr>
          <w:rFonts w:cs="Arial"/>
          <w:szCs w:val="20"/>
        </w:rPr>
        <w:t xml:space="preserve">is </w:t>
      </w:r>
      <w:r w:rsidRPr="00314DDB">
        <w:rPr>
          <w:rFonts w:cs="Arial"/>
          <w:szCs w:val="20"/>
        </w:rPr>
        <w:t>to focus on the urban Greyfields</w:t>
      </w:r>
      <w:r w:rsidR="00126762">
        <w:rPr>
          <w:rFonts w:cs="Arial"/>
          <w:szCs w:val="20"/>
        </w:rPr>
        <w:t>, i.e. areas with ageing housing sto</w:t>
      </w:r>
      <w:r w:rsidRPr="00314DDB">
        <w:rPr>
          <w:rFonts w:cs="Arial"/>
          <w:szCs w:val="20"/>
        </w:rPr>
        <w:t xml:space="preserve">ck going through </w:t>
      </w:r>
      <w:r w:rsidR="00126762">
        <w:rPr>
          <w:rFonts w:cs="Arial"/>
          <w:szCs w:val="20"/>
        </w:rPr>
        <w:t xml:space="preserve">piecemeal </w:t>
      </w:r>
      <w:r w:rsidRPr="00314DDB">
        <w:rPr>
          <w:rFonts w:cs="Arial"/>
          <w:szCs w:val="20"/>
        </w:rPr>
        <w:t xml:space="preserve">redevelopment </w:t>
      </w:r>
      <w:r w:rsidR="00F55EA0">
        <w:rPr>
          <w:rFonts w:cs="Arial"/>
          <w:szCs w:val="20"/>
        </w:rPr>
        <w:fldChar w:fldCharType="begin"/>
      </w:r>
      <w:r w:rsidR="00B3236F">
        <w:rPr>
          <w:rFonts w:cs="Arial"/>
          <w:szCs w:val="20"/>
        </w:rPr>
        <w:instrText xml:space="preserve"> ADDIN EN.CITE &lt;EndNote&gt;&lt;Cite&gt;&lt;Author&gt;Newton&lt;/Author&gt;&lt;Year&gt;2010&lt;/Year&gt;&lt;RecNum&gt;38&lt;/RecNum&gt;&lt;DisplayText&gt;(Newton, 2010)&lt;/DisplayText&gt;&lt;record&gt;&lt;rec-number&gt;38&lt;/rec-number&gt;&lt;foreign-keys&gt;&lt;key app="EN" db-id="5ae2fdermwpr2ceeapzpfaftrzts9tfdvwwd" timestamp="0"&gt;38&lt;/key&gt;&lt;/foreign-keys&gt;&lt;ref-type name="Journal Article"&gt;17&lt;/ref-type&gt;&lt;contributors&gt;&lt;authors&gt;&lt;author&gt;Newton, Peter&lt;/author&gt;&lt;/authors&gt;&lt;/contributors&gt;&lt;titles&gt;&lt;title&gt;Beyond Greenfield and Brownfield: The Challenge of Regenerating Australia&amp;apos;s Greyfield Suburbs&lt;/title&gt;&lt;secondary-title&gt;Built Environment&lt;/secondary-title&gt;&lt;/titles&gt;&lt;pages&gt;81-103&lt;/pages&gt;&lt;volume&gt;36&lt;/volume&gt;&lt;number&gt;1&lt;/number&gt;&lt;dates&gt;&lt;year&gt;2010&lt;/year&gt;&lt;/dates&gt;&lt;urls&gt;&lt;/urls&gt;&lt;/record&gt;&lt;/Cite&gt;&lt;/EndNote&gt;</w:instrText>
      </w:r>
      <w:r w:rsidR="00F55EA0">
        <w:rPr>
          <w:rFonts w:cs="Arial"/>
          <w:szCs w:val="20"/>
        </w:rPr>
        <w:fldChar w:fldCharType="separate"/>
      </w:r>
      <w:r w:rsidR="00B3236F">
        <w:rPr>
          <w:rFonts w:cs="Arial"/>
          <w:noProof/>
          <w:szCs w:val="20"/>
        </w:rPr>
        <w:t>(Newton, 2010)</w:t>
      </w:r>
      <w:r w:rsidR="00F55EA0">
        <w:rPr>
          <w:rFonts w:cs="Arial"/>
          <w:szCs w:val="20"/>
        </w:rPr>
        <w:fldChar w:fldCharType="end"/>
      </w:r>
      <w:r w:rsidR="00F55EA0">
        <w:rPr>
          <w:rFonts w:cs="Arial"/>
          <w:szCs w:val="20"/>
        </w:rPr>
        <w:t xml:space="preserve">, </w:t>
      </w:r>
      <w:r w:rsidRPr="00314DDB">
        <w:rPr>
          <w:rFonts w:cs="Arial"/>
          <w:szCs w:val="20"/>
        </w:rPr>
        <w:t xml:space="preserve">and explore how these areas could be strategical addressed so that that they </w:t>
      </w:r>
      <w:r w:rsidR="00126762">
        <w:rPr>
          <w:rFonts w:cs="Arial"/>
          <w:szCs w:val="20"/>
        </w:rPr>
        <w:t>are redeveloped more effectively in regeneration precincts.</w:t>
      </w:r>
      <w:r w:rsidRPr="00314DDB">
        <w:rPr>
          <w:rFonts w:cs="Arial"/>
          <w:szCs w:val="20"/>
        </w:rPr>
        <w:t xml:space="preserve"> The project was designed to r</w:t>
      </w:r>
      <w:r w:rsidR="00126762">
        <w:rPr>
          <w:rFonts w:cs="Arial"/>
          <w:szCs w:val="20"/>
        </w:rPr>
        <w:t>un over four modules</w:t>
      </w:r>
      <w:r w:rsidRPr="00314DDB">
        <w:rPr>
          <w:rFonts w:cs="Arial"/>
          <w:szCs w:val="20"/>
        </w:rPr>
        <w:t>. The first module explored the macro-economic benefits of land agglomeration versus the cost of additional sprawl. This proved that, particularly in terms of</w:t>
      </w:r>
      <w:r w:rsidR="00126762">
        <w:rPr>
          <w:rFonts w:cs="Arial"/>
          <w:szCs w:val="20"/>
        </w:rPr>
        <w:t xml:space="preserve"> infrastructure provision, </w:t>
      </w:r>
      <w:r w:rsidRPr="00314DDB">
        <w:rPr>
          <w:rFonts w:cs="Arial"/>
          <w:szCs w:val="20"/>
        </w:rPr>
        <w:t>residential</w:t>
      </w:r>
      <w:r w:rsidR="00655872">
        <w:rPr>
          <w:rFonts w:cs="Arial"/>
          <w:szCs w:val="20"/>
        </w:rPr>
        <w:t xml:space="preserve"> infill was far more </w:t>
      </w:r>
      <w:r w:rsidRPr="00314DDB">
        <w:rPr>
          <w:rFonts w:cs="Arial"/>
          <w:szCs w:val="20"/>
        </w:rPr>
        <w:t>beneficial</w:t>
      </w:r>
      <w:r w:rsidR="00655872">
        <w:rPr>
          <w:rFonts w:cs="Arial"/>
          <w:szCs w:val="20"/>
        </w:rPr>
        <w:t xml:space="preserve"> </w:t>
      </w:r>
      <w:r w:rsidR="00655872" w:rsidRPr="00314DDB">
        <w:rPr>
          <w:rFonts w:cs="Arial"/>
          <w:szCs w:val="20"/>
        </w:rPr>
        <w:t>than greenfield development</w:t>
      </w:r>
      <w:r w:rsidRPr="00314DDB">
        <w:rPr>
          <w:rFonts w:cs="Arial"/>
          <w:szCs w:val="20"/>
        </w:rPr>
        <w:t>, in terms of so</w:t>
      </w:r>
      <w:r w:rsidR="00655872">
        <w:rPr>
          <w:rFonts w:cs="Arial"/>
          <w:szCs w:val="20"/>
        </w:rPr>
        <w:t>cial and environmental outcomes</w:t>
      </w:r>
      <w:r w:rsidR="00F55EA0">
        <w:rPr>
          <w:rFonts w:cs="Arial"/>
          <w:szCs w:val="20"/>
        </w:rPr>
        <w:t xml:space="preserve"> </w:t>
      </w:r>
      <w:r w:rsidR="00F55EA0">
        <w:rPr>
          <w:rFonts w:cs="Arial"/>
          <w:szCs w:val="20"/>
        </w:rPr>
        <w:fldChar w:fldCharType="begin"/>
      </w:r>
      <w:r w:rsidR="00B3236F">
        <w:rPr>
          <w:rFonts w:cs="Arial"/>
          <w:szCs w:val="20"/>
        </w:rPr>
        <w:instrText xml:space="preserve"> ADDIN EN.CITE &lt;EndNote&gt;&lt;Cite&gt;&lt;Author&gt;Trubka&lt;/Author&gt;&lt;Year&gt;2010&lt;/Year&gt;&lt;RecNum&gt;288&lt;/RecNum&gt;&lt;DisplayText&gt;(Trubka et al., 2010)&lt;/DisplayText&gt;&lt;record&gt;&lt;rec-number&gt;288&lt;/rec-number&gt;&lt;foreign-keys&gt;&lt;key app="EN" db-id="5ae2fdermwpr2ceeapzpfaftrzts9tfdvwwd" timestamp="1433719913"&gt;288&lt;/key&gt;&lt;/foreign-keys&gt;&lt;ref-type name="Journal Article"&gt;17&lt;/ref-type&gt;&lt;contributors&gt;&lt;authors&gt;&lt;author&gt;Trubka, Roman&lt;/author&gt;&lt;author&gt;Newman, Peter&lt;/author&gt;&lt;author&gt;Bilsborough, Darren&lt;/author&gt;&lt;/authors&gt;&lt;/contributors&gt;&lt;titles&gt;&lt;title&gt;The Costs of Urban Sprawl - Infrastructure and Transportation&lt;/title&gt;&lt;secondary-title&gt;Environmental Design Guide&lt;/secondary-title&gt;&lt;/titles&gt;&lt;periodical&gt;&lt;full-title&gt;Environmental Design Guide&lt;/full-title&gt;&lt;/periodical&gt;&lt;pages&gt;1-6&lt;/pages&gt;&lt;volume&gt;April&lt;/volume&gt;&lt;number&gt;Gen 83&lt;/number&gt;&lt;dates&gt;&lt;year&gt;2010&lt;/year&gt;&lt;/dates&gt;&lt;urls&gt;&lt;/urls&gt;&lt;/record&gt;&lt;/Cite&gt;&lt;/EndNote&gt;</w:instrText>
      </w:r>
      <w:r w:rsidR="00F55EA0">
        <w:rPr>
          <w:rFonts w:cs="Arial"/>
          <w:szCs w:val="20"/>
        </w:rPr>
        <w:fldChar w:fldCharType="separate"/>
      </w:r>
      <w:r w:rsidR="00B3236F">
        <w:rPr>
          <w:rFonts w:cs="Arial"/>
          <w:noProof/>
          <w:szCs w:val="20"/>
        </w:rPr>
        <w:t>(Trubka et al., 2010)</w:t>
      </w:r>
      <w:r w:rsidR="00F55EA0">
        <w:rPr>
          <w:rFonts w:cs="Arial"/>
          <w:szCs w:val="20"/>
        </w:rPr>
        <w:fldChar w:fldCharType="end"/>
      </w:r>
      <w:r w:rsidRPr="00314DDB">
        <w:rPr>
          <w:rFonts w:cs="Arial"/>
          <w:szCs w:val="20"/>
        </w:rPr>
        <w:t xml:space="preserve">. The second </w:t>
      </w:r>
      <w:proofErr w:type="gramStart"/>
      <w:r w:rsidRPr="00314DDB">
        <w:rPr>
          <w:rFonts w:cs="Arial"/>
          <w:szCs w:val="20"/>
        </w:rPr>
        <w:t>module produced ENVISION</w:t>
      </w:r>
      <w:proofErr w:type="gramEnd"/>
      <w:r w:rsidRPr="00314DDB">
        <w:rPr>
          <w:rFonts w:cs="Arial"/>
          <w:szCs w:val="20"/>
        </w:rPr>
        <w:t xml:space="preserve">, a 2D online planning platform capable of showing land parcels that will soon be redeveloped. Using this software, municipal and state planners can quickly, and using multi-criteria-analysis, determine what properties could qualify to become </w:t>
      </w:r>
      <w:r w:rsidR="00126762">
        <w:rPr>
          <w:rFonts w:cs="Arial"/>
          <w:szCs w:val="20"/>
        </w:rPr>
        <w:t>part of a regeneration precinct (</w:t>
      </w:r>
      <w:r w:rsidRPr="00314DDB">
        <w:rPr>
          <w:rFonts w:cs="Arial"/>
          <w:szCs w:val="20"/>
        </w:rPr>
        <w:t>from 4 to 40+ lot parce</w:t>
      </w:r>
      <w:r w:rsidR="00126762">
        <w:rPr>
          <w:rFonts w:cs="Arial"/>
          <w:szCs w:val="20"/>
        </w:rPr>
        <w:t>ls</w:t>
      </w:r>
      <w:r w:rsidRPr="00314DDB">
        <w:rPr>
          <w:rFonts w:cs="Arial"/>
          <w:szCs w:val="20"/>
        </w:rPr>
        <w:t>)</w:t>
      </w:r>
      <w:r w:rsidR="00126762">
        <w:rPr>
          <w:rFonts w:cs="Arial"/>
          <w:szCs w:val="20"/>
        </w:rPr>
        <w:t xml:space="preserve"> </w:t>
      </w:r>
      <w:r w:rsidR="00F55EA0">
        <w:rPr>
          <w:rFonts w:cs="Arial"/>
          <w:szCs w:val="20"/>
        </w:rPr>
        <w:fldChar w:fldCharType="begin"/>
      </w:r>
      <w:r w:rsidR="00B3236F">
        <w:rPr>
          <w:rFonts w:cs="Arial"/>
          <w:szCs w:val="20"/>
        </w:rPr>
        <w:instrText xml:space="preserve"> ADDIN EN.CITE &lt;EndNote&gt;&lt;Cite&gt;&lt;Author&gt;Glackin&lt;/Author&gt;&lt;Year&gt;2013&lt;/Year&gt;&lt;RecNum&gt;218&lt;/RecNum&gt;&lt;DisplayText&gt;(Glackin, 2013; Newton and Glackin, 2013)&lt;/DisplayText&gt;&lt;record&gt;&lt;rec-number&gt;218&lt;/rec-number&gt;&lt;foreign-keys&gt;&lt;key app="EN" db-id="5ae2fdermwpr2ceeapzpfaftrzts9tfdvwwd" timestamp="0"&gt;218&lt;/key&gt;&lt;/foreign-keys&gt;&lt;ref-type name="Journal Article"&gt;17&lt;/ref-type&gt;&lt;contributors&gt;&lt;authors&gt;&lt;author&gt;Glackin, Stephen&lt;/author&gt;&lt;/authors&gt;&lt;/contributors&gt;&lt;titles&gt;&lt;title&gt;Redeveloping the Greyfields with ENVISION: Using Participatory Support Systems to Reduce Urban Sprawl in Australia&lt;/title&gt;&lt;secondary-title&gt;European Journal of Geography&lt;/secondary-title&gt;&lt;/titles&gt;&lt;pages&gt;6-22&lt;/pages&gt;&lt;volume&gt;3&lt;/volume&gt;&lt;number&gt;1&lt;/number&gt;&lt;dates&gt;&lt;year&gt;2013&lt;/year&gt;&lt;/dates&gt;&lt;urls&gt;&lt;/urls&gt;&lt;/record&gt;&lt;/Cite&gt;&lt;Cite&gt;&lt;Author&gt;Newton&lt;/Author&gt;&lt;Year&gt;2013&lt;/Year&gt;&lt;RecNum&gt;224&lt;/RecNum&gt;&lt;record&gt;&lt;rec-number&gt;224&lt;/rec-number&gt;&lt;foreign-keys&gt;&lt;key app="EN" db-id="5ae2fdermwpr2ceeapzpfaftrzts9tfdvwwd" timestamp="0"&gt;224&lt;/key&gt;&lt;/foreign-keys&gt;&lt;ref-type name="Journal Article"&gt;17&lt;/ref-type&gt;&lt;contributors&gt;&lt;authors&gt;&lt;author&gt;Newton, Peter&lt;/author&gt;&lt;author&gt;Glackin, Stephen&lt;/author&gt;&lt;/authors&gt;&lt;/contributors&gt;&lt;titles&gt;&lt;title&gt;Using Geo-spatial Techniques as Stakeholder Engagement Tools in Urban Planning and Development&lt;/title&gt;&lt;secondary-title&gt;Built Environment&lt;/secondary-title&gt;&lt;/titles&gt;&lt;pages&gt;473-501&lt;/pages&gt;&lt;volume&gt;39&lt;/volume&gt;&lt;number&gt;4&lt;/number&gt;&lt;dates&gt;&lt;year&gt;2013&lt;/year&gt;&lt;/dates&gt;&lt;urls&gt;&lt;/urls&gt;&lt;/record&gt;&lt;/Cite&gt;&lt;/EndNote&gt;</w:instrText>
      </w:r>
      <w:r w:rsidR="00F55EA0">
        <w:rPr>
          <w:rFonts w:cs="Arial"/>
          <w:szCs w:val="20"/>
        </w:rPr>
        <w:fldChar w:fldCharType="separate"/>
      </w:r>
      <w:r w:rsidR="00B3236F">
        <w:rPr>
          <w:rFonts w:cs="Arial"/>
          <w:noProof/>
          <w:szCs w:val="20"/>
        </w:rPr>
        <w:t>(Glackin, 2013; Newton and Glackin, 2013)</w:t>
      </w:r>
      <w:r w:rsidR="00F55EA0">
        <w:rPr>
          <w:rFonts w:cs="Arial"/>
          <w:szCs w:val="20"/>
        </w:rPr>
        <w:fldChar w:fldCharType="end"/>
      </w:r>
      <w:r w:rsidRPr="00314DDB">
        <w:rPr>
          <w:rFonts w:cs="Arial"/>
          <w:szCs w:val="20"/>
        </w:rPr>
        <w:t xml:space="preserve">. The third module focused on designing software that could assess precincts. This software (Envision Scenario Planner - ESP) utilised CSIRO housing and climate models to create housing and other precinct typologies that were assessed for heating, cooling, energy, water use, gas use, transport, flooding and a range of other factors at both the unit and the precinct scale </w:t>
      </w:r>
      <w:r w:rsidR="00F55EA0">
        <w:rPr>
          <w:rFonts w:cs="Arial"/>
          <w:szCs w:val="20"/>
        </w:rPr>
        <w:fldChar w:fldCharType="begin">
          <w:fldData xml:space="preserve">PEVuZE5vdGU+PENpdGU+PEF1dGhvcj5HbGFja2luPC9BdXRob3I+PFllYXI+MjAxNTwvWWVhcj48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</w:fldData>
        </w:fldChar>
      </w:r>
      <w:r w:rsidR="00B3236F">
        <w:rPr>
          <w:rFonts w:cs="Arial"/>
          <w:szCs w:val="20"/>
        </w:rPr>
        <w:instrText xml:space="preserve"> ADDIN EN.CITE </w:instrText>
      </w:r>
      <w:r w:rsidR="00B3236F">
        <w:rPr>
          <w:rFonts w:cs="Arial"/>
          <w:szCs w:val="20"/>
        </w:rPr>
        <w:fldChar w:fldCharType="begin">
          <w:fldData xml:space="preserve">PEVuZE5vdGU+PENpdGU+PEF1dGhvcj5HbGFja2luPC9BdXRob3I+PFllYXI+MjAxNTwvWWVhcj48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</w:fldData>
        </w:fldChar>
      </w:r>
      <w:r w:rsidR="00B3236F">
        <w:rPr>
          <w:rFonts w:cs="Arial"/>
          <w:szCs w:val="20"/>
        </w:rPr>
        <w:instrText xml:space="preserve"> ADDIN EN.CITE.DATA </w:instrText>
      </w:r>
      <w:r w:rsidR="00B3236F">
        <w:rPr>
          <w:rFonts w:cs="Arial"/>
          <w:szCs w:val="20"/>
        </w:rPr>
      </w:r>
      <w:r w:rsidR="00B3236F">
        <w:rPr>
          <w:rFonts w:cs="Arial"/>
          <w:szCs w:val="20"/>
        </w:rPr>
        <w:fldChar w:fldCharType="end"/>
      </w:r>
      <w:r w:rsidR="00F55EA0">
        <w:rPr>
          <w:rFonts w:cs="Arial"/>
          <w:szCs w:val="20"/>
        </w:rPr>
      </w:r>
      <w:r w:rsidR="00F55EA0">
        <w:rPr>
          <w:rFonts w:cs="Arial"/>
          <w:szCs w:val="20"/>
        </w:rPr>
        <w:fldChar w:fldCharType="separate"/>
      </w:r>
      <w:r w:rsidR="00B3236F">
        <w:rPr>
          <w:rFonts w:cs="Arial"/>
          <w:noProof/>
          <w:szCs w:val="20"/>
        </w:rPr>
        <w:t>(Glackin and Trubka, 2015; Glackin et al., 2016; Trubka and Glackin, 2016; Trubka et al., 2016)</w:t>
      </w:r>
      <w:r w:rsidR="00F55EA0">
        <w:rPr>
          <w:rFonts w:cs="Arial"/>
          <w:szCs w:val="20"/>
        </w:rPr>
        <w:fldChar w:fldCharType="end"/>
      </w:r>
      <w:r w:rsidRPr="00314DDB">
        <w:rPr>
          <w:rFonts w:cs="Arial"/>
          <w:szCs w:val="20"/>
        </w:rPr>
        <w:t>. Having provide</w:t>
      </w:r>
      <w:r w:rsidR="0068371B">
        <w:rPr>
          <w:rFonts w:cs="Arial"/>
          <w:szCs w:val="20"/>
        </w:rPr>
        <w:t>d</w:t>
      </w:r>
      <w:r w:rsidRPr="00314DDB">
        <w:rPr>
          <w:rFonts w:cs="Arial"/>
          <w:szCs w:val="20"/>
        </w:rPr>
        <w:t xml:space="preserve"> the economics were correct, that precincts could be identified and that they could perform far more effectively than business as usual</w:t>
      </w:r>
      <w:r w:rsidR="00D979DE">
        <w:rPr>
          <w:rFonts w:cs="Arial"/>
          <w:szCs w:val="20"/>
        </w:rPr>
        <w:t>, t</w:t>
      </w:r>
      <w:r w:rsidRPr="00314DDB">
        <w:rPr>
          <w:rFonts w:cs="Arial"/>
          <w:szCs w:val="20"/>
        </w:rPr>
        <w:t>he final module was to implement greyfield precinct regeneration as a formal planning tool</w:t>
      </w:r>
      <w:r w:rsidR="00D979DE">
        <w:rPr>
          <w:rFonts w:cs="Arial"/>
          <w:szCs w:val="20"/>
        </w:rPr>
        <w:t xml:space="preserve">. This would </w:t>
      </w:r>
      <w:r w:rsidRPr="00314DDB">
        <w:rPr>
          <w:rFonts w:cs="Arial"/>
          <w:szCs w:val="20"/>
        </w:rPr>
        <w:t>enabl</w:t>
      </w:r>
      <w:r w:rsidR="00D979DE">
        <w:rPr>
          <w:rFonts w:cs="Arial"/>
          <w:szCs w:val="20"/>
        </w:rPr>
        <w:t>e</w:t>
      </w:r>
      <w:r w:rsidRPr="00314DDB">
        <w:rPr>
          <w:rFonts w:cs="Arial"/>
          <w:szCs w:val="20"/>
        </w:rPr>
        <w:t xml:space="preserve"> landowners to amalgamate lots, from which they would benefit financially and which, through better design, econ</w:t>
      </w:r>
      <w:r w:rsidR="00D979DE">
        <w:rPr>
          <w:rFonts w:cs="Arial"/>
          <w:szCs w:val="20"/>
        </w:rPr>
        <w:t>omie</w:t>
      </w:r>
      <w:r w:rsidRPr="00314DDB">
        <w:rPr>
          <w:rFonts w:cs="Arial"/>
          <w:szCs w:val="20"/>
        </w:rPr>
        <w:t>s of scale and a system of incentives and obligations, would benefit all community members and simultaneously, thorough providing additional amenity and utility, save the municipal purse</w:t>
      </w:r>
      <w:r w:rsidR="00F55EA0">
        <w:rPr>
          <w:rFonts w:cs="Arial"/>
          <w:szCs w:val="20"/>
        </w:rPr>
        <w:t xml:space="preserve"> </w:t>
      </w:r>
      <w:r w:rsidR="00F55EA0">
        <w:rPr>
          <w:rFonts w:cs="Arial"/>
          <w:szCs w:val="20"/>
        </w:rPr>
        <w:fldChar w:fldCharType="begin"/>
      </w:r>
      <w:r w:rsidR="00B3236F">
        <w:rPr>
          <w:rFonts w:cs="Arial"/>
          <w:szCs w:val="20"/>
        </w:rPr>
        <w:instrText xml:space="preserve"> ADDIN EN.CITE &lt;EndNote&gt;&lt;Cite&gt;&lt;Author&gt;Glackin&lt;/Author&gt;&lt;Year&gt;2015&lt;/Year&gt;&lt;RecNum&gt;357&lt;/RecNum&gt;&lt;DisplayText&gt;(Glackin and Newton, 2015)&lt;/DisplayText&gt;&lt;record&gt;&lt;rec-number&gt;357&lt;/rec-number&gt;&lt;foreign-keys&gt;&lt;key app="EN" db-id="5ae2fdermwpr2ceeapzpfaftrzts9tfdvwwd" timestamp="1450517059"&gt;357&lt;/key&gt;&lt;/foreign-keys&gt;&lt;ref-type name="Book Section"&gt;5&lt;/ref-type&gt;&lt;contributors&gt;&lt;authors&gt;&lt;author&gt;Glackin, Stephen&lt;/author&gt;&lt;author&gt;Newton, Peter&lt;/author&gt;&lt;/authors&gt;&lt;secondary-authors&gt;&lt;author&gt;Leshinsky, Rebecca&lt;/author&gt;&lt;author&gt;Legacy, Crystal&lt;/author&gt;&lt;/secondary-authors&gt;&lt;/contributors&gt;&lt;titles&gt;&lt;title&gt;Engaging the greyfields: community engagement and co-design in residential redevelopment of public housing&lt;/title&gt;&lt;secondary-title&gt;Instruments of Planning: Tensions and Challenges for more Equitable and Sustainable Cities&lt;/secondary-title&gt;&lt;/titles&gt;&lt;dates&gt;&lt;year&gt;2015&lt;/year&gt;&lt;/dates&gt;&lt;pub-location&gt;Routlegde&lt;/pub-location&gt;&lt;publisher&gt;New York&lt;/publisher&gt;&lt;urls&gt;&lt;/urls&gt;&lt;/record&gt;&lt;/Cite&gt;&lt;/EndNote&gt;</w:instrText>
      </w:r>
      <w:r w:rsidR="00F55EA0">
        <w:rPr>
          <w:rFonts w:cs="Arial"/>
          <w:szCs w:val="20"/>
        </w:rPr>
        <w:fldChar w:fldCharType="separate"/>
      </w:r>
      <w:r w:rsidR="00B3236F">
        <w:rPr>
          <w:rFonts w:cs="Arial"/>
          <w:noProof/>
          <w:szCs w:val="20"/>
        </w:rPr>
        <w:t>(Glackin and Newton, 2015)</w:t>
      </w:r>
      <w:r w:rsidR="00F55EA0">
        <w:rPr>
          <w:rFonts w:cs="Arial"/>
          <w:szCs w:val="20"/>
        </w:rPr>
        <w:fldChar w:fldCharType="end"/>
      </w:r>
      <w:r w:rsidRPr="00314DDB">
        <w:rPr>
          <w:rFonts w:cs="Arial"/>
          <w:szCs w:val="20"/>
        </w:rPr>
        <w:t xml:space="preserve">. </w:t>
      </w:r>
    </w:p>
    <w:p w14:paraId="7CDFFECE" w14:textId="77777777" w:rsidR="00571E93" w:rsidRPr="00314DDB" w:rsidRDefault="00571E93" w:rsidP="0041750D">
      <w:pPr>
        <w:rPr>
          <w:rFonts w:cs="Arial"/>
          <w:szCs w:val="20"/>
        </w:rPr>
      </w:pPr>
    </w:p>
    <w:p w14:paraId="0CA2A94D" w14:textId="4B253F92" w:rsidR="00B630D6" w:rsidRDefault="00571E93" w:rsidP="0041750D">
      <w:pPr>
        <w:rPr>
          <w:rFonts w:cs="Arial"/>
          <w:szCs w:val="20"/>
        </w:rPr>
      </w:pPr>
      <w:r w:rsidRPr="00314DDB">
        <w:rPr>
          <w:rFonts w:cs="Arial"/>
          <w:szCs w:val="20"/>
        </w:rPr>
        <w:t>This implementation module was to be a twelve-month task. However, to fully enable a system of concessions and benefits, which would apply to existing land-use zoning, altering land-use statutes at the municipal level was required. This statutory alteration need</w:t>
      </w:r>
      <w:r w:rsidR="00E82738">
        <w:rPr>
          <w:rFonts w:cs="Arial"/>
          <w:szCs w:val="20"/>
        </w:rPr>
        <w:t xml:space="preserve">ed state and municipal approval; and </w:t>
      </w:r>
      <w:proofErr w:type="gramStart"/>
      <w:r w:rsidRPr="00314DDB">
        <w:rPr>
          <w:rFonts w:cs="Arial"/>
          <w:szCs w:val="20"/>
        </w:rPr>
        <w:t>If</w:t>
      </w:r>
      <w:proofErr w:type="gramEnd"/>
      <w:r w:rsidRPr="00314DDB">
        <w:rPr>
          <w:rFonts w:cs="Arial"/>
          <w:szCs w:val="20"/>
        </w:rPr>
        <w:t xml:space="preserve"> there was any indication that passing new laws may be too politically adventurous it would not occur. Similarly, in areas that are notoriously resistant to redevelopment, land-use alteration </w:t>
      </w:r>
      <w:r w:rsidR="00D979DE">
        <w:rPr>
          <w:rFonts w:cs="Arial"/>
          <w:szCs w:val="20"/>
        </w:rPr>
        <w:t xml:space="preserve">should </w:t>
      </w:r>
      <w:r w:rsidRPr="00314DDB">
        <w:rPr>
          <w:rFonts w:cs="Arial"/>
          <w:szCs w:val="20"/>
        </w:rPr>
        <w:t>also be sympathetic to local residents, who may oppose the plan at a municipal level and negatively affect councillors, or at a state level and negatively affect state politicians. To dig further into the issue of governance, there is a misguided assumption that government departments are a single unit and act as such. This is not the case</w:t>
      </w:r>
      <w:r w:rsidR="00B630D6">
        <w:rPr>
          <w:rFonts w:cs="Arial"/>
          <w:szCs w:val="20"/>
        </w:rPr>
        <w:t xml:space="preserve">. </w:t>
      </w:r>
      <w:r w:rsidRPr="00314DDB">
        <w:rPr>
          <w:rFonts w:cs="Arial"/>
          <w:szCs w:val="20"/>
        </w:rPr>
        <w:t>Though each body acts within a specific policy framework, individuals involved in two departmental sections may have two very opposing positions; for example</w:t>
      </w:r>
      <w:r w:rsidR="00814892">
        <w:rPr>
          <w:rFonts w:cs="Arial"/>
          <w:szCs w:val="20"/>
        </w:rPr>
        <w:t>,</w:t>
      </w:r>
      <w:r w:rsidRPr="00314DDB">
        <w:rPr>
          <w:rFonts w:cs="Arial"/>
          <w:szCs w:val="20"/>
        </w:rPr>
        <w:t xml:space="preserve"> transport engineers and sustainability officers, strategic planners and statutory planners, or social planners and water asset engineers. </w:t>
      </w:r>
      <w:r w:rsidR="00B630D6">
        <w:rPr>
          <w:rFonts w:cs="Arial"/>
          <w:szCs w:val="20"/>
        </w:rPr>
        <w:t>Furthermore, many departments have, what one municipal officer labelled, a “tactical gap”; or an inability to move from policy to implementation</w:t>
      </w:r>
      <w:r w:rsidR="00E82738">
        <w:rPr>
          <w:rFonts w:cs="Arial"/>
          <w:szCs w:val="20"/>
        </w:rPr>
        <w:t xml:space="preserve">, resulting in potential stagnation at the </w:t>
      </w:r>
      <w:proofErr w:type="gramStart"/>
      <w:r w:rsidR="00E82738">
        <w:rPr>
          <w:rFonts w:cs="Arial"/>
          <w:szCs w:val="20"/>
        </w:rPr>
        <w:t>coal-face</w:t>
      </w:r>
      <w:proofErr w:type="gramEnd"/>
      <w:r w:rsidR="00E82738">
        <w:rPr>
          <w:rFonts w:cs="Arial"/>
          <w:szCs w:val="20"/>
        </w:rPr>
        <w:t>.</w:t>
      </w:r>
    </w:p>
    <w:p w14:paraId="5B649971" w14:textId="77777777" w:rsidR="00E82738" w:rsidRDefault="00E82738" w:rsidP="0041750D">
      <w:pPr>
        <w:rPr>
          <w:rFonts w:cs="Arial"/>
          <w:szCs w:val="20"/>
        </w:rPr>
      </w:pPr>
    </w:p>
    <w:p w14:paraId="66D08B36" w14:textId="3C9B2D1B" w:rsidR="00571E93" w:rsidRPr="00314DDB" w:rsidRDefault="00571E93" w:rsidP="0041750D">
      <w:pPr>
        <w:rPr>
          <w:rFonts w:cs="Arial"/>
          <w:szCs w:val="20"/>
        </w:rPr>
      </w:pPr>
      <w:r w:rsidRPr="00314DDB">
        <w:rPr>
          <w:rFonts w:cs="Arial"/>
          <w:szCs w:val="20"/>
        </w:rPr>
        <w:t>What the above is alluding to</w:t>
      </w:r>
      <w:r w:rsidR="00DC2DED">
        <w:rPr>
          <w:rFonts w:cs="Arial"/>
          <w:szCs w:val="20"/>
        </w:rPr>
        <w:t>, and as per other Austrailan research</w:t>
      </w:r>
      <w:r w:rsidRPr="00314DDB">
        <w:rPr>
          <w:rFonts w:cs="Arial"/>
          <w:szCs w:val="20"/>
        </w:rPr>
        <w:t xml:space="preserve"> </w:t>
      </w:r>
      <w:r w:rsidR="00A83DF4">
        <w:rPr>
          <w:rFonts w:cs="Arial"/>
          <w:szCs w:val="20"/>
        </w:rPr>
        <w:fldChar w:fldCharType="begin"/>
      </w:r>
      <w:r w:rsidR="00A83DF4">
        <w:rPr>
          <w:rFonts w:cs="Arial"/>
          <w:szCs w:val="20"/>
        </w:rPr>
        <w:instrText xml:space="preserve"> ADDIN EN.CITE &lt;EndNote&gt;&lt;Cite&gt;&lt;Author&gt;Potts&lt;/Author&gt;&lt;Year&gt;2014&lt;/Year&gt;&lt;RecNum&gt;390&lt;/RecNum&gt;&lt;DisplayText&gt;(Potts et al., 2014)&lt;/DisplayText&gt;&lt;record&gt;&lt;rec-number&gt;390&lt;/rec-number&gt;&lt;foreign-keys&gt;&lt;key app="EN" db-id="5ae2fdermwpr2ceeapzpfaftrzts9tfdvwwd" timestamp="1507517810"&gt;390&lt;/key&gt;&lt;/foreign-keys&gt;&lt;ref-type name="Journal Article"&gt;17&lt;/ref-type&gt;&lt;contributors&gt;&lt;authors&gt;&lt;author&gt;Ruth Potts&lt;/author&gt;&lt;author&gt;Karen Vella&lt;/author&gt;&lt;author&gt;Allan Dale&lt;/author&gt;&lt;author&gt;Neil Sipe&lt;/author&gt;&lt;/authors&gt;&lt;/contributors&gt;&lt;titles&gt;&lt;title&gt;Exploring the usefulness of structural-functional approaches to analyse governance of planning systems &lt;/title&gt;&lt;secondary-title&gt;Planning Theory&lt;/secondary-title&gt;&lt;/titles&gt;&lt;periodical&gt;&lt;full-title&gt;Planning Theory&lt;/full-title&gt;&lt;/periodical&gt;&lt;pages&gt;162-189&lt;/pages&gt;&lt;volume&gt;15&lt;/volume&gt;&lt;number&gt;2&lt;/number&gt;&lt;dates&gt;&lt;year&gt;2014&lt;/year&gt;&lt;/dates&gt;&lt;urls&gt;&lt;/urls&gt;&lt;/record&gt;&lt;/Cite&gt;&lt;/EndNote&gt;</w:instrText>
      </w:r>
      <w:r w:rsidR="00A83DF4">
        <w:rPr>
          <w:rFonts w:cs="Arial"/>
          <w:szCs w:val="20"/>
        </w:rPr>
        <w:fldChar w:fldCharType="separate"/>
      </w:r>
      <w:r w:rsidR="00A83DF4">
        <w:rPr>
          <w:rFonts w:cs="Arial"/>
          <w:noProof/>
          <w:szCs w:val="20"/>
        </w:rPr>
        <w:t>(Potts et al., 2014)</w:t>
      </w:r>
      <w:r w:rsidR="00A83DF4">
        <w:rPr>
          <w:rFonts w:cs="Arial"/>
          <w:szCs w:val="20"/>
        </w:rPr>
        <w:fldChar w:fldCharType="end"/>
      </w:r>
      <w:r w:rsidR="00A83DF4">
        <w:rPr>
          <w:rFonts w:cs="Arial"/>
          <w:szCs w:val="20"/>
        </w:rPr>
        <w:t xml:space="preserve"> </w:t>
      </w:r>
      <w:r w:rsidRPr="00314DDB">
        <w:rPr>
          <w:rFonts w:cs="Arial"/>
          <w:szCs w:val="20"/>
        </w:rPr>
        <w:t xml:space="preserve">it that there </w:t>
      </w:r>
      <w:r w:rsidR="00B0160A">
        <w:rPr>
          <w:rFonts w:cs="Arial"/>
          <w:szCs w:val="20"/>
        </w:rPr>
        <w:t>are</w:t>
      </w:r>
      <w:r w:rsidRPr="00314DDB">
        <w:rPr>
          <w:rFonts w:cs="Arial"/>
          <w:szCs w:val="20"/>
        </w:rPr>
        <w:t xml:space="preserve"> not just tiers of government that need to collaborate for change to occur, there are also multiple dimensions of operational governance within these organisations, and numerous networks of affect at the state, m</w:t>
      </w:r>
      <w:r w:rsidR="004A0EC9">
        <w:rPr>
          <w:rFonts w:cs="Arial"/>
          <w:szCs w:val="20"/>
        </w:rPr>
        <w:t xml:space="preserve">unicipal and voter-base level. </w:t>
      </w:r>
      <w:r w:rsidRPr="00314DDB">
        <w:rPr>
          <w:rFonts w:cs="Arial"/>
          <w:szCs w:val="20"/>
        </w:rPr>
        <w:t xml:space="preserve">The above complexity is only for the land-use planning and zoning issues of the project. Similar complexities arise in: </w:t>
      </w:r>
    </w:p>
    <w:p w14:paraId="697982E3" w14:textId="77777777" w:rsidR="00571E93" w:rsidRPr="00314DDB" w:rsidRDefault="00571E93" w:rsidP="0041750D">
      <w:pPr>
        <w:pStyle w:val="ListParagraph"/>
        <w:numPr>
          <w:ilvl w:val="0"/>
          <w:numId w:val="6"/>
        </w:numPr>
        <w:rPr>
          <w:rFonts w:cs="Arial"/>
          <w:szCs w:val="20"/>
        </w:rPr>
      </w:pPr>
      <w:proofErr w:type="gramStart"/>
      <w:r w:rsidRPr="00314DDB">
        <w:rPr>
          <w:rFonts w:cs="Arial"/>
          <w:szCs w:val="20"/>
        </w:rPr>
        <w:t>developing</w:t>
      </w:r>
      <w:proofErr w:type="gramEnd"/>
      <w:r w:rsidRPr="00314DDB">
        <w:rPr>
          <w:rFonts w:cs="Arial"/>
          <w:szCs w:val="20"/>
        </w:rPr>
        <w:t xml:space="preserve"> appropriate design guides for suburban regeneration</w:t>
      </w:r>
    </w:p>
    <w:p w14:paraId="759F2A5C" w14:textId="77777777" w:rsidR="00571E93" w:rsidRPr="00314DDB" w:rsidRDefault="00571E93" w:rsidP="0041750D">
      <w:pPr>
        <w:pStyle w:val="ListParagraph"/>
        <w:numPr>
          <w:ilvl w:val="0"/>
          <w:numId w:val="6"/>
        </w:numPr>
        <w:rPr>
          <w:rFonts w:cs="Arial"/>
          <w:szCs w:val="20"/>
        </w:rPr>
      </w:pPr>
      <w:proofErr w:type="gramStart"/>
      <w:r w:rsidRPr="00314DDB">
        <w:rPr>
          <w:rFonts w:cs="Arial"/>
          <w:szCs w:val="20"/>
        </w:rPr>
        <w:lastRenderedPageBreak/>
        <w:t>viability</w:t>
      </w:r>
      <w:proofErr w:type="gramEnd"/>
      <w:r w:rsidRPr="00314DDB">
        <w:rPr>
          <w:rFonts w:cs="Arial"/>
          <w:szCs w:val="20"/>
        </w:rPr>
        <w:t xml:space="preserve"> analysis for calculating concessions and obligations of developers at various scales</w:t>
      </w:r>
    </w:p>
    <w:p w14:paraId="7628FAD6" w14:textId="77777777" w:rsidR="00571E93" w:rsidRPr="00314DDB" w:rsidRDefault="00571E93" w:rsidP="0041750D">
      <w:pPr>
        <w:pStyle w:val="ListParagraph"/>
        <w:numPr>
          <w:ilvl w:val="0"/>
          <w:numId w:val="6"/>
        </w:numPr>
        <w:rPr>
          <w:rFonts w:cs="Arial"/>
          <w:szCs w:val="20"/>
        </w:rPr>
      </w:pPr>
      <w:proofErr w:type="gramStart"/>
      <w:r w:rsidRPr="00314DDB">
        <w:rPr>
          <w:rFonts w:cs="Arial"/>
          <w:szCs w:val="20"/>
        </w:rPr>
        <w:t>modes</w:t>
      </w:r>
      <w:proofErr w:type="gramEnd"/>
      <w:r w:rsidRPr="00314DDB">
        <w:rPr>
          <w:rFonts w:cs="Arial"/>
          <w:szCs w:val="20"/>
        </w:rPr>
        <w:t xml:space="preserve"> of project funding, taxation and potential concessions for project delivering social good</w:t>
      </w:r>
    </w:p>
    <w:p w14:paraId="1D2BE7D8" w14:textId="77777777" w:rsidR="00571E93" w:rsidRPr="00314DDB" w:rsidRDefault="00571E93" w:rsidP="0041750D">
      <w:pPr>
        <w:pStyle w:val="ListParagraph"/>
        <w:numPr>
          <w:ilvl w:val="0"/>
          <w:numId w:val="6"/>
        </w:numPr>
        <w:rPr>
          <w:rFonts w:cs="Arial"/>
          <w:szCs w:val="20"/>
        </w:rPr>
      </w:pPr>
      <w:proofErr w:type="gramStart"/>
      <w:r w:rsidRPr="00314DDB">
        <w:rPr>
          <w:rFonts w:cs="Arial"/>
          <w:szCs w:val="20"/>
        </w:rPr>
        <w:t>project</w:t>
      </w:r>
      <w:proofErr w:type="gramEnd"/>
      <w:r w:rsidRPr="00314DDB">
        <w:rPr>
          <w:rFonts w:cs="Arial"/>
          <w:szCs w:val="20"/>
        </w:rPr>
        <w:t xml:space="preserve"> ownership and land owner incorporation</w:t>
      </w:r>
    </w:p>
    <w:p w14:paraId="386A05F0" w14:textId="77777777" w:rsidR="00571E93" w:rsidRPr="00314DDB" w:rsidRDefault="00571E93" w:rsidP="0041750D">
      <w:pPr>
        <w:pStyle w:val="ListParagraph"/>
        <w:numPr>
          <w:ilvl w:val="0"/>
          <w:numId w:val="6"/>
        </w:numPr>
        <w:rPr>
          <w:rFonts w:cs="Arial"/>
          <w:szCs w:val="20"/>
        </w:rPr>
      </w:pPr>
      <w:proofErr w:type="gramStart"/>
      <w:r w:rsidRPr="00314DDB">
        <w:rPr>
          <w:rFonts w:cs="Arial"/>
          <w:szCs w:val="20"/>
        </w:rPr>
        <w:t>and</w:t>
      </w:r>
      <w:proofErr w:type="gramEnd"/>
      <w:r w:rsidRPr="00314DDB">
        <w:rPr>
          <w:rFonts w:cs="Arial"/>
          <w:szCs w:val="20"/>
        </w:rPr>
        <w:t xml:space="preserve"> ongoing maintenance of additional project amenity and utility. </w:t>
      </w:r>
    </w:p>
    <w:p w14:paraId="6BBDAA43" w14:textId="4F7D5829" w:rsidR="00343C84" w:rsidRPr="00314DDB" w:rsidRDefault="00343C84" w:rsidP="00343C84">
      <w:pPr>
        <w:rPr>
          <w:rFonts w:cs="Arial"/>
          <w:szCs w:val="20"/>
        </w:rPr>
      </w:pPr>
      <w:r>
        <w:rPr>
          <w:rFonts w:cs="Arial"/>
          <w:szCs w:val="20"/>
        </w:rPr>
        <w:t xml:space="preserve">All of which must be </w:t>
      </w:r>
      <w:r w:rsidR="00571E93" w:rsidRPr="00314DDB">
        <w:rPr>
          <w:rFonts w:cs="Arial"/>
          <w:szCs w:val="20"/>
        </w:rPr>
        <w:t>established prior to actual property-owner engagement</w:t>
      </w:r>
      <w:r>
        <w:rPr>
          <w:rFonts w:cs="Arial"/>
          <w:szCs w:val="20"/>
        </w:rPr>
        <w:t>,</w:t>
      </w:r>
      <w:r w:rsidR="00B0160A">
        <w:rPr>
          <w:rFonts w:cs="Arial"/>
          <w:szCs w:val="20"/>
        </w:rPr>
        <w:t xml:space="preserve"> </w:t>
      </w:r>
      <w:r>
        <w:rPr>
          <w:rFonts w:cs="Arial"/>
          <w:szCs w:val="20"/>
        </w:rPr>
        <w:t>to allow the process to go further than mere discussion</w:t>
      </w:r>
      <w:r w:rsidR="00821371">
        <w:rPr>
          <w:rFonts w:cs="Arial"/>
          <w:szCs w:val="20"/>
        </w:rPr>
        <w:t>.</w:t>
      </w:r>
    </w:p>
    <w:p w14:paraId="3646228C" w14:textId="61CC2CD2" w:rsidR="00571E93" w:rsidRPr="00314DDB" w:rsidRDefault="00571E93" w:rsidP="0041750D">
      <w:pPr>
        <w:rPr>
          <w:rFonts w:cs="Arial"/>
          <w:szCs w:val="20"/>
        </w:rPr>
      </w:pPr>
    </w:p>
    <w:p w14:paraId="3F256E6A" w14:textId="2D15B068" w:rsidR="00571E93" w:rsidRPr="00600FCA" w:rsidRDefault="003D16F3" w:rsidP="0041750D">
      <w:pPr>
        <w:rPr>
          <w:rFonts w:cs="Arial"/>
          <w:b/>
          <w:sz w:val="22"/>
          <w:szCs w:val="22"/>
        </w:rPr>
      </w:pPr>
      <w:r>
        <w:rPr>
          <w:rFonts w:cs="Arial"/>
          <w:b/>
          <w:sz w:val="22"/>
          <w:szCs w:val="22"/>
        </w:rPr>
        <w:t xml:space="preserve">3. </w:t>
      </w:r>
      <w:r w:rsidR="00571E93" w:rsidRPr="00600FCA">
        <w:rPr>
          <w:rFonts w:cs="Arial"/>
          <w:b/>
          <w:sz w:val="22"/>
          <w:szCs w:val="22"/>
        </w:rPr>
        <w:t xml:space="preserve">Full-stack engagement and vertical integration. </w:t>
      </w:r>
    </w:p>
    <w:p w14:paraId="1A09AA08" w14:textId="0D1ACAAB" w:rsidR="00571E93" w:rsidRPr="00314DDB" w:rsidRDefault="00571E93" w:rsidP="0041750D">
      <w:pPr>
        <w:rPr>
          <w:rFonts w:cs="Arial"/>
          <w:szCs w:val="20"/>
        </w:rPr>
      </w:pPr>
      <w:r w:rsidRPr="00314DDB">
        <w:rPr>
          <w:rFonts w:cs="Arial"/>
          <w:szCs w:val="20"/>
        </w:rPr>
        <w:t xml:space="preserve">The term ‘full stack’ refers to skill-set, where a programmer has the capacity to write, or engage with, every part of the software’s architecture. Most software users are only familiar with the visual aspects of the software, as this is the Human Computer Interface where the underlying logic is abstracted into reasonably simplistic form, easily understood by humans. Behind this interface are layers of functionality that are largely not the concern of the user, but which are the actual functionality of the system. Each piece of “the stack” must communicate with its logical precursor and successor for the whole system to be effective and useable. To apply this analogy to engagement, if a system purely consisted of the interface it would service no other purpose than to engage the user, as without the complete system it is just an input device with no affect. Furthermore, if one part of the whole system is not functional, or is not </w:t>
      </w:r>
      <w:proofErr w:type="gramStart"/>
      <w:r w:rsidRPr="00314DDB">
        <w:rPr>
          <w:rFonts w:cs="Arial"/>
          <w:szCs w:val="20"/>
        </w:rPr>
        <w:t>implemented</w:t>
      </w:r>
      <w:proofErr w:type="gramEnd"/>
      <w:r w:rsidRPr="00314DDB">
        <w:rPr>
          <w:rFonts w:cs="Arial"/>
          <w:szCs w:val="20"/>
        </w:rPr>
        <w:t xml:space="preserve"> as part of the program, then the program will fail to execute, making the user input, again, pointless. What we are alluding to here, is that without a full system that translates user input (ie public participation or community engagement) and passes it through an integrated set of logic, then there will be no useable output </w:t>
      </w:r>
      <w:r w:rsidR="00641A32">
        <w:rPr>
          <w:rFonts w:cs="Arial"/>
          <w:szCs w:val="20"/>
        </w:rPr>
        <w:t>or effect</w:t>
      </w:r>
      <w:r w:rsidR="00821371">
        <w:rPr>
          <w:rFonts w:cs="Arial"/>
          <w:szCs w:val="20"/>
        </w:rPr>
        <w:t xml:space="preserve"> </w:t>
      </w:r>
      <w:r w:rsidR="00821371">
        <w:rPr>
          <w:rFonts w:cs="Arial"/>
          <w:szCs w:val="20"/>
        </w:rPr>
        <w:fldChar w:fldCharType="begin">
          <w:fldData xml:space="preserve">PEVuZE5vdGU+PENpdGU+PEF1dGhvcj5DYXZheWU8L0F1dGhvcj48WWVhcj4yMDA0PC9ZZWFyPjxS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</w:fldData>
        </w:fldChar>
      </w:r>
      <w:r w:rsidR="00B3236F">
        <w:rPr>
          <w:rFonts w:cs="Arial"/>
          <w:szCs w:val="20"/>
        </w:rPr>
        <w:instrText xml:space="preserve"> ADDIN EN.CITE </w:instrText>
      </w:r>
      <w:r w:rsidR="00B3236F">
        <w:rPr>
          <w:rFonts w:cs="Arial"/>
          <w:szCs w:val="20"/>
        </w:rPr>
        <w:fldChar w:fldCharType="begin">
          <w:fldData xml:space="preserve">PEVuZE5vdGU+PENpdGU+PEF1dGhvcj5DYXZheWU8L0F1dGhvcj48WWVhcj4yMDA0PC9ZZWFyPjxS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</w:fldData>
        </w:fldChar>
      </w:r>
      <w:r w:rsidR="00B3236F">
        <w:rPr>
          <w:rFonts w:cs="Arial"/>
          <w:szCs w:val="20"/>
        </w:rPr>
        <w:instrText xml:space="preserve"> ADDIN EN.CITE.DATA </w:instrText>
      </w:r>
      <w:r w:rsidR="00B3236F">
        <w:rPr>
          <w:rFonts w:cs="Arial"/>
          <w:szCs w:val="20"/>
        </w:rPr>
      </w:r>
      <w:r w:rsidR="00B3236F">
        <w:rPr>
          <w:rFonts w:cs="Arial"/>
          <w:szCs w:val="20"/>
        </w:rPr>
        <w:fldChar w:fldCharType="end"/>
      </w:r>
      <w:r w:rsidR="00821371">
        <w:rPr>
          <w:rFonts w:cs="Arial"/>
          <w:szCs w:val="20"/>
        </w:rPr>
      </w:r>
      <w:r w:rsidR="00821371">
        <w:rPr>
          <w:rFonts w:cs="Arial"/>
          <w:szCs w:val="20"/>
        </w:rPr>
        <w:fldChar w:fldCharType="separate"/>
      </w:r>
      <w:r w:rsidR="00B3236F">
        <w:rPr>
          <w:rFonts w:cs="Arial"/>
          <w:noProof/>
          <w:szCs w:val="20"/>
        </w:rPr>
        <w:t>(Cavaye, 2004; Herriman, 2011; Reddel and Woolcock, 2004; Kelly, 2010; Eversole, 2012; Bond and Thompson-Fawcett, 2007)</w:t>
      </w:r>
      <w:r w:rsidR="00821371">
        <w:rPr>
          <w:rFonts w:cs="Arial"/>
          <w:szCs w:val="20"/>
        </w:rPr>
        <w:fldChar w:fldCharType="end"/>
      </w:r>
      <w:r w:rsidR="00821371">
        <w:rPr>
          <w:rFonts w:cs="Arial"/>
          <w:szCs w:val="20"/>
        </w:rPr>
        <w:t xml:space="preserve"> </w:t>
      </w:r>
      <w:r w:rsidR="006B76D6">
        <w:rPr>
          <w:rFonts w:cs="Arial"/>
          <w:szCs w:val="20"/>
        </w:rPr>
        <w:t xml:space="preserve"> </w:t>
      </w:r>
      <w:r w:rsidRPr="00314DDB">
        <w:rPr>
          <w:rFonts w:cs="Arial"/>
          <w:szCs w:val="20"/>
        </w:rPr>
        <w:t xml:space="preserve">          </w:t>
      </w:r>
    </w:p>
    <w:p w14:paraId="7FCCC05B" w14:textId="77777777" w:rsidR="00571E93" w:rsidRPr="00314DDB" w:rsidRDefault="00571E93" w:rsidP="0041750D">
      <w:pPr>
        <w:rPr>
          <w:rFonts w:cs="Arial"/>
          <w:szCs w:val="20"/>
        </w:rPr>
      </w:pPr>
    </w:p>
    <w:p w14:paraId="6CFC5FE3" w14:textId="5B431207" w:rsidR="00571E93" w:rsidRPr="00314DDB" w:rsidRDefault="00571E93" w:rsidP="0041750D">
      <w:pPr>
        <w:rPr>
          <w:rFonts w:cs="Arial"/>
          <w:szCs w:val="20"/>
        </w:rPr>
      </w:pPr>
      <w:r w:rsidRPr="00314DDB">
        <w:rPr>
          <w:rFonts w:cs="Arial"/>
          <w:szCs w:val="20"/>
        </w:rPr>
        <w:t>As such, and in the context of this p</w:t>
      </w:r>
      <w:r w:rsidR="00E06160">
        <w:rPr>
          <w:rFonts w:cs="Arial"/>
          <w:szCs w:val="20"/>
        </w:rPr>
        <w:t>aper, we</w:t>
      </w:r>
      <w:r w:rsidRPr="00314DDB">
        <w:rPr>
          <w:rFonts w:cs="Arial"/>
          <w:szCs w:val="20"/>
        </w:rPr>
        <w:t xml:space="preserve"> use the “full stack” to refer to the complete range of stakeholders and how they must be vertically aligned to ac</w:t>
      </w:r>
      <w:r w:rsidR="00E06160">
        <w:rPr>
          <w:rFonts w:cs="Arial"/>
          <w:szCs w:val="20"/>
        </w:rPr>
        <w:t xml:space="preserve">hieve effective change. We </w:t>
      </w:r>
      <w:r w:rsidRPr="00314DDB">
        <w:rPr>
          <w:rFonts w:cs="Arial"/>
          <w:szCs w:val="20"/>
        </w:rPr>
        <w:t>show how stakeholders not only have to be engaged in the process, but also how the research outputs and methodologies must be adapted so that they are functional within respective stakeholder institutional f</w:t>
      </w:r>
      <w:r w:rsidR="00E06160">
        <w:rPr>
          <w:rFonts w:cs="Arial"/>
          <w:szCs w:val="20"/>
        </w:rPr>
        <w:t xml:space="preserve">ramework. Effectively this </w:t>
      </w:r>
      <w:r w:rsidRPr="00314DDB">
        <w:rPr>
          <w:rFonts w:cs="Arial"/>
          <w:szCs w:val="20"/>
        </w:rPr>
        <w:t>illustrate</w:t>
      </w:r>
      <w:r w:rsidR="00E06160">
        <w:rPr>
          <w:rFonts w:cs="Arial"/>
          <w:szCs w:val="20"/>
        </w:rPr>
        <w:t>s</w:t>
      </w:r>
      <w:r w:rsidRPr="00314DDB">
        <w:rPr>
          <w:rFonts w:cs="Arial"/>
          <w:szCs w:val="20"/>
        </w:rPr>
        <w:t xml:space="preserve"> how, through implementing full-stack engagement, a business case is built within each stakeholder group that either supports the project outcomes, or adjusts project outcomes to reflect existing business cases and logic within organisations, all of which </w:t>
      </w:r>
      <w:r w:rsidR="008C06F5">
        <w:rPr>
          <w:rFonts w:cs="Arial"/>
          <w:szCs w:val="20"/>
        </w:rPr>
        <w:t>lead to the project having real-</w:t>
      </w:r>
      <w:r w:rsidRPr="00314DDB">
        <w:rPr>
          <w:rFonts w:cs="Arial"/>
          <w:szCs w:val="20"/>
        </w:rPr>
        <w:t>world effect.</w:t>
      </w:r>
    </w:p>
    <w:p w14:paraId="28F778FC" w14:textId="77777777" w:rsidR="00571E93" w:rsidRPr="00314DDB" w:rsidRDefault="00571E93" w:rsidP="0041750D">
      <w:pPr>
        <w:rPr>
          <w:rFonts w:cs="Arial"/>
          <w:szCs w:val="20"/>
        </w:rPr>
      </w:pPr>
    </w:p>
    <w:p w14:paraId="38E91637" w14:textId="6759DBD2" w:rsidR="00571E93" w:rsidRPr="00314DDB" w:rsidRDefault="00571E93" w:rsidP="0041750D">
      <w:pPr>
        <w:rPr>
          <w:rFonts w:cs="Arial"/>
          <w:szCs w:val="20"/>
        </w:rPr>
      </w:pPr>
      <w:r w:rsidRPr="00314DDB">
        <w:rPr>
          <w:rFonts w:cs="Arial"/>
          <w:szCs w:val="20"/>
        </w:rPr>
        <w:t xml:space="preserve">The rationale behind such large engagement commitment relates directly to the complexity described above, but also level of participation required from landowners. Given that participants will be asked to commit their largest asset to the project, the scale of engagement, and particularly the desired impact on the decisions to be made sit firmly in the “Empower” section of the Public Participation Spectrum; where the engagement outcome is that the project “Will place final decision </w:t>
      </w:r>
      <w:r w:rsidR="00814892">
        <w:rPr>
          <w:rFonts w:cs="Arial"/>
          <w:szCs w:val="20"/>
        </w:rPr>
        <w:t xml:space="preserve">in the hands of the public” </w:t>
      </w:r>
      <w:r w:rsidR="00814892">
        <w:rPr>
          <w:rFonts w:cs="Arial"/>
          <w:szCs w:val="20"/>
        </w:rPr>
        <w:fldChar w:fldCharType="begin"/>
      </w:r>
      <w:r w:rsidR="00B3236F">
        <w:rPr>
          <w:rFonts w:cs="Arial"/>
          <w:szCs w:val="20"/>
        </w:rPr>
        <w:instrText xml:space="preserve"> ADDIN EN.CITE &lt;EndNote&gt;&lt;Cite&gt;&lt;Author&gt;IAP2&lt;/Author&gt;&lt;Year&gt;2015&lt;/Year&gt;&lt;RecNum&gt;325&lt;/RecNum&gt;&lt;DisplayText&gt;(IAP2, 2015)&lt;/DisplayText&gt;&lt;record&gt;&lt;rec-number&gt;325&lt;/rec-number&gt;&lt;foreign-keys&gt;&lt;key app="EN" db-id="5ae2fdermwpr2ceeapzpfaftrzts9tfdvwwd" timestamp="1447026459"&gt;325&lt;/key&gt;&lt;/foreign-keys&gt;&lt;ref-type name="Web Page"&gt;12&lt;/ref-type&gt;&lt;contributors&gt;&lt;authors&gt;&lt;author&gt;IAP2&lt;/author&gt;&lt;/authors&gt;&lt;/contributors&gt;&lt;titles&gt;&lt;title&gt;IAP2 official website&lt;/title&gt;&lt;/titles&gt;&lt;number&gt;9/11/2015&lt;/number&gt;&lt;dates&gt;&lt;year&gt;2015&lt;/year&gt;&lt;/dates&gt;&lt;urls&gt;&lt;related-urls&gt;&lt;url&gt;http://www.iap2.org.au/&lt;/url&gt;&lt;/related-urls&gt;&lt;/urls&gt;&lt;/record&gt;&lt;/Cite&gt;&lt;/EndNote&gt;</w:instrText>
      </w:r>
      <w:r w:rsidR="00814892">
        <w:rPr>
          <w:rFonts w:cs="Arial"/>
          <w:szCs w:val="20"/>
        </w:rPr>
        <w:fldChar w:fldCharType="separate"/>
      </w:r>
      <w:r w:rsidR="00B3236F">
        <w:rPr>
          <w:rFonts w:cs="Arial"/>
          <w:noProof/>
          <w:szCs w:val="20"/>
        </w:rPr>
        <w:t>(IAP2, 2015)</w:t>
      </w:r>
      <w:r w:rsidR="00814892">
        <w:rPr>
          <w:rFonts w:cs="Arial"/>
          <w:szCs w:val="20"/>
        </w:rPr>
        <w:fldChar w:fldCharType="end"/>
      </w:r>
      <w:r w:rsidRPr="00314DDB">
        <w:rPr>
          <w:rFonts w:cs="Arial"/>
          <w:szCs w:val="20"/>
        </w:rPr>
        <w:t xml:space="preserve">, or in this case, the landowner. As such the project must deliver on the ability to implement that decisions, which requires the </w:t>
      </w:r>
      <w:r w:rsidR="00ED0918">
        <w:rPr>
          <w:rFonts w:cs="Arial"/>
          <w:szCs w:val="20"/>
        </w:rPr>
        <w:t>integration of all relevant organisations</w:t>
      </w:r>
      <w:r w:rsidR="004A0EC9">
        <w:rPr>
          <w:rFonts w:cs="Arial"/>
          <w:szCs w:val="20"/>
        </w:rPr>
        <w:t>, and their business models,</w:t>
      </w:r>
      <w:r w:rsidR="00ED0918">
        <w:rPr>
          <w:rFonts w:cs="Arial"/>
          <w:szCs w:val="20"/>
        </w:rPr>
        <w:t xml:space="preserve"> </w:t>
      </w:r>
      <w:r w:rsidRPr="00314DDB">
        <w:rPr>
          <w:rFonts w:cs="Arial"/>
          <w:szCs w:val="20"/>
        </w:rPr>
        <w:t>into the project.</w:t>
      </w:r>
    </w:p>
    <w:p w14:paraId="61061E6F" w14:textId="77777777" w:rsidR="00571E93" w:rsidRPr="00314DDB" w:rsidRDefault="00571E93" w:rsidP="0041750D">
      <w:pPr>
        <w:rPr>
          <w:rFonts w:cs="Arial"/>
          <w:szCs w:val="20"/>
        </w:rPr>
      </w:pPr>
      <w:r w:rsidRPr="00314DDB">
        <w:rPr>
          <w:rFonts w:cs="Arial"/>
          <w:szCs w:val="20"/>
        </w:rPr>
        <w:t xml:space="preserve">    </w:t>
      </w:r>
    </w:p>
    <w:p w14:paraId="69413800" w14:textId="77777777" w:rsidR="00E06160" w:rsidRPr="00314DDB" w:rsidRDefault="005040FC" w:rsidP="00E06160">
      <w:pPr>
        <w:rPr>
          <w:rFonts w:cs="Arial"/>
          <w:szCs w:val="20"/>
        </w:rPr>
      </w:pPr>
      <w:r w:rsidRPr="00314DDB">
        <w:rPr>
          <w:rFonts w:cs="Arial"/>
          <w:szCs w:val="20"/>
        </w:rPr>
        <w:t>In terms of method, i</w:t>
      </w:r>
      <w:r w:rsidR="008D5938" w:rsidRPr="00314DDB">
        <w:rPr>
          <w:rFonts w:cs="Arial"/>
          <w:szCs w:val="20"/>
        </w:rPr>
        <w:t xml:space="preserve">deally the implementation aspect of the research begins with stakeholder and process mapping; identifying all process and gatekeepers </w:t>
      </w:r>
      <w:r w:rsidR="008C031B" w:rsidRPr="00314DDB">
        <w:rPr>
          <w:rFonts w:cs="Arial"/>
          <w:szCs w:val="20"/>
        </w:rPr>
        <w:t xml:space="preserve">to </w:t>
      </w:r>
      <w:r w:rsidR="008D5938" w:rsidRPr="00314DDB">
        <w:rPr>
          <w:rFonts w:cs="Arial"/>
          <w:szCs w:val="20"/>
        </w:rPr>
        <w:t>obtain the relevant level of institutional support. However, due to the exploratory nature of applied research</w:t>
      </w:r>
      <w:r w:rsidR="008C031B" w:rsidRPr="00314DDB">
        <w:rPr>
          <w:rFonts w:cs="Arial"/>
          <w:szCs w:val="20"/>
        </w:rPr>
        <w:t>, this is often replaced by embedding researchers into the arena</w:t>
      </w:r>
      <w:r w:rsidR="00FA4451" w:rsidRPr="00314DDB">
        <w:rPr>
          <w:rFonts w:cs="Arial"/>
          <w:szCs w:val="20"/>
        </w:rPr>
        <w:t xml:space="preserve"> (such as state or local government, community or industry engagement), where they will </w:t>
      </w:r>
      <w:r w:rsidR="008C031B" w:rsidRPr="00314DDB">
        <w:rPr>
          <w:rFonts w:cs="Arial"/>
          <w:szCs w:val="20"/>
        </w:rPr>
        <w:t>practically and empirically interrogate the institutional</w:t>
      </w:r>
      <w:r w:rsidR="00FA4451" w:rsidRPr="00314DDB">
        <w:rPr>
          <w:rFonts w:cs="Arial"/>
          <w:szCs w:val="20"/>
        </w:rPr>
        <w:t xml:space="preserve"> requirements necessary for complete system implementation</w:t>
      </w:r>
      <w:r w:rsidR="008C06F5">
        <w:rPr>
          <w:rFonts w:cs="Arial"/>
          <w:szCs w:val="20"/>
        </w:rPr>
        <w:t xml:space="preserve"> </w:t>
      </w:r>
      <w:r w:rsidR="008C06F5">
        <w:rPr>
          <w:rFonts w:cs="Arial"/>
          <w:szCs w:val="20"/>
        </w:rPr>
        <w:fldChar w:fldCharType="begin"/>
      </w:r>
      <w:r w:rsidR="00B3236F">
        <w:rPr>
          <w:rFonts w:cs="Arial"/>
          <w:szCs w:val="20"/>
        </w:rPr>
        <w:instrText xml:space="preserve"> ADDIN EN.CITE &lt;EndNote&gt;&lt;Cite&gt;&lt;Author&gt;Glackin&lt;/Author&gt;&lt;Year&gt;2016&lt;/Year&gt;&lt;RecNum&gt;358&lt;/RecNum&gt;&lt;DisplayText&gt;(Glackin and Dionisio, 2016)&lt;/DisplayText&gt;&lt;record&gt;&lt;rec-number&gt;358&lt;/rec-number&gt;&lt;foreign-keys&gt;&lt;key app="EN" db-id="5ae2fdermwpr2ceeapzpfaftrzts9tfdvwwd" timestamp="1456189898"&gt;358&lt;/key&gt;&lt;/foreign-keys&gt;&lt;ref-type name="Journal Article"&gt;17&lt;/ref-type&gt;&lt;contributors&gt;&lt;authors&gt;&lt;author&gt;Glackin, Stephen&lt;/author&gt;&lt;author&gt;Dionisio, M.Rita&lt;/author&gt;&lt;/authors&gt;&lt;/contributors&gt;&lt;titles&gt;&lt;title&gt;&amp;apos;Deep engagement&amp;apos; and urban regeneration: tea, trust, and the quest for co-design at precinct scale&lt;/title&gt;&lt;secondary-title&gt;Land Use Policy&lt;/secondary-title&gt;&lt;/titles&gt;&lt;periodical&gt;&lt;full-title&gt;Land Use Policy&lt;/full-title&gt;&lt;/periodical&gt;&lt;pages&gt;363-373&lt;/pages&gt;&lt;volume&gt;52&lt;/volume&gt;&lt;number&gt;March 2016&lt;/number&gt;&lt;dates&gt;&lt;year&gt;2016&lt;/year&gt;&lt;/dates&gt;&lt;urls&gt;&lt;/urls&gt;&lt;/record&gt;&lt;/Cite&gt;&lt;/EndNote&gt;</w:instrText>
      </w:r>
      <w:r w:rsidR="008C06F5">
        <w:rPr>
          <w:rFonts w:cs="Arial"/>
          <w:szCs w:val="20"/>
        </w:rPr>
        <w:fldChar w:fldCharType="separate"/>
      </w:r>
      <w:r w:rsidR="00B3236F">
        <w:rPr>
          <w:rFonts w:cs="Arial"/>
          <w:noProof/>
          <w:szCs w:val="20"/>
        </w:rPr>
        <w:t>(Glackin and Dionisio, 2016)</w:t>
      </w:r>
      <w:r w:rsidR="008C06F5">
        <w:rPr>
          <w:rFonts w:cs="Arial"/>
          <w:szCs w:val="20"/>
        </w:rPr>
        <w:fldChar w:fldCharType="end"/>
      </w:r>
      <w:r w:rsidR="00FA4451" w:rsidRPr="00314DDB">
        <w:rPr>
          <w:rFonts w:cs="Arial"/>
          <w:szCs w:val="20"/>
        </w:rPr>
        <w:t xml:space="preserve">. </w:t>
      </w:r>
      <w:r w:rsidR="006B3B8A" w:rsidRPr="00314DDB">
        <w:rPr>
          <w:rFonts w:cs="Arial"/>
          <w:szCs w:val="20"/>
        </w:rPr>
        <w:t xml:space="preserve">With the realistic assumption that each stakeholder will work in the self-interest of themselves of their organisation, and that each step has a precursor and successor, a system map should be constructed that illustrates the </w:t>
      </w:r>
      <w:r w:rsidR="00EF2291" w:rsidRPr="00314DDB">
        <w:rPr>
          <w:rFonts w:cs="Arial"/>
          <w:szCs w:val="20"/>
        </w:rPr>
        <w:t>sub-process(s)</w:t>
      </w:r>
      <w:r w:rsidR="006B3B8A" w:rsidRPr="00314DDB">
        <w:rPr>
          <w:rFonts w:cs="Arial"/>
          <w:szCs w:val="20"/>
        </w:rPr>
        <w:t xml:space="preserve"> each stakeholder is responsible for, their rationale for involvement, and the business </w:t>
      </w:r>
      <w:r w:rsidR="00EF2291" w:rsidRPr="00314DDB">
        <w:rPr>
          <w:rFonts w:cs="Arial"/>
          <w:szCs w:val="20"/>
        </w:rPr>
        <w:t>logic of the organisation;</w:t>
      </w:r>
      <w:r w:rsidR="006B3B8A" w:rsidRPr="00314DDB">
        <w:rPr>
          <w:rFonts w:cs="Arial"/>
          <w:szCs w:val="20"/>
        </w:rPr>
        <w:t xml:space="preserve"> which will indicate how to create an appropriate institutional narrative and workflow for each stakeholder group.</w:t>
      </w:r>
      <w:r w:rsidR="00C647F7" w:rsidRPr="00314DDB">
        <w:rPr>
          <w:rFonts w:cs="Arial"/>
          <w:szCs w:val="20"/>
        </w:rPr>
        <w:t xml:space="preserve"> Effectively the aim is to reverse engineer the system outcome by looking at the institutional barriers to its exist</w:t>
      </w:r>
      <w:r w:rsidR="00B27DD7" w:rsidRPr="00314DDB">
        <w:rPr>
          <w:rFonts w:cs="Arial"/>
          <w:szCs w:val="20"/>
        </w:rPr>
        <w:t>ence and how those barriers can be</w:t>
      </w:r>
      <w:r w:rsidR="00C647F7" w:rsidRPr="00314DDB">
        <w:rPr>
          <w:rFonts w:cs="Arial"/>
          <w:szCs w:val="20"/>
        </w:rPr>
        <w:t xml:space="preserve"> </w:t>
      </w:r>
      <w:r w:rsidR="00EF2291" w:rsidRPr="00314DDB">
        <w:rPr>
          <w:rFonts w:cs="Arial"/>
          <w:szCs w:val="20"/>
        </w:rPr>
        <w:t xml:space="preserve">integrated </w:t>
      </w:r>
      <w:r w:rsidR="00C647F7" w:rsidRPr="00314DDB">
        <w:rPr>
          <w:rFonts w:cs="Arial"/>
          <w:szCs w:val="20"/>
        </w:rPr>
        <w:t>to promote the system. A simplified version can be seen in Figure 1.</w:t>
      </w:r>
      <w:r w:rsidR="00E06160">
        <w:rPr>
          <w:rFonts w:cs="Arial"/>
          <w:szCs w:val="20"/>
        </w:rPr>
        <w:t xml:space="preserve"> </w:t>
      </w:r>
      <w:r w:rsidR="00E06160" w:rsidRPr="00314DDB">
        <w:rPr>
          <w:rFonts w:cs="Arial"/>
          <w:szCs w:val="20"/>
        </w:rPr>
        <w:t>In reality, this becomes a convoluted network of institutional interdependence that is not necessarily sequential</w:t>
      </w:r>
      <w:proofErr w:type="gramStart"/>
      <w:r w:rsidR="00E06160" w:rsidRPr="00314DDB">
        <w:rPr>
          <w:rFonts w:cs="Arial"/>
          <w:szCs w:val="20"/>
        </w:rPr>
        <w:t>;</w:t>
      </w:r>
      <w:proofErr w:type="gramEnd"/>
      <w:r w:rsidR="00E06160" w:rsidRPr="00314DDB">
        <w:rPr>
          <w:rFonts w:cs="Arial"/>
          <w:szCs w:val="20"/>
        </w:rPr>
        <w:t xml:space="preserve"> in that two parties may simultaneously require each other to take the lead, which leads to iterative negotiation and gradual process development. However, by mapping the system requirements, and the full stack of interdependencies, an implementation pathway, and the set of narratives necessary for each domain, will eventuate.     </w:t>
      </w:r>
    </w:p>
    <w:p w14:paraId="43DA89D1" w14:textId="5DB0F8AF" w:rsidR="00C647F7" w:rsidRPr="00314DDB" w:rsidRDefault="00C647F7" w:rsidP="0041750D">
      <w:pPr>
        <w:rPr>
          <w:rFonts w:cs="Arial"/>
          <w:szCs w:val="20"/>
        </w:rPr>
      </w:pPr>
    </w:p>
    <w:p w14:paraId="18B16EB6" w14:textId="69F109E4" w:rsidR="003771FD" w:rsidRPr="00314DDB" w:rsidRDefault="003771FD" w:rsidP="0041750D">
      <w:pPr>
        <w:rPr>
          <w:rFonts w:cs="Arial"/>
          <w:szCs w:val="20"/>
        </w:rPr>
      </w:pPr>
    </w:p>
    <w:p w14:paraId="26FD848A" w14:textId="77777777" w:rsidR="00C647F7" w:rsidRPr="00314DDB" w:rsidRDefault="00A25749" w:rsidP="0041750D">
      <w:pPr>
        <w:keepNext/>
        <w:rPr>
          <w:rFonts w:cs="Arial"/>
          <w:szCs w:val="20"/>
        </w:rPr>
      </w:pPr>
      <w:r w:rsidRPr="00314DDB">
        <w:rPr>
          <w:rFonts w:cs="Arial"/>
          <w:noProof/>
          <w:szCs w:val="20"/>
          <w:lang w:val="en-US"/>
        </w:rPr>
        <w:drawing>
          <wp:inline distT="0" distB="0" distL="0" distR="0" wp14:anchorId="37CA5A3A" wp14:editId="6634BA5E">
            <wp:extent cx="5486400" cy="1729740"/>
            <wp:effectExtent l="0" t="0" r="50800" b="2286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242C1D6" w14:textId="25EBAF4E" w:rsidR="00362266" w:rsidRPr="00E06160" w:rsidRDefault="00C647F7" w:rsidP="00E06160">
      <w:pPr>
        <w:pStyle w:val="Caption"/>
        <w:rPr>
          <w:rFonts w:cs="Arial"/>
          <w:sz w:val="20"/>
          <w:szCs w:val="20"/>
        </w:rPr>
      </w:pPr>
      <w:r w:rsidRPr="00314DDB">
        <w:rPr>
          <w:rFonts w:cs="Arial"/>
          <w:sz w:val="20"/>
          <w:szCs w:val="20"/>
        </w:rPr>
        <w:t xml:space="preserve">Figure </w:t>
      </w:r>
      <w:r w:rsidRPr="00314DDB">
        <w:rPr>
          <w:rFonts w:cs="Arial"/>
          <w:sz w:val="20"/>
          <w:szCs w:val="20"/>
        </w:rPr>
        <w:fldChar w:fldCharType="begin"/>
      </w:r>
      <w:r w:rsidRPr="00314DDB">
        <w:rPr>
          <w:rFonts w:cs="Arial"/>
          <w:sz w:val="20"/>
          <w:szCs w:val="20"/>
        </w:rPr>
        <w:instrText xml:space="preserve"> SEQ Figure \* ARABIC </w:instrText>
      </w:r>
      <w:r w:rsidRPr="00314DDB">
        <w:rPr>
          <w:rFonts w:cs="Arial"/>
          <w:sz w:val="20"/>
          <w:szCs w:val="20"/>
        </w:rPr>
        <w:fldChar w:fldCharType="separate"/>
      </w:r>
      <w:r w:rsidR="00117FAE" w:rsidRPr="00314DDB">
        <w:rPr>
          <w:rFonts w:cs="Arial"/>
          <w:noProof/>
          <w:sz w:val="20"/>
          <w:szCs w:val="20"/>
        </w:rPr>
        <w:t>1</w:t>
      </w:r>
      <w:r w:rsidRPr="00314DDB">
        <w:rPr>
          <w:rFonts w:cs="Arial"/>
          <w:sz w:val="20"/>
          <w:szCs w:val="20"/>
        </w:rPr>
        <w:fldChar w:fldCharType="end"/>
      </w:r>
      <w:r w:rsidRPr="00314DDB">
        <w:rPr>
          <w:rFonts w:cs="Arial"/>
          <w:sz w:val="20"/>
          <w:szCs w:val="20"/>
        </w:rPr>
        <w:t>: Simplified workflow</w:t>
      </w:r>
    </w:p>
    <w:p w14:paraId="6E0DEC19" w14:textId="799E4ACD" w:rsidR="00C647F7" w:rsidRPr="00600FCA" w:rsidRDefault="003D16F3" w:rsidP="0041750D">
      <w:pPr>
        <w:rPr>
          <w:rFonts w:cs="Arial"/>
          <w:b/>
          <w:sz w:val="22"/>
          <w:szCs w:val="22"/>
        </w:rPr>
      </w:pPr>
      <w:r>
        <w:rPr>
          <w:rFonts w:cs="Arial"/>
          <w:b/>
          <w:sz w:val="22"/>
          <w:szCs w:val="22"/>
        </w:rPr>
        <w:t xml:space="preserve">4. </w:t>
      </w:r>
      <w:r w:rsidR="00600FCA">
        <w:rPr>
          <w:rFonts w:cs="Arial"/>
          <w:b/>
          <w:sz w:val="22"/>
          <w:szCs w:val="22"/>
        </w:rPr>
        <w:t xml:space="preserve">Melbourne and Maroondah: </w:t>
      </w:r>
      <w:r w:rsidR="00600FCA" w:rsidRPr="00600FCA">
        <w:rPr>
          <w:rFonts w:cs="Arial"/>
          <w:b/>
          <w:sz w:val="22"/>
          <w:szCs w:val="22"/>
        </w:rPr>
        <w:t xml:space="preserve">A </w:t>
      </w:r>
      <w:r w:rsidR="00600FCA">
        <w:rPr>
          <w:rFonts w:cs="Arial"/>
          <w:b/>
          <w:sz w:val="22"/>
          <w:szCs w:val="22"/>
        </w:rPr>
        <w:t>Case S</w:t>
      </w:r>
      <w:r w:rsidR="00C647F7" w:rsidRPr="00600FCA">
        <w:rPr>
          <w:rFonts w:cs="Arial"/>
          <w:b/>
          <w:sz w:val="22"/>
          <w:szCs w:val="22"/>
        </w:rPr>
        <w:t>tudy</w:t>
      </w:r>
    </w:p>
    <w:p w14:paraId="3EC14515" w14:textId="5683B4F9" w:rsidR="00DE4C70" w:rsidRPr="00314DDB" w:rsidRDefault="008B48ED" w:rsidP="0041750D">
      <w:pPr>
        <w:rPr>
          <w:rFonts w:cs="Arial"/>
          <w:szCs w:val="20"/>
        </w:rPr>
      </w:pPr>
      <w:r w:rsidRPr="00314DDB">
        <w:rPr>
          <w:rFonts w:cs="Arial"/>
          <w:szCs w:val="20"/>
        </w:rPr>
        <w:t>The broad aim of the project was to increase housing density, housing choice and new infrastructure in the middle suburbs by promoting regeneration precincts as a redevelopment option to property. Additional dwellings could be provided through utilising a larger lot size, wh</w:t>
      </w:r>
      <w:r w:rsidR="00CE3523" w:rsidRPr="00314DDB">
        <w:rPr>
          <w:rFonts w:cs="Arial"/>
          <w:szCs w:val="20"/>
        </w:rPr>
        <w:t xml:space="preserve">ile </w:t>
      </w:r>
      <w:proofErr w:type="gramStart"/>
      <w:r w:rsidRPr="00314DDB">
        <w:rPr>
          <w:rFonts w:cs="Arial"/>
          <w:szCs w:val="20"/>
        </w:rPr>
        <w:t>additional hard and soft infrastructure could be provided by offsetting community</w:t>
      </w:r>
      <w:proofErr w:type="gramEnd"/>
      <w:r w:rsidRPr="00314DDB">
        <w:rPr>
          <w:rFonts w:cs="Arial"/>
          <w:szCs w:val="20"/>
        </w:rPr>
        <w:t xml:space="preserve"> and municipal infrastructural supply against value capture.</w:t>
      </w:r>
      <w:r w:rsidR="00D452C4" w:rsidRPr="00314DDB">
        <w:rPr>
          <w:rFonts w:cs="Arial"/>
          <w:szCs w:val="20"/>
        </w:rPr>
        <w:t xml:space="preserve"> </w:t>
      </w:r>
      <w:r w:rsidR="00210247" w:rsidRPr="00314DDB">
        <w:rPr>
          <w:rFonts w:cs="Arial"/>
          <w:szCs w:val="20"/>
        </w:rPr>
        <w:t xml:space="preserve">This addition to existing infrastructure will hereafter be referred to as </w:t>
      </w:r>
      <w:r w:rsidR="00210247" w:rsidRPr="003D16F3">
        <w:rPr>
          <w:rFonts w:cs="Arial"/>
          <w:szCs w:val="20"/>
        </w:rPr>
        <w:t xml:space="preserve">precinct </w:t>
      </w:r>
      <w:r w:rsidR="003D16F3">
        <w:rPr>
          <w:rFonts w:cs="Arial"/>
          <w:szCs w:val="20"/>
        </w:rPr>
        <w:t>“</w:t>
      </w:r>
      <w:r w:rsidR="00210247" w:rsidRPr="003D16F3">
        <w:rPr>
          <w:rFonts w:cs="Arial"/>
          <w:szCs w:val="20"/>
        </w:rPr>
        <w:t>additionalities</w:t>
      </w:r>
      <w:r w:rsidR="003D16F3">
        <w:rPr>
          <w:rFonts w:cs="Arial"/>
          <w:szCs w:val="20"/>
        </w:rPr>
        <w:t>”</w:t>
      </w:r>
      <w:r w:rsidR="00210247" w:rsidRPr="00314DDB">
        <w:rPr>
          <w:rFonts w:cs="Arial"/>
          <w:szCs w:val="20"/>
        </w:rPr>
        <w:t xml:space="preserve">. </w:t>
      </w:r>
      <w:r w:rsidRPr="00314DDB">
        <w:rPr>
          <w:rFonts w:cs="Arial"/>
          <w:szCs w:val="20"/>
        </w:rPr>
        <w:t>In essence</w:t>
      </w:r>
      <w:r w:rsidR="003D16F3">
        <w:rPr>
          <w:rFonts w:cs="Arial"/>
          <w:szCs w:val="20"/>
        </w:rPr>
        <w:t>,</w:t>
      </w:r>
      <w:r w:rsidRPr="00314DDB">
        <w:rPr>
          <w:rFonts w:cs="Arial"/>
          <w:szCs w:val="20"/>
        </w:rPr>
        <w:t xml:space="preserve"> the project required that landowners choose lot assembly and precinct regeneration over single lot redevelopment. However, for landowners to undertake a far more complex process than simple land </w:t>
      </w:r>
      <w:proofErr w:type="gramStart"/>
      <w:r w:rsidRPr="00314DDB">
        <w:rPr>
          <w:rFonts w:cs="Arial"/>
          <w:szCs w:val="20"/>
        </w:rPr>
        <w:t>sale,</w:t>
      </w:r>
      <w:proofErr w:type="gramEnd"/>
      <w:r w:rsidRPr="00314DDB">
        <w:rPr>
          <w:rFonts w:cs="Arial"/>
          <w:szCs w:val="20"/>
        </w:rPr>
        <w:t xml:space="preserve"> there must </w:t>
      </w:r>
      <w:r w:rsidR="00CE3523" w:rsidRPr="00314DDB">
        <w:rPr>
          <w:rFonts w:cs="Arial"/>
          <w:szCs w:val="20"/>
        </w:rPr>
        <w:t>either be</w:t>
      </w:r>
      <w:r w:rsidRPr="00314DDB">
        <w:rPr>
          <w:rFonts w:cs="Arial"/>
          <w:szCs w:val="20"/>
        </w:rPr>
        <w:t xml:space="preserve"> </w:t>
      </w:r>
      <w:r w:rsidR="009037A9" w:rsidRPr="00314DDB">
        <w:rPr>
          <w:rFonts w:cs="Arial"/>
          <w:szCs w:val="20"/>
        </w:rPr>
        <w:t xml:space="preserve">development </w:t>
      </w:r>
      <w:r w:rsidRPr="00314DDB">
        <w:rPr>
          <w:rFonts w:cs="Arial"/>
          <w:szCs w:val="20"/>
        </w:rPr>
        <w:t>incentive</w:t>
      </w:r>
      <w:r w:rsidR="00CE3523" w:rsidRPr="00314DDB">
        <w:rPr>
          <w:rFonts w:cs="Arial"/>
          <w:szCs w:val="20"/>
        </w:rPr>
        <w:t>s</w:t>
      </w:r>
      <w:r w:rsidRPr="00314DDB">
        <w:rPr>
          <w:rFonts w:cs="Arial"/>
          <w:szCs w:val="20"/>
        </w:rPr>
        <w:t xml:space="preserve"> or </w:t>
      </w:r>
      <w:r w:rsidR="00CE3523" w:rsidRPr="00314DDB">
        <w:rPr>
          <w:rFonts w:cs="Arial"/>
          <w:szCs w:val="20"/>
        </w:rPr>
        <w:t>greater regulation of development options</w:t>
      </w:r>
      <w:r w:rsidR="00B379F7" w:rsidRPr="00314DDB">
        <w:rPr>
          <w:rFonts w:cs="Arial"/>
          <w:szCs w:val="20"/>
        </w:rPr>
        <w:t xml:space="preserve"> as a dis</w:t>
      </w:r>
      <w:r w:rsidR="00ED2443" w:rsidRPr="00314DDB">
        <w:rPr>
          <w:rFonts w:cs="Arial"/>
          <w:szCs w:val="20"/>
        </w:rPr>
        <w:t>incentive</w:t>
      </w:r>
      <w:r w:rsidR="00CE3523" w:rsidRPr="00314DDB">
        <w:rPr>
          <w:rFonts w:cs="Arial"/>
          <w:szCs w:val="20"/>
        </w:rPr>
        <w:t>, both of which require statutory change</w:t>
      </w:r>
      <w:r w:rsidR="00561A17" w:rsidRPr="00314DDB">
        <w:rPr>
          <w:rFonts w:cs="Arial"/>
          <w:szCs w:val="20"/>
        </w:rPr>
        <w:t xml:space="preserve"> </w:t>
      </w:r>
      <w:r w:rsidR="009037A9" w:rsidRPr="00314DDB">
        <w:rPr>
          <w:rFonts w:cs="Arial"/>
          <w:szCs w:val="20"/>
        </w:rPr>
        <w:t xml:space="preserve">to be undertaken </w:t>
      </w:r>
      <w:r w:rsidR="00561A17" w:rsidRPr="00314DDB">
        <w:rPr>
          <w:rFonts w:cs="Arial"/>
          <w:szCs w:val="20"/>
        </w:rPr>
        <w:t>by municipalities</w:t>
      </w:r>
      <w:r w:rsidR="00CE3523" w:rsidRPr="00314DDB">
        <w:rPr>
          <w:rFonts w:cs="Arial"/>
          <w:szCs w:val="20"/>
        </w:rPr>
        <w:t>.</w:t>
      </w:r>
      <w:r w:rsidR="009037A9" w:rsidRPr="00314DDB">
        <w:rPr>
          <w:rFonts w:cs="Arial"/>
          <w:szCs w:val="20"/>
        </w:rPr>
        <w:t xml:space="preserve"> There then has to be an in</w:t>
      </w:r>
      <w:r w:rsidR="00ED2443" w:rsidRPr="00314DDB">
        <w:rPr>
          <w:rFonts w:cs="Arial"/>
          <w:szCs w:val="20"/>
        </w:rPr>
        <w:t xml:space="preserve">centive for municipalities </w:t>
      </w:r>
      <w:r w:rsidR="009037A9" w:rsidRPr="00314DDB">
        <w:rPr>
          <w:rFonts w:cs="Arial"/>
          <w:szCs w:val="20"/>
        </w:rPr>
        <w:t>to justify the costly process of creating new planning and business procedures to accommodate the precinct-scal</w:t>
      </w:r>
      <w:r w:rsidR="00ED2443" w:rsidRPr="00314DDB">
        <w:rPr>
          <w:rFonts w:cs="Arial"/>
          <w:szCs w:val="20"/>
        </w:rPr>
        <w:t>e regeneration model, as well as significant state support to politically de-risk the new process. A similar d</w:t>
      </w:r>
      <w:r w:rsidR="00FC379C" w:rsidRPr="00314DDB">
        <w:rPr>
          <w:rFonts w:cs="Arial"/>
          <w:szCs w:val="20"/>
        </w:rPr>
        <w:t>e-risking process then needs to be implemented to garner the support of state planning authorities.</w:t>
      </w:r>
      <w:r w:rsidR="00206273" w:rsidRPr="00314DDB">
        <w:rPr>
          <w:rFonts w:cs="Arial"/>
          <w:szCs w:val="20"/>
        </w:rPr>
        <w:t xml:space="preserve"> </w:t>
      </w:r>
      <w:r w:rsidR="00FC379C" w:rsidRPr="00314DDB">
        <w:rPr>
          <w:rFonts w:cs="Arial"/>
          <w:szCs w:val="20"/>
        </w:rPr>
        <w:t>What this amounts to is an interconnec</w:t>
      </w:r>
      <w:r w:rsidR="00206273" w:rsidRPr="00314DDB">
        <w:rPr>
          <w:rFonts w:cs="Arial"/>
          <w:szCs w:val="20"/>
        </w:rPr>
        <w:t>ted network of power relations, where each player is reliant on each other</w:t>
      </w:r>
      <w:proofErr w:type="gramStart"/>
      <w:r w:rsidR="00206273" w:rsidRPr="00314DDB">
        <w:rPr>
          <w:rFonts w:cs="Arial"/>
          <w:szCs w:val="20"/>
        </w:rPr>
        <w:t>;</w:t>
      </w:r>
      <w:proofErr w:type="gramEnd"/>
      <w:r w:rsidR="00206273" w:rsidRPr="00314DDB">
        <w:rPr>
          <w:rFonts w:cs="Arial"/>
          <w:szCs w:val="20"/>
        </w:rPr>
        <w:t xml:space="preserve"> in terms of both political support and technical</w:t>
      </w:r>
      <w:r w:rsidR="00B8484D" w:rsidRPr="00314DDB">
        <w:rPr>
          <w:rFonts w:cs="Arial"/>
          <w:szCs w:val="20"/>
        </w:rPr>
        <w:t>/legal</w:t>
      </w:r>
      <w:r w:rsidR="00206273" w:rsidRPr="00314DDB">
        <w:rPr>
          <w:rFonts w:cs="Arial"/>
          <w:szCs w:val="20"/>
        </w:rPr>
        <w:t xml:space="preserve"> assistance. </w:t>
      </w:r>
      <w:r w:rsidR="00DE4C70" w:rsidRPr="00314DDB">
        <w:rPr>
          <w:rFonts w:cs="Arial"/>
          <w:szCs w:val="20"/>
        </w:rPr>
        <w:t>Figure 2 represents the network of power relations and system requirements, after six months institutional engagement with stakeholders.</w:t>
      </w:r>
    </w:p>
    <w:p w14:paraId="7B4568DD" w14:textId="77777777" w:rsidR="00DE4C70" w:rsidRPr="00314DDB" w:rsidRDefault="00DE4C70" w:rsidP="0041750D">
      <w:pPr>
        <w:rPr>
          <w:rFonts w:cs="Arial"/>
          <w:szCs w:val="20"/>
        </w:rPr>
      </w:pPr>
    </w:p>
    <w:p w14:paraId="46317E78" w14:textId="6AFCE3C1" w:rsidR="00117FAE" w:rsidRPr="00314DDB" w:rsidRDefault="00117FAE" w:rsidP="0041750D">
      <w:pPr>
        <w:keepNext/>
        <w:rPr>
          <w:rFonts w:cs="Arial"/>
          <w:szCs w:val="20"/>
        </w:rPr>
      </w:pPr>
      <w:r w:rsidRPr="00314DDB">
        <w:rPr>
          <w:rFonts w:cs="Arial"/>
          <w:noProof/>
          <w:szCs w:val="20"/>
          <w:lang w:val="en-US"/>
        </w:rPr>
        <w:drawing>
          <wp:inline distT="0" distB="0" distL="0" distR="0" wp14:anchorId="677BFA5B" wp14:editId="02EA20E7">
            <wp:extent cx="5732780" cy="3745230"/>
            <wp:effectExtent l="0" t="0" r="1270" b="7620"/>
            <wp:docPr id="2" name="Picture 2" descr="C:\Users\sglackin\Documents\network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glackin\Documents\networkMap.b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780" cy="3745230"/>
                    </a:xfrm>
                    <a:prstGeom prst="rect">
                      <a:avLst/>
                    </a:prstGeom>
                    <a:noFill/>
                    <a:ln>
                      <a:noFill/>
                    </a:ln>
                  </pic:spPr>
                </pic:pic>
              </a:graphicData>
            </a:graphic>
          </wp:inline>
        </w:drawing>
      </w:r>
    </w:p>
    <w:p w14:paraId="3243E5B2" w14:textId="5A8562A5" w:rsidR="005E3336" w:rsidRPr="00314DDB" w:rsidRDefault="00117FAE" w:rsidP="0041750D">
      <w:pPr>
        <w:pStyle w:val="Caption"/>
        <w:rPr>
          <w:rFonts w:cs="Arial"/>
          <w:sz w:val="20"/>
          <w:szCs w:val="20"/>
        </w:rPr>
      </w:pPr>
      <w:r w:rsidRPr="00314DDB">
        <w:rPr>
          <w:rFonts w:cs="Arial"/>
          <w:sz w:val="20"/>
          <w:szCs w:val="20"/>
        </w:rPr>
        <w:t xml:space="preserve">Figure </w:t>
      </w:r>
      <w:r w:rsidRPr="00314DDB">
        <w:rPr>
          <w:rFonts w:cs="Arial"/>
          <w:sz w:val="20"/>
          <w:szCs w:val="20"/>
        </w:rPr>
        <w:fldChar w:fldCharType="begin"/>
      </w:r>
      <w:r w:rsidRPr="00314DDB">
        <w:rPr>
          <w:rFonts w:cs="Arial"/>
          <w:sz w:val="20"/>
          <w:szCs w:val="20"/>
        </w:rPr>
        <w:instrText xml:space="preserve"> SEQ Figure \* ARABIC </w:instrText>
      </w:r>
      <w:r w:rsidRPr="00314DDB">
        <w:rPr>
          <w:rFonts w:cs="Arial"/>
          <w:sz w:val="20"/>
          <w:szCs w:val="20"/>
        </w:rPr>
        <w:fldChar w:fldCharType="separate"/>
      </w:r>
      <w:r w:rsidRPr="00314DDB">
        <w:rPr>
          <w:rFonts w:cs="Arial"/>
          <w:noProof/>
          <w:sz w:val="20"/>
          <w:szCs w:val="20"/>
        </w:rPr>
        <w:t>2</w:t>
      </w:r>
      <w:r w:rsidRPr="00314DDB">
        <w:rPr>
          <w:rFonts w:cs="Arial"/>
          <w:sz w:val="20"/>
          <w:szCs w:val="20"/>
        </w:rPr>
        <w:fldChar w:fldCharType="end"/>
      </w:r>
      <w:r w:rsidRPr="00314DDB">
        <w:rPr>
          <w:rFonts w:cs="Arial"/>
          <w:sz w:val="20"/>
          <w:szCs w:val="20"/>
        </w:rPr>
        <w:t>: Simplified network analysis</w:t>
      </w:r>
    </w:p>
    <w:p w14:paraId="040D4164" w14:textId="3E0BD2BB" w:rsidR="00B3236F" w:rsidRDefault="00DE4C70" w:rsidP="0041750D">
      <w:pPr>
        <w:rPr>
          <w:rFonts w:cs="Arial"/>
          <w:szCs w:val="20"/>
        </w:rPr>
      </w:pPr>
      <w:r w:rsidRPr="00314DDB">
        <w:rPr>
          <w:rFonts w:cs="Arial"/>
          <w:szCs w:val="20"/>
        </w:rPr>
        <w:lastRenderedPageBreak/>
        <w:t xml:space="preserve">After identifying the stakeholders and </w:t>
      </w:r>
      <w:r w:rsidR="00270B73" w:rsidRPr="00314DDB">
        <w:rPr>
          <w:rFonts w:cs="Arial"/>
          <w:szCs w:val="20"/>
        </w:rPr>
        <w:t xml:space="preserve">system </w:t>
      </w:r>
      <w:r w:rsidRPr="00314DDB">
        <w:rPr>
          <w:rFonts w:cs="Arial"/>
          <w:szCs w:val="20"/>
        </w:rPr>
        <w:t xml:space="preserve">requirements, the next step </w:t>
      </w:r>
      <w:r w:rsidR="00270B73" w:rsidRPr="00314DDB">
        <w:rPr>
          <w:rFonts w:cs="Arial"/>
          <w:szCs w:val="20"/>
        </w:rPr>
        <w:t xml:space="preserve">is </w:t>
      </w:r>
      <w:r w:rsidRPr="00314DDB">
        <w:rPr>
          <w:rFonts w:cs="Arial"/>
          <w:szCs w:val="20"/>
        </w:rPr>
        <w:t xml:space="preserve">to explore the </w:t>
      </w:r>
      <w:r w:rsidR="00270B73" w:rsidRPr="00314DDB">
        <w:rPr>
          <w:rFonts w:cs="Arial"/>
          <w:szCs w:val="20"/>
        </w:rPr>
        <w:t>b</w:t>
      </w:r>
      <w:r w:rsidRPr="00314DDB">
        <w:rPr>
          <w:rFonts w:cs="Arial"/>
          <w:szCs w:val="20"/>
        </w:rPr>
        <w:t>usiness models within each domain</w:t>
      </w:r>
      <w:r w:rsidR="00270B73" w:rsidRPr="00314DDB">
        <w:rPr>
          <w:rFonts w:cs="Arial"/>
          <w:szCs w:val="20"/>
        </w:rPr>
        <w:t xml:space="preserve"> and the changes in project narrative and outcomes necessary to obtain support. Table 1 presents an overview of the network map, with the requirements of each stakeholder, the necessary precursors and the narrative for each group. This table will be explored in the sections below. </w:t>
      </w:r>
    </w:p>
    <w:p w14:paraId="05A217A2" w14:textId="77777777" w:rsidR="00B3236F" w:rsidRPr="00314DDB" w:rsidRDefault="00B3236F" w:rsidP="0041750D">
      <w:pPr>
        <w:rPr>
          <w:rFonts w:cs="Arial"/>
          <w:szCs w:val="20"/>
        </w:rPr>
      </w:pPr>
    </w:p>
    <w:p w14:paraId="332BBD3F" w14:textId="77777777" w:rsidR="00DE4C70" w:rsidRPr="00314DDB" w:rsidRDefault="00DE4C70" w:rsidP="0041750D">
      <w:pPr>
        <w:rPr>
          <w:rFonts w:cs="Arial"/>
          <w:szCs w:val="20"/>
        </w:rPr>
      </w:pPr>
    </w:p>
    <w:p w14:paraId="60DCD7AF" w14:textId="68917376" w:rsidR="00E06160" w:rsidRDefault="00E06160" w:rsidP="00E06160">
      <w:pPr>
        <w:pStyle w:val="Caption"/>
        <w:keepNext/>
      </w:pPr>
      <w:r>
        <w:t xml:space="preserve">Table </w:t>
      </w:r>
      <w:r>
        <w:fldChar w:fldCharType="begin"/>
      </w:r>
      <w:r>
        <w:instrText xml:space="preserve"> SEQ Table \* ARABIC </w:instrText>
      </w:r>
      <w:r>
        <w:fldChar w:fldCharType="separate"/>
      </w:r>
      <w:r>
        <w:rPr>
          <w:noProof/>
        </w:rPr>
        <w:t>1</w:t>
      </w:r>
      <w:r>
        <w:fldChar w:fldCharType="end"/>
      </w:r>
      <w:r>
        <w:t>: Stakeholders matrix indicating the rationale, necessary precursors and narrative for each stakeholder group</w:t>
      </w:r>
    </w:p>
    <w:tbl>
      <w:tblPr>
        <w:tblStyle w:val="TableGrid"/>
        <w:tblW w:w="9918" w:type="dxa"/>
        <w:tblLook w:val="04A0" w:firstRow="1" w:lastRow="0" w:firstColumn="1" w:lastColumn="0" w:noHBand="0" w:noVBand="1"/>
      </w:tblPr>
      <w:tblGrid>
        <w:gridCol w:w="1306"/>
        <w:gridCol w:w="2040"/>
        <w:gridCol w:w="2073"/>
        <w:gridCol w:w="2514"/>
        <w:gridCol w:w="1985"/>
      </w:tblGrid>
      <w:tr w:rsidR="003D16F3" w:rsidRPr="003D16F3" w14:paraId="364CADBC" w14:textId="77777777" w:rsidTr="003D16F3">
        <w:tc>
          <w:tcPr>
            <w:tcW w:w="1306" w:type="dxa"/>
          </w:tcPr>
          <w:p w14:paraId="2E718105" w14:textId="1EE24B5F" w:rsidR="00E633A2" w:rsidRPr="003D16F3" w:rsidRDefault="00270B73" w:rsidP="0041750D">
            <w:pPr>
              <w:rPr>
                <w:rFonts w:cs="Arial"/>
                <w:b/>
                <w:sz w:val="16"/>
                <w:szCs w:val="16"/>
              </w:rPr>
            </w:pPr>
            <w:r w:rsidRPr="003D16F3">
              <w:rPr>
                <w:rFonts w:cs="Arial"/>
                <w:b/>
                <w:sz w:val="16"/>
                <w:szCs w:val="16"/>
              </w:rPr>
              <w:t>Stakeholder</w:t>
            </w:r>
          </w:p>
        </w:tc>
        <w:tc>
          <w:tcPr>
            <w:tcW w:w="2040" w:type="dxa"/>
          </w:tcPr>
          <w:p w14:paraId="536F6D24" w14:textId="3B6A1B99" w:rsidR="00E633A2" w:rsidRPr="003D16F3" w:rsidRDefault="00E633A2" w:rsidP="0041750D">
            <w:pPr>
              <w:rPr>
                <w:rFonts w:cs="Arial"/>
                <w:b/>
                <w:sz w:val="16"/>
                <w:szCs w:val="16"/>
              </w:rPr>
            </w:pPr>
            <w:r w:rsidRPr="003D16F3">
              <w:rPr>
                <w:rFonts w:cs="Arial"/>
                <w:b/>
                <w:sz w:val="16"/>
                <w:szCs w:val="16"/>
              </w:rPr>
              <w:t>Event</w:t>
            </w:r>
            <w:r w:rsidR="00270B73" w:rsidRPr="003D16F3">
              <w:rPr>
                <w:rFonts w:cs="Arial"/>
                <w:b/>
                <w:sz w:val="16"/>
                <w:szCs w:val="16"/>
              </w:rPr>
              <w:t xml:space="preserve"> </w:t>
            </w:r>
            <w:r w:rsidRPr="003D16F3">
              <w:rPr>
                <w:rFonts w:cs="Arial"/>
                <w:b/>
                <w:sz w:val="16"/>
                <w:szCs w:val="16"/>
              </w:rPr>
              <w:t>/</w:t>
            </w:r>
            <w:r w:rsidR="00270B73" w:rsidRPr="003D16F3">
              <w:rPr>
                <w:rFonts w:cs="Arial"/>
                <w:b/>
                <w:sz w:val="16"/>
                <w:szCs w:val="16"/>
              </w:rPr>
              <w:t xml:space="preserve"> </w:t>
            </w:r>
            <w:r w:rsidRPr="003D16F3">
              <w:rPr>
                <w:rFonts w:cs="Arial"/>
                <w:b/>
                <w:sz w:val="16"/>
                <w:szCs w:val="16"/>
              </w:rPr>
              <w:t>object</w:t>
            </w:r>
          </w:p>
        </w:tc>
        <w:tc>
          <w:tcPr>
            <w:tcW w:w="2073" w:type="dxa"/>
          </w:tcPr>
          <w:p w14:paraId="74BACD20" w14:textId="77777777" w:rsidR="00E633A2" w:rsidRPr="003D16F3" w:rsidRDefault="00E633A2" w:rsidP="0041750D">
            <w:pPr>
              <w:rPr>
                <w:rFonts w:cs="Arial"/>
                <w:b/>
                <w:sz w:val="16"/>
                <w:szCs w:val="16"/>
              </w:rPr>
            </w:pPr>
            <w:r w:rsidRPr="003D16F3">
              <w:rPr>
                <w:rFonts w:cs="Arial"/>
                <w:b/>
                <w:sz w:val="16"/>
                <w:szCs w:val="16"/>
              </w:rPr>
              <w:t xml:space="preserve">Incentive/rationale </w:t>
            </w:r>
          </w:p>
        </w:tc>
        <w:tc>
          <w:tcPr>
            <w:tcW w:w="2514" w:type="dxa"/>
          </w:tcPr>
          <w:p w14:paraId="3D5C36AB" w14:textId="131BD460" w:rsidR="00E633A2" w:rsidRPr="003D16F3" w:rsidRDefault="00270B73" w:rsidP="0041750D">
            <w:pPr>
              <w:rPr>
                <w:rFonts w:cs="Arial"/>
                <w:b/>
                <w:sz w:val="16"/>
                <w:szCs w:val="16"/>
              </w:rPr>
            </w:pPr>
            <w:r w:rsidRPr="003D16F3">
              <w:rPr>
                <w:rFonts w:cs="Arial"/>
                <w:b/>
                <w:sz w:val="16"/>
                <w:szCs w:val="16"/>
              </w:rPr>
              <w:t>P</w:t>
            </w:r>
            <w:r w:rsidR="00E633A2" w:rsidRPr="003D16F3">
              <w:rPr>
                <w:rFonts w:cs="Arial"/>
                <w:b/>
                <w:sz w:val="16"/>
                <w:szCs w:val="16"/>
              </w:rPr>
              <w:t>recursor</w:t>
            </w:r>
          </w:p>
        </w:tc>
        <w:tc>
          <w:tcPr>
            <w:tcW w:w="1985" w:type="dxa"/>
          </w:tcPr>
          <w:p w14:paraId="15AA0348" w14:textId="3617CBB1" w:rsidR="00E633A2" w:rsidRPr="003D16F3" w:rsidRDefault="00E633A2" w:rsidP="0041750D">
            <w:pPr>
              <w:rPr>
                <w:rFonts w:cs="Arial"/>
                <w:b/>
                <w:sz w:val="16"/>
                <w:szCs w:val="16"/>
              </w:rPr>
            </w:pPr>
            <w:r w:rsidRPr="003D16F3">
              <w:rPr>
                <w:rFonts w:cs="Arial"/>
                <w:b/>
                <w:sz w:val="16"/>
                <w:szCs w:val="16"/>
              </w:rPr>
              <w:t>Narrative or business logic</w:t>
            </w:r>
          </w:p>
        </w:tc>
      </w:tr>
      <w:tr w:rsidR="003D16F3" w:rsidRPr="003D16F3" w14:paraId="446DEB4C" w14:textId="77777777" w:rsidTr="003D16F3">
        <w:tc>
          <w:tcPr>
            <w:tcW w:w="1306" w:type="dxa"/>
          </w:tcPr>
          <w:p w14:paraId="36B1D133" w14:textId="2494802E" w:rsidR="00E633A2" w:rsidRPr="003D16F3" w:rsidRDefault="00270B73" w:rsidP="0041750D">
            <w:pPr>
              <w:rPr>
                <w:rFonts w:cs="Arial"/>
                <w:sz w:val="16"/>
                <w:szCs w:val="16"/>
              </w:rPr>
            </w:pPr>
            <w:r w:rsidRPr="003D16F3">
              <w:rPr>
                <w:rFonts w:cs="Arial"/>
                <w:sz w:val="16"/>
                <w:szCs w:val="16"/>
              </w:rPr>
              <w:t>Property</w:t>
            </w:r>
            <w:r w:rsidR="00E633A2" w:rsidRPr="003D16F3">
              <w:rPr>
                <w:rFonts w:cs="Arial"/>
                <w:sz w:val="16"/>
                <w:szCs w:val="16"/>
              </w:rPr>
              <w:t xml:space="preserve"> owners</w:t>
            </w:r>
          </w:p>
        </w:tc>
        <w:tc>
          <w:tcPr>
            <w:tcW w:w="2040" w:type="dxa"/>
          </w:tcPr>
          <w:p w14:paraId="5EB36B71" w14:textId="77777777" w:rsidR="00E633A2" w:rsidRPr="003D16F3" w:rsidRDefault="00E633A2" w:rsidP="0041750D">
            <w:pPr>
              <w:rPr>
                <w:rFonts w:cs="Arial"/>
                <w:sz w:val="16"/>
                <w:szCs w:val="16"/>
              </w:rPr>
            </w:pPr>
            <w:r w:rsidRPr="003D16F3">
              <w:rPr>
                <w:rFonts w:cs="Arial"/>
                <w:sz w:val="16"/>
                <w:szCs w:val="16"/>
              </w:rPr>
              <w:t>Collaborate on land assembly</w:t>
            </w:r>
          </w:p>
        </w:tc>
        <w:tc>
          <w:tcPr>
            <w:tcW w:w="2073" w:type="dxa"/>
          </w:tcPr>
          <w:p w14:paraId="242DA6B1" w14:textId="03BAA9C8" w:rsidR="00E633A2" w:rsidRPr="003D16F3" w:rsidRDefault="00E633A2" w:rsidP="0041750D">
            <w:pPr>
              <w:rPr>
                <w:rFonts w:cs="Arial"/>
                <w:sz w:val="16"/>
                <w:szCs w:val="16"/>
              </w:rPr>
            </w:pPr>
            <w:r w:rsidRPr="003D16F3">
              <w:rPr>
                <w:rFonts w:cs="Arial"/>
                <w:sz w:val="16"/>
                <w:szCs w:val="16"/>
              </w:rPr>
              <w:t>Increased sale value</w:t>
            </w:r>
          </w:p>
          <w:p w14:paraId="2B101208" w14:textId="77777777" w:rsidR="00E633A2" w:rsidRPr="003D16F3" w:rsidRDefault="00E633A2" w:rsidP="0041750D">
            <w:pPr>
              <w:rPr>
                <w:rFonts w:cs="Arial"/>
                <w:sz w:val="16"/>
                <w:szCs w:val="16"/>
              </w:rPr>
            </w:pPr>
          </w:p>
          <w:p w14:paraId="0660A993" w14:textId="77777777" w:rsidR="00E633A2" w:rsidRPr="003D16F3" w:rsidRDefault="00E633A2" w:rsidP="0041750D">
            <w:pPr>
              <w:rPr>
                <w:rFonts w:cs="Arial"/>
                <w:sz w:val="16"/>
                <w:szCs w:val="16"/>
              </w:rPr>
            </w:pPr>
            <w:r w:rsidRPr="003D16F3">
              <w:rPr>
                <w:rFonts w:cs="Arial"/>
                <w:sz w:val="16"/>
                <w:szCs w:val="16"/>
              </w:rPr>
              <w:t>Opportunity for co-design</w:t>
            </w:r>
          </w:p>
          <w:p w14:paraId="1FC31142" w14:textId="77777777" w:rsidR="00E633A2" w:rsidRPr="003D16F3" w:rsidRDefault="00E633A2" w:rsidP="0041750D">
            <w:pPr>
              <w:rPr>
                <w:rFonts w:cs="Arial"/>
                <w:sz w:val="16"/>
                <w:szCs w:val="16"/>
              </w:rPr>
            </w:pPr>
          </w:p>
          <w:p w14:paraId="455614A4" w14:textId="22909579" w:rsidR="00E633A2" w:rsidRPr="003D16F3" w:rsidRDefault="00E633A2" w:rsidP="0041750D">
            <w:pPr>
              <w:rPr>
                <w:rFonts w:cs="Arial"/>
                <w:sz w:val="16"/>
                <w:szCs w:val="16"/>
              </w:rPr>
            </w:pPr>
            <w:r w:rsidRPr="003D16F3">
              <w:rPr>
                <w:rFonts w:cs="Arial"/>
                <w:sz w:val="16"/>
                <w:szCs w:val="16"/>
              </w:rPr>
              <w:t>Opportunity for joint venture</w:t>
            </w:r>
          </w:p>
        </w:tc>
        <w:tc>
          <w:tcPr>
            <w:tcW w:w="2514" w:type="dxa"/>
          </w:tcPr>
          <w:p w14:paraId="12629FD0" w14:textId="6C70D67D" w:rsidR="00E633A2" w:rsidRPr="003D16F3" w:rsidRDefault="00E633A2" w:rsidP="0041750D">
            <w:pPr>
              <w:rPr>
                <w:rFonts w:cs="Arial"/>
                <w:sz w:val="16"/>
                <w:szCs w:val="16"/>
              </w:rPr>
            </w:pPr>
            <w:r w:rsidRPr="003D16F3">
              <w:rPr>
                <w:rFonts w:cs="Arial"/>
                <w:sz w:val="16"/>
                <w:szCs w:val="16"/>
              </w:rPr>
              <w:t>New zones</w:t>
            </w:r>
            <w:r w:rsidR="005E3336" w:rsidRPr="003D16F3">
              <w:rPr>
                <w:rFonts w:cs="Arial"/>
                <w:sz w:val="16"/>
                <w:szCs w:val="16"/>
              </w:rPr>
              <w:t xml:space="preserve"> (potentially)</w:t>
            </w:r>
          </w:p>
          <w:p w14:paraId="6C99A5EF" w14:textId="77777777" w:rsidR="00E633A2" w:rsidRPr="003D16F3" w:rsidRDefault="00E633A2" w:rsidP="0041750D">
            <w:pPr>
              <w:rPr>
                <w:rFonts w:cs="Arial"/>
                <w:sz w:val="16"/>
                <w:szCs w:val="16"/>
              </w:rPr>
            </w:pPr>
          </w:p>
          <w:p w14:paraId="5D7FA494" w14:textId="77777777" w:rsidR="00E633A2" w:rsidRPr="003D16F3" w:rsidRDefault="00E633A2" w:rsidP="0041750D">
            <w:pPr>
              <w:rPr>
                <w:rFonts w:cs="Arial"/>
                <w:sz w:val="16"/>
                <w:szCs w:val="16"/>
              </w:rPr>
            </w:pPr>
            <w:r w:rsidRPr="003D16F3">
              <w:rPr>
                <w:rFonts w:cs="Arial"/>
                <w:sz w:val="16"/>
                <w:szCs w:val="16"/>
              </w:rPr>
              <w:t>New planning guidelines</w:t>
            </w:r>
          </w:p>
          <w:p w14:paraId="04D9AB32" w14:textId="77777777" w:rsidR="00E633A2" w:rsidRPr="003D16F3" w:rsidRDefault="00E633A2" w:rsidP="0041750D">
            <w:pPr>
              <w:rPr>
                <w:rFonts w:cs="Arial"/>
                <w:sz w:val="16"/>
                <w:szCs w:val="16"/>
              </w:rPr>
            </w:pPr>
          </w:p>
          <w:p w14:paraId="2D894015" w14:textId="77777777" w:rsidR="00E633A2" w:rsidRPr="003D16F3" w:rsidRDefault="00E633A2" w:rsidP="0041750D">
            <w:pPr>
              <w:rPr>
                <w:rFonts w:cs="Arial"/>
                <w:sz w:val="16"/>
                <w:szCs w:val="16"/>
              </w:rPr>
            </w:pPr>
            <w:r w:rsidRPr="003D16F3">
              <w:rPr>
                <w:rFonts w:cs="Arial"/>
                <w:sz w:val="16"/>
                <w:szCs w:val="16"/>
              </w:rPr>
              <w:t>Design templates</w:t>
            </w:r>
          </w:p>
          <w:p w14:paraId="056C31D6" w14:textId="77777777" w:rsidR="00E633A2" w:rsidRPr="003D16F3" w:rsidRDefault="00E633A2" w:rsidP="0041750D">
            <w:pPr>
              <w:rPr>
                <w:rFonts w:cs="Arial"/>
                <w:sz w:val="16"/>
                <w:szCs w:val="16"/>
              </w:rPr>
            </w:pPr>
          </w:p>
          <w:p w14:paraId="22C087CE" w14:textId="77777777" w:rsidR="00E633A2" w:rsidRPr="003D16F3" w:rsidRDefault="00E633A2" w:rsidP="0041750D">
            <w:pPr>
              <w:rPr>
                <w:rFonts w:cs="Arial"/>
                <w:sz w:val="16"/>
                <w:szCs w:val="16"/>
              </w:rPr>
            </w:pPr>
            <w:r w:rsidRPr="003D16F3">
              <w:rPr>
                <w:rFonts w:cs="Arial"/>
                <w:sz w:val="16"/>
                <w:szCs w:val="16"/>
              </w:rPr>
              <w:t>Exemplar legal forms</w:t>
            </w:r>
          </w:p>
          <w:p w14:paraId="4F26B1FE" w14:textId="77777777" w:rsidR="00E633A2" w:rsidRPr="003D16F3" w:rsidRDefault="00E633A2" w:rsidP="0041750D">
            <w:pPr>
              <w:rPr>
                <w:rFonts w:cs="Arial"/>
                <w:sz w:val="16"/>
                <w:szCs w:val="16"/>
              </w:rPr>
            </w:pPr>
          </w:p>
          <w:p w14:paraId="1A87340B" w14:textId="77777777" w:rsidR="00E633A2" w:rsidRPr="003D16F3" w:rsidRDefault="00E633A2" w:rsidP="0041750D">
            <w:pPr>
              <w:rPr>
                <w:rFonts w:cs="Arial"/>
                <w:sz w:val="16"/>
                <w:szCs w:val="16"/>
              </w:rPr>
            </w:pPr>
            <w:r w:rsidRPr="003D16F3">
              <w:rPr>
                <w:rFonts w:cs="Arial"/>
                <w:sz w:val="16"/>
                <w:szCs w:val="16"/>
              </w:rPr>
              <w:t>Exemplar financial models</w:t>
            </w:r>
          </w:p>
        </w:tc>
        <w:tc>
          <w:tcPr>
            <w:tcW w:w="1985" w:type="dxa"/>
          </w:tcPr>
          <w:p w14:paraId="78C917F3" w14:textId="063D8FCE" w:rsidR="00E633A2" w:rsidRPr="003D16F3" w:rsidRDefault="00E633A2" w:rsidP="0041750D">
            <w:pPr>
              <w:rPr>
                <w:rFonts w:cs="Arial"/>
                <w:sz w:val="16"/>
                <w:szCs w:val="16"/>
              </w:rPr>
            </w:pPr>
            <w:r w:rsidRPr="003D16F3">
              <w:rPr>
                <w:rFonts w:cs="Arial"/>
                <w:sz w:val="16"/>
                <w:szCs w:val="16"/>
              </w:rPr>
              <w:t>Build faith in the process (show its relative simplicity and formality)</w:t>
            </w:r>
          </w:p>
          <w:p w14:paraId="3EB896AD" w14:textId="77777777" w:rsidR="00E633A2" w:rsidRPr="003D16F3" w:rsidRDefault="00E633A2" w:rsidP="0041750D">
            <w:pPr>
              <w:rPr>
                <w:rFonts w:cs="Arial"/>
                <w:sz w:val="16"/>
                <w:szCs w:val="16"/>
              </w:rPr>
            </w:pPr>
          </w:p>
          <w:p w14:paraId="7AA2A2D3" w14:textId="634F020C" w:rsidR="00E633A2" w:rsidRPr="003D16F3" w:rsidRDefault="00E633A2" w:rsidP="0041750D">
            <w:pPr>
              <w:rPr>
                <w:rFonts w:cs="Arial"/>
                <w:sz w:val="16"/>
                <w:szCs w:val="16"/>
              </w:rPr>
            </w:pPr>
            <w:r w:rsidRPr="003D16F3">
              <w:rPr>
                <w:rFonts w:cs="Arial"/>
                <w:sz w:val="16"/>
                <w:szCs w:val="16"/>
              </w:rPr>
              <w:t>Show benefit (financial and otherwise)</w:t>
            </w:r>
          </w:p>
          <w:p w14:paraId="55A8B67E" w14:textId="75316B7D" w:rsidR="00E633A2" w:rsidRPr="003D16F3" w:rsidRDefault="00E633A2" w:rsidP="0041750D">
            <w:pPr>
              <w:rPr>
                <w:rFonts w:cs="Arial"/>
                <w:sz w:val="16"/>
                <w:szCs w:val="16"/>
              </w:rPr>
            </w:pPr>
          </w:p>
        </w:tc>
      </w:tr>
      <w:tr w:rsidR="003D16F3" w:rsidRPr="003D16F3" w14:paraId="3D0EFD08" w14:textId="77777777" w:rsidTr="003D16F3">
        <w:tc>
          <w:tcPr>
            <w:tcW w:w="1306" w:type="dxa"/>
          </w:tcPr>
          <w:p w14:paraId="47E88F30" w14:textId="0665A08E" w:rsidR="00E633A2" w:rsidRPr="003D16F3" w:rsidRDefault="003D16F3" w:rsidP="0041750D">
            <w:pPr>
              <w:rPr>
                <w:rFonts w:cs="Arial"/>
                <w:sz w:val="16"/>
                <w:szCs w:val="16"/>
              </w:rPr>
            </w:pPr>
            <w:r>
              <w:rPr>
                <w:rFonts w:cs="Arial"/>
                <w:sz w:val="16"/>
                <w:szCs w:val="16"/>
              </w:rPr>
              <w:t>Broader community</w:t>
            </w:r>
          </w:p>
        </w:tc>
        <w:tc>
          <w:tcPr>
            <w:tcW w:w="2040" w:type="dxa"/>
          </w:tcPr>
          <w:p w14:paraId="3FC9F057" w14:textId="77777777" w:rsidR="00E633A2" w:rsidRPr="003D16F3" w:rsidRDefault="00E633A2" w:rsidP="0041750D">
            <w:pPr>
              <w:rPr>
                <w:rFonts w:cs="Arial"/>
                <w:sz w:val="16"/>
                <w:szCs w:val="16"/>
              </w:rPr>
            </w:pPr>
            <w:r w:rsidRPr="003D16F3">
              <w:rPr>
                <w:rFonts w:cs="Arial"/>
                <w:sz w:val="16"/>
                <w:szCs w:val="16"/>
              </w:rPr>
              <w:t>Supportive of development</w:t>
            </w:r>
          </w:p>
        </w:tc>
        <w:tc>
          <w:tcPr>
            <w:tcW w:w="2073" w:type="dxa"/>
          </w:tcPr>
          <w:p w14:paraId="41161385" w14:textId="77777777" w:rsidR="00E633A2" w:rsidRPr="003D16F3" w:rsidRDefault="00E633A2" w:rsidP="0041750D">
            <w:pPr>
              <w:rPr>
                <w:rFonts w:cs="Arial"/>
                <w:sz w:val="16"/>
                <w:szCs w:val="16"/>
              </w:rPr>
            </w:pPr>
            <w:r w:rsidRPr="003D16F3">
              <w:rPr>
                <w:rFonts w:cs="Arial"/>
                <w:sz w:val="16"/>
                <w:szCs w:val="16"/>
              </w:rPr>
              <w:t>Social/environmental benefit</w:t>
            </w:r>
          </w:p>
        </w:tc>
        <w:tc>
          <w:tcPr>
            <w:tcW w:w="2514" w:type="dxa"/>
          </w:tcPr>
          <w:p w14:paraId="06F7ADF6" w14:textId="3FE15C51" w:rsidR="00E633A2" w:rsidRPr="003D16F3" w:rsidRDefault="00E633A2" w:rsidP="0041750D">
            <w:pPr>
              <w:rPr>
                <w:rFonts w:cs="Arial"/>
                <w:sz w:val="16"/>
                <w:szCs w:val="16"/>
              </w:rPr>
            </w:pPr>
            <w:r w:rsidRPr="003D16F3">
              <w:rPr>
                <w:rFonts w:cs="Arial"/>
                <w:sz w:val="16"/>
                <w:szCs w:val="16"/>
              </w:rPr>
              <w:t xml:space="preserve">New engagement techniques linked to new planning and development process. </w:t>
            </w:r>
          </w:p>
        </w:tc>
        <w:tc>
          <w:tcPr>
            <w:tcW w:w="1985" w:type="dxa"/>
          </w:tcPr>
          <w:p w14:paraId="66D96545" w14:textId="08421158" w:rsidR="00E633A2" w:rsidRPr="003D16F3" w:rsidRDefault="00E633A2" w:rsidP="0041750D">
            <w:pPr>
              <w:rPr>
                <w:rFonts w:cs="Arial"/>
                <w:sz w:val="16"/>
                <w:szCs w:val="16"/>
              </w:rPr>
            </w:pPr>
            <w:r w:rsidRPr="003D16F3">
              <w:rPr>
                <w:rFonts w:cs="Arial"/>
                <w:sz w:val="16"/>
                <w:szCs w:val="16"/>
              </w:rPr>
              <w:t>To show the community the potential for benefit</w:t>
            </w:r>
          </w:p>
        </w:tc>
      </w:tr>
      <w:tr w:rsidR="003D16F3" w:rsidRPr="003D16F3" w14:paraId="292AAC32" w14:textId="77777777" w:rsidTr="003D16F3">
        <w:tc>
          <w:tcPr>
            <w:tcW w:w="1306" w:type="dxa"/>
          </w:tcPr>
          <w:p w14:paraId="030DE424" w14:textId="77777777" w:rsidR="00E633A2" w:rsidRPr="003D16F3" w:rsidRDefault="00E633A2" w:rsidP="0041750D">
            <w:pPr>
              <w:rPr>
                <w:rFonts w:cs="Arial"/>
                <w:sz w:val="16"/>
                <w:szCs w:val="16"/>
              </w:rPr>
            </w:pPr>
            <w:r w:rsidRPr="003D16F3">
              <w:rPr>
                <w:rFonts w:cs="Arial"/>
                <w:sz w:val="16"/>
                <w:szCs w:val="16"/>
              </w:rPr>
              <w:t>Municipal government</w:t>
            </w:r>
          </w:p>
        </w:tc>
        <w:tc>
          <w:tcPr>
            <w:tcW w:w="2040" w:type="dxa"/>
          </w:tcPr>
          <w:p w14:paraId="46F5F073" w14:textId="77777777" w:rsidR="00E633A2" w:rsidRPr="003D16F3" w:rsidRDefault="00E633A2" w:rsidP="0041750D">
            <w:pPr>
              <w:rPr>
                <w:rFonts w:cs="Arial"/>
                <w:sz w:val="16"/>
                <w:szCs w:val="16"/>
              </w:rPr>
            </w:pPr>
            <w:r w:rsidRPr="003D16F3">
              <w:rPr>
                <w:rFonts w:cs="Arial"/>
                <w:sz w:val="16"/>
                <w:szCs w:val="16"/>
              </w:rPr>
              <w:t xml:space="preserve">New zones to allow development incentives, value capture and social/environmental good </w:t>
            </w:r>
          </w:p>
        </w:tc>
        <w:tc>
          <w:tcPr>
            <w:tcW w:w="2073" w:type="dxa"/>
          </w:tcPr>
          <w:p w14:paraId="64164E89" w14:textId="77777777" w:rsidR="00E633A2" w:rsidRPr="003D16F3" w:rsidRDefault="00E633A2" w:rsidP="0041750D">
            <w:pPr>
              <w:rPr>
                <w:rFonts w:cs="Arial"/>
                <w:sz w:val="16"/>
                <w:szCs w:val="16"/>
              </w:rPr>
            </w:pPr>
            <w:r w:rsidRPr="003D16F3">
              <w:rPr>
                <w:rFonts w:cs="Arial"/>
                <w:sz w:val="16"/>
                <w:szCs w:val="16"/>
              </w:rPr>
              <w:t>Reach policy objectives</w:t>
            </w:r>
          </w:p>
          <w:p w14:paraId="46CFB7AF" w14:textId="77777777" w:rsidR="00E633A2" w:rsidRPr="003D16F3" w:rsidRDefault="00E633A2" w:rsidP="0041750D">
            <w:pPr>
              <w:rPr>
                <w:rFonts w:cs="Arial"/>
                <w:sz w:val="16"/>
                <w:szCs w:val="16"/>
              </w:rPr>
            </w:pPr>
          </w:p>
          <w:p w14:paraId="29C68D37" w14:textId="77777777" w:rsidR="00E633A2" w:rsidRPr="003D16F3" w:rsidRDefault="00E633A2" w:rsidP="0041750D">
            <w:pPr>
              <w:rPr>
                <w:rFonts w:cs="Arial"/>
                <w:sz w:val="16"/>
                <w:szCs w:val="16"/>
              </w:rPr>
            </w:pPr>
            <w:r w:rsidRPr="003D16F3">
              <w:rPr>
                <w:rFonts w:cs="Arial"/>
                <w:sz w:val="16"/>
                <w:szCs w:val="16"/>
              </w:rPr>
              <w:t>Potentially save on municipal purse</w:t>
            </w:r>
          </w:p>
        </w:tc>
        <w:tc>
          <w:tcPr>
            <w:tcW w:w="2514" w:type="dxa"/>
          </w:tcPr>
          <w:p w14:paraId="41244C40" w14:textId="65B9C228" w:rsidR="00E633A2" w:rsidRPr="003D16F3" w:rsidRDefault="00E633A2" w:rsidP="0041750D">
            <w:pPr>
              <w:rPr>
                <w:rFonts w:cs="Arial"/>
                <w:sz w:val="16"/>
                <w:szCs w:val="16"/>
              </w:rPr>
            </w:pPr>
            <w:r w:rsidRPr="003D16F3">
              <w:rPr>
                <w:rFonts w:cs="Arial"/>
                <w:sz w:val="16"/>
                <w:szCs w:val="16"/>
              </w:rPr>
              <w:t>Proof of concept</w:t>
            </w:r>
            <w:r w:rsidR="005E3336" w:rsidRPr="003D16F3">
              <w:rPr>
                <w:rFonts w:cs="Arial"/>
                <w:sz w:val="16"/>
                <w:szCs w:val="16"/>
              </w:rPr>
              <w:t xml:space="preserve"> (due diligence)</w:t>
            </w:r>
          </w:p>
          <w:p w14:paraId="288E01DA" w14:textId="77777777" w:rsidR="00E633A2" w:rsidRPr="003D16F3" w:rsidRDefault="00E633A2" w:rsidP="0041750D">
            <w:pPr>
              <w:rPr>
                <w:rFonts w:cs="Arial"/>
                <w:sz w:val="16"/>
                <w:szCs w:val="16"/>
              </w:rPr>
            </w:pPr>
          </w:p>
          <w:p w14:paraId="6AE9D06D" w14:textId="1604FDFC" w:rsidR="00E633A2" w:rsidRPr="003D16F3" w:rsidRDefault="00E633A2" w:rsidP="0041750D">
            <w:pPr>
              <w:rPr>
                <w:rFonts w:cs="Arial"/>
                <w:sz w:val="16"/>
                <w:szCs w:val="16"/>
              </w:rPr>
            </w:pPr>
            <w:r w:rsidRPr="003D16F3">
              <w:rPr>
                <w:rFonts w:cs="Arial"/>
                <w:sz w:val="16"/>
                <w:szCs w:val="16"/>
              </w:rPr>
              <w:t>Political will (and de-risking)</w:t>
            </w:r>
            <w:r w:rsidR="005E3336" w:rsidRPr="003D16F3">
              <w:rPr>
                <w:rFonts w:cs="Arial"/>
                <w:sz w:val="16"/>
                <w:szCs w:val="16"/>
              </w:rPr>
              <w:t xml:space="preserve"> to push to council.</w:t>
            </w:r>
          </w:p>
          <w:p w14:paraId="26EDC356" w14:textId="77777777" w:rsidR="00E633A2" w:rsidRPr="003D16F3" w:rsidRDefault="00E633A2" w:rsidP="0041750D">
            <w:pPr>
              <w:rPr>
                <w:rFonts w:cs="Arial"/>
                <w:sz w:val="16"/>
                <w:szCs w:val="16"/>
              </w:rPr>
            </w:pPr>
          </w:p>
          <w:p w14:paraId="0A6B76B7" w14:textId="77777777" w:rsidR="00E633A2" w:rsidRPr="003D16F3" w:rsidRDefault="00E633A2" w:rsidP="0041750D">
            <w:pPr>
              <w:rPr>
                <w:rFonts w:cs="Arial"/>
                <w:sz w:val="16"/>
                <w:szCs w:val="16"/>
              </w:rPr>
            </w:pPr>
            <w:r w:rsidRPr="003D16F3">
              <w:rPr>
                <w:rFonts w:cs="Arial"/>
                <w:sz w:val="16"/>
                <w:szCs w:val="16"/>
              </w:rPr>
              <w:t>Adequate design, planning, and engagement staff</w:t>
            </w:r>
          </w:p>
          <w:p w14:paraId="57B5EDFF" w14:textId="77777777" w:rsidR="00E633A2" w:rsidRPr="003D16F3" w:rsidRDefault="00E633A2" w:rsidP="0041750D">
            <w:pPr>
              <w:rPr>
                <w:rFonts w:cs="Arial"/>
                <w:sz w:val="16"/>
                <w:szCs w:val="16"/>
              </w:rPr>
            </w:pPr>
          </w:p>
          <w:p w14:paraId="79782D38" w14:textId="451F3D97" w:rsidR="00E633A2" w:rsidRPr="003D16F3" w:rsidRDefault="005E3336" w:rsidP="0041750D">
            <w:pPr>
              <w:rPr>
                <w:rFonts w:cs="Arial"/>
                <w:sz w:val="16"/>
                <w:szCs w:val="16"/>
              </w:rPr>
            </w:pPr>
            <w:r w:rsidRPr="003D16F3">
              <w:rPr>
                <w:rFonts w:cs="Arial"/>
                <w:sz w:val="16"/>
                <w:szCs w:val="16"/>
              </w:rPr>
              <w:t>Public statement of support (local policy)</w:t>
            </w:r>
          </w:p>
        </w:tc>
        <w:tc>
          <w:tcPr>
            <w:tcW w:w="1985" w:type="dxa"/>
          </w:tcPr>
          <w:p w14:paraId="79308C47" w14:textId="00AA1563" w:rsidR="00E633A2" w:rsidRPr="003D16F3" w:rsidRDefault="00E633A2" w:rsidP="0041750D">
            <w:pPr>
              <w:rPr>
                <w:rFonts w:cs="Arial"/>
                <w:sz w:val="16"/>
                <w:szCs w:val="16"/>
              </w:rPr>
            </w:pPr>
            <w:r w:rsidRPr="003D16F3">
              <w:rPr>
                <w:rFonts w:cs="Arial"/>
                <w:sz w:val="16"/>
                <w:szCs w:val="16"/>
              </w:rPr>
              <w:t>Implement local policy (sustainability and housing)</w:t>
            </w:r>
          </w:p>
          <w:p w14:paraId="2E5CF9C2" w14:textId="77777777" w:rsidR="00E633A2" w:rsidRPr="003D16F3" w:rsidRDefault="00E633A2" w:rsidP="0041750D">
            <w:pPr>
              <w:rPr>
                <w:rFonts w:cs="Arial"/>
                <w:sz w:val="16"/>
                <w:szCs w:val="16"/>
              </w:rPr>
            </w:pPr>
          </w:p>
          <w:p w14:paraId="43286666" w14:textId="46160C07" w:rsidR="00E633A2" w:rsidRPr="003D16F3" w:rsidRDefault="00E633A2" w:rsidP="0041750D">
            <w:pPr>
              <w:rPr>
                <w:rFonts w:cs="Arial"/>
                <w:sz w:val="16"/>
                <w:szCs w:val="16"/>
              </w:rPr>
            </w:pPr>
            <w:r w:rsidRPr="003D16F3">
              <w:rPr>
                <w:rFonts w:cs="Arial"/>
                <w:sz w:val="16"/>
                <w:szCs w:val="16"/>
              </w:rPr>
              <w:t>Implement state policy (more infill)</w:t>
            </w:r>
          </w:p>
          <w:p w14:paraId="56D84F1E" w14:textId="4360254A" w:rsidR="00E633A2" w:rsidRPr="003D16F3" w:rsidRDefault="00E633A2" w:rsidP="0041750D">
            <w:pPr>
              <w:rPr>
                <w:rFonts w:cs="Arial"/>
                <w:sz w:val="16"/>
                <w:szCs w:val="16"/>
              </w:rPr>
            </w:pPr>
          </w:p>
          <w:p w14:paraId="5A83573B" w14:textId="4001D042" w:rsidR="00E633A2" w:rsidRPr="003D16F3" w:rsidRDefault="00E633A2" w:rsidP="0041750D">
            <w:pPr>
              <w:rPr>
                <w:rFonts w:cs="Arial"/>
                <w:sz w:val="16"/>
                <w:szCs w:val="16"/>
              </w:rPr>
            </w:pPr>
            <w:r w:rsidRPr="003D16F3">
              <w:rPr>
                <w:rFonts w:cs="Arial"/>
                <w:sz w:val="16"/>
                <w:szCs w:val="16"/>
              </w:rPr>
              <w:t xml:space="preserve">Satisfy community concern. </w:t>
            </w:r>
          </w:p>
          <w:p w14:paraId="1DA6F370" w14:textId="77777777" w:rsidR="00E633A2" w:rsidRPr="003D16F3" w:rsidRDefault="00E633A2" w:rsidP="0041750D">
            <w:pPr>
              <w:rPr>
                <w:rFonts w:cs="Arial"/>
                <w:sz w:val="16"/>
                <w:szCs w:val="16"/>
              </w:rPr>
            </w:pPr>
          </w:p>
          <w:p w14:paraId="55A80091" w14:textId="21915CDD" w:rsidR="00E633A2" w:rsidRPr="003D16F3" w:rsidRDefault="00E633A2" w:rsidP="0041750D">
            <w:pPr>
              <w:rPr>
                <w:rFonts w:cs="Arial"/>
                <w:sz w:val="16"/>
                <w:szCs w:val="16"/>
              </w:rPr>
            </w:pPr>
            <w:r w:rsidRPr="003D16F3">
              <w:rPr>
                <w:rFonts w:cs="Arial"/>
                <w:sz w:val="16"/>
                <w:szCs w:val="16"/>
              </w:rPr>
              <w:t>Save municipal purse</w:t>
            </w:r>
          </w:p>
        </w:tc>
      </w:tr>
      <w:tr w:rsidR="003D16F3" w:rsidRPr="003D16F3" w14:paraId="75A7BC21" w14:textId="77777777" w:rsidTr="003D16F3">
        <w:tc>
          <w:tcPr>
            <w:tcW w:w="1306" w:type="dxa"/>
          </w:tcPr>
          <w:p w14:paraId="5F26415C" w14:textId="77777777" w:rsidR="00270B73" w:rsidRPr="003D16F3" w:rsidRDefault="00270B73" w:rsidP="0041750D">
            <w:pPr>
              <w:rPr>
                <w:rFonts w:cs="Arial"/>
                <w:sz w:val="16"/>
                <w:szCs w:val="16"/>
              </w:rPr>
            </w:pPr>
            <w:r w:rsidRPr="003D16F3">
              <w:rPr>
                <w:rFonts w:cs="Arial"/>
                <w:sz w:val="16"/>
                <w:szCs w:val="16"/>
              </w:rPr>
              <w:t>State government</w:t>
            </w:r>
          </w:p>
        </w:tc>
        <w:tc>
          <w:tcPr>
            <w:tcW w:w="2040" w:type="dxa"/>
          </w:tcPr>
          <w:p w14:paraId="59A65132" w14:textId="77777777" w:rsidR="00270B73" w:rsidRPr="003D16F3" w:rsidRDefault="00270B73" w:rsidP="0041750D">
            <w:pPr>
              <w:rPr>
                <w:rFonts w:cs="Arial"/>
                <w:sz w:val="16"/>
                <w:szCs w:val="16"/>
              </w:rPr>
            </w:pPr>
            <w:r w:rsidRPr="003D16F3">
              <w:rPr>
                <w:rFonts w:cs="Arial"/>
                <w:sz w:val="16"/>
                <w:szCs w:val="16"/>
              </w:rPr>
              <w:t xml:space="preserve">New scalable processes for precinct scale residential infill </w:t>
            </w:r>
          </w:p>
        </w:tc>
        <w:tc>
          <w:tcPr>
            <w:tcW w:w="2073" w:type="dxa"/>
          </w:tcPr>
          <w:p w14:paraId="5C85BEC8" w14:textId="77777777" w:rsidR="00270B73" w:rsidRPr="003D16F3" w:rsidRDefault="00270B73" w:rsidP="0041750D">
            <w:pPr>
              <w:rPr>
                <w:rFonts w:cs="Arial"/>
                <w:sz w:val="16"/>
                <w:szCs w:val="16"/>
              </w:rPr>
            </w:pPr>
            <w:r w:rsidRPr="003D16F3">
              <w:rPr>
                <w:rFonts w:cs="Arial"/>
                <w:sz w:val="16"/>
                <w:szCs w:val="16"/>
              </w:rPr>
              <w:t>Promote sustainable communities and reach infill targets.</w:t>
            </w:r>
          </w:p>
        </w:tc>
        <w:tc>
          <w:tcPr>
            <w:tcW w:w="2514" w:type="dxa"/>
          </w:tcPr>
          <w:p w14:paraId="11F4F3C6" w14:textId="77777777" w:rsidR="00270B73" w:rsidRPr="003D16F3" w:rsidRDefault="00270B73" w:rsidP="0041750D">
            <w:pPr>
              <w:rPr>
                <w:rFonts w:cs="Arial"/>
                <w:sz w:val="16"/>
                <w:szCs w:val="16"/>
              </w:rPr>
            </w:pPr>
            <w:r w:rsidRPr="003D16F3">
              <w:rPr>
                <w:rFonts w:cs="Arial"/>
                <w:sz w:val="16"/>
                <w:szCs w:val="16"/>
              </w:rPr>
              <w:t>Proof of concept (due diligence)</w:t>
            </w:r>
          </w:p>
          <w:p w14:paraId="7D38A2BB" w14:textId="77777777" w:rsidR="00270B73" w:rsidRPr="003D16F3" w:rsidRDefault="00270B73" w:rsidP="0041750D">
            <w:pPr>
              <w:rPr>
                <w:rFonts w:cs="Arial"/>
                <w:sz w:val="16"/>
                <w:szCs w:val="16"/>
              </w:rPr>
            </w:pPr>
          </w:p>
          <w:p w14:paraId="00C7DBCB" w14:textId="77777777" w:rsidR="00270B73" w:rsidRPr="003D16F3" w:rsidRDefault="00270B73" w:rsidP="0041750D">
            <w:pPr>
              <w:rPr>
                <w:rFonts w:cs="Arial"/>
                <w:sz w:val="16"/>
                <w:szCs w:val="16"/>
              </w:rPr>
            </w:pPr>
            <w:r w:rsidRPr="003D16F3">
              <w:rPr>
                <w:rFonts w:cs="Arial"/>
                <w:sz w:val="16"/>
                <w:szCs w:val="16"/>
              </w:rPr>
              <w:t>Political de-risking</w:t>
            </w:r>
          </w:p>
          <w:p w14:paraId="0E47B7F7" w14:textId="77777777" w:rsidR="00270B73" w:rsidRPr="003D16F3" w:rsidRDefault="00270B73" w:rsidP="0041750D">
            <w:pPr>
              <w:rPr>
                <w:rFonts w:cs="Arial"/>
                <w:sz w:val="16"/>
                <w:szCs w:val="16"/>
              </w:rPr>
            </w:pPr>
          </w:p>
          <w:p w14:paraId="70694191" w14:textId="77777777" w:rsidR="00270B73" w:rsidRPr="003D16F3" w:rsidRDefault="00270B73" w:rsidP="0041750D">
            <w:pPr>
              <w:rPr>
                <w:rFonts w:cs="Arial"/>
                <w:sz w:val="16"/>
                <w:szCs w:val="16"/>
              </w:rPr>
            </w:pPr>
            <w:r w:rsidRPr="003D16F3">
              <w:rPr>
                <w:rFonts w:cs="Arial"/>
                <w:sz w:val="16"/>
                <w:szCs w:val="16"/>
              </w:rPr>
              <w:t>Municipal support</w:t>
            </w:r>
          </w:p>
          <w:p w14:paraId="11053DEB" w14:textId="77777777" w:rsidR="00270B73" w:rsidRPr="003D16F3" w:rsidRDefault="00270B73" w:rsidP="0041750D">
            <w:pPr>
              <w:rPr>
                <w:rFonts w:cs="Arial"/>
                <w:sz w:val="16"/>
                <w:szCs w:val="16"/>
              </w:rPr>
            </w:pPr>
          </w:p>
        </w:tc>
        <w:tc>
          <w:tcPr>
            <w:tcW w:w="1985" w:type="dxa"/>
          </w:tcPr>
          <w:p w14:paraId="11252156" w14:textId="77777777" w:rsidR="00270B73" w:rsidRPr="003D16F3" w:rsidRDefault="00270B73" w:rsidP="0041750D">
            <w:pPr>
              <w:rPr>
                <w:rFonts w:cs="Arial"/>
                <w:sz w:val="16"/>
                <w:szCs w:val="16"/>
              </w:rPr>
            </w:pPr>
            <w:r w:rsidRPr="003D16F3">
              <w:rPr>
                <w:rFonts w:cs="Arial"/>
                <w:sz w:val="16"/>
                <w:szCs w:val="16"/>
              </w:rPr>
              <w:t>Implement state policy (more infill)</w:t>
            </w:r>
          </w:p>
          <w:p w14:paraId="587CA639" w14:textId="77777777" w:rsidR="00270B73" w:rsidRPr="003D16F3" w:rsidRDefault="00270B73" w:rsidP="0041750D">
            <w:pPr>
              <w:rPr>
                <w:rFonts w:cs="Arial"/>
                <w:sz w:val="16"/>
                <w:szCs w:val="16"/>
              </w:rPr>
            </w:pPr>
          </w:p>
          <w:p w14:paraId="4101CB93" w14:textId="77777777" w:rsidR="00270B73" w:rsidRPr="003D16F3" w:rsidRDefault="00270B73" w:rsidP="0041750D">
            <w:pPr>
              <w:rPr>
                <w:rFonts w:cs="Arial"/>
                <w:sz w:val="16"/>
                <w:szCs w:val="16"/>
              </w:rPr>
            </w:pPr>
            <w:r w:rsidRPr="003D16F3">
              <w:rPr>
                <w:rFonts w:cs="Arial"/>
                <w:sz w:val="16"/>
                <w:szCs w:val="16"/>
              </w:rPr>
              <w:t>Support municipal planners.</w:t>
            </w:r>
          </w:p>
          <w:p w14:paraId="7CEB8B55" w14:textId="77777777" w:rsidR="00270B73" w:rsidRPr="003D16F3" w:rsidRDefault="00270B73" w:rsidP="0041750D">
            <w:pPr>
              <w:rPr>
                <w:rFonts w:cs="Arial"/>
                <w:sz w:val="16"/>
                <w:szCs w:val="16"/>
              </w:rPr>
            </w:pPr>
          </w:p>
          <w:p w14:paraId="734D4046" w14:textId="77777777" w:rsidR="00270B73" w:rsidRPr="003D16F3" w:rsidRDefault="00270B73" w:rsidP="0041750D">
            <w:pPr>
              <w:rPr>
                <w:rFonts w:cs="Arial"/>
                <w:sz w:val="16"/>
                <w:szCs w:val="16"/>
              </w:rPr>
            </w:pPr>
            <w:r w:rsidRPr="003D16F3">
              <w:rPr>
                <w:rFonts w:cs="Arial"/>
                <w:sz w:val="16"/>
                <w:szCs w:val="16"/>
              </w:rPr>
              <w:t>Gain a political win if successful</w:t>
            </w:r>
          </w:p>
        </w:tc>
      </w:tr>
      <w:tr w:rsidR="003D16F3" w:rsidRPr="003D16F3" w14:paraId="466EFF87" w14:textId="77777777" w:rsidTr="003D16F3">
        <w:tc>
          <w:tcPr>
            <w:tcW w:w="1306" w:type="dxa"/>
          </w:tcPr>
          <w:p w14:paraId="651CB4C2" w14:textId="02C57187" w:rsidR="00E633A2" w:rsidRPr="003D16F3" w:rsidRDefault="00270B73" w:rsidP="0041750D">
            <w:pPr>
              <w:rPr>
                <w:rFonts w:cs="Arial"/>
                <w:sz w:val="16"/>
                <w:szCs w:val="16"/>
              </w:rPr>
            </w:pPr>
            <w:r w:rsidRPr="003D16F3">
              <w:rPr>
                <w:rFonts w:cs="Arial"/>
                <w:sz w:val="16"/>
                <w:szCs w:val="16"/>
              </w:rPr>
              <w:t>Housing industry</w:t>
            </w:r>
          </w:p>
        </w:tc>
        <w:tc>
          <w:tcPr>
            <w:tcW w:w="2040" w:type="dxa"/>
          </w:tcPr>
          <w:p w14:paraId="194F51F7" w14:textId="1F3CD256" w:rsidR="00E633A2" w:rsidRPr="003D16F3" w:rsidRDefault="00270B73" w:rsidP="0041750D">
            <w:pPr>
              <w:rPr>
                <w:rFonts w:cs="Arial"/>
                <w:sz w:val="16"/>
                <w:szCs w:val="16"/>
              </w:rPr>
            </w:pPr>
            <w:r w:rsidRPr="003D16F3">
              <w:rPr>
                <w:rFonts w:cs="Arial"/>
                <w:sz w:val="16"/>
                <w:szCs w:val="16"/>
              </w:rPr>
              <w:t>Acceptance of new regulations</w:t>
            </w:r>
            <w:r w:rsidR="00E633A2" w:rsidRPr="003D16F3">
              <w:rPr>
                <w:rFonts w:cs="Arial"/>
                <w:sz w:val="16"/>
                <w:szCs w:val="16"/>
              </w:rPr>
              <w:t xml:space="preserve"> </w:t>
            </w:r>
          </w:p>
        </w:tc>
        <w:tc>
          <w:tcPr>
            <w:tcW w:w="2073" w:type="dxa"/>
          </w:tcPr>
          <w:p w14:paraId="13084241" w14:textId="71844319" w:rsidR="00E633A2" w:rsidRPr="003D16F3" w:rsidRDefault="00270B73" w:rsidP="0041750D">
            <w:pPr>
              <w:rPr>
                <w:rFonts w:cs="Arial"/>
                <w:sz w:val="16"/>
                <w:szCs w:val="16"/>
              </w:rPr>
            </w:pPr>
            <w:r w:rsidRPr="003D16F3">
              <w:rPr>
                <w:rFonts w:cs="Arial"/>
                <w:sz w:val="16"/>
                <w:szCs w:val="16"/>
              </w:rPr>
              <w:t>Access to larger yields</w:t>
            </w:r>
          </w:p>
        </w:tc>
        <w:tc>
          <w:tcPr>
            <w:tcW w:w="2514" w:type="dxa"/>
          </w:tcPr>
          <w:p w14:paraId="3EE28311" w14:textId="53B1E6E8" w:rsidR="00E633A2" w:rsidRPr="003D16F3" w:rsidRDefault="00E633A2" w:rsidP="0041750D">
            <w:pPr>
              <w:rPr>
                <w:rFonts w:cs="Arial"/>
                <w:sz w:val="16"/>
                <w:szCs w:val="16"/>
              </w:rPr>
            </w:pPr>
            <w:r w:rsidRPr="003D16F3">
              <w:rPr>
                <w:rFonts w:cs="Arial"/>
                <w:sz w:val="16"/>
                <w:szCs w:val="16"/>
              </w:rPr>
              <w:t>Proof of concept</w:t>
            </w:r>
            <w:r w:rsidR="005E3336" w:rsidRPr="003D16F3">
              <w:rPr>
                <w:rFonts w:cs="Arial"/>
                <w:sz w:val="16"/>
                <w:szCs w:val="16"/>
              </w:rPr>
              <w:t xml:space="preserve"> (due diligence)</w:t>
            </w:r>
          </w:p>
          <w:p w14:paraId="12CAF9A5" w14:textId="77777777" w:rsidR="00E633A2" w:rsidRPr="003D16F3" w:rsidRDefault="00E633A2" w:rsidP="0041750D">
            <w:pPr>
              <w:rPr>
                <w:rFonts w:cs="Arial"/>
                <w:sz w:val="16"/>
                <w:szCs w:val="16"/>
              </w:rPr>
            </w:pPr>
          </w:p>
          <w:p w14:paraId="7C139F6E" w14:textId="77777777" w:rsidR="00E633A2" w:rsidRPr="003D16F3" w:rsidRDefault="00E633A2" w:rsidP="0041750D">
            <w:pPr>
              <w:rPr>
                <w:rFonts w:cs="Arial"/>
                <w:sz w:val="16"/>
                <w:szCs w:val="16"/>
              </w:rPr>
            </w:pPr>
          </w:p>
        </w:tc>
        <w:tc>
          <w:tcPr>
            <w:tcW w:w="1985" w:type="dxa"/>
          </w:tcPr>
          <w:p w14:paraId="3C87F280" w14:textId="4009576B" w:rsidR="00E633A2" w:rsidRPr="003D16F3" w:rsidRDefault="00270B73" w:rsidP="0041750D">
            <w:pPr>
              <w:rPr>
                <w:rFonts w:cs="Arial"/>
                <w:sz w:val="16"/>
                <w:szCs w:val="16"/>
              </w:rPr>
            </w:pPr>
            <w:r w:rsidRPr="003D16F3">
              <w:rPr>
                <w:rFonts w:cs="Arial"/>
                <w:sz w:val="16"/>
                <w:szCs w:val="16"/>
              </w:rPr>
              <w:t>De-risked multi-lit redevelopment with costed requirements and development concessions.</w:t>
            </w:r>
          </w:p>
        </w:tc>
      </w:tr>
    </w:tbl>
    <w:p w14:paraId="72344502" w14:textId="77777777" w:rsidR="003D16F3" w:rsidRDefault="003D16F3" w:rsidP="0041750D">
      <w:pPr>
        <w:rPr>
          <w:rFonts w:cs="Arial"/>
          <w:b/>
          <w:i/>
          <w:szCs w:val="20"/>
        </w:rPr>
      </w:pPr>
    </w:p>
    <w:p w14:paraId="254702C9" w14:textId="20DA4FCE" w:rsidR="00F25843" w:rsidRPr="00314DDB" w:rsidRDefault="003D16F3" w:rsidP="0041750D">
      <w:pPr>
        <w:rPr>
          <w:rFonts w:cs="Arial"/>
          <w:b/>
          <w:i/>
          <w:szCs w:val="20"/>
        </w:rPr>
      </w:pPr>
      <w:r>
        <w:rPr>
          <w:rFonts w:cs="Arial"/>
          <w:b/>
          <w:i/>
          <w:szCs w:val="20"/>
        </w:rPr>
        <w:t xml:space="preserve">4.1 </w:t>
      </w:r>
      <w:r w:rsidR="00F25843" w:rsidRPr="00314DDB">
        <w:rPr>
          <w:rFonts w:cs="Arial"/>
          <w:b/>
          <w:i/>
          <w:szCs w:val="20"/>
        </w:rPr>
        <w:t>Property owners</w:t>
      </w:r>
    </w:p>
    <w:p w14:paraId="304299AF" w14:textId="2C32638B" w:rsidR="00F25843" w:rsidRPr="00314DDB" w:rsidRDefault="00F25843" w:rsidP="0041750D">
      <w:pPr>
        <w:rPr>
          <w:rFonts w:cs="Arial"/>
          <w:szCs w:val="20"/>
        </w:rPr>
      </w:pPr>
      <w:r w:rsidRPr="00314DDB">
        <w:rPr>
          <w:rFonts w:cs="Arial"/>
          <w:szCs w:val="20"/>
        </w:rPr>
        <w:t>The aim of the project is to make precinct scale regeneration a normative process for landowners considering their redevelopment options</w:t>
      </w:r>
      <w:r w:rsidR="00882B6B" w:rsidRPr="00314DDB">
        <w:rPr>
          <w:rFonts w:cs="Arial"/>
          <w:szCs w:val="20"/>
        </w:rPr>
        <w:t xml:space="preserve">, with the </w:t>
      </w:r>
      <w:r w:rsidR="00270B73" w:rsidRPr="00314DDB">
        <w:rPr>
          <w:rFonts w:cs="Arial"/>
          <w:szCs w:val="20"/>
        </w:rPr>
        <w:t>incentive being that it</w:t>
      </w:r>
      <w:r w:rsidR="00882B6B" w:rsidRPr="00314DDB">
        <w:rPr>
          <w:rFonts w:cs="Arial"/>
          <w:szCs w:val="20"/>
        </w:rPr>
        <w:t xml:space="preserve"> is more financially beneficial</w:t>
      </w:r>
      <w:r w:rsidR="00270B73" w:rsidRPr="00314DDB">
        <w:rPr>
          <w:rFonts w:cs="Arial"/>
          <w:szCs w:val="20"/>
        </w:rPr>
        <w:t xml:space="preserve"> than single lot redevelopment</w:t>
      </w:r>
      <w:r w:rsidRPr="00314DDB">
        <w:rPr>
          <w:rFonts w:cs="Arial"/>
          <w:szCs w:val="20"/>
        </w:rPr>
        <w:t>. Given that formal collaboration and project management would be required, the additional costs and complexities of this process</w:t>
      </w:r>
      <w:r w:rsidR="00210247" w:rsidRPr="00314DDB">
        <w:rPr>
          <w:rFonts w:cs="Arial"/>
          <w:szCs w:val="20"/>
        </w:rPr>
        <w:t xml:space="preserve"> should </w:t>
      </w:r>
      <w:r w:rsidR="008F6978">
        <w:rPr>
          <w:rFonts w:cs="Arial"/>
          <w:szCs w:val="20"/>
        </w:rPr>
        <w:t xml:space="preserve">be </w:t>
      </w:r>
      <w:r w:rsidR="00210247" w:rsidRPr="00314DDB">
        <w:rPr>
          <w:rFonts w:cs="Arial"/>
          <w:szCs w:val="20"/>
        </w:rPr>
        <w:t>outweighed</w:t>
      </w:r>
      <w:r w:rsidRPr="00314DDB">
        <w:rPr>
          <w:rFonts w:cs="Arial"/>
          <w:szCs w:val="20"/>
        </w:rPr>
        <w:t xml:space="preserve"> by the benefits of the process. Similarly, to counter the complexities of the process</w:t>
      </w:r>
      <w:r w:rsidR="00FF0D54" w:rsidRPr="00314DDB">
        <w:rPr>
          <w:rFonts w:cs="Arial"/>
          <w:szCs w:val="20"/>
        </w:rPr>
        <w:t>,</w:t>
      </w:r>
      <w:r w:rsidRPr="00314DDB">
        <w:rPr>
          <w:rFonts w:cs="Arial"/>
          <w:szCs w:val="20"/>
        </w:rPr>
        <w:t xml:space="preserve"> a predefined development pathway and narrative must exist that will serve to make precinct scale regeneration less onerous to landowners. As such</w:t>
      </w:r>
      <w:r w:rsidR="00270B73" w:rsidRPr="00314DDB">
        <w:rPr>
          <w:rFonts w:cs="Arial"/>
          <w:szCs w:val="20"/>
        </w:rPr>
        <w:t>,</w:t>
      </w:r>
      <w:r w:rsidRPr="00314DDB">
        <w:rPr>
          <w:rFonts w:cs="Arial"/>
          <w:szCs w:val="20"/>
        </w:rPr>
        <w:t xml:space="preserve"> the following are required before </w:t>
      </w:r>
      <w:proofErr w:type="gramStart"/>
      <w:r w:rsidRPr="00314DDB">
        <w:rPr>
          <w:rFonts w:cs="Arial"/>
          <w:szCs w:val="20"/>
        </w:rPr>
        <w:t>the process will be seriousl</w:t>
      </w:r>
      <w:r w:rsidR="003D16F3">
        <w:rPr>
          <w:rFonts w:cs="Arial"/>
          <w:szCs w:val="20"/>
        </w:rPr>
        <w:t>y considered by property owners</w:t>
      </w:r>
      <w:proofErr w:type="gramEnd"/>
      <w:r w:rsidR="003D16F3">
        <w:rPr>
          <w:rFonts w:cs="Arial"/>
          <w:szCs w:val="20"/>
        </w:rPr>
        <w:t>.</w:t>
      </w:r>
    </w:p>
    <w:p w14:paraId="060E9F0D" w14:textId="77777777" w:rsidR="00F25843" w:rsidRPr="00314DDB" w:rsidRDefault="00F25843" w:rsidP="0041750D">
      <w:pPr>
        <w:rPr>
          <w:rFonts w:cs="Arial"/>
          <w:szCs w:val="20"/>
        </w:rPr>
      </w:pPr>
    </w:p>
    <w:p w14:paraId="79F86C58" w14:textId="071AEBA3" w:rsidR="00F25843" w:rsidRPr="003D16F3" w:rsidRDefault="00F25843" w:rsidP="0041750D">
      <w:pPr>
        <w:pStyle w:val="ListParagraph"/>
        <w:numPr>
          <w:ilvl w:val="0"/>
          <w:numId w:val="12"/>
        </w:numPr>
        <w:rPr>
          <w:rFonts w:cs="Arial"/>
          <w:szCs w:val="20"/>
        </w:rPr>
      </w:pPr>
      <w:r w:rsidRPr="003D16F3">
        <w:rPr>
          <w:rFonts w:cs="Arial"/>
          <w:szCs w:val="20"/>
        </w:rPr>
        <w:t xml:space="preserve">A definitive </w:t>
      </w:r>
      <w:r w:rsidR="00785B28" w:rsidRPr="003D16F3">
        <w:rPr>
          <w:rFonts w:cs="Arial"/>
          <w:szCs w:val="20"/>
        </w:rPr>
        <w:t>planning process</w:t>
      </w:r>
      <w:r w:rsidR="00FF0D54" w:rsidRPr="003D16F3">
        <w:rPr>
          <w:rFonts w:cs="Arial"/>
          <w:szCs w:val="20"/>
        </w:rPr>
        <w:t>: In order to</w:t>
      </w:r>
      <w:r w:rsidR="00611EE8" w:rsidRPr="003D16F3">
        <w:rPr>
          <w:rFonts w:cs="Arial"/>
          <w:szCs w:val="20"/>
        </w:rPr>
        <w:t xml:space="preserve"> instigate precinct scale regeneration as a normative redevelopment option there must firstly be a formal planning process that guides the applicants through the legislative, financial and design schemes. It will be responsibility of the municipal government to generate this process, which will constitute the results from all points below.    </w:t>
      </w:r>
    </w:p>
    <w:p w14:paraId="4A6155C4" w14:textId="0A58225A" w:rsidR="00785B28" w:rsidRPr="003D16F3" w:rsidRDefault="00FF0D54" w:rsidP="0041750D">
      <w:pPr>
        <w:pStyle w:val="ListParagraph"/>
        <w:numPr>
          <w:ilvl w:val="0"/>
          <w:numId w:val="12"/>
        </w:numPr>
        <w:rPr>
          <w:rFonts w:cs="Arial"/>
          <w:szCs w:val="20"/>
        </w:rPr>
      </w:pPr>
      <w:r w:rsidRPr="003D16F3">
        <w:rPr>
          <w:rFonts w:cs="Arial"/>
          <w:szCs w:val="20"/>
        </w:rPr>
        <w:t>Legal and incorporation t</w:t>
      </w:r>
      <w:r w:rsidR="00785B28" w:rsidRPr="003D16F3">
        <w:rPr>
          <w:rFonts w:cs="Arial"/>
          <w:szCs w:val="20"/>
        </w:rPr>
        <w:t>emplates</w:t>
      </w:r>
      <w:r w:rsidRPr="003D16F3">
        <w:rPr>
          <w:rFonts w:cs="Arial"/>
          <w:szCs w:val="20"/>
        </w:rPr>
        <w:t>: T</w:t>
      </w:r>
      <w:r w:rsidR="00611EE8" w:rsidRPr="003D16F3">
        <w:rPr>
          <w:rFonts w:cs="Arial"/>
          <w:szCs w:val="20"/>
        </w:rPr>
        <w:t>he expected outcomes of regeneration schemes will be varied. As such, landowners need to be provided with the ranges of</w:t>
      </w:r>
      <w:r w:rsidR="00203ED9" w:rsidRPr="003D16F3">
        <w:rPr>
          <w:rFonts w:cs="Arial"/>
          <w:szCs w:val="20"/>
        </w:rPr>
        <w:t xml:space="preserve"> styles of</w:t>
      </w:r>
      <w:r w:rsidR="00611EE8" w:rsidRPr="003D16F3">
        <w:rPr>
          <w:rFonts w:cs="Arial"/>
          <w:szCs w:val="20"/>
        </w:rPr>
        <w:t xml:space="preserve"> incorporation and their merits, as well as the range of financial opportunities, which may include outright sale, joint ventures, public private partnerships, co-investment schemes and partial </w:t>
      </w:r>
      <w:r w:rsidR="00611EE8" w:rsidRPr="003D16F3">
        <w:rPr>
          <w:rFonts w:cs="Arial"/>
          <w:szCs w:val="20"/>
        </w:rPr>
        <w:lastRenderedPageBreak/>
        <w:t xml:space="preserve">commitment of lot parcels to deliver regenerated housing to the landowner in combination to financial windfalls. </w:t>
      </w:r>
      <w:r w:rsidR="00B67DAF" w:rsidRPr="003D16F3">
        <w:rPr>
          <w:rFonts w:cs="Arial"/>
          <w:szCs w:val="20"/>
        </w:rPr>
        <w:t>Researcher</w:t>
      </w:r>
      <w:r w:rsidR="00374058" w:rsidRPr="003D16F3">
        <w:rPr>
          <w:rFonts w:cs="Arial"/>
          <w:szCs w:val="20"/>
        </w:rPr>
        <w:t xml:space="preserve">s </w:t>
      </w:r>
      <w:r w:rsidR="00203ED9" w:rsidRPr="003D16F3">
        <w:rPr>
          <w:rFonts w:cs="Arial"/>
          <w:szCs w:val="20"/>
        </w:rPr>
        <w:t>(</w:t>
      </w:r>
      <w:r w:rsidR="00374058" w:rsidRPr="003D16F3">
        <w:rPr>
          <w:rFonts w:cs="Arial"/>
          <w:szCs w:val="20"/>
        </w:rPr>
        <w:t>and consultants</w:t>
      </w:r>
      <w:r w:rsidR="00203ED9" w:rsidRPr="003D16F3">
        <w:rPr>
          <w:rFonts w:cs="Arial"/>
          <w:szCs w:val="20"/>
        </w:rPr>
        <w:t>)</w:t>
      </w:r>
      <w:r w:rsidR="00374058" w:rsidRPr="003D16F3">
        <w:rPr>
          <w:rFonts w:cs="Arial"/>
          <w:szCs w:val="20"/>
        </w:rPr>
        <w:t xml:space="preserve"> are required </w:t>
      </w:r>
      <w:r w:rsidR="00B67DAF" w:rsidRPr="003D16F3">
        <w:rPr>
          <w:rFonts w:cs="Arial"/>
          <w:szCs w:val="20"/>
        </w:rPr>
        <w:t>t</w:t>
      </w:r>
      <w:r w:rsidR="00374058" w:rsidRPr="003D16F3">
        <w:rPr>
          <w:rFonts w:cs="Arial"/>
          <w:szCs w:val="20"/>
        </w:rPr>
        <w:t>o</w:t>
      </w:r>
      <w:r w:rsidR="00B67DAF" w:rsidRPr="003D16F3">
        <w:rPr>
          <w:rFonts w:cs="Arial"/>
          <w:szCs w:val="20"/>
        </w:rPr>
        <w:t xml:space="preserve"> deliver this aspect of the </w:t>
      </w:r>
      <w:r w:rsidR="00374058" w:rsidRPr="003D16F3">
        <w:rPr>
          <w:rFonts w:cs="Arial"/>
          <w:szCs w:val="20"/>
        </w:rPr>
        <w:t>process.</w:t>
      </w:r>
      <w:r w:rsidR="00611EE8" w:rsidRPr="003D16F3">
        <w:rPr>
          <w:rFonts w:cs="Arial"/>
          <w:szCs w:val="20"/>
        </w:rPr>
        <w:t xml:space="preserve">    </w:t>
      </w:r>
    </w:p>
    <w:p w14:paraId="13242C54" w14:textId="4E201829" w:rsidR="00785B28" w:rsidRPr="003D16F3" w:rsidRDefault="00785B28" w:rsidP="0041750D">
      <w:pPr>
        <w:pStyle w:val="ListParagraph"/>
        <w:numPr>
          <w:ilvl w:val="0"/>
          <w:numId w:val="12"/>
        </w:numPr>
        <w:rPr>
          <w:rFonts w:cs="Arial"/>
          <w:szCs w:val="20"/>
        </w:rPr>
      </w:pPr>
      <w:r w:rsidRPr="003D16F3">
        <w:rPr>
          <w:rFonts w:cs="Arial"/>
          <w:szCs w:val="20"/>
        </w:rPr>
        <w:t>Design specification at precinct scales</w:t>
      </w:r>
      <w:r w:rsidR="00FF0D54" w:rsidRPr="003D16F3">
        <w:rPr>
          <w:rFonts w:cs="Arial"/>
          <w:szCs w:val="20"/>
        </w:rPr>
        <w:t xml:space="preserve">: These will </w:t>
      </w:r>
      <w:r w:rsidRPr="003D16F3">
        <w:rPr>
          <w:rFonts w:cs="Arial"/>
          <w:szCs w:val="20"/>
        </w:rPr>
        <w:t>demonstrat</w:t>
      </w:r>
      <w:r w:rsidR="00FF0D54" w:rsidRPr="003D16F3">
        <w:rPr>
          <w:rFonts w:cs="Arial"/>
          <w:szCs w:val="20"/>
        </w:rPr>
        <w:t>e</w:t>
      </w:r>
      <w:r w:rsidRPr="003D16F3">
        <w:rPr>
          <w:rFonts w:cs="Arial"/>
          <w:szCs w:val="20"/>
        </w:rPr>
        <w:t xml:space="preserve"> the additional benefits that land owners can achieve through lot amalgamation, versus the additional </w:t>
      </w:r>
      <w:r w:rsidR="00B8484D" w:rsidRPr="003D16F3">
        <w:rPr>
          <w:rFonts w:cs="Arial"/>
          <w:szCs w:val="20"/>
        </w:rPr>
        <w:t xml:space="preserve">infrastructure or </w:t>
      </w:r>
      <w:r w:rsidRPr="003D16F3">
        <w:rPr>
          <w:rFonts w:cs="Arial"/>
          <w:szCs w:val="20"/>
        </w:rPr>
        <w:t>provi</w:t>
      </w:r>
      <w:r w:rsidR="00B55A4E" w:rsidRPr="003D16F3">
        <w:rPr>
          <w:rFonts w:cs="Arial"/>
          <w:szCs w:val="20"/>
        </w:rPr>
        <w:t xml:space="preserve">sion of </w:t>
      </w:r>
      <w:r w:rsidRPr="003D16F3">
        <w:rPr>
          <w:rFonts w:cs="Arial"/>
          <w:szCs w:val="20"/>
        </w:rPr>
        <w:t>precinct functionality and amenity/utility</w:t>
      </w:r>
      <w:r w:rsidR="00B55A4E" w:rsidRPr="003D16F3">
        <w:rPr>
          <w:rFonts w:cs="Arial"/>
          <w:szCs w:val="20"/>
        </w:rPr>
        <w:t>, which precinct regeneration aims to achieve</w:t>
      </w:r>
      <w:r w:rsidRPr="003D16F3">
        <w:rPr>
          <w:rFonts w:cs="Arial"/>
          <w:szCs w:val="20"/>
        </w:rPr>
        <w:t>.</w:t>
      </w:r>
      <w:r w:rsidR="00203ED9" w:rsidRPr="003D16F3">
        <w:rPr>
          <w:rFonts w:cs="Arial"/>
          <w:szCs w:val="20"/>
        </w:rPr>
        <w:t xml:space="preserve"> Due to </w:t>
      </w:r>
      <w:r w:rsidR="00FF0D54" w:rsidRPr="003D16F3">
        <w:rPr>
          <w:rFonts w:cs="Arial"/>
          <w:szCs w:val="20"/>
        </w:rPr>
        <w:t>additionality</w:t>
      </w:r>
      <w:r w:rsidR="00203ED9" w:rsidRPr="003D16F3">
        <w:rPr>
          <w:rFonts w:cs="Arial"/>
          <w:szCs w:val="20"/>
        </w:rPr>
        <w:t xml:space="preserve"> largely being a function of context and place (which will explained in the municipal government section) this will come from both municipal government and designers who will need to be part of the research group. </w:t>
      </w:r>
      <w:r w:rsidR="00374058" w:rsidRPr="003D16F3">
        <w:rPr>
          <w:rFonts w:cs="Arial"/>
          <w:szCs w:val="20"/>
        </w:rPr>
        <w:t xml:space="preserve"> </w:t>
      </w:r>
      <w:r w:rsidRPr="003D16F3">
        <w:rPr>
          <w:rFonts w:cs="Arial"/>
          <w:szCs w:val="20"/>
        </w:rPr>
        <w:t xml:space="preserve">  </w:t>
      </w:r>
    </w:p>
    <w:p w14:paraId="6DC54A1C" w14:textId="457084E2" w:rsidR="00F25843" w:rsidRPr="003D16F3" w:rsidRDefault="00785B28" w:rsidP="0041750D">
      <w:pPr>
        <w:pStyle w:val="ListParagraph"/>
        <w:numPr>
          <w:ilvl w:val="0"/>
          <w:numId w:val="12"/>
        </w:numPr>
        <w:rPr>
          <w:rFonts w:cs="Arial"/>
          <w:szCs w:val="20"/>
        </w:rPr>
      </w:pPr>
      <w:r w:rsidRPr="003D16F3">
        <w:rPr>
          <w:rFonts w:cs="Arial"/>
          <w:szCs w:val="20"/>
        </w:rPr>
        <w:t>Viability analysis</w:t>
      </w:r>
      <w:r w:rsidR="00FF0D54" w:rsidRPr="003D16F3">
        <w:rPr>
          <w:rFonts w:cs="Arial"/>
          <w:szCs w:val="20"/>
        </w:rPr>
        <w:t>: This needs to exist</w:t>
      </w:r>
      <w:r w:rsidRPr="003D16F3">
        <w:rPr>
          <w:rFonts w:cs="Arial"/>
          <w:szCs w:val="20"/>
        </w:rPr>
        <w:t xml:space="preserve"> at a variety of scales</w:t>
      </w:r>
      <w:r w:rsidR="00B55A4E" w:rsidRPr="003D16F3">
        <w:rPr>
          <w:rFonts w:cs="Arial"/>
          <w:szCs w:val="20"/>
        </w:rPr>
        <w:t>,</w:t>
      </w:r>
      <w:r w:rsidRPr="003D16F3">
        <w:rPr>
          <w:rFonts w:cs="Arial"/>
          <w:szCs w:val="20"/>
        </w:rPr>
        <w:t xml:space="preserve"> including the </w:t>
      </w:r>
      <w:r w:rsidR="00B55A4E" w:rsidRPr="003D16F3">
        <w:rPr>
          <w:rFonts w:cs="Arial"/>
          <w:szCs w:val="20"/>
        </w:rPr>
        <w:t xml:space="preserve">benefit of municipal design </w:t>
      </w:r>
      <w:r w:rsidRPr="003D16F3">
        <w:rPr>
          <w:rFonts w:cs="Arial"/>
          <w:szCs w:val="20"/>
        </w:rPr>
        <w:t xml:space="preserve">concessions and </w:t>
      </w:r>
      <w:r w:rsidR="00B55A4E" w:rsidRPr="003D16F3">
        <w:rPr>
          <w:rFonts w:cs="Arial"/>
          <w:szCs w:val="20"/>
        </w:rPr>
        <w:t xml:space="preserve">the financial outlay necessary </w:t>
      </w:r>
      <w:r w:rsidRPr="003D16F3">
        <w:rPr>
          <w:rFonts w:cs="Arial"/>
          <w:szCs w:val="20"/>
        </w:rPr>
        <w:t>to obtain</w:t>
      </w:r>
      <w:r w:rsidR="00B55A4E" w:rsidRPr="003D16F3">
        <w:rPr>
          <w:rFonts w:cs="Arial"/>
          <w:szCs w:val="20"/>
        </w:rPr>
        <w:t xml:space="preserve">/earn </w:t>
      </w:r>
      <w:r w:rsidRPr="003D16F3">
        <w:rPr>
          <w:rFonts w:cs="Arial"/>
          <w:szCs w:val="20"/>
        </w:rPr>
        <w:t>th</w:t>
      </w:r>
      <w:r w:rsidR="00B55A4E" w:rsidRPr="003D16F3">
        <w:rPr>
          <w:rFonts w:cs="Arial"/>
          <w:szCs w:val="20"/>
        </w:rPr>
        <w:t>ese concessions by providing precinct additionality.</w:t>
      </w:r>
      <w:r w:rsidR="00A0596E" w:rsidRPr="003D16F3">
        <w:rPr>
          <w:rFonts w:cs="Arial"/>
          <w:szCs w:val="20"/>
        </w:rPr>
        <w:t xml:space="preserve"> There are a number of assumptions included here. The first is that </w:t>
      </w:r>
      <w:r w:rsidR="00F83C08" w:rsidRPr="003D16F3">
        <w:rPr>
          <w:rFonts w:cs="Arial"/>
          <w:szCs w:val="20"/>
        </w:rPr>
        <w:t xml:space="preserve">precincts should aim to deliver additional hard or soft infrastructures, as well as housing diversity and significant increases in environmental performance. The second is that landowners will need some incentive to consider the proposal. Again, this is expanded on below, but simply, in order to achieve a level of precinct additionality, landowners will require a development incentive against which the additionality can be financially leveraged. This will naturally change with the scale of development; where, as more land is acquired, and has greater options for increasing density, and therefore profit, it also has greater ability to provide precinct additionality. </w:t>
      </w:r>
      <w:proofErr w:type="gramStart"/>
      <w:r w:rsidR="00F83C08" w:rsidRPr="003D16F3">
        <w:rPr>
          <w:rFonts w:cs="Arial"/>
          <w:szCs w:val="20"/>
        </w:rPr>
        <w:t>These financial operation flow</w:t>
      </w:r>
      <w:proofErr w:type="gramEnd"/>
      <w:r w:rsidR="00F83C08" w:rsidRPr="003D16F3">
        <w:rPr>
          <w:rFonts w:cs="Arial"/>
          <w:szCs w:val="20"/>
        </w:rPr>
        <w:t xml:space="preserve"> from the design outcomes and internal municipal calculations on additionality requirement. As such</w:t>
      </w:r>
      <w:r w:rsidR="00FF0D54" w:rsidRPr="003D16F3">
        <w:rPr>
          <w:rFonts w:cs="Arial"/>
          <w:szCs w:val="20"/>
        </w:rPr>
        <w:t>,</w:t>
      </w:r>
      <w:r w:rsidR="00F83C08" w:rsidRPr="003D16F3">
        <w:rPr>
          <w:rFonts w:cs="Arial"/>
          <w:szCs w:val="20"/>
        </w:rPr>
        <w:t xml:space="preserve"> this aspect of the process needs to be driven by </w:t>
      </w:r>
      <w:r w:rsidR="00B8484D" w:rsidRPr="003D16F3">
        <w:rPr>
          <w:rFonts w:cs="Arial"/>
          <w:szCs w:val="20"/>
        </w:rPr>
        <w:t xml:space="preserve">the locale and </w:t>
      </w:r>
      <w:r w:rsidR="00F83C08" w:rsidRPr="003D16F3">
        <w:rPr>
          <w:rFonts w:cs="Arial"/>
          <w:szCs w:val="20"/>
        </w:rPr>
        <w:t xml:space="preserve">context research within community and local government and to be delivered through the municipal planning process.   </w:t>
      </w:r>
    </w:p>
    <w:p w14:paraId="44B90BD5" w14:textId="3B302F89" w:rsidR="00B55A4E" w:rsidRPr="003D16F3" w:rsidRDefault="00B55A4E" w:rsidP="0041750D">
      <w:pPr>
        <w:pStyle w:val="ListParagraph"/>
        <w:numPr>
          <w:ilvl w:val="0"/>
          <w:numId w:val="12"/>
        </w:numPr>
        <w:rPr>
          <w:rFonts w:cs="Arial"/>
          <w:szCs w:val="20"/>
        </w:rPr>
      </w:pPr>
      <w:r w:rsidRPr="003D16F3">
        <w:rPr>
          <w:rFonts w:cs="Arial"/>
          <w:szCs w:val="20"/>
        </w:rPr>
        <w:t>An engagement narrative</w:t>
      </w:r>
      <w:r w:rsidR="00FF0D54" w:rsidRPr="003D16F3">
        <w:rPr>
          <w:rFonts w:cs="Arial"/>
          <w:szCs w:val="20"/>
        </w:rPr>
        <w:t>: This</w:t>
      </w:r>
      <w:r w:rsidRPr="003D16F3">
        <w:rPr>
          <w:rFonts w:cs="Arial"/>
          <w:szCs w:val="20"/>
        </w:rPr>
        <w:t xml:space="preserve"> advertises the process to landowners and allows low-level, </w:t>
      </w:r>
      <w:r w:rsidR="00FF0D54" w:rsidRPr="003D16F3">
        <w:rPr>
          <w:rFonts w:cs="Arial"/>
          <w:szCs w:val="20"/>
        </w:rPr>
        <w:t>“</w:t>
      </w:r>
      <w:r w:rsidRPr="003D16F3">
        <w:rPr>
          <w:rFonts w:cs="Arial"/>
          <w:szCs w:val="20"/>
        </w:rPr>
        <w:t>kitchen table</w:t>
      </w:r>
      <w:r w:rsidR="00FF0D54" w:rsidRPr="003D16F3">
        <w:rPr>
          <w:rFonts w:cs="Arial"/>
          <w:szCs w:val="20"/>
        </w:rPr>
        <w:t>”</w:t>
      </w:r>
      <w:r w:rsidRPr="003D16F3">
        <w:rPr>
          <w:rFonts w:cs="Arial"/>
          <w:szCs w:val="20"/>
        </w:rPr>
        <w:t xml:space="preserve"> enga</w:t>
      </w:r>
      <w:r w:rsidR="003D6F77" w:rsidRPr="003D16F3">
        <w:rPr>
          <w:rFonts w:cs="Arial"/>
          <w:szCs w:val="20"/>
        </w:rPr>
        <w:t>geme</w:t>
      </w:r>
      <w:r w:rsidRPr="003D16F3">
        <w:rPr>
          <w:rFonts w:cs="Arial"/>
          <w:szCs w:val="20"/>
        </w:rPr>
        <w:t>n</w:t>
      </w:r>
      <w:r w:rsidR="003D6F77" w:rsidRPr="003D16F3">
        <w:rPr>
          <w:rFonts w:cs="Arial"/>
          <w:szCs w:val="20"/>
        </w:rPr>
        <w:t>t</w:t>
      </w:r>
      <w:r w:rsidRPr="003D16F3">
        <w:rPr>
          <w:rFonts w:cs="Arial"/>
          <w:szCs w:val="20"/>
        </w:rPr>
        <w:t>s between potential precinct developers (landow</w:t>
      </w:r>
      <w:r w:rsidR="003D6F77" w:rsidRPr="003D16F3">
        <w:rPr>
          <w:rFonts w:cs="Arial"/>
          <w:szCs w:val="20"/>
        </w:rPr>
        <w:t>n</w:t>
      </w:r>
      <w:r w:rsidRPr="003D16F3">
        <w:rPr>
          <w:rFonts w:cs="Arial"/>
          <w:szCs w:val="20"/>
        </w:rPr>
        <w:t>ers or otherwise) and local government planners</w:t>
      </w:r>
      <w:r w:rsidR="001428E3" w:rsidRPr="003D16F3">
        <w:rPr>
          <w:rFonts w:cs="Arial"/>
          <w:szCs w:val="20"/>
        </w:rPr>
        <w:t xml:space="preserve">. The development of all the above factors will be irrelevant if there is no delivery mechanism </w:t>
      </w:r>
      <w:r w:rsidR="00882B6B" w:rsidRPr="003D16F3">
        <w:rPr>
          <w:rFonts w:cs="Arial"/>
          <w:szCs w:val="20"/>
        </w:rPr>
        <w:t xml:space="preserve">to bring the process to landowners. </w:t>
      </w:r>
      <w:proofErr w:type="gramStart"/>
      <w:r w:rsidR="00882B6B" w:rsidRPr="003D16F3">
        <w:rPr>
          <w:rFonts w:cs="Arial"/>
          <w:szCs w:val="20"/>
        </w:rPr>
        <w:t>Indications from ongoing community research has</w:t>
      </w:r>
      <w:proofErr w:type="gramEnd"/>
      <w:r w:rsidR="00882B6B" w:rsidRPr="003D16F3">
        <w:rPr>
          <w:rFonts w:cs="Arial"/>
          <w:szCs w:val="20"/>
        </w:rPr>
        <w:t xml:space="preserve"> indicated that this should be a scheme that is delivered by neighbours and supported by local government. The form that the narrative will take will then incorporate municipal broadcasting, followed by township meetings on the process, where champions at the neighbourhood and street level </w:t>
      </w:r>
      <w:r w:rsidR="00FF0D54" w:rsidRPr="003D16F3">
        <w:rPr>
          <w:rFonts w:cs="Arial"/>
          <w:szCs w:val="20"/>
        </w:rPr>
        <w:t>are</w:t>
      </w:r>
      <w:r w:rsidR="00882B6B" w:rsidRPr="003D16F3">
        <w:rPr>
          <w:rFonts w:cs="Arial"/>
          <w:szCs w:val="20"/>
        </w:rPr>
        <w:t xml:space="preserve"> trained in the initial deliver of the process.     </w:t>
      </w:r>
      <w:r w:rsidRPr="003D16F3">
        <w:rPr>
          <w:rFonts w:cs="Arial"/>
          <w:szCs w:val="20"/>
        </w:rPr>
        <w:t xml:space="preserve"> </w:t>
      </w:r>
    </w:p>
    <w:p w14:paraId="0A07C75E" w14:textId="77777777" w:rsidR="00D94510" w:rsidRPr="00314DDB" w:rsidRDefault="00D94510" w:rsidP="0041750D">
      <w:pPr>
        <w:rPr>
          <w:rFonts w:cs="Arial"/>
          <w:szCs w:val="20"/>
        </w:rPr>
      </w:pPr>
    </w:p>
    <w:p w14:paraId="6DF519CB" w14:textId="1D043B68" w:rsidR="009839AF" w:rsidRPr="00314DDB" w:rsidRDefault="00E2777F" w:rsidP="0041750D">
      <w:pPr>
        <w:rPr>
          <w:rFonts w:cs="Arial"/>
          <w:szCs w:val="20"/>
        </w:rPr>
      </w:pPr>
      <w:r w:rsidRPr="00314DDB">
        <w:rPr>
          <w:rFonts w:cs="Arial"/>
          <w:szCs w:val="20"/>
        </w:rPr>
        <w:t xml:space="preserve">Currently we are working with a </w:t>
      </w:r>
      <w:r w:rsidR="009839AF" w:rsidRPr="00314DDB">
        <w:rPr>
          <w:rFonts w:cs="Arial"/>
          <w:szCs w:val="20"/>
        </w:rPr>
        <w:t xml:space="preserve">community </w:t>
      </w:r>
      <w:r w:rsidR="00130883" w:rsidRPr="00314DDB">
        <w:rPr>
          <w:rFonts w:cs="Arial"/>
          <w:szCs w:val="20"/>
        </w:rPr>
        <w:t>advisory</w:t>
      </w:r>
      <w:r w:rsidR="009839AF" w:rsidRPr="00314DDB">
        <w:rPr>
          <w:rFonts w:cs="Arial"/>
          <w:szCs w:val="20"/>
        </w:rPr>
        <w:t xml:space="preserve"> </w:t>
      </w:r>
      <w:r w:rsidR="00130883" w:rsidRPr="00314DDB">
        <w:rPr>
          <w:rFonts w:cs="Arial"/>
          <w:szCs w:val="20"/>
        </w:rPr>
        <w:t>committee</w:t>
      </w:r>
      <w:r w:rsidR="00AB5B46" w:rsidRPr="00314DDB">
        <w:rPr>
          <w:rFonts w:cs="Arial"/>
          <w:szCs w:val="20"/>
        </w:rPr>
        <w:t>, composed of 15 community me</w:t>
      </w:r>
      <w:r w:rsidR="009839AF" w:rsidRPr="00314DDB">
        <w:rPr>
          <w:rFonts w:cs="Arial"/>
          <w:szCs w:val="20"/>
        </w:rPr>
        <w:t>mbers has been involved in monthly workshops for a year, which are also attended by municipal officers. Thus far this has produced:</w:t>
      </w:r>
    </w:p>
    <w:p w14:paraId="76FE2886" w14:textId="4BDF4B00" w:rsidR="009839AF" w:rsidRPr="00314DDB" w:rsidRDefault="009839AF" w:rsidP="0041750D">
      <w:pPr>
        <w:pStyle w:val="ListParagraph"/>
        <w:numPr>
          <w:ilvl w:val="0"/>
          <w:numId w:val="7"/>
        </w:numPr>
        <w:rPr>
          <w:rFonts w:cs="Arial"/>
          <w:szCs w:val="20"/>
        </w:rPr>
      </w:pPr>
      <w:r w:rsidRPr="00314DDB">
        <w:rPr>
          <w:rFonts w:cs="Arial"/>
          <w:szCs w:val="20"/>
        </w:rPr>
        <w:t xml:space="preserve">The preferred narrative and delivery pathway: This </w:t>
      </w:r>
      <w:r w:rsidR="00FF0D54" w:rsidRPr="00314DDB">
        <w:rPr>
          <w:rFonts w:cs="Arial"/>
          <w:szCs w:val="20"/>
        </w:rPr>
        <w:t>was</w:t>
      </w:r>
      <w:r w:rsidRPr="00314DDB">
        <w:rPr>
          <w:rFonts w:cs="Arial"/>
          <w:szCs w:val="20"/>
        </w:rPr>
        <w:t xml:space="preserve"> identified an assisted pathway through municipal planning, formalised into a specific ‘precinct redevelopment’ process, and delivered through street-by-street champions, or landowners who want to champion the concept at a precinct level.</w:t>
      </w:r>
    </w:p>
    <w:p w14:paraId="21A8A760" w14:textId="5CE9ED22" w:rsidR="009839AF" w:rsidRPr="00314DDB" w:rsidRDefault="009839AF" w:rsidP="0041750D">
      <w:pPr>
        <w:pStyle w:val="ListParagraph"/>
        <w:numPr>
          <w:ilvl w:val="0"/>
          <w:numId w:val="7"/>
        </w:numPr>
        <w:rPr>
          <w:rFonts w:cs="Arial"/>
          <w:szCs w:val="20"/>
        </w:rPr>
      </w:pPr>
      <w:r w:rsidRPr="00314DDB">
        <w:rPr>
          <w:rFonts w:cs="Arial"/>
          <w:szCs w:val="20"/>
        </w:rPr>
        <w:t xml:space="preserve">The preferred locations for a pilot: </w:t>
      </w:r>
      <w:r w:rsidR="00AB5B46" w:rsidRPr="00314DDB">
        <w:rPr>
          <w:rFonts w:cs="Arial"/>
          <w:szCs w:val="20"/>
        </w:rPr>
        <w:t xml:space="preserve">Based on local cultural </w:t>
      </w:r>
      <w:r w:rsidR="00FF0D54" w:rsidRPr="00314DDB">
        <w:rPr>
          <w:rFonts w:cs="Arial"/>
          <w:szCs w:val="20"/>
        </w:rPr>
        <w:t>u</w:t>
      </w:r>
      <w:r w:rsidR="00AB5B46" w:rsidRPr="00314DDB">
        <w:rPr>
          <w:rFonts w:cs="Arial"/>
          <w:szCs w:val="20"/>
        </w:rPr>
        <w:t>nders</w:t>
      </w:r>
      <w:r w:rsidR="00FF0D54" w:rsidRPr="00314DDB">
        <w:rPr>
          <w:rFonts w:cs="Arial"/>
          <w:szCs w:val="20"/>
        </w:rPr>
        <w:t>t</w:t>
      </w:r>
      <w:r w:rsidR="00AB5B46" w:rsidRPr="00314DDB">
        <w:rPr>
          <w:rFonts w:cs="Arial"/>
          <w:szCs w:val="20"/>
        </w:rPr>
        <w:t>anding of the l</w:t>
      </w:r>
      <w:r w:rsidR="00FF0D54" w:rsidRPr="00314DDB">
        <w:rPr>
          <w:rFonts w:cs="Arial"/>
          <w:szCs w:val="20"/>
        </w:rPr>
        <w:t xml:space="preserve">ocales </w:t>
      </w:r>
      <w:r w:rsidR="00AB5B46" w:rsidRPr="00314DDB">
        <w:rPr>
          <w:rFonts w:cs="Arial"/>
          <w:szCs w:val="20"/>
        </w:rPr>
        <w:t>and their potential for land-owner acceptance of the pilot scheme, as well as geographical lay-out of the locales.</w:t>
      </w:r>
    </w:p>
    <w:p w14:paraId="4FF7587B" w14:textId="5A96E289" w:rsidR="009839AF" w:rsidRPr="00314DDB" w:rsidRDefault="00184236" w:rsidP="0041750D">
      <w:pPr>
        <w:pStyle w:val="ListParagraph"/>
        <w:numPr>
          <w:ilvl w:val="0"/>
          <w:numId w:val="7"/>
        </w:numPr>
        <w:rPr>
          <w:rFonts w:cs="Arial"/>
          <w:szCs w:val="20"/>
        </w:rPr>
      </w:pPr>
      <w:r w:rsidRPr="00314DDB">
        <w:rPr>
          <w:rFonts w:cs="Arial"/>
          <w:szCs w:val="20"/>
        </w:rPr>
        <w:t xml:space="preserve">Context based </w:t>
      </w:r>
      <w:r w:rsidR="00FF0D54" w:rsidRPr="00314DDB">
        <w:rPr>
          <w:rFonts w:cs="Arial"/>
          <w:szCs w:val="20"/>
        </w:rPr>
        <w:t>additionality</w:t>
      </w:r>
      <w:r w:rsidRPr="00314DDB">
        <w:rPr>
          <w:rFonts w:cs="Arial"/>
          <w:szCs w:val="20"/>
        </w:rPr>
        <w:t xml:space="preserve">: </w:t>
      </w:r>
      <w:r w:rsidR="009839AF" w:rsidRPr="00314DDB">
        <w:rPr>
          <w:rFonts w:cs="Arial"/>
          <w:szCs w:val="20"/>
        </w:rPr>
        <w:t>Identi</w:t>
      </w:r>
      <w:r w:rsidR="00FF0D54" w:rsidRPr="00314DDB">
        <w:rPr>
          <w:rFonts w:cs="Arial"/>
          <w:szCs w:val="20"/>
        </w:rPr>
        <w:t>fication of the range of additi</w:t>
      </w:r>
      <w:r w:rsidR="009839AF" w:rsidRPr="00314DDB">
        <w:rPr>
          <w:rFonts w:cs="Arial"/>
          <w:szCs w:val="20"/>
        </w:rPr>
        <w:t>o</w:t>
      </w:r>
      <w:r w:rsidR="00FF0D54" w:rsidRPr="00314DDB">
        <w:rPr>
          <w:rFonts w:cs="Arial"/>
          <w:szCs w:val="20"/>
        </w:rPr>
        <w:t>n</w:t>
      </w:r>
      <w:r w:rsidR="009839AF" w:rsidRPr="00314DDB">
        <w:rPr>
          <w:rFonts w:cs="Arial"/>
          <w:szCs w:val="20"/>
        </w:rPr>
        <w:t>alities that each precinct should aim to implement</w:t>
      </w:r>
      <w:r w:rsidRPr="00314DDB">
        <w:rPr>
          <w:rFonts w:cs="Arial"/>
          <w:szCs w:val="20"/>
        </w:rPr>
        <w:t>.</w:t>
      </w:r>
      <w:r w:rsidR="009839AF" w:rsidRPr="00314DDB">
        <w:rPr>
          <w:rFonts w:cs="Arial"/>
          <w:szCs w:val="20"/>
        </w:rPr>
        <w:t xml:space="preserve">   </w:t>
      </w:r>
    </w:p>
    <w:p w14:paraId="1B5118A1" w14:textId="5DD04197" w:rsidR="00AB5B46" w:rsidRPr="00314DDB" w:rsidRDefault="00AB5B46" w:rsidP="0041750D">
      <w:pPr>
        <w:pStyle w:val="ListParagraph"/>
        <w:numPr>
          <w:ilvl w:val="0"/>
          <w:numId w:val="7"/>
        </w:numPr>
        <w:rPr>
          <w:rFonts w:cs="Arial"/>
          <w:szCs w:val="20"/>
        </w:rPr>
      </w:pPr>
      <w:r w:rsidRPr="00314DDB">
        <w:rPr>
          <w:rFonts w:cs="Arial"/>
          <w:szCs w:val="20"/>
        </w:rPr>
        <w:t>Design and viability analysis: The committee see</w:t>
      </w:r>
      <w:r w:rsidR="00FF0D54" w:rsidRPr="00314DDB">
        <w:rPr>
          <w:rFonts w:cs="Arial"/>
          <w:szCs w:val="20"/>
        </w:rPr>
        <w:t>s</w:t>
      </w:r>
      <w:r w:rsidRPr="00314DDB">
        <w:rPr>
          <w:rFonts w:cs="Arial"/>
          <w:szCs w:val="20"/>
        </w:rPr>
        <w:t xml:space="preserve"> an immediate </w:t>
      </w:r>
      <w:r w:rsidR="00184236" w:rsidRPr="00314DDB">
        <w:rPr>
          <w:rFonts w:cs="Arial"/>
          <w:szCs w:val="20"/>
        </w:rPr>
        <w:t>need for design specifications from a third</w:t>
      </w:r>
      <w:r w:rsidRPr="00314DDB">
        <w:rPr>
          <w:rFonts w:cs="Arial"/>
          <w:szCs w:val="20"/>
        </w:rPr>
        <w:t>-</w:t>
      </w:r>
      <w:proofErr w:type="gramStart"/>
      <w:r w:rsidR="00184236" w:rsidRPr="00314DDB">
        <w:rPr>
          <w:rFonts w:cs="Arial"/>
          <w:szCs w:val="20"/>
        </w:rPr>
        <w:t xml:space="preserve">party </w:t>
      </w:r>
      <w:r w:rsidRPr="00314DDB">
        <w:rPr>
          <w:rFonts w:cs="Arial"/>
          <w:szCs w:val="20"/>
        </w:rPr>
        <w:t>which</w:t>
      </w:r>
      <w:proofErr w:type="gramEnd"/>
      <w:r w:rsidRPr="00314DDB">
        <w:rPr>
          <w:rFonts w:cs="Arial"/>
          <w:szCs w:val="20"/>
        </w:rPr>
        <w:t xml:space="preserve"> wil</w:t>
      </w:r>
      <w:r w:rsidR="00FF0D54" w:rsidRPr="00314DDB">
        <w:rPr>
          <w:rFonts w:cs="Arial"/>
          <w:szCs w:val="20"/>
        </w:rPr>
        <w:t>l</w:t>
      </w:r>
      <w:r w:rsidRPr="00314DDB">
        <w:rPr>
          <w:rFonts w:cs="Arial"/>
          <w:szCs w:val="20"/>
        </w:rPr>
        <w:t xml:space="preserve"> allow the proposal to move from polic</w:t>
      </w:r>
      <w:r w:rsidR="00FF0D54" w:rsidRPr="00314DDB">
        <w:rPr>
          <w:rFonts w:cs="Arial"/>
          <w:szCs w:val="20"/>
        </w:rPr>
        <w:t>y</w:t>
      </w:r>
      <w:r w:rsidRPr="00314DDB">
        <w:rPr>
          <w:rFonts w:cs="Arial"/>
          <w:szCs w:val="20"/>
        </w:rPr>
        <w:t xml:space="preserve"> into actual precinct design and discussion. </w:t>
      </w:r>
    </w:p>
    <w:p w14:paraId="25F2D502" w14:textId="160D1DB3" w:rsidR="00184236" w:rsidRPr="00314DDB" w:rsidRDefault="00AB5B46" w:rsidP="0041750D">
      <w:pPr>
        <w:pStyle w:val="ListParagraph"/>
        <w:numPr>
          <w:ilvl w:val="0"/>
          <w:numId w:val="7"/>
        </w:numPr>
        <w:rPr>
          <w:rFonts w:cs="Arial"/>
          <w:szCs w:val="20"/>
        </w:rPr>
      </w:pPr>
      <w:r w:rsidRPr="00314DDB">
        <w:rPr>
          <w:rFonts w:cs="Arial"/>
          <w:szCs w:val="20"/>
        </w:rPr>
        <w:t xml:space="preserve">Legal and managerial </w:t>
      </w:r>
      <w:r w:rsidR="00FF0D54" w:rsidRPr="00314DDB">
        <w:rPr>
          <w:rFonts w:cs="Arial"/>
          <w:szCs w:val="20"/>
        </w:rPr>
        <w:t>fr</w:t>
      </w:r>
      <w:r w:rsidRPr="00314DDB">
        <w:rPr>
          <w:rFonts w:cs="Arial"/>
          <w:szCs w:val="20"/>
        </w:rPr>
        <w:t xml:space="preserve">ameworks: The group has also identified the need for </w:t>
      </w:r>
      <w:r w:rsidR="00FF0D54" w:rsidRPr="00314DDB">
        <w:rPr>
          <w:rFonts w:cs="Arial"/>
          <w:szCs w:val="20"/>
        </w:rPr>
        <w:t>significant</w:t>
      </w:r>
      <w:r w:rsidRPr="00314DDB">
        <w:rPr>
          <w:rFonts w:cs="Arial"/>
          <w:szCs w:val="20"/>
        </w:rPr>
        <w:t xml:space="preserve"> work to be done on providing them with the necessary tools for incorporation and project management.</w:t>
      </w:r>
      <w:r w:rsidR="00184236" w:rsidRPr="00314DDB">
        <w:rPr>
          <w:rFonts w:cs="Arial"/>
          <w:szCs w:val="20"/>
        </w:rPr>
        <w:t xml:space="preserve"> </w:t>
      </w:r>
    </w:p>
    <w:p w14:paraId="1E689870" w14:textId="77777777" w:rsidR="009839AF" w:rsidRPr="00314DDB" w:rsidRDefault="009839AF" w:rsidP="0041750D">
      <w:pPr>
        <w:rPr>
          <w:rFonts w:cs="Arial"/>
          <w:szCs w:val="20"/>
        </w:rPr>
      </w:pPr>
    </w:p>
    <w:p w14:paraId="07205441" w14:textId="64C0D58A" w:rsidR="00F25843" w:rsidRPr="00314DDB" w:rsidRDefault="00FF0D54" w:rsidP="0041750D">
      <w:pPr>
        <w:rPr>
          <w:rFonts w:cs="Arial"/>
          <w:szCs w:val="20"/>
        </w:rPr>
      </w:pPr>
      <w:r w:rsidRPr="00314DDB">
        <w:rPr>
          <w:rFonts w:cs="Arial"/>
          <w:szCs w:val="20"/>
        </w:rPr>
        <w:t>Ongoing</w:t>
      </w:r>
      <w:r w:rsidR="00AB5B46" w:rsidRPr="00314DDB">
        <w:rPr>
          <w:rFonts w:cs="Arial"/>
          <w:szCs w:val="20"/>
        </w:rPr>
        <w:t xml:space="preserve"> </w:t>
      </w:r>
      <w:r w:rsidRPr="00314DDB">
        <w:rPr>
          <w:rFonts w:cs="Arial"/>
          <w:szCs w:val="20"/>
        </w:rPr>
        <w:t>work</w:t>
      </w:r>
      <w:r w:rsidR="00AB5B46" w:rsidRPr="00314DDB">
        <w:rPr>
          <w:rFonts w:cs="Arial"/>
          <w:szCs w:val="20"/>
        </w:rPr>
        <w:t xml:space="preserve"> with the </w:t>
      </w:r>
      <w:r w:rsidRPr="00314DDB">
        <w:rPr>
          <w:rFonts w:cs="Arial"/>
          <w:szCs w:val="20"/>
        </w:rPr>
        <w:t>committee</w:t>
      </w:r>
      <w:r w:rsidR="00AB5B46" w:rsidRPr="00314DDB">
        <w:rPr>
          <w:rFonts w:cs="Arial"/>
          <w:szCs w:val="20"/>
        </w:rPr>
        <w:t xml:space="preserve"> advisory committee will see the project move through design and feasibility work and into actual </w:t>
      </w:r>
      <w:r w:rsidRPr="00314DDB">
        <w:rPr>
          <w:rFonts w:cs="Arial"/>
          <w:szCs w:val="20"/>
        </w:rPr>
        <w:t>landowner</w:t>
      </w:r>
      <w:r w:rsidR="00AB5B46" w:rsidRPr="00314DDB">
        <w:rPr>
          <w:rFonts w:cs="Arial"/>
          <w:szCs w:val="20"/>
        </w:rPr>
        <w:t xml:space="preserve"> engagement</w:t>
      </w:r>
      <w:r w:rsidRPr="00314DDB">
        <w:rPr>
          <w:rFonts w:cs="Arial"/>
          <w:szCs w:val="20"/>
        </w:rPr>
        <w:t xml:space="preserve"> in proposed precincts</w:t>
      </w:r>
      <w:r w:rsidR="00AB5B46" w:rsidRPr="00314DDB">
        <w:rPr>
          <w:rFonts w:cs="Arial"/>
          <w:szCs w:val="20"/>
        </w:rPr>
        <w:t xml:space="preserve">. </w:t>
      </w:r>
    </w:p>
    <w:p w14:paraId="5A8587C5" w14:textId="77777777" w:rsidR="00AB5B46" w:rsidRPr="00314DDB" w:rsidRDefault="00AB5B46" w:rsidP="0041750D">
      <w:pPr>
        <w:rPr>
          <w:rFonts w:cs="Arial"/>
          <w:szCs w:val="20"/>
        </w:rPr>
      </w:pPr>
    </w:p>
    <w:p w14:paraId="6BDEC31D" w14:textId="0B59753D" w:rsidR="003D16F3" w:rsidRDefault="003D16F3" w:rsidP="0041750D">
      <w:pPr>
        <w:rPr>
          <w:rFonts w:cs="Arial"/>
          <w:b/>
          <w:i/>
          <w:szCs w:val="20"/>
        </w:rPr>
      </w:pPr>
      <w:r>
        <w:rPr>
          <w:rFonts w:cs="Arial"/>
          <w:b/>
          <w:i/>
          <w:szCs w:val="20"/>
        </w:rPr>
        <w:t>4.2 Broader community</w:t>
      </w:r>
    </w:p>
    <w:p w14:paraId="01F35831" w14:textId="6EBBFE1E" w:rsidR="008F6978" w:rsidRPr="008F6978" w:rsidRDefault="008F6978" w:rsidP="0041750D">
      <w:pPr>
        <w:rPr>
          <w:rFonts w:cs="Arial"/>
          <w:szCs w:val="20"/>
        </w:rPr>
      </w:pPr>
      <w:r>
        <w:rPr>
          <w:rFonts w:cs="Arial"/>
          <w:szCs w:val="20"/>
        </w:rPr>
        <w:t>As local communities are one of the largest impediments to increases in density, it i</w:t>
      </w:r>
      <w:r w:rsidR="00F2417D">
        <w:rPr>
          <w:rFonts w:cs="Arial"/>
          <w:szCs w:val="20"/>
        </w:rPr>
        <w:t xml:space="preserve">s critical that </w:t>
      </w:r>
      <w:r>
        <w:rPr>
          <w:rFonts w:cs="Arial"/>
          <w:szCs w:val="20"/>
        </w:rPr>
        <w:t>residents become part of the engagement process so that they can help define a system that produces viable community benefit. Therefore</w:t>
      </w:r>
      <w:r w:rsidR="00821371">
        <w:rPr>
          <w:rFonts w:cs="Arial"/>
          <w:szCs w:val="20"/>
        </w:rPr>
        <w:t>,</w:t>
      </w:r>
      <w:r>
        <w:rPr>
          <w:rFonts w:cs="Arial"/>
          <w:szCs w:val="20"/>
        </w:rPr>
        <w:t xml:space="preserve"> the broader community needs to be, as least partly, involved in the development of the broader process, particularly in terms of its narrative. </w:t>
      </w:r>
      <w:r w:rsidR="00F2417D">
        <w:rPr>
          <w:rFonts w:cs="Arial"/>
          <w:szCs w:val="20"/>
        </w:rPr>
        <w:t>Precinct neighbours also have to be incorporated in the planning process for precincts adjacent to them</w:t>
      </w:r>
      <w:proofErr w:type="gramStart"/>
      <w:r w:rsidR="00F2417D">
        <w:rPr>
          <w:rFonts w:cs="Arial"/>
          <w:szCs w:val="20"/>
        </w:rPr>
        <w:t>;</w:t>
      </w:r>
      <w:proofErr w:type="gramEnd"/>
      <w:r w:rsidR="00F2417D">
        <w:rPr>
          <w:rFonts w:cs="Arial"/>
          <w:szCs w:val="20"/>
        </w:rPr>
        <w:t xml:space="preserve"> as this will </w:t>
      </w:r>
      <w:r w:rsidR="008520DD">
        <w:rPr>
          <w:rFonts w:cs="Arial"/>
          <w:szCs w:val="20"/>
        </w:rPr>
        <w:t>both prove precinct additionality and simultaneously speed up the planning process for precincts through reduced complaints</w:t>
      </w:r>
      <w:r w:rsidR="00F2417D">
        <w:rPr>
          <w:rFonts w:cs="Arial"/>
          <w:szCs w:val="20"/>
        </w:rPr>
        <w:t xml:space="preserve">.  </w:t>
      </w:r>
      <w:r>
        <w:rPr>
          <w:rFonts w:cs="Arial"/>
          <w:szCs w:val="20"/>
        </w:rPr>
        <w:t xml:space="preserve">  </w:t>
      </w:r>
    </w:p>
    <w:p w14:paraId="271F6619" w14:textId="77777777" w:rsidR="003D16F3" w:rsidRDefault="003D16F3" w:rsidP="0041750D">
      <w:pPr>
        <w:rPr>
          <w:rFonts w:cs="Arial"/>
          <w:b/>
          <w:i/>
          <w:szCs w:val="20"/>
        </w:rPr>
      </w:pPr>
    </w:p>
    <w:p w14:paraId="7E4CF935" w14:textId="43B02669" w:rsidR="008442C4" w:rsidRPr="00314DDB" w:rsidRDefault="003D16F3" w:rsidP="0041750D">
      <w:pPr>
        <w:rPr>
          <w:rFonts w:cs="Arial"/>
          <w:b/>
          <w:i/>
          <w:szCs w:val="20"/>
        </w:rPr>
      </w:pPr>
      <w:r>
        <w:rPr>
          <w:rFonts w:cs="Arial"/>
          <w:b/>
          <w:i/>
          <w:szCs w:val="20"/>
        </w:rPr>
        <w:t xml:space="preserve">4.3 </w:t>
      </w:r>
      <w:r w:rsidR="002F3E61" w:rsidRPr="00314DDB">
        <w:rPr>
          <w:rFonts w:cs="Arial"/>
          <w:b/>
          <w:i/>
          <w:szCs w:val="20"/>
        </w:rPr>
        <w:t>Local gov</w:t>
      </w:r>
      <w:r w:rsidR="00FF0D54" w:rsidRPr="00314DDB">
        <w:rPr>
          <w:rFonts w:cs="Arial"/>
          <w:b/>
          <w:i/>
          <w:szCs w:val="20"/>
        </w:rPr>
        <w:t>ernment</w:t>
      </w:r>
      <w:r w:rsidR="002F3E61" w:rsidRPr="00314DDB">
        <w:rPr>
          <w:rFonts w:cs="Arial"/>
          <w:b/>
          <w:i/>
          <w:szCs w:val="20"/>
        </w:rPr>
        <w:t xml:space="preserve"> </w:t>
      </w:r>
    </w:p>
    <w:p w14:paraId="6A015DEA" w14:textId="557C4AFF" w:rsidR="00D94510" w:rsidRPr="00314DDB" w:rsidRDefault="00882B6B" w:rsidP="0041750D">
      <w:pPr>
        <w:rPr>
          <w:rFonts w:cs="Arial"/>
          <w:szCs w:val="20"/>
        </w:rPr>
      </w:pPr>
      <w:r w:rsidRPr="00314DDB">
        <w:rPr>
          <w:rFonts w:cs="Arial"/>
          <w:szCs w:val="20"/>
        </w:rPr>
        <w:t>From a local government perspective</w:t>
      </w:r>
      <w:r w:rsidR="00E21C08" w:rsidRPr="00314DDB">
        <w:rPr>
          <w:rFonts w:cs="Arial"/>
          <w:szCs w:val="20"/>
        </w:rPr>
        <w:t xml:space="preserve">, </w:t>
      </w:r>
      <w:r w:rsidR="00F470F7" w:rsidRPr="00314DDB">
        <w:rPr>
          <w:rFonts w:cs="Arial"/>
          <w:szCs w:val="20"/>
        </w:rPr>
        <w:t xml:space="preserve">the process of greyfield precinct regeneration </w:t>
      </w:r>
      <w:r w:rsidR="00611C1A" w:rsidRPr="00314DDB">
        <w:rPr>
          <w:rFonts w:cs="Arial"/>
          <w:szCs w:val="20"/>
        </w:rPr>
        <w:t xml:space="preserve">presents the opportunity for standard redevelopment to become a mechanism that begins to deliver local policy. For example, and dependant on context, precincts over a certain scale may have </w:t>
      </w:r>
      <w:r w:rsidR="00E21C08" w:rsidRPr="00314DDB">
        <w:rPr>
          <w:rFonts w:cs="Arial"/>
          <w:szCs w:val="20"/>
        </w:rPr>
        <w:t>t</w:t>
      </w:r>
      <w:r w:rsidR="00611C1A" w:rsidRPr="00314DDB">
        <w:rPr>
          <w:rFonts w:cs="Arial"/>
          <w:szCs w:val="20"/>
        </w:rPr>
        <w:t xml:space="preserve">he opportunity to deliver </w:t>
      </w:r>
      <w:r w:rsidR="00E21C08" w:rsidRPr="00314DDB">
        <w:rPr>
          <w:rFonts w:cs="Arial"/>
          <w:szCs w:val="20"/>
        </w:rPr>
        <w:t>flood mitigation technology, tree canopy protection or additional walkability. This,</w:t>
      </w:r>
      <w:r w:rsidR="005D221B" w:rsidRPr="00314DDB">
        <w:rPr>
          <w:rFonts w:cs="Arial"/>
          <w:szCs w:val="20"/>
        </w:rPr>
        <w:t xml:space="preserve"> along with the</w:t>
      </w:r>
      <w:r w:rsidR="00E21C08" w:rsidRPr="00314DDB">
        <w:rPr>
          <w:rFonts w:cs="Arial"/>
          <w:szCs w:val="20"/>
        </w:rPr>
        <w:t xml:space="preserve"> benefit coming from </w:t>
      </w:r>
      <w:r w:rsidR="005D221B" w:rsidRPr="00314DDB">
        <w:rPr>
          <w:rFonts w:cs="Arial"/>
          <w:szCs w:val="20"/>
        </w:rPr>
        <w:t xml:space="preserve">mandated </w:t>
      </w:r>
      <w:r w:rsidR="00E21C08" w:rsidRPr="00314DDB">
        <w:rPr>
          <w:rFonts w:cs="Arial"/>
          <w:szCs w:val="20"/>
        </w:rPr>
        <w:t xml:space="preserve">increases in sustainability performance </w:t>
      </w:r>
      <w:r w:rsidR="005D221B" w:rsidRPr="00314DDB">
        <w:rPr>
          <w:rFonts w:cs="Arial"/>
          <w:szCs w:val="20"/>
        </w:rPr>
        <w:t xml:space="preserve">in new </w:t>
      </w:r>
      <w:r w:rsidR="00E21C08" w:rsidRPr="00314DDB">
        <w:rPr>
          <w:rFonts w:cs="Arial"/>
          <w:szCs w:val="20"/>
        </w:rPr>
        <w:t xml:space="preserve">dwellings, and achieving metropolitan in-fill </w:t>
      </w:r>
      <w:r w:rsidR="001058EC" w:rsidRPr="00314DDB">
        <w:rPr>
          <w:rFonts w:cs="Arial"/>
          <w:szCs w:val="20"/>
        </w:rPr>
        <w:t>targets, are</w:t>
      </w:r>
      <w:r w:rsidR="00E21C08" w:rsidRPr="00314DDB">
        <w:rPr>
          <w:rFonts w:cs="Arial"/>
          <w:szCs w:val="20"/>
        </w:rPr>
        <w:t xml:space="preserve"> the rationale for municipalities to become involved in the process. </w:t>
      </w:r>
      <w:r w:rsidR="00D94510" w:rsidRPr="00314DDB">
        <w:rPr>
          <w:rFonts w:cs="Arial"/>
          <w:szCs w:val="20"/>
        </w:rPr>
        <w:t>As the previou</w:t>
      </w:r>
      <w:r w:rsidR="00A4305C" w:rsidRPr="00314DDB">
        <w:rPr>
          <w:rFonts w:cs="Arial"/>
          <w:szCs w:val="20"/>
        </w:rPr>
        <w:t>s section indicated, muc</w:t>
      </w:r>
      <w:r w:rsidR="00D94510" w:rsidRPr="00314DDB">
        <w:rPr>
          <w:rFonts w:cs="Arial"/>
          <w:szCs w:val="20"/>
        </w:rPr>
        <w:t xml:space="preserve">h of the responsibility for developing the concept into a formal planning and implementation process is reliant on municipal actions. These are expanded on below, and phrased in the </w:t>
      </w:r>
      <w:r w:rsidR="009C2F69" w:rsidRPr="00314DDB">
        <w:rPr>
          <w:rFonts w:cs="Arial"/>
          <w:szCs w:val="20"/>
        </w:rPr>
        <w:t>dialect</w:t>
      </w:r>
      <w:r w:rsidR="00D94510" w:rsidRPr="00314DDB">
        <w:rPr>
          <w:rFonts w:cs="Arial"/>
          <w:szCs w:val="20"/>
        </w:rPr>
        <w:t xml:space="preserve"> </w:t>
      </w:r>
      <w:r w:rsidR="00FF0D54" w:rsidRPr="00314DDB">
        <w:rPr>
          <w:rFonts w:cs="Arial"/>
          <w:szCs w:val="20"/>
        </w:rPr>
        <w:t>of municipal planning.</w:t>
      </w:r>
    </w:p>
    <w:p w14:paraId="517CB6FE" w14:textId="77777777" w:rsidR="00882B6B" w:rsidRPr="00314DDB" w:rsidRDefault="00D94510" w:rsidP="0041750D">
      <w:pPr>
        <w:rPr>
          <w:rFonts w:cs="Arial"/>
          <w:szCs w:val="20"/>
        </w:rPr>
      </w:pPr>
      <w:r w:rsidRPr="00314DDB">
        <w:rPr>
          <w:rFonts w:cs="Arial"/>
          <w:szCs w:val="20"/>
        </w:rPr>
        <w:t xml:space="preserve"> </w:t>
      </w:r>
      <w:r w:rsidR="00E21C08" w:rsidRPr="00314DDB">
        <w:rPr>
          <w:rFonts w:cs="Arial"/>
          <w:szCs w:val="20"/>
        </w:rPr>
        <w:t xml:space="preserve">    </w:t>
      </w:r>
      <w:r w:rsidR="00F470F7" w:rsidRPr="00314DDB">
        <w:rPr>
          <w:rFonts w:cs="Arial"/>
          <w:szCs w:val="20"/>
        </w:rPr>
        <w:t xml:space="preserve">  </w:t>
      </w:r>
    </w:p>
    <w:p w14:paraId="38851813" w14:textId="77777777" w:rsidR="00882B6B" w:rsidRPr="003D16F3" w:rsidRDefault="00D94510" w:rsidP="0041750D">
      <w:pPr>
        <w:pStyle w:val="ListParagraph"/>
        <w:numPr>
          <w:ilvl w:val="0"/>
          <w:numId w:val="11"/>
        </w:numPr>
        <w:rPr>
          <w:rFonts w:cs="Arial"/>
          <w:szCs w:val="20"/>
        </w:rPr>
      </w:pPr>
      <w:r w:rsidRPr="003D16F3">
        <w:rPr>
          <w:rFonts w:cs="Arial"/>
          <w:szCs w:val="20"/>
        </w:rPr>
        <w:t>New zones or planning tools</w:t>
      </w:r>
      <w:r w:rsidR="00A4305C" w:rsidRPr="003D16F3">
        <w:rPr>
          <w:rFonts w:cs="Arial"/>
          <w:szCs w:val="20"/>
        </w:rPr>
        <w:t xml:space="preserve">: At the municipal level, the ability to influence landowners comes down to the application of statutory planning mechanisms, or zones; which works by applying restrictions to development or allowing designs to be developed in specific conditions. As it stands, no zone in the pilot municipality provides the municipality the discretion to alter building heights, density or minimum lot size based on deign outcomes. Given that the regeneration precincts aim to incentivise landowners to engage in </w:t>
      </w:r>
      <w:r w:rsidR="00C571B5" w:rsidRPr="003D16F3">
        <w:rPr>
          <w:rFonts w:cs="Arial"/>
          <w:szCs w:val="20"/>
        </w:rPr>
        <w:t xml:space="preserve">lot amalgamation by providing greater development concessions (and provide greater additionality) as the scale of development increase, this is largely </w:t>
      </w:r>
      <w:r w:rsidR="00A4305C" w:rsidRPr="003D16F3">
        <w:rPr>
          <w:rFonts w:cs="Arial"/>
          <w:szCs w:val="20"/>
        </w:rPr>
        <w:t xml:space="preserve">what is required from the </w:t>
      </w:r>
      <w:r w:rsidR="00C571B5" w:rsidRPr="003D16F3">
        <w:rPr>
          <w:rFonts w:cs="Arial"/>
          <w:szCs w:val="20"/>
        </w:rPr>
        <w:t xml:space="preserve">planning </w:t>
      </w:r>
      <w:r w:rsidR="00A4305C" w:rsidRPr="003D16F3">
        <w:rPr>
          <w:rFonts w:cs="Arial"/>
          <w:szCs w:val="20"/>
        </w:rPr>
        <w:t xml:space="preserve">scheme.   </w:t>
      </w:r>
    </w:p>
    <w:p w14:paraId="64F956A9" w14:textId="77777777" w:rsidR="00F202BF" w:rsidRPr="003D16F3" w:rsidRDefault="00F202BF" w:rsidP="0041750D">
      <w:pPr>
        <w:pStyle w:val="ListParagraph"/>
        <w:numPr>
          <w:ilvl w:val="0"/>
          <w:numId w:val="11"/>
        </w:numPr>
        <w:rPr>
          <w:rFonts w:cs="Arial"/>
          <w:szCs w:val="20"/>
        </w:rPr>
      </w:pPr>
      <w:r w:rsidRPr="003D16F3">
        <w:rPr>
          <w:rFonts w:cs="Arial"/>
          <w:szCs w:val="20"/>
        </w:rPr>
        <w:t xml:space="preserve">Alignment with municipal policy: To ensure that municipal governments have a valid business case for investing in the program the project must have a value proposition. In this instance, the value proposition is that municipalities can get their policies delivered by third parties (developers) if they successfully implement the program. As such, municipal officers must begin aligning the precincts’ objectives with local policies.    </w:t>
      </w:r>
    </w:p>
    <w:p w14:paraId="4C7E6F5B" w14:textId="77777777" w:rsidR="00D94510" w:rsidRPr="003D16F3" w:rsidRDefault="00D94510" w:rsidP="0041750D">
      <w:pPr>
        <w:pStyle w:val="ListParagraph"/>
        <w:numPr>
          <w:ilvl w:val="0"/>
          <w:numId w:val="11"/>
        </w:numPr>
        <w:rPr>
          <w:rFonts w:cs="Arial"/>
          <w:szCs w:val="20"/>
        </w:rPr>
      </w:pPr>
      <w:r w:rsidRPr="003D16F3">
        <w:rPr>
          <w:rFonts w:cs="Arial"/>
          <w:szCs w:val="20"/>
        </w:rPr>
        <w:t>Contextual analysis of location</w:t>
      </w:r>
      <w:r w:rsidR="00670EC1" w:rsidRPr="003D16F3">
        <w:rPr>
          <w:rFonts w:cs="Arial"/>
          <w:szCs w:val="20"/>
        </w:rPr>
        <w:t xml:space="preserve"> and </w:t>
      </w:r>
      <w:r w:rsidR="006714B7" w:rsidRPr="003D16F3">
        <w:rPr>
          <w:rFonts w:cs="Arial"/>
          <w:szCs w:val="20"/>
        </w:rPr>
        <w:t>additionality</w:t>
      </w:r>
      <w:r w:rsidR="00670EC1" w:rsidRPr="003D16F3">
        <w:rPr>
          <w:rFonts w:cs="Arial"/>
          <w:szCs w:val="20"/>
        </w:rPr>
        <w:t>:</w:t>
      </w:r>
      <w:r w:rsidR="006714B7" w:rsidRPr="003D16F3">
        <w:rPr>
          <w:rFonts w:cs="Arial"/>
          <w:szCs w:val="20"/>
        </w:rPr>
        <w:t xml:space="preserve"> </w:t>
      </w:r>
      <w:r w:rsidR="001D775C" w:rsidRPr="003D16F3">
        <w:rPr>
          <w:rFonts w:cs="Arial"/>
          <w:szCs w:val="20"/>
        </w:rPr>
        <w:t>To add to the above, precinct additionality will vary per location</w:t>
      </w:r>
      <w:r w:rsidR="00C915EA" w:rsidRPr="003D16F3">
        <w:rPr>
          <w:rFonts w:cs="Arial"/>
          <w:szCs w:val="20"/>
        </w:rPr>
        <w:t>; as some areas will need more parks, while others would benefit from new paths, additional trees and so forth</w:t>
      </w:r>
      <w:r w:rsidR="001D775C" w:rsidRPr="003D16F3">
        <w:rPr>
          <w:rFonts w:cs="Arial"/>
          <w:szCs w:val="20"/>
        </w:rPr>
        <w:t>.</w:t>
      </w:r>
      <w:r w:rsidR="00C915EA" w:rsidRPr="003D16F3">
        <w:rPr>
          <w:rFonts w:cs="Arial"/>
          <w:szCs w:val="20"/>
        </w:rPr>
        <w:t xml:space="preserve"> The inquiry of which areas would benefit from what additionally can be done at a number of levels, but at the very least requires a whole of local government procedure, where officers from all departments provide information about the area, in combination with a community inquiry, as to what locals feel areas could most benefit from. </w:t>
      </w:r>
      <w:r w:rsidR="0026040F" w:rsidRPr="003D16F3">
        <w:rPr>
          <w:rFonts w:cs="Arial"/>
          <w:szCs w:val="20"/>
        </w:rPr>
        <w:t>The product of this should be a geocoded representation of issues and potential resolutions (which could be fixed by precinct additionality)</w:t>
      </w:r>
      <w:r w:rsidR="00C915EA" w:rsidRPr="003D16F3">
        <w:rPr>
          <w:rFonts w:cs="Arial"/>
          <w:szCs w:val="20"/>
        </w:rPr>
        <w:t xml:space="preserve">   </w:t>
      </w:r>
      <w:r w:rsidR="001D775C" w:rsidRPr="003D16F3">
        <w:rPr>
          <w:rFonts w:cs="Arial"/>
          <w:szCs w:val="20"/>
        </w:rPr>
        <w:t xml:space="preserve">  </w:t>
      </w:r>
    </w:p>
    <w:p w14:paraId="2982C75C" w14:textId="77777777" w:rsidR="00D94510" w:rsidRPr="003D16F3" w:rsidRDefault="00D94510" w:rsidP="0041750D">
      <w:pPr>
        <w:pStyle w:val="ListParagraph"/>
        <w:numPr>
          <w:ilvl w:val="0"/>
          <w:numId w:val="11"/>
        </w:numPr>
        <w:rPr>
          <w:rFonts w:cs="Arial"/>
          <w:szCs w:val="20"/>
        </w:rPr>
      </w:pPr>
      <w:r w:rsidRPr="003D16F3">
        <w:rPr>
          <w:rFonts w:cs="Arial"/>
          <w:szCs w:val="20"/>
        </w:rPr>
        <w:t>Development of design specifications</w:t>
      </w:r>
      <w:r w:rsidR="0026040F" w:rsidRPr="003D16F3">
        <w:rPr>
          <w:rFonts w:cs="Arial"/>
          <w:szCs w:val="20"/>
        </w:rPr>
        <w:t>: These need to incorporate the specification from the above section</w:t>
      </w:r>
      <w:r w:rsidR="00F202BF" w:rsidRPr="003D16F3">
        <w:rPr>
          <w:rFonts w:cs="Arial"/>
          <w:szCs w:val="20"/>
        </w:rPr>
        <w:t>s</w:t>
      </w:r>
      <w:r w:rsidR="0026040F" w:rsidRPr="003D16F3">
        <w:rPr>
          <w:rFonts w:cs="Arial"/>
          <w:szCs w:val="20"/>
        </w:rPr>
        <w:t xml:space="preserve">, </w:t>
      </w:r>
      <w:r w:rsidRPr="003D16F3">
        <w:rPr>
          <w:rFonts w:cs="Arial"/>
          <w:szCs w:val="20"/>
        </w:rPr>
        <w:t xml:space="preserve">indicative of </w:t>
      </w:r>
      <w:r w:rsidR="00F202BF" w:rsidRPr="003D16F3">
        <w:rPr>
          <w:rFonts w:cs="Arial"/>
          <w:szCs w:val="20"/>
        </w:rPr>
        <w:t xml:space="preserve">precinct </w:t>
      </w:r>
      <w:r w:rsidRPr="003D16F3">
        <w:rPr>
          <w:rFonts w:cs="Arial"/>
          <w:szCs w:val="20"/>
        </w:rPr>
        <w:t>additionality at various scales and in various contexts</w:t>
      </w:r>
      <w:r w:rsidR="00F202BF" w:rsidRPr="003D16F3">
        <w:rPr>
          <w:rFonts w:cs="Arial"/>
          <w:szCs w:val="20"/>
        </w:rPr>
        <w:t>, as well as best practice environmental design</w:t>
      </w:r>
      <w:r w:rsidRPr="003D16F3">
        <w:rPr>
          <w:rFonts w:cs="Arial"/>
          <w:szCs w:val="20"/>
        </w:rPr>
        <w:t>.</w:t>
      </w:r>
      <w:r w:rsidR="00F202BF" w:rsidRPr="003D16F3">
        <w:rPr>
          <w:rFonts w:cs="Arial"/>
          <w:szCs w:val="20"/>
        </w:rPr>
        <w:t xml:space="preserve"> Effectively the municipal government must begin to codify the desired design outcomes and how they will be incorporated into a legal framework for property law.  </w:t>
      </w:r>
      <w:r w:rsidRPr="003D16F3">
        <w:rPr>
          <w:rFonts w:cs="Arial"/>
          <w:szCs w:val="20"/>
        </w:rPr>
        <w:t xml:space="preserve"> </w:t>
      </w:r>
    </w:p>
    <w:p w14:paraId="1926CAF9" w14:textId="42BCFA8C" w:rsidR="00D94510" w:rsidRPr="003D16F3" w:rsidRDefault="00D94510" w:rsidP="0041750D">
      <w:pPr>
        <w:pStyle w:val="ListParagraph"/>
        <w:numPr>
          <w:ilvl w:val="0"/>
          <w:numId w:val="11"/>
        </w:numPr>
        <w:rPr>
          <w:rFonts w:cs="Arial"/>
          <w:szCs w:val="20"/>
        </w:rPr>
      </w:pPr>
      <w:r w:rsidRPr="003D16F3">
        <w:rPr>
          <w:rFonts w:cs="Arial"/>
          <w:szCs w:val="20"/>
        </w:rPr>
        <w:t>Political de-risking (local and municipal)</w:t>
      </w:r>
      <w:r w:rsidR="00F202BF" w:rsidRPr="003D16F3">
        <w:rPr>
          <w:rFonts w:cs="Arial"/>
          <w:szCs w:val="20"/>
        </w:rPr>
        <w:t xml:space="preserve">: Given that </w:t>
      </w:r>
      <w:proofErr w:type="gramStart"/>
      <w:r w:rsidR="00F202BF" w:rsidRPr="003D16F3">
        <w:rPr>
          <w:rFonts w:cs="Arial"/>
          <w:szCs w:val="20"/>
        </w:rPr>
        <w:t>all new objectives must be passed by e</w:t>
      </w:r>
      <w:r w:rsidR="003B70C5" w:rsidRPr="003D16F3">
        <w:rPr>
          <w:rFonts w:cs="Arial"/>
          <w:szCs w:val="20"/>
        </w:rPr>
        <w:t>lected representatives</w:t>
      </w:r>
      <w:proofErr w:type="gramEnd"/>
      <w:r w:rsidR="003B70C5" w:rsidRPr="003D16F3">
        <w:rPr>
          <w:rFonts w:cs="Arial"/>
          <w:szCs w:val="20"/>
        </w:rPr>
        <w:t xml:space="preserve">, political de-risking of any new process is necessary. Increases in density, changing neighbourhood character, </w:t>
      </w:r>
      <w:proofErr w:type="gramStart"/>
      <w:r w:rsidR="003B70C5" w:rsidRPr="003D16F3">
        <w:rPr>
          <w:rFonts w:cs="Arial"/>
          <w:szCs w:val="20"/>
        </w:rPr>
        <w:t>additional</w:t>
      </w:r>
      <w:proofErr w:type="gramEnd"/>
      <w:r w:rsidR="003B70C5" w:rsidRPr="003D16F3">
        <w:rPr>
          <w:rFonts w:cs="Arial"/>
          <w:szCs w:val="20"/>
        </w:rPr>
        <w:t xml:space="preserve"> vehicles are some of the most contentious issues in municipal governance. Therefore, any project that seeks to change property law to ultimately promote higher densities needs to be sensitive to the political environment. </w:t>
      </w:r>
      <w:r w:rsidR="00BB2408" w:rsidRPr="003D16F3">
        <w:rPr>
          <w:rFonts w:cs="Arial"/>
          <w:szCs w:val="20"/>
        </w:rPr>
        <w:t xml:space="preserve">Due to this an effectively engagement strategy is required. The community aspect of this is elaborated on below, however engagement also needs to be conducted at the state level (to ensure municipal officers that they are not working on their own) and at the councillor level, to ensure that fears are allayed and that the project will ultimately have political support.  </w:t>
      </w:r>
      <w:r w:rsidR="003B70C5" w:rsidRPr="003D16F3">
        <w:rPr>
          <w:rFonts w:cs="Arial"/>
          <w:szCs w:val="20"/>
        </w:rPr>
        <w:t xml:space="preserve"> </w:t>
      </w:r>
      <w:r w:rsidR="00F202BF" w:rsidRPr="003D16F3">
        <w:rPr>
          <w:rFonts w:cs="Arial"/>
          <w:szCs w:val="20"/>
        </w:rPr>
        <w:t xml:space="preserve">  </w:t>
      </w:r>
    </w:p>
    <w:p w14:paraId="00456EEE" w14:textId="77777777" w:rsidR="00D94510" w:rsidRPr="003D16F3" w:rsidRDefault="00BB2408" w:rsidP="0041750D">
      <w:pPr>
        <w:pStyle w:val="ListParagraph"/>
        <w:numPr>
          <w:ilvl w:val="0"/>
          <w:numId w:val="11"/>
        </w:numPr>
        <w:rPr>
          <w:rFonts w:cs="Arial"/>
          <w:szCs w:val="20"/>
        </w:rPr>
      </w:pPr>
      <w:r w:rsidRPr="003D16F3">
        <w:rPr>
          <w:rFonts w:cs="Arial"/>
          <w:szCs w:val="20"/>
        </w:rPr>
        <w:t xml:space="preserve">Community </w:t>
      </w:r>
      <w:r w:rsidR="00D94510" w:rsidRPr="003D16F3">
        <w:rPr>
          <w:rFonts w:cs="Arial"/>
          <w:szCs w:val="20"/>
        </w:rPr>
        <w:t>Engage</w:t>
      </w:r>
      <w:r w:rsidRPr="003D16F3">
        <w:rPr>
          <w:rFonts w:cs="Arial"/>
          <w:szCs w:val="20"/>
        </w:rPr>
        <w:t>ment strategy: The success of the project rests on the process being passed as municipal policy and law as well as community uptake. This requires many levels of engagement.</w:t>
      </w:r>
    </w:p>
    <w:p w14:paraId="02BD43FB" w14:textId="77777777" w:rsidR="00BB2408" w:rsidRPr="003D16F3" w:rsidRDefault="00BB2408" w:rsidP="0041750D">
      <w:pPr>
        <w:pStyle w:val="ListParagraph"/>
        <w:numPr>
          <w:ilvl w:val="1"/>
          <w:numId w:val="11"/>
        </w:numPr>
        <w:rPr>
          <w:rFonts w:cs="Arial"/>
          <w:szCs w:val="20"/>
        </w:rPr>
      </w:pPr>
      <w:r w:rsidRPr="003D16F3">
        <w:rPr>
          <w:rFonts w:cs="Arial"/>
          <w:szCs w:val="20"/>
        </w:rPr>
        <w:t>Engagement required by law prior to changing laws and policy.</w:t>
      </w:r>
    </w:p>
    <w:p w14:paraId="31E5AB69" w14:textId="77777777" w:rsidR="00BB2408" w:rsidRPr="003D16F3" w:rsidRDefault="00BB2408" w:rsidP="0041750D">
      <w:pPr>
        <w:pStyle w:val="ListParagraph"/>
        <w:numPr>
          <w:ilvl w:val="1"/>
          <w:numId w:val="11"/>
        </w:numPr>
        <w:rPr>
          <w:rFonts w:cs="Arial"/>
          <w:szCs w:val="20"/>
        </w:rPr>
      </w:pPr>
      <w:r w:rsidRPr="003D16F3">
        <w:rPr>
          <w:rFonts w:cs="Arial"/>
          <w:szCs w:val="20"/>
        </w:rPr>
        <w:t xml:space="preserve">Having community champions assist with the development of the program </w:t>
      </w:r>
    </w:p>
    <w:p w14:paraId="52ED97F9" w14:textId="77777777" w:rsidR="00BB2408" w:rsidRPr="003D16F3" w:rsidRDefault="00BB2408" w:rsidP="0041750D">
      <w:pPr>
        <w:pStyle w:val="ListParagraph"/>
        <w:numPr>
          <w:ilvl w:val="1"/>
          <w:numId w:val="11"/>
        </w:numPr>
        <w:rPr>
          <w:rFonts w:cs="Arial"/>
          <w:szCs w:val="20"/>
        </w:rPr>
      </w:pPr>
      <w:r w:rsidRPr="003D16F3">
        <w:rPr>
          <w:rFonts w:cs="Arial"/>
          <w:szCs w:val="20"/>
        </w:rPr>
        <w:t>Getting community consultation on the locations and additionalities of precincts.</w:t>
      </w:r>
    </w:p>
    <w:p w14:paraId="7FEC1849" w14:textId="77777777" w:rsidR="00BB2408" w:rsidRPr="003D16F3" w:rsidRDefault="00BB2408" w:rsidP="0041750D">
      <w:pPr>
        <w:pStyle w:val="ListParagraph"/>
        <w:numPr>
          <w:ilvl w:val="1"/>
          <w:numId w:val="11"/>
        </w:numPr>
        <w:rPr>
          <w:rFonts w:cs="Arial"/>
          <w:szCs w:val="20"/>
        </w:rPr>
      </w:pPr>
      <w:r w:rsidRPr="003D16F3">
        <w:rPr>
          <w:rFonts w:cs="Arial"/>
          <w:szCs w:val="20"/>
        </w:rPr>
        <w:t xml:space="preserve">Developing the range of engagements, from municipal wide to street-by-street, that will ultimately produce precinct scale regeneration on-the-ground. </w:t>
      </w:r>
    </w:p>
    <w:p w14:paraId="1F6CB589" w14:textId="4F524757" w:rsidR="00BB2408" w:rsidRPr="003D16F3" w:rsidRDefault="00BB2408" w:rsidP="0041750D">
      <w:pPr>
        <w:pStyle w:val="ListParagraph"/>
        <w:numPr>
          <w:ilvl w:val="0"/>
          <w:numId w:val="11"/>
        </w:numPr>
        <w:rPr>
          <w:rFonts w:cs="Arial"/>
          <w:szCs w:val="20"/>
        </w:rPr>
      </w:pPr>
      <w:r w:rsidRPr="003D16F3">
        <w:rPr>
          <w:rFonts w:cs="Arial"/>
          <w:szCs w:val="20"/>
        </w:rPr>
        <w:t xml:space="preserve">Packing all of the above as a </w:t>
      </w:r>
      <w:r w:rsidR="00FF0D54" w:rsidRPr="003D16F3">
        <w:rPr>
          <w:rFonts w:cs="Arial"/>
          <w:szCs w:val="20"/>
        </w:rPr>
        <w:t>systematic</w:t>
      </w:r>
      <w:r w:rsidRPr="003D16F3">
        <w:rPr>
          <w:rFonts w:cs="Arial"/>
          <w:szCs w:val="20"/>
        </w:rPr>
        <w:t xml:space="preserve"> </w:t>
      </w:r>
      <w:r w:rsidR="00FF0D54" w:rsidRPr="003D16F3">
        <w:rPr>
          <w:rFonts w:cs="Arial"/>
          <w:szCs w:val="20"/>
        </w:rPr>
        <w:t>package available</w:t>
      </w:r>
      <w:r w:rsidRPr="003D16F3">
        <w:rPr>
          <w:rFonts w:cs="Arial"/>
          <w:szCs w:val="20"/>
        </w:rPr>
        <w:t xml:space="preserve"> to landowners and implementable by municipal officers. </w:t>
      </w:r>
    </w:p>
    <w:p w14:paraId="287D1CEA" w14:textId="77777777" w:rsidR="00D94510" w:rsidRPr="00314DDB" w:rsidRDefault="00D94510" w:rsidP="0041750D">
      <w:pPr>
        <w:rPr>
          <w:rFonts w:cs="Arial"/>
          <w:szCs w:val="20"/>
        </w:rPr>
      </w:pPr>
    </w:p>
    <w:p w14:paraId="62CB162C" w14:textId="7A94DDCE" w:rsidR="002F3E61" w:rsidRPr="00314DDB" w:rsidRDefault="00AB5B46" w:rsidP="0041750D">
      <w:pPr>
        <w:rPr>
          <w:rFonts w:cs="Arial"/>
          <w:szCs w:val="20"/>
        </w:rPr>
      </w:pPr>
      <w:r w:rsidRPr="00314DDB">
        <w:rPr>
          <w:rFonts w:cs="Arial"/>
          <w:szCs w:val="20"/>
        </w:rPr>
        <w:t>Ongoing work with the test municipality has seen us jointly develop:</w:t>
      </w:r>
    </w:p>
    <w:p w14:paraId="3C0E1382" w14:textId="23BAE61C" w:rsidR="00AB5B46" w:rsidRPr="00314DDB" w:rsidRDefault="00AB5B46" w:rsidP="0041750D">
      <w:pPr>
        <w:pStyle w:val="ListParagraph"/>
        <w:numPr>
          <w:ilvl w:val="0"/>
          <w:numId w:val="8"/>
        </w:numPr>
        <w:rPr>
          <w:rFonts w:cs="Arial"/>
          <w:szCs w:val="20"/>
        </w:rPr>
      </w:pPr>
      <w:r w:rsidRPr="00314DDB">
        <w:rPr>
          <w:rFonts w:cs="Arial"/>
          <w:szCs w:val="20"/>
        </w:rPr>
        <w:t xml:space="preserve">A community engagement methodology: this is based largely around the engagement processes of the municipality and has already occurred at the broad municipal level. Decisions are underway with </w:t>
      </w:r>
      <w:r w:rsidR="00FF0D54" w:rsidRPr="00314DDB">
        <w:rPr>
          <w:rFonts w:cs="Arial"/>
          <w:szCs w:val="20"/>
        </w:rPr>
        <w:t>regard</w:t>
      </w:r>
      <w:r w:rsidRPr="00314DDB">
        <w:rPr>
          <w:rFonts w:cs="Arial"/>
          <w:szCs w:val="20"/>
        </w:rPr>
        <w:t xml:space="preserve"> to the methodology for intimate landowner discussions.</w:t>
      </w:r>
    </w:p>
    <w:p w14:paraId="12E8C225" w14:textId="613BAE74" w:rsidR="00AB5B46" w:rsidRPr="00314DDB" w:rsidRDefault="00AB5B46" w:rsidP="0041750D">
      <w:pPr>
        <w:pStyle w:val="ListParagraph"/>
        <w:numPr>
          <w:ilvl w:val="0"/>
          <w:numId w:val="8"/>
        </w:numPr>
        <w:rPr>
          <w:rFonts w:cs="Arial"/>
          <w:szCs w:val="20"/>
        </w:rPr>
      </w:pPr>
      <w:r w:rsidRPr="00314DDB">
        <w:rPr>
          <w:rFonts w:cs="Arial"/>
          <w:szCs w:val="20"/>
        </w:rPr>
        <w:t xml:space="preserve">Local policy commitment: The project has now been included in the Maroondah housing strategy and has been linked to directly resolving issues including </w:t>
      </w:r>
      <w:r w:rsidR="00FF0D54" w:rsidRPr="00314DDB">
        <w:rPr>
          <w:rFonts w:cs="Arial"/>
          <w:szCs w:val="20"/>
        </w:rPr>
        <w:t>infrastructure</w:t>
      </w:r>
      <w:r w:rsidRPr="00314DDB">
        <w:rPr>
          <w:rFonts w:cs="Arial"/>
          <w:szCs w:val="20"/>
        </w:rPr>
        <w:t xml:space="preserve"> </w:t>
      </w:r>
      <w:r w:rsidR="00FF0D54" w:rsidRPr="00314DDB">
        <w:rPr>
          <w:rFonts w:cs="Arial"/>
          <w:szCs w:val="20"/>
        </w:rPr>
        <w:t>provisions</w:t>
      </w:r>
      <w:r w:rsidRPr="00314DDB">
        <w:rPr>
          <w:rFonts w:cs="Arial"/>
          <w:szCs w:val="20"/>
        </w:rPr>
        <w:t>, affordable housing and public open space</w:t>
      </w:r>
      <w:r w:rsidR="00821371">
        <w:rPr>
          <w:rFonts w:cs="Arial"/>
          <w:szCs w:val="20"/>
        </w:rPr>
        <w:t xml:space="preserve"> </w:t>
      </w:r>
      <w:r w:rsidR="00821371">
        <w:rPr>
          <w:rFonts w:cs="Arial"/>
          <w:szCs w:val="20"/>
        </w:rPr>
        <w:fldChar w:fldCharType="begin"/>
      </w:r>
      <w:r w:rsidR="00B3236F">
        <w:rPr>
          <w:rFonts w:cs="Arial"/>
          <w:szCs w:val="20"/>
        </w:rPr>
        <w:instrText xml:space="preserve"> ADDIN EN.CITE &lt;EndNote&gt;&lt;Cite&gt;&lt;Author&gt;Maroondah City Council&lt;/Author&gt;&lt;Year&gt;2016&lt;/Year&gt;&lt;RecNum&gt;366&lt;/RecNum&gt;&lt;DisplayText&gt;(Maroondah City Council, 2016)&lt;/DisplayText&gt;&lt;record&gt;&lt;rec-number&gt;366&lt;/rec-number&gt;&lt;foreign-keys&gt;&lt;key app="EN" db-id="5ae2fdermwpr2ceeapzpfaftrzts9tfdvwwd" timestamp="1463974095"&gt;366&lt;/key&gt;&lt;/foreign-keys&gt;&lt;ref-type name="Report"&gt;27&lt;/ref-type&gt;&lt;contributors&gt;&lt;authors&gt;&lt;author&gt;Maroondah City Council,&lt;/author&gt;&lt;/authors&gt;&lt;/contributors&gt;&lt;titles&gt;&lt;title&gt;Maroondah Housing Strategy&lt;/title&gt;&lt;/titles&gt;&lt;dates&gt;&lt;year&gt;2016&lt;/year&gt;&lt;/dates&gt;&lt;pub-location&gt;Maroondah&lt;/pub-location&gt;&lt;publisher&gt;Maroondah City Council&lt;/publisher&gt;&lt;urls&gt;&lt;/urls&gt;&lt;/record&gt;&lt;/Cite&gt;&lt;/EndNote&gt;</w:instrText>
      </w:r>
      <w:r w:rsidR="00821371">
        <w:rPr>
          <w:rFonts w:cs="Arial"/>
          <w:szCs w:val="20"/>
        </w:rPr>
        <w:fldChar w:fldCharType="separate"/>
      </w:r>
      <w:r w:rsidR="00B3236F">
        <w:rPr>
          <w:rFonts w:cs="Arial"/>
          <w:noProof/>
          <w:szCs w:val="20"/>
        </w:rPr>
        <w:t>(Maroondah City Council, 2016)</w:t>
      </w:r>
      <w:r w:rsidR="00821371">
        <w:rPr>
          <w:rFonts w:cs="Arial"/>
          <w:szCs w:val="20"/>
        </w:rPr>
        <w:fldChar w:fldCharType="end"/>
      </w:r>
      <w:r w:rsidRPr="00314DDB">
        <w:rPr>
          <w:rFonts w:cs="Arial"/>
          <w:szCs w:val="20"/>
        </w:rPr>
        <w:t>.</w:t>
      </w:r>
    </w:p>
    <w:p w14:paraId="5F51A710" w14:textId="566F2AF6" w:rsidR="00AB5B46" w:rsidRPr="00314DDB" w:rsidRDefault="00AB5B46" w:rsidP="0041750D">
      <w:pPr>
        <w:pStyle w:val="ListParagraph"/>
        <w:numPr>
          <w:ilvl w:val="0"/>
          <w:numId w:val="8"/>
        </w:numPr>
        <w:rPr>
          <w:rFonts w:cs="Arial"/>
          <w:szCs w:val="20"/>
        </w:rPr>
      </w:pPr>
      <w:r w:rsidRPr="00314DDB">
        <w:rPr>
          <w:rFonts w:cs="Arial"/>
          <w:szCs w:val="20"/>
        </w:rPr>
        <w:t xml:space="preserve">A transparent process development history: </w:t>
      </w:r>
      <w:r w:rsidR="00F87259" w:rsidRPr="00314DDB">
        <w:rPr>
          <w:rFonts w:cs="Arial"/>
          <w:szCs w:val="20"/>
        </w:rPr>
        <w:t>T</w:t>
      </w:r>
      <w:r w:rsidRPr="00314DDB">
        <w:rPr>
          <w:rFonts w:cs="Arial"/>
          <w:szCs w:val="20"/>
        </w:rPr>
        <w:t xml:space="preserve">his is a body of work that illustrates the </w:t>
      </w:r>
      <w:r w:rsidR="00FF0D54" w:rsidRPr="00314DDB">
        <w:rPr>
          <w:rFonts w:cs="Arial"/>
          <w:szCs w:val="20"/>
        </w:rPr>
        <w:t>rationale</w:t>
      </w:r>
      <w:r w:rsidRPr="00314DDB">
        <w:rPr>
          <w:rFonts w:cs="Arial"/>
          <w:szCs w:val="20"/>
        </w:rPr>
        <w:t xml:space="preserve"> for statutory change to the state administrative body; including the relevant inputs form community members and local officers.</w:t>
      </w:r>
    </w:p>
    <w:p w14:paraId="5E828486" w14:textId="2985A0A1" w:rsidR="0041210B" w:rsidRPr="00314DDB" w:rsidRDefault="00AB5B46" w:rsidP="0041750D">
      <w:pPr>
        <w:pStyle w:val="ListParagraph"/>
        <w:numPr>
          <w:ilvl w:val="0"/>
          <w:numId w:val="8"/>
        </w:numPr>
        <w:rPr>
          <w:rFonts w:cs="Arial"/>
          <w:szCs w:val="20"/>
        </w:rPr>
      </w:pPr>
      <w:r w:rsidRPr="00314DDB">
        <w:rPr>
          <w:rFonts w:cs="Arial"/>
          <w:szCs w:val="20"/>
        </w:rPr>
        <w:t>All of</w:t>
      </w:r>
      <w:r w:rsidR="00F87259" w:rsidRPr="00314DDB">
        <w:rPr>
          <w:rFonts w:cs="Arial"/>
          <w:szCs w:val="20"/>
        </w:rPr>
        <w:t xml:space="preserve"> (local) government processes: T</w:t>
      </w:r>
      <w:r w:rsidRPr="00314DDB">
        <w:rPr>
          <w:rFonts w:cs="Arial"/>
          <w:szCs w:val="20"/>
        </w:rPr>
        <w:t xml:space="preserve">hese workshop processes, where all relevant local officers (planning, engineering, strategy, assets, </w:t>
      </w:r>
      <w:r w:rsidR="0041210B" w:rsidRPr="00314DDB">
        <w:rPr>
          <w:rFonts w:cs="Arial"/>
          <w:szCs w:val="20"/>
        </w:rPr>
        <w:t xml:space="preserve">open space, </w:t>
      </w:r>
      <w:r w:rsidRPr="00314DDB">
        <w:rPr>
          <w:rFonts w:cs="Arial"/>
          <w:szCs w:val="20"/>
        </w:rPr>
        <w:t>social planning and so forth)</w:t>
      </w:r>
      <w:r w:rsidR="0041210B" w:rsidRPr="00314DDB">
        <w:rPr>
          <w:rFonts w:cs="Arial"/>
          <w:szCs w:val="20"/>
        </w:rPr>
        <w:t xml:space="preserve">, have allowed the project to identity areas where </w:t>
      </w:r>
      <w:r w:rsidR="00F87259" w:rsidRPr="00314DDB">
        <w:rPr>
          <w:rFonts w:cs="Arial"/>
          <w:szCs w:val="20"/>
        </w:rPr>
        <w:t>context</w:t>
      </w:r>
      <w:r w:rsidR="0041210B" w:rsidRPr="00314DDB">
        <w:rPr>
          <w:rFonts w:cs="Arial"/>
          <w:szCs w:val="20"/>
        </w:rPr>
        <w:t xml:space="preserve"> specific precinct additionality has been identified. This has produced maps highlighting the areas most in need of additional capacity, many of which overlapped bet</w:t>
      </w:r>
      <w:r w:rsidR="00F87259" w:rsidRPr="00314DDB">
        <w:rPr>
          <w:rFonts w:cs="Arial"/>
          <w:szCs w:val="20"/>
        </w:rPr>
        <w:t xml:space="preserve">ween </w:t>
      </w:r>
      <w:r w:rsidR="0041210B" w:rsidRPr="00314DDB">
        <w:rPr>
          <w:rFonts w:cs="Arial"/>
          <w:szCs w:val="20"/>
        </w:rPr>
        <w:t>departm</w:t>
      </w:r>
      <w:r w:rsidR="00F87259" w:rsidRPr="00314DDB">
        <w:rPr>
          <w:rFonts w:cs="Arial"/>
          <w:szCs w:val="20"/>
        </w:rPr>
        <w:t xml:space="preserve">ental </w:t>
      </w:r>
      <w:r w:rsidR="0041210B" w:rsidRPr="00314DDB">
        <w:rPr>
          <w:rFonts w:cs="Arial"/>
          <w:szCs w:val="20"/>
        </w:rPr>
        <w:t>func</w:t>
      </w:r>
      <w:r w:rsidR="00F87259" w:rsidRPr="00314DDB">
        <w:rPr>
          <w:rFonts w:cs="Arial"/>
          <w:szCs w:val="20"/>
        </w:rPr>
        <w:t>tions</w:t>
      </w:r>
      <w:r w:rsidR="0041210B" w:rsidRPr="00314DDB">
        <w:rPr>
          <w:rFonts w:cs="Arial"/>
          <w:szCs w:val="20"/>
        </w:rPr>
        <w:t>.</w:t>
      </w:r>
    </w:p>
    <w:p w14:paraId="2FA4CF72" w14:textId="71810DB3" w:rsidR="00AB5B46" w:rsidRPr="00314DDB" w:rsidRDefault="0041210B" w:rsidP="0041750D">
      <w:pPr>
        <w:pStyle w:val="ListParagraph"/>
        <w:numPr>
          <w:ilvl w:val="0"/>
          <w:numId w:val="8"/>
        </w:numPr>
        <w:rPr>
          <w:rFonts w:cs="Arial"/>
          <w:szCs w:val="20"/>
        </w:rPr>
      </w:pPr>
      <w:r w:rsidRPr="00314DDB">
        <w:rPr>
          <w:rFonts w:cs="Arial"/>
          <w:szCs w:val="20"/>
        </w:rPr>
        <w:t xml:space="preserve">Commitment to rezone: the local government has committed to some form of statutory </w:t>
      </w:r>
      <w:r w:rsidR="00F87259" w:rsidRPr="00314DDB">
        <w:rPr>
          <w:rFonts w:cs="Arial"/>
          <w:szCs w:val="20"/>
        </w:rPr>
        <w:t>change</w:t>
      </w:r>
      <w:r w:rsidRPr="00314DDB">
        <w:rPr>
          <w:rFonts w:cs="Arial"/>
          <w:szCs w:val="20"/>
        </w:rPr>
        <w:t xml:space="preserve"> to enable </w:t>
      </w:r>
      <w:r w:rsidR="00F87259" w:rsidRPr="00314DDB">
        <w:rPr>
          <w:rFonts w:cs="Arial"/>
          <w:szCs w:val="20"/>
        </w:rPr>
        <w:t>the</w:t>
      </w:r>
      <w:r w:rsidRPr="00314DDB">
        <w:rPr>
          <w:rFonts w:cs="Arial"/>
          <w:szCs w:val="20"/>
        </w:rPr>
        <w:t xml:space="preserve"> process to occur. All that remains is to confirm the nature of this change and the specifics of the amendment.</w:t>
      </w:r>
      <w:r w:rsidR="00AB5B46" w:rsidRPr="00314DDB">
        <w:rPr>
          <w:rFonts w:cs="Arial"/>
          <w:szCs w:val="20"/>
        </w:rPr>
        <w:t xml:space="preserve">  </w:t>
      </w:r>
    </w:p>
    <w:p w14:paraId="4E77E615" w14:textId="05E45550" w:rsidR="00EC7BD9" w:rsidRPr="00314DDB" w:rsidRDefault="00EC7BD9" w:rsidP="0041750D">
      <w:pPr>
        <w:rPr>
          <w:rFonts w:cs="Arial"/>
          <w:szCs w:val="20"/>
        </w:rPr>
      </w:pPr>
    </w:p>
    <w:p w14:paraId="3F94F93D" w14:textId="7D8194CD" w:rsidR="008442C4" w:rsidRPr="00314DDB" w:rsidRDefault="003D16F3" w:rsidP="0041750D">
      <w:pPr>
        <w:rPr>
          <w:rFonts w:cs="Arial"/>
          <w:b/>
          <w:i/>
          <w:szCs w:val="20"/>
        </w:rPr>
      </w:pPr>
      <w:r>
        <w:rPr>
          <w:rFonts w:cs="Arial"/>
          <w:b/>
          <w:i/>
          <w:szCs w:val="20"/>
        </w:rPr>
        <w:t xml:space="preserve">4.4 </w:t>
      </w:r>
      <w:r w:rsidR="008442C4" w:rsidRPr="00314DDB">
        <w:rPr>
          <w:rFonts w:cs="Arial"/>
          <w:b/>
          <w:i/>
          <w:szCs w:val="20"/>
        </w:rPr>
        <w:t>State gov</w:t>
      </w:r>
      <w:r w:rsidR="00210247" w:rsidRPr="00314DDB">
        <w:rPr>
          <w:rFonts w:cs="Arial"/>
          <w:b/>
          <w:i/>
          <w:szCs w:val="20"/>
        </w:rPr>
        <w:t>ernment</w:t>
      </w:r>
    </w:p>
    <w:p w14:paraId="725EFADA" w14:textId="4E27C782" w:rsidR="00A37D37" w:rsidRPr="00314DDB" w:rsidRDefault="00286BBB" w:rsidP="0041750D">
      <w:pPr>
        <w:rPr>
          <w:rFonts w:cs="Arial"/>
          <w:szCs w:val="20"/>
        </w:rPr>
      </w:pPr>
      <w:r w:rsidRPr="00314DDB">
        <w:rPr>
          <w:rFonts w:cs="Arial"/>
          <w:szCs w:val="20"/>
        </w:rPr>
        <w:t>From a state govern</w:t>
      </w:r>
      <w:r w:rsidR="002A167C" w:rsidRPr="00314DDB">
        <w:rPr>
          <w:rFonts w:cs="Arial"/>
          <w:szCs w:val="20"/>
        </w:rPr>
        <w:t xml:space="preserve">ment </w:t>
      </w:r>
      <w:r w:rsidRPr="00314DDB">
        <w:rPr>
          <w:rFonts w:cs="Arial"/>
          <w:szCs w:val="20"/>
        </w:rPr>
        <w:t>perspective</w:t>
      </w:r>
      <w:r w:rsidR="00245508" w:rsidRPr="00314DDB">
        <w:rPr>
          <w:rFonts w:cs="Arial"/>
          <w:szCs w:val="20"/>
        </w:rPr>
        <w:t>, the Victorian Department of Environment, Land, Water and Planning</w:t>
      </w:r>
      <w:r w:rsidR="00A37D37" w:rsidRPr="00314DDB">
        <w:rPr>
          <w:rFonts w:cs="Arial"/>
          <w:szCs w:val="20"/>
        </w:rPr>
        <w:t xml:space="preserve"> have a mandate to “shape and support liveable, inclusive and sustainable communities and thriving natural en</w:t>
      </w:r>
      <w:r w:rsidR="00821371">
        <w:rPr>
          <w:rFonts w:cs="Arial"/>
          <w:szCs w:val="20"/>
        </w:rPr>
        <w:t>vironments throughout Victoria”</w:t>
      </w:r>
      <w:r w:rsidR="00A37D37" w:rsidRPr="00314DDB">
        <w:rPr>
          <w:rFonts w:cs="Arial"/>
          <w:szCs w:val="20"/>
        </w:rPr>
        <w:t>. As such they must advocate and implement policies that strategically promote sustainable communities and therefore have a vested interest in assisting</w:t>
      </w:r>
      <w:r w:rsidR="002539E3" w:rsidRPr="00314DDB">
        <w:rPr>
          <w:rFonts w:cs="Arial"/>
          <w:szCs w:val="20"/>
        </w:rPr>
        <w:t xml:space="preserve"> programs that are also actively seeking the same ends; which is their motivation for assisting with this project. However, due to the highly politicised nature of state governance, as well as the necessity of </w:t>
      </w:r>
      <w:r w:rsidR="00CF5F89" w:rsidRPr="00314DDB">
        <w:rPr>
          <w:rFonts w:cs="Arial"/>
          <w:szCs w:val="20"/>
        </w:rPr>
        <w:t>having a reliable evidence base for project support, due</w:t>
      </w:r>
      <w:r w:rsidR="00F87259" w:rsidRPr="00314DDB">
        <w:rPr>
          <w:rFonts w:cs="Arial"/>
          <w:szCs w:val="20"/>
        </w:rPr>
        <w:t>-</w:t>
      </w:r>
      <w:r w:rsidR="00CF5F89" w:rsidRPr="00314DDB">
        <w:rPr>
          <w:rFonts w:cs="Arial"/>
          <w:szCs w:val="20"/>
        </w:rPr>
        <w:t xml:space="preserve"> diligence must be performed so as not to unduly embarrass the department or show that it is supporting research not aligned with departmental methodologies</w:t>
      </w:r>
      <w:r w:rsidR="00A56BB8" w:rsidRPr="00314DDB">
        <w:rPr>
          <w:rFonts w:cs="Arial"/>
          <w:szCs w:val="20"/>
        </w:rPr>
        <w:t>.</w:t>
      </w:r>
      <w:r w:rsidR="00CF5F89" w:rsidRPr="00314DDB">
        <w:rPr>
          <w:rFonts w:cs="Arial"/>
          <w:szCs w:val="20"/>
        </w:rPr>
        <w:t xml:space="preserve"> </w:t>
      </w:r>
      <w:r w:rsidR="002539E3" w:rsidRPr="00314DDB">
        <w:rPr>
          <w:rFonts w:cs="Arial"/>
          <w:szCs w:val="20"/>
        </w:rPr>
        <w:t xml:space="preserve">  </w:t>
      </w:r>
      <w:r w:rsidR="00A37D37" w:rsidRPr="00314DDB">
        <w:rPr>
          <w:rFonts w:cs="Arial"/>
          <w:szCs w:val="20"/>
        </w:rPr>
        <w:t xml:space="preserve">  </w:t>
      </w:r>
    </w:p>
    <w:p w14:paraId="275142C2" w14:textId="2D4FEDCF" w:rsidR="00286BBB" w:rsidRPr="00314DDB" w:rsidRDefault="00A37D37" w:rsidP="0041750D">
      <w:pPr>
        <w:rPr>
          <w:rFonts w:cs="Arial"/>
          <w:szCs w:val="20"/>
        </w:rPr>
      </w:pPr>
      <w:r w:rsidRPr="00314DDB">
        <w:rPr>
          <w:rFonts w:cs="Arial"/>
          <w:szCs w:val="20"/>
        </w:rPr>
        <w:t xml:space="preserve">   </w:t>
      </w:r>
      <w:r w:rsidR="00245508" w:rsidRPr="00314DDB">
        <w:rPr>
          <w:rFonts w:cs="Arial"/>
          <w:szCs w:val="20"/>
        </w:rPr>
        <w:t xml:space="preserve">  </w:t>
      </w:r>
      <w:r w:rsidR="00286BBB" w:rsidRPr="00314DDB">
        <w:rPr>
          <w:rFonts w:cs="Arial"/>
          <w:szCs w:val="20"/>
        </w:rPr>
        <w:t xml:space="preserve"> </w:t>
      </w:r>
    </w:p>
    <w:p w14:paraId="0EEE11E2" w14:textId="0A2D6356" w:rsidR="003728B2" w:rsidRPr="00314DDB" w:rsidRDefault="0039550B" w:rsidP="0041750D">
      <w:pPr>
        <w:rPr>
          <w:rFonts w:cs="Arial"/>
          <w:szCs w:val="20"/>
        </w:rPr>
      </w:pPr>
      <w:r w:rsidRPr="00314DDB">
        <w:rPr>
          <w:rFonts w:cs="Arial"/>
          <w:szCs w:val="20"/>
        </w:rPr>
        <w:t xml:space="preserve">In the context of this project, state </w:t>
      </w:r>
      <w:r w:rsidR="00F87259" w:rsidRPr="00314DDB">
        <w:rPr>
          <w:rFonts w:cs="Arial"/>
          <w:szCs w:val="20"/>
        </w:rPr>
        <w:t>government</w:t>
      </w:r>
      <w:r w:rsidRPr="00314DDB">
        <w:rPr>
          <w:rFonts w:cs="Arial"/>
          <w:szCs w:val="20"/>
        </w:rPr>
        <w:t xml:space="preserve"> are responsible </w:t>
      </w:r>
      <w:r w:rsidR="00F87259" w:rsidRPr="00314DDB">
        <w:rPr>
          <w:rFonts w:cs="Arial"/>
          <w:szCs w:val="20"/>
        </w:rPr>
        <w:t>primarily</w:t>
      </w:r>
      <w:r w:rsidRPr="00314DDB">
        <w:rPr>
          <w:rFonts w:cs="Arial"/>
          <w:szCs w:val="20"/>
        </w:rPr>
        <w:t xml:space="preserve"> for assuring the scalability of the project </w:t>
      </w:r>
      <w:r w:rsidR="00F87259" w:rsidRPr="00314DDB">
        <w:rPr>
          <w:rFonts w:cs="Arial"/>
          <w:szCs w:val="20"/>
        </w:rPr>
        <w:t>outside</w:t>
      </w:r>
      <w:r w:rsidRPr="00314DDB">
        <w:rPr>
          <w:rFonts w:cs="Arial"/>
          <w:szCs w:val="20"/>
        </w:rPr>
        <w:t xml:space="preserve"> of its pilot geographical area, but more importantly for showing s</w:t>
      </w:r>
      <w:r w:rsidR="003728B2" w:rsidRPr="00314DDB">
        <w:rPr>
          <w:rFonts w:cs="Arial"/>
          <w:szCs w:val="20"/>
        </w:rPr>
        <w:t xml:space="preserve">tate </w:t>
      </w:r>
      <w:r w:rsidR="00F87259" w:rsidRPr="00314DDB">
        <w:rPr>
          <w:rFonts w:cs="Arial"/>
          <w:szCs w:val="20"/>
        </w:rPr>
        <w:t>support</w:t>
      </w:r>
      <w:r w:rsidRPr="00314DDB">
        <w:rPr>
          <w:rFonts w:cs="Arial"/>
          <w:szCs w:val="20"/>
        </w:rPr>
        <w:t xml:space="preserve"> though a</w:t>
      </w:r>
      <w:r w:rsidR="003728B2" w:rsidRPr="00314DDB">
        <w:rPr>
          <w:rFonts w:cs="Arial"/>
          <w:szCs w:val="20"/>
        </w:rPr>
        <w:t xml:space="preserve"> policy </w:t>
      </w:r>
      <w:r w:rsidR="00F87259" w:rsidRPr="00314DDB">
        <w:rPr>
          <w:rFonts w:cs="Arial"/>
          <w:szCs w:val="20"/>
        </w:rPr>
        <w:t>statement</w:t>
      </w:r>
      <w:r w:rsidRPr="00314DDB">
        <w:rPr>
          <w:rFonts w:cs="Arial"/>
          <w:szCs w:val="20"/>
        </w:rPr>
        <w:t xml:space="preserve">. Without such public support (in the form of a state policy </w:t>
      </w:r>
      <w:r w:rsidR="00F87259" w:rsidRPr="00314DDB">
        <w:rPr>
          <w:rFonts w:cs="Arial"/>
          <w:szCs w:val="20"/>
        </w:rPr>
        <w:t>directive),</w:t>
      </w:r>
      <w:r w:rsidRPr="00314DDB">
        <w:rPr>
          <w:rFonts w:cs="Arial"/>
          <w:szCs w:val="20"/>
        </w:rPr>
        <w:t xml:space="preserve"> </w:t>
      </w:r>
      <w:r w:rsidR="003728B2" w:rsidRPr="00314DDB">
        <w:rPr>
          <w:rFonts w:cs="Arial"/>
          <w:szCs w:val="20"/>
        </w:rPr>
        <w:t xml:space="preserve">local government may not have the political will to formally support the research. </w:t>
      </w:r>
      <w:r w:rsidR="00F87259" w:rsidRPr="00314DDB">
        <w:rPr>
          <w:rFonts w:cs="Arial"/>
          <w:szCs w:val="20"/>
        </w:rPr>
        <w:t>Furthermore</w:t>
      </w:r>
      <w:r w:rsidR="003728B2" w:rsidRPr="00314DDB">
        <w:rPr>
          <w:rFonts w:cs="Arial"/>
          <w:szCs w:val="20"/>
        </w:rPr>
        <w:t>, without this policy statement the municipal government will not have a significant rationale t</w:t>
      </w:r>
      <w:r w:rsidRPr="00314DDB">
        <w:rPr>
          <w:rFonts w:cs="Arial"/>
          <w:szCs w:val="20"/>
        </w:rPr>
        <w:t>o</w:t>
      </w:r>
      <w:r w:rsidR="003728B2" w:rsidRPr="00314DDB">
        <w:rPr>
          <w:rFonts w:cs="Arial"/>
          <w:szCs w:val="20"/>
        </w:rPr>
        <w:t xml:space="preserve"> provide sign</w:t>
      </w:r>
      <w:r w:rsidR="00F87259" w:rsidRPr="00314DDB">
        <w:rPr>
          <w:rFonts w:cs="Arial"/>
          <w:szCs w:val="20"/>
        </w:rPr>
        <w:t>ificant staffing to the project.</w:t>
      </w:r>
      <w:r w:rsidR="003728B2" w:rsidRPr="00314DDB">
        <w:rPr>
          <w:rFonts w:cs="Arial"/>
          <w:szCs w:val="20"/>
        </w:rPr>
        <w:t xml:space="preserve"> Effectively a policy statement at the state level is required to prov</w:t>
      </w:r>
      <w:r w:rsidRPr="00314DDB">
        <w:rPr>
          <w:rFonts w:cs="Arial"/>
          <w:szCs w:val="20"/>
        </w:rPr>
        <w:t>i</w:t>
      </w:r>
      <w:r w:rsidR="003728B2" w:rsidRPr="00314DDB">
        <w:rPr>
          <w:rFonts w:cs="Arial"/>
          <w:szCs w:val="20"/>
        </w:rPr>
        <w:t xml:space="preserve">de the municipality with the </w:t>
      </w:r>
      <w:r w:rsidR="002E5754" w:rsidRPr="00314DDB">
        <w:rPr>
          <w:rFonts w:cs="Arial"/>
          <w:szCs w:val="20"/>
        </w:rPr>
        <w:t>imprimatur</w:t>
      </w:r>
      <w:r w:rsidRPr="00314DDB">
        <w:rPr>
          <w:rFonts w:cs="Arial"/>
          <w:szCs w:val="20"/>
        </w:rPr>
        <w:t xml:space="preserve"> to implement the project.</w:t>
      </w:r>
      <w:r w:rsidR="003728B2" w:rsidRPr="00314DDB">
        <w:rPr>
          <w:rFonts w:cs="Arial"/>
          <w:szCs w:val="20"/>
        </w:rPr>
        <w:t xml:space="preserve"> However</w:t>
      </w:r>
      <w:r w:rsidRPr="00314DDB">
        <w:rPr>
          <w:rFonts w:cs="Arial"/>
          <w:szCs w:val="20"/>
        </w:rPr>
        <w:t>, and as indicated above, in order to achieve this the project must consider the following</w:t>
      </w:r>
      <w:r w:rsidR="000D738A" w:rsidRPr="00314DDB">
        <w:rPr>
          <w:rFonts w:cs="Arial"/>
          <w:szCs w:val="20"/>
        </w:rPr>
        <w:t>:</w:t>
      </w:r>
      <w:r w:rsidRPr="00314DDB">
        <w:rPr>
          <w:rFonts w:cs="Arial"/>
          <w:szCs w:val="20"/>
        </w:rPr>
        <w:t xml:space="preserve"> </w:t>
      </w:r>
      <w:r w:rsidR="003728B2" w:rsidRPr="00314DDB">
        <w:rPr>
          <w:rFonts w:cs="Arial"/>
          <w:szCs w:val="20"/>
        </w:rPr>
        <w:t xml:space="preserve"> </w:t>
      </w:r>
    </w:p>
    <w:p w14:paraId="368106C9" w14:textId="77777777" w:rsidR="003728B2" w:rsidRPr="00314DDB" w:rsidRDefault="003728B2" w:rsidP="0041750D">
      <w:pPr>
        <w:rPr>
          <w:rFonts w:cs="Arial"/>
          <w:szCs w:val="20"/>
        </w:rPr>
      </w:pPr>
    </w:p>
    <w:p w14:paraId="1C91F5B4" w14:textId="3D4CAAA9" w:rsidR="002E293D" w:rsidRPr="003D16F3" w:rsidRDefault="00A56BB8" w:rsidP="0041750D">
      <w:pPr>
        <w:pStyle w:val="ListParagraph"/>
        <w:numPr>
          <w:ilvl w:val="0"/>
          <w:numId w:val="5"/>
        </w:numPr>
        <w:rPr>
          <w:rFonts w:cs="Arial"/>
          <w:szCs w:val="20"/>
        </w:rPr>
      </w:pPr>
      <w:r w:rsidRPr="00314DDB">
        <w:rPr>
          <w:rFonts w:cs="Arial"/>
          <w:szCs w:val="20"/>
        </w:rPr>
        <w:t xml:space="preserve">Policy alignment: </w:t>
      </w:r>
      <w:r w:rsidR="000D738A" w:rsidRPr="00314DDB">
        <w:rPr>
          <w:rFonts w:cs="Arial"/>
          <w:szCs w:val="20"/>
        </w:rPr>
        <w:t xml:space="preserve">If the project is not speaking to a specific policy in state government, and using the same </w:t>
      </w:r>
      <w:r w:rsidR="00F87259" w:rsidRPr="00314DDB">
        <w:rPr>
          <w:rFonts w:cs="Arial"/>
          <w:szCs w:val="20"/>
        </w:rPr>
        <w:t>language</w:t>
      </w:r>
      <w:r w:rsidR="000D738A" w:rsidRPr="00314DDB">
        <w:rPr>
          <w:rFonts w:cs="Arial"/>
          <w:szCs w:val="20"/>
        </w:rPr>
        <w:t xml:space="preserve"> as within state </w:t>
      </w:r>
      <w:r w:rsidR="00F87259" w:rsidRPr="00314DDB">
        <w:rPr>
          <w:rFonts w:cs="Arial"/>
          <w:szCs w:val="20"/>
        </w:rPr>
        <w:t>government</w:t>
      </w:r>
      <w:r w:rsidR="000D738A" w:rsidRPr="00314DDB">
        <w:rPr>
          <w:rFonts w:cs="Arial"/>
          <w:szCs w:val="20"/>
        </w:rPr>
        <w:t xml:space="preserve">, </w:t>
      </w:r>
      <w:r w:rsidR="00F87259" w:rsidRPr="00314DDB">
        <w:rPr>
          <w:rFonts w:cs="Arial"/>
          <w:szCs w:val="20"/>
        </w:rPr>
        <w:t>it</w:t>
      </w:r>
      <w:r w:rsidR="000D738A" w:rsidRPr="00314DDB">
        <w:rPr>
          <w:rFonts w:cs="Arial"/>
          <w:szCs w:val="20"/>
        </w:rPr>
        <w:t xml:space="preserve"> is </w:t>
      </w:r>
      <w:r w:rsidR="00F87259" w:rsidRPr="00314DDB">
        <w:rPr>
          <w:rFonts w:cs="Arial"/>
          <w:szCs w:val="20"/>
        </w:rPr>
        <w:t>unlikely</w:t>
      </w:r>
      <w:r w:rsidR="000D738A" w:rsidRPr="00314DDB">
        <w:rPr>
          <w:rFonts w:cs="Arial"/>
          <w:szCs w:val="20"/>
        </w:rPr>
        <w:t xml:space="preserve"> to be received positively</w:t>
      </w:r>
      <w:r w:rsidR="008520DD">
        <w:rPr>
          <w:rFonts w:cs="Arial"/>
          <w:szCs w:val="20"/>
        </w:rPr>
        <w:t>.</w:t>
      </w:r>
      <w:r w:rsidR="000D738A" w:rsidRPr="00314DDB">
        <w:rPr>
          <w:rFonts w:cs="Arial"/>
          <w:szCs w:val="20"/>
        </w:rPr>
        <w:t xml:space="preserve"> For example, when </w:t>
      </w:r>
      <w:r w:rsidR="008520DD">
        <w:rPr>
          <w:rFonts w:cs="Arial"/>
          <w:szCs w:val="20"/>
        </w:rPr>
        <w:t>adapting the project to the New South Wales environment, it had to be recast in terms of local policy, i.e. “the missing middle” or the lack of medium density housing locally.</w:t>
      </w:r>
      <w:r w:rsidR="000D738A" w:rsidRPr="00314DDB">
        <w:rPr>
          <w:rFonts w:cs="Arial"/>
          <w:szCs w:val="20"/>
        </w:rPr>
        <w:t xml:space="preserve"> </w:t>
      </w:r>
    </w:p>
    <w:p w14:paraId="00B7B1D0" w14:textId="7124F2D8" w:rsidR="003728B2" w:rsidRPr="003D16F3" w:rsidRDefault="00A56BB8" w:rsidP="0041750D">
      <w:pPr>
        <w:pStyle w:val="ListParagraph"/>
        <w:numPr>
          <w:ilvl w:val="0"/>
          <w:numId w:val="5"/>
        </w:numPr>
        <w:rPr>
          <w:rFonts w:cs="Arial"/>
          <w:szCs w:val="20"/>
        </w:rPr>
      </w:pPr>
      <w:r w:rsidRPr="00314DDB">
        <w:rPr>
          <w:rFonts w:cs="Arial"/>
          <w:szCs w:val="20"/>
        </w:rPr>
        <w:t xml:space="preserve">Business alignment: </w:t>
      </w:r>
      <w:r w:rsidR="00F87259" w:rsidRPr="00314DDB">
        <w:rPr>
          <w:rFonts w:cs="Arial"/>
          <w:szCs w:val="20"/>
        </w:rPr>
        <w:t>The</w:t>
      </w:r>
      <w:r w:rsidR="009839AF" w:rsidRPr="00314DDB">
        <w:rPr>
          <w:rFonts w:cs="Arial"/>
          <w:szCs w:val="20"/>
        </w:rPr>
        <w:t xml:space="preserve"> </w:t>
      </w:r>
      <w:r w:rsidR="00F87259" w:rsidRPr="00314DDB">
        <w:rPr>
          <w:rFonts w:cs="Arial"/>
          <w:szCs w:val="20"/>
        </w:rPr>
        <w:t>project</w:t>
      </w:r>
      <w:r w:rsidR="009839AF" w:rsidRPr="00314DDB">
        <w:rPr>
          <w:rFonts w:cs="Arial"/>
          <w:szCs w:val="20"/>
        </w:rPr>
        <w:t xml:space="preserve"> must adhere to existing business models, or in some way </w:t>
      </w:r>
      <w:proofErr w:type="gramStart"/>
      <w:r w:rsidR="00F87259" w:rsidRPr="00314DDB">
        <w:rPr>
          <w:rFonts w:cs="Arial"/>
          <w:szCs w:val="20"/>
        </w:rPr>
        <w:t>adapt</w:t>
      </w:r>
      <w:proofErr w:type="gramEnd"/>
      <w:r w:rsidR="009839AF" w:rsidRPr="00314DDB">
        <w:rPr>
          <w:rFonts w:cs="Arial"/>
          <w:szCs w:val="20"/>
        </w:rPr>
        <w:t xml:space="preserve"> </w:t>
      </w:r>
      <w:r w:rsidR="00F87259" w:rsidRPr="00314DDB">
        <w:rPr>
          <w:rFonts w:cs="Arial"/>
          <w:szCs w:val="20"/>
        </w:rPr>
        <w:t>existing</w:t>
      </w:r>
      <w:r w:rsidR="009839AF" w:rsidRPr="00314DDB">
        <w:rPr>
          <w:rFonts w:cs="Arial"/>
          <w:szCs w:val="20"/>
        </w:rPr>
        <w:t xml:space="preserve"> planning schemes and processes. </w:t>
      </w:r>
      <w:r w:rsidR="00BB2408" w:rsidRPr="00314DDB">
        <w:rPr>
          <w:rFonts w:cs="Arial"/>
          <w:szCs w:val="20"/>
        </w:rPr>
        <w:t xml:space="preserve"> </w:t>
      </w:r>
    </w:p>
    <w:p w14:paraId="0D0D1DBF" w14:textId="1FAF3F41" w:rsidR="008442C4" w:rsidRPr="00314DDB" w:rsidRDefault="008442C4" w:rsidP="0041750D">
      <w:pPr>
        <w:pStyle w:val="ListParagraph"/>
        <w:numPr>
          <w:ilvl w:val="0"/>
          <w:numId w:val="5"/>
        </w:numPr>
        <w:rPr>
          <w:rFonts w:cs="Arial"/>
          <w:szCs w:val="20"/>
        </w:rPr>
      </w:pPr>
      <w:r w:rsidRPr="00314DDB">
        <w:rPr>
          <w:rFonts w:cs="Arial"/>
          <w:szCs w:val="20"/>
        </w:rPr>
        <w:t>Political management and de-risking</w:t>
      </w:r>
      <w:r w:rsidR="002E5754" w:rsidRPr="00314DDB">
        <w:rPr>
          <w:rFonts w:cs="Arial"/>
          <w:szCs w:val="20"/>
        </w:rPr>
        <w:t>:</w:t>
      </w:r>
      <w:r w:rsidR="009839AF" w:rsidRPr="00314DDB">
        <w:rPr>
          <w:rFonts w:cs="Arial"/>
          <w:szCs w:val="20"/>
        </w:rPr>
        <w:t xml:space="preserve"> The project needs to provide assurance that al diligence has been taken, and that the relevant amount of community consultation </w:t>
      </w:r>
      <w:r w:rsidR="00F87259" w:rsidRPr="00314DDB">
        <w:rPr>
          <w:rFonts w:cs="Arial"/>
          <w:szCs w:val="20"/>
        </w:rPr>
        <w:t>has occurred to prove that the project</w:t>
      </w:r>
      <w:r w:rsidR="009839AF" w:rsidRPr="00314DDB">
        <w:rPr>
          <w:rFonts w:cs="Arial"/>
          <w:szCs w:val="20"/>
        </w:rPr>
        <w:t xml:space="preserve"> has </w:t>
      </w:r>
      <w:r w:rsidR="00F87259" w:rsidRPr="00314DDB">
        <w:rPr>
          <w:rFonts w:cs="Arial"/>
          <w:szCs w:val="20"/>
        </w:rPr>
        <w:t>community</w:t>
      </w:r>
      <w:r w:rsidR="009839AF" w:rsidRPr="00314DDB">
        <w:rPr>
          <w:rFonts w:cs="Arial"/>
          <w:szCs w:val="20"/>
        </w:rPr>
        <w:t xml:space="preserve"> and municipal support. </w:t>
      </w:r>
    </w:p>
    <w:p w14:paraId="601A7170" w14:textId="717EB1D9" w:rsidR="003728B2" w:rsidRPr="00314DDB" w:rsidRDefault="003728B2" w:rsidP="0041750D">
      <w:pPr>
        <w:rPr>
          <w:rFonts w:cs="Arial"/>
          <w:szCs w:val="20"/>
        </w:rPr>
      </w:pPr>
    </w:p>
    <w:p w14:paraId="633DE8A7" w14:textId="61785DD9" w:rsidR="009839AF" w:rsidRPr="00314DDB" w:rsidRDefault="0041210B" w:rsidP="0041750D">
      <w:pPr>
        <w:rPr>
          <w:rFonts w:cs="Arial"/>
          <w:szCs w:val="20"/>
        </w:rPr>
      </w:pPr>
      <w:r w:rsidRPr="00314DDB">
        <w:rPr>
          <w:rFonts w:cs="Arial"/>
          <w:szCs w:val="20"/>
        </w:rPr>
        <w:t>Ongoing work wo</w:t>
      </w:r>
      <w:r w:rsidR="008F6115" w:rsidRPr="00314DDB">
        <w:rPr>
          <w:rFonts w:cs="Arial"/>
          <w:szCs w:val="20"/>
        </w:rPr>
        <w:t>r</w:t>
      </w:r>
      <w:r w:rsidRPr="00314DDB">
        <w:rPr>
          <w:rFonts w:cs="Arial"/>
          <w:szCs w:val="20"/>
        </w:rPr>
        <w:t xml:space="preserve">th state government has seen the project be </w:t>
      </w:r>
      <w:r w:rsidR="00F87259" w:rsidRPr="00314DDB">
        <w:rPr>
          <w:rFonts w:cs="Arial"/>
          <w:szCs w:val="20"/>
        </w:rPr>
        <w:t>included</w:t>
      </w:r>
      <w:r w:rsidRPr="00314DDB">
        <w:rPr>
          <w:rFonts w:cs="Arial"/>
          <w:szCs w:val="20"/>
        </w:rPr>
        <w:t xml:space="preserve"> in the metropolitan Melbourne strategy to 2050 (ref) and the department commit </w:t>
      </w:r>
      <w:r w:rsidR="00F87259" w:rsidRPr="00314DDB">
        <w:rPr>
          <w:rFonts w:cs="Arial"/>
          <w:szCs w:val="20"/>
        </w:rPr>
        <w:t>to</w:t>
      </w:r>
      <w:r w:rsidRPr="00314DDB">
        <w:rPr>
          <w:rFonts w:cs="Arial"/>
          <w:szCs w:val="20"/>
        </w:rPr>
        <w:t xml:space="preserve"> additional resources to assist with scaling the project to additional </w:t>
      </w:r>
      <w:r w:rsidR="00F87259" w:rsidRPr="00314DDB">
        <w:rPr>
          <w:rFonts w:cs="Arial"/>
          <w:szCs w:val="20"/>
        </w:rPr>
        <w:t>municipalities</w:t>
      </w:r>
      <w:r w:rsidRPr="00314DDB">
        <w:rPr>
          <w:rFonts w:cs="Arial"/>
          <w:szCs w:val="20"/>
        </w:rPr>
        <w:t xml:space="preserve">, which will test the </w:t>
      </w:r>
      <w:r w:rsidR="00F87259" w:rsidRPr="00314DDB">
        <w:rPr>
          <w:rFonts w:cs="Arial"/>
          <w:szCs w:val="20"/>
        </w:rPr>
        <w:t>scalability</w:t>
      </w:r>
      <w:r w:rsidRPr="00314DDB">
        <w:rPr>
          <w:rFonts w:cs="Arial"/>
          <w:szCs w:val="20"/>
        </w:rPr>
        <w:t xml:space="preserve"> of the project.</w:t>
      </w:r>
    </w:p>
    <w:p w14:paraId="3B9A95B4" w14:textId="346DEB3D" w:rsidR="003728B2" w:rsidRPr="00314DDB" w:rsidRDefault="003728B2" w:rsidP="0041750D">
      <w:pPr>
        <w:rPr>
          <w:rFonts w:cs="Arial"/>
          <w:b/>
          <w:szCs w:val="20"/>
        </w:rPr>
      </w:pPr>
    </w:p>
    <w:p w14:paraId="77E65C9F" w14:textId="20224DCD" w:rsidR="003728B2" w:rsidRPr="003D16F3" w:rsidRDefault="003D16F3" w:rsidP="0041750D">
      <w:pPr>
        <w:rPr>
          <w:rFonts w:cs="Arial"/>
          <w:b/>
          <w:szCs w:val="20"/>
        </w:rPr>
      </w:pPr>
      <w:r>
        <w:rPr>
          <w:rFonts w:cs="Arial"/>
          <w:b/>
          <w:szCs w:val="20"/>
        </w:rPr>
        <w:t xml:space="preserve">5. </w:t>
      </w:r>
      <w:r w:rsidR="00821371">
        <w:rPr>
          <w:rFonts w:cs="Arial"/>
          <w:b/>
          <w:szCs w:val="20"/>
        </w:rPr>
        <w:t>Conclusion</w:t>
      </w:r>
    </w:p>
    <w:p w14:paraId="5B32BA16" w14:textId="276D7AA1" w:rsidR="000F6A8D" w:rsidRDefault="0041210B" w:rsidP="0041750D">
      <w:pPr>
        <w:rPr>
          <w:rFonts w:cs="Arial"/>
          <w:szCs w:val="20"/>
        </w:rPr>
      </w:pPr>
      <w:r w:rsidRPr="00314DDB">
        <w:rPr>
          <w:rFonts w:cs="Arial"/>
          <w:szCs w:val="20"/>
        </w:rPr>
        <w:t>As can be seen</w:t>
      </w:r>
      <w:r w:rsidR="008F6115" w:rsidRPr="00314DDB">
        <w:rPr>
          <w:rFonts w:cs="Arial"/>
          <w:szCs w:val="20"/>
        </w:rPr>
        <w:t>, the above is largely a process of ensuring vertical integration between all stakeholders</w:t>
      </w:r>
      <w:r w:rsidR="00146B6C">
        <w:rPr>
          <w:rFonts w:cs="Arial"/>
          <w:szCs w:val="20"/>
        </w:rPr>
        <w:t>, processes</w:t>
      </w:r>
      <w:r w:rsidR="00AA3C44">
        <w:rPr>
          <w:rFonts w:cs="Arial"/>
          <w:szCs w:val="20"/>
        </w:rPr>
        <w:t xml:space="preserve"> and the necessary precursors to each p</w:t>
      </w:r>
      <w:r w:rsidR="00AA3C44" w:rsidRPr="00314DDB">
        <w:rPr>
          <w:rFonts w:cs="Arial"/>
          <w:szCs w:val="20"/>
        </w:rPr>
        <w:t>rocess</w:t>
      </w:r>
      <w:r w:rsidR="008F6115" w:rsidRPr="00314DDB">
        <w:rPr>
          <w:rFonts w:cs="Arial"/>
          <w:szCs w:val="20"/>
        </w:rPr>
        <w:t xml:space="preserve">, as well as illustrating </w:t>
      </w:r>
      <w:r w:rsidR="00146B6C">
        <w:rPr>
          <w:rFonts w:cs="Arial"/>
          <w:szCs w:val="20"/>
        </w:rPr>
        <w:t xml:space="preserve">the </w:t>
      </w:r>
      <w:r w:rsidR="00582B14">
        <w:rPr>
          <w:rFonts w:cs="Arial"/>
          <w:szCs w:val="20"/>
        </w:rPr>
        <w:t xml:space="preserve">accepted </w:t>
      </w:r>
      <w:r w:rsidR="00AA3C44">
        <w:rPr>
          <w:rFonts w:cs="Arial"/>
          <w:szCs w:val="20"/>
        </w:rPr>
        <w:t>business model/narrative and</w:t>
      </w:r>
      <w:r w:rsidR="00146B6C">
        <w:rPr>
          <w:rFonts w:cs="Arial"/>
          <w:szCs w:val="20"/>
        </w:rPr>
        <w:t xml:space="preserve"> their</w:t>
      </w:r>
      <w:r w:rsidR="00AA3C44">
        <w:rPr>
          <w:rFonts w:cs="Arial"/>
          <w:szCs w:val="20"/>
        </w:rPr>
        <w:t xml:space="preserve"> rationale </w:t>
      </w:r>
      <w:r w:rsidR="00146B6C">
        <w:rPr>
          <w:rFonts w:cs="Arial"/>
          <w:szCs w:val="20"/>
        </w:rPr>
        <w:t xml:space="preserve">for </w:t>
      </w:r>
      <w:r w:rsidR="00AA3C44">
        <w:rPr>
          <w:rFonts w:cs="Arial"/>
          <w:szCs w:val="20"/>
        </w:rPr>
        <w:t>involvement.</w:t>
      </w:r>
      <w:r w:rsidR="008F6115" w:rsidRPr="00314DDB">
        <w:rPr>
          <w:rFonts w:cs="Arial"/>
          <w:szCs w:val="20"/>
        </w:rPr>
        <w:t xml:space="preserve"> What should also be evident is the iterative and intertwined aspects of these </w:t>
      </w:r>
      <w:r w:rsidR="003D16F3" w:rsidRPr="00314DDB">
        <w:rPr>
          <w:rFonts w:cs="Arial"/>
          <w:szCs w:val="20"/>
        </w:rPr>
        <w:t>developments</w:t>
      </w:r>
      <w:r w:rsidR="008F6115" w:rsidRPr="00314DDB">
        <w:rPr>
          <w:rFonts w:cs="Arial"/>
          <w:szCs w:val="20"/>
        </w:rPr>
        <w:t xml:space="preserve">; in that state </w:t>
      </w:r>
      <w:r w:rsidR="00A056A8">
        <w:rPr>
          <w:rFonts w:cs="Arial"/>
          <w:szCs w:val="20"/>
        </w:rPr>
        <w:t xml:space="preserve">government </w:t>
      </w:r>
      <w:r w:rsidR="008F6115" w:rsidRPr="00314DDB">
        <w:rPr>
          <w:rFonts w:cs="Arial"/>
          <w:szCs w:val="20"/>
        </w:rPr>
        <w:t>w</w:t>
      </w:r>
      <w:r w:rsidR="008520DD">
        <w:rPr>
          <w:rFonts w:cs="Arial"/>
          <w:szCs w:val="20"/>
        </w:rPr>
        <w:t xml:space="preserve">ill not </w:t>
      </w:r>
      <w:r w:rsidR="008F6115" w:rsidRPr="00314DDB">
        <w:rPr>
          <w:rFonts w:cs="Arial"/>
          <w:szCs w:val="20"/>
        </w:rPr>
        <w:t xml:space="preserve">commit without municipal support, municipal implementation will not come without state approval, land-owner cooperation </w:t>
      </w:r>
      <w:r w:rsidR="008520DD">
        <w:rPr>
          <w:rFonts w:cs="Arial"/>
          <w:szCs w:val="20"/>
        </w:rPr>
        <w:t>w</w:t>
      </w:r>
      <w:r w:rsidR="008F6115" w:rsidRPr="00314DDB">
        <w:rPr>
          <w:rFonts w:cs="Arial"/>
          <w:szCs w:val="20"/>
        </w:rPr>
        <w:t>ill not commence without a mun</w:t>
      </w:r>
      <w:r w:rsidR="00582B14">
        <w:rPr>
          <w:rFonts w:cs="Arial"/>
          <w:szCs w:val="20"/>
        </w:rPr>
        <w:t xml:space="preserve">icipal process, </w:t>
      </w:r>
      <w:r w:rsidR="00A41DD3">
        <w:rPr>
          <w:rFonts w:cs="Arial"/>
          <w:szCs w:val="20"/>
        </w:rPr>
        <w:t xml:space="preserve">which </w:t>
      </w:r>
      <w:r w:rsidR="00582B14">
        <w:rPr>
          <w:rFonts w:cs="Arial"/>
          <w:szCs w:val="20"/>
        </w:rPr>
        <w:t>will n</w:t>
      </w:r>
      <w:r w:rsidR="008F6115" w:rsidRPr="00314DDB">
        <w:rPr>
          <w:rFonts w:cs="Arial"/>
          <w:szCs w:val="20"/>
        </w:rPr>
        <w:t>o</w:t>
      </w:r>
      <w:r w:rsidR="00582B14">
        <w:rPr>
          <w:rFonts w:cs="Arial"/>
          <w:szCs w:val="20"/>
        </w:rPr>
        <w:t>t</w:t>
      </w:r>
      <w:r w:rsidR="008F6115" w:rsidRPr="00314DDB">
        <w:rPr>
          <w:rFonts w:cs="Arial"/>
          <w:szCs w:val="20"/>
        </w:rPr>
        <w:t xml:space="preserve"> be established without land-owner and </w:t>
      </w:r>
      <w:r w:rsidR="003D16F3">
        <w:rPr>
          <w:rFonts w:cs="Arial"/>
          <w:szCs w:val="20"/>
        </w:rPr>
        <w:t xml:space="preserve">community </w:t>
      </w:r>
      <w:r w:rsidR="008F6115" w:rsidRPr="00314DDB">
        <w:rPr>
          <w:rFonts w:cs="Arial"/>
          <w:szCs w:val="20"/>
        </w:rPr>
        <w:t>commitment.</w:t>
      </w:r>
      <w:r w:rsidR="00AA3C44">
        <w:rPr>
          <w:rFonts w:cs="Arial"/>
          <w:szCs w:val="20"/>
        </w:rPr>
        <w:t xml:space="preserve"> </w:t>
      </w:r>
      <w:r w:rsidR="00A41DD3">
        <w:rPr>
          <w:rFonts w:cs="Arial"/>
          <w:szCs w:val="20"/>
        </w:rPr>
        <w:t xml:space="preserve">Effectively every process is dependent on another, but in a cyclic, rather than a linear fashion, which has the capacity to generate a ‘stalemate’. </w:t>
      </w:r>
      <w:r w:rsidR="00AA3C44">
        <w:rPr>
          <w:rFonts w:cs="Arial"/>
          <w:szCs w:val="20"/>
        </w:rPr>
        <w:t xml:space="preserve">Rather than seeing this </w:t>
      </w:r>
      <w:r w:rsidR="00AB69D1">
        <w:rPr>
          <w:rFonts w:cs="Arial"/>
          <w:szCs w:val="20"/>
        </w:rPr>
        <w:t xml:space="preserve">interdependence </w:t>
      </w:r>
      <w:r w:rsidR="00AA3C44">
        <w:rPr>
          <w:rFonts w:cs="Arial"/>
          <w:szCs w:val="20"/>
        </w:rPr>
        <w:t>as a blockage to any progress,</w:t>
      </w:r>
      <w:r w:rsidR="00AB69D1">
        <w:rPr>
          <w:rFonts w:cs="Arial"/>
          <w:szCs w:val="20"/>
        </w:rPr>
        <w:t xml:space="preserve"> it is here that the </w:t>
      </w:r>
      <w:r w:rsidR="00A41DD3">
        <w:rPr>
          <w:rFonts w:cs="Arial"/>
          <w:szCs w:val="20"/>
        </w:rPr>
        <w:t xml:space="preserve">engagement process must </w:t>
      </w:r>
      <w:r w:rsidR="00AB69D1">
        <w:rPr>
          <w:rFonts w:cs="Arial"/>
          <w:szCs w:val="20"/>
        </w:rPr>
        <w:t>begin</w:t>
      </w:r>
      <w:proofErr w:type="gramStart"/>
      <w:r w:rsidR="00AB69D1">
        <w:rPr>
          <w:rFonts w:cs="Arial"/>
          <w:szCs w:val="20"/>
        </w:rPr>
        <w:t>;</w:t>
      </w:r>
      <w:proofErr w:type="gramEnd"/>
      <w:r w:rsidR="00AB69D1">
        <w:rPr>
          <w:rFonts w:cs="Arial"/>
          <w:szCs w:val="20"/>
        </w:rPr>
        <w:t xml:space="preserve"> by identifying all the above</w:t>
      </w:r>
      <w:r w:rsidR="00A41DD3">
        <w:rPr>
          <w:rFonts w:cs="Arial"/>
          <w:szCs w:val="20"/>
        </w:rPr>
        <w:t xml:space="preserve"> inter-dependencies.</w:t>
      </w:r>
    </w:p>
    <w:p w14:paraId="25DF8538" w14:textId="77777777" w:rsidR="000F6A8D" w:rsidRDefault="000F6A8D" w:rsidP="0041750D">
      <w:pPr>
        <w:rPr>
          <w:rFonts w:cs="Arial"/>
          <w:szCs w:val="20"/>
        </w:rPr>
      </w:pPr>
    </w:p>
    <w:p w14:paraId="49A059C5" w14:textId="77777777" w:rsidR="00F80A05" w:rsidRDefault="000F6A8D" w:rsidP="0041750D">
      <w:pPr>
        <w:rPr>
          <w:rFonts w:cs="Arial"/>
          <w:szCs w:val="20"/>
        </w:rPr>
      </w:pPr>
      <w:r>
        <w:rPr>
          <w:rFonts w:cs="Arial"/>
          <w:szCs w:val="20"/>
        </w:rPr>
        <w:t xml:space="preserve">What this </w:t>
      </w:r>
      <w:r w:rsidR="00A41DD3">
        <w:rPr>
          <w:rFonts w:cs="Arial"/>
          <w:szCs w:val="20"/>
        </w:rPr>
        <w:t xml:space="preserve">produces </w:t>
      </w:r>
      <w:r>
        <w:rPr>
          <w:rFonts w:cs="Arial"/>
          <w:szCs w:val="20"/>
        </w:rPr>
        <w:t xml:space="preserve">to </w:t>
      </w:r>
      <w:r w:rsidR="00A41DD3">
        <w:rPr>
          <w:rFonts w:cs="Arial"/>
          <w:szCs w:val="20"/>
        </w:rPr>
        <w:t xml:space="preserve">a system map </w:t>
      </w:r>
      <w:r w:rsidR="00A86E30">
        <w:rPr>
          <w:rFonts w:cs="Arial"/>
          <w:szCs w:val="20"/>
        </w:rPr>
        <w:t xml:space="preserve">of </w:t>
      </w:r>
      <w:r>
        <w:rPr>
          <w:rFonts w:cs="Arial"/>
          <w:szCs w:val="20"/>
        </w:rPr>
        <w:t>each player</w:t>
      </w:r>
      <w:r w:rsidR="00A86E30">
        <w:rPr>
          <w:rFonts w:cs="Arial"/>
          <w:szCs w:val="20"/>
        </w:rPr>
        <w:t xml:space="preserve"> and their reliance on each other</w:t>
      </w:r>
      <w:r>
        <w:rPr>
          <w:rFonts w:cs="Arial"/>
          <w:szCs w:val="20"/>
        </w:rPr>
        <w:t>, which then indicates what needs to be done within each institution to support any new “step-change” process.</w:t>
      </w:r>
      <w:r w:rsidR="00D9314E">
        <w:rPr>
          <w:rFonts w:cs="Arial"/>
          <w:szCs w:val="20"/>
        </w:rPr>
        <w:t xml:space="preserve"> By working through the requirements of each organisation, and adjusting the research so that it includes the business models and logics of th</w:t>
      </w:r>
      <w:r w:rsidR="00A41DD3">
        <w:rPr>
          <w:rFonts w:cs="Arial"/>
          <w:szCs w:val="20"/>
        </w:rPr>
        <w:t xml:space="preserve">ose </w:t>
      </w:r>
      <w:r w:rsidR="00D9314E">
        <w:rPr>
          <w:rFonts w:cs="Arial"/>
          <w:szCs w:val="20"/>
        </w:rPr>
        <w:t xml:space="preserve">authorities, a pathway </w:t>
      </w:r>
      <w:r w:rsidR="00A41DD3">
        <w:rPr>
          <w:rFonts w:cs="Arial"/>
          <w:szCs w:val="20"/>
        </w:rPr>
        <w:t>through all regulative bodies allowing decisions at the grass-roots level to have effect.</w:t>
      </w:r>
    </w:p>
    <w:p w14:paraId="5DF60BC4" w14:textId="77777777" w:rsidR="00F80A05" w:rsidRDefault="00F80A05" w:rsidP="0041750D">
      <w:pPr>
        <w:rPr>
          <w:rFonts w:cs="Arial"/>
          <w:szCs w:val="20"/>
        </w:rPr>
      </w:pPr>
    </w:p>
    <w:p w14:paraId="3D37657A" w14:textId="77777777" w:rsidR="00412109" w:rsidRDefault="00F80A05" w:rsidP="0041750D">
      <w:pPr>
        <w:rPr>
          <w:rFonts w:cs="Arial"/>
          <w:szCs w:val="20"/>
        </w:rPr>
      </w:pPr>
      <w:r>
        <w:rPr>
          <w:rFonts w:cs="Arial"/>
          <w:szCs w:val="20"/>
        </w:rPr>
        <w:t xml:space="preserve">Given that Greening the Greyfields set out to be a system where landowners could commit their properties to more effective urban regeneration, the geo-identification software, precinct visualisation and assessment software and the macro-economic modelling were simply a precursor to integration exercise. Aligning the full stack of players has, to date, taken three years and will take </w:t>
      </w:r>
      <w:r w:rsidR="0023568F">
        <w:rPr>
          <w:rFonts w:cs="Arial"/>
          <w:szCs w:val="20"/>
        </w:rPr>
        <w:t xml:space="preserve">at least another one to finish. </w:t>
      </w:r>
      <w:r w:rsidR="0036565D">
        <w:rPr>
          <w:rFonts w:cs="Arial"/>
          <w:szCs w:val="20"/>
        </w:rPr>
        <w:t>Notwithstanding, w</w:t>
      </w:r>
      <w:r>
        <w:rPr>
          <w:rFonts w:cs="Arial"/>
          <w:szCs w:val="20"/>
        </w:rPr>
        <w:t xml:space="preserve">e are now at a point where state government has openly endorsed the project as metropolitan policy, local government has ratified the process as part of their housing strategy, as well as committed to rezoning, and community members are designing the process narrative as well as its pilot locations and outcomes. </w:t>
      </w:r>
      <w:r w:rsidR="0023568F">
        <w:rPr>
          <w:rFonts w:cs="Arial"/>
          <w:szCs w:val="20"/>
        </w:rPr>
        <w:t xml:space="preserve">As such, with only the design and viability aspects of the project left before we move into the rezoning process, we are now at the point where we can actively commence </w:t>
      </w:r>
      <w:proofErr w:type="gramStart"/>
      <w:r w:rsidR="0023568F">
        <w:rPr>
          <w:rFonts w:cs="Arial"/>
          <w:szCs w:val="20"/>
        </w:rPr>
        <w:t>land-owner</w:t>
      </w:r>
      <w:proofErr w:type="gramEnd"/>
      <w:r w:rsidR="0023568F">
        <w:rPr>
          <w:rFonts w:cs="Arial"/>
          <w:szCs w:val="20"/>
        </w:rPr>
        <w:t xml:space="preserve"> engagement</w:t>
      </w:r>
      <w:r w:rsidR="0036565D">
        <w:rPr>
          <w:rFonts w:cs="Arial"/>
          <w:szCs w:val="20"/>
        </w:rPr>
        <w:t xml:space="preserve">. However, rather than going into the field to advise the community or to obtain information on hypothetical scenarios, we are entering this last stage with the full knowledge that any decisions made at the landowner level have the capacity to go well beyond discussion and into effect. </w:t>
      </w:r>
    </w:p>
    <w:p w14:paraId="64278CF4" w14:textId="77777777" w:rsidR="00412109" w:rsidRDefault="00412109" w:rsidP="0041750D">
      <w:pPr>
        <w:rPr>
          <w:rFonts w:cs="Arial"/>
          <w:szCs w:val="20"/>
        </w:rPr>
      </w:pPr>
    </w:p>
    <w:p w14:paraId="5EFDF408" w14:textId="299FE4FC" w:rsidR="00B73263" w:rsidRPr="00412109" w:rsidRDefault="00412109" w:rsidP="0041750D">
      <w:pPr>
        <w:rPr>
          <w:rFonts w:cs="Arial"/>
          <w:b/>
          <w:szCs w:val="20"/>
        </w:rPr>
      </w:pPr>
      <w:r w:rsidRPr="00412109">
        <w:rPr>
          <w:rFonts w:cs="Arial"/>
          <w:b/>
          <w:szCs w:val="20"/>
        </w:rPr>
        <w:t>Acknowledgements</w:t>
      </w:r>
      <w:r w:rsidR="0036565D" w:rsidRPr="00412109">
        <w:rPr>
          <w:rFonts w:cs="Arial"/>
          <w:b/>
          <w:szCs w:val="20"/>
        </w:rPr>
        <w:t xml:space="preserve"> </w:t>
      </w:r>
      <w:r w:rsidR="00F80A05" w:rsidRPr="00412109">
        <w:rPr>
          <w:rFonts w:cs="Arial"/>
          <w:b/>
          <w:szCs w:val="20"/>
        </w:rPr>
        <w:t xml:space="preserve"> </w:t>
      </w:r>
    </w:p>
    <w:p w14:paraId="25E1A68C" w14:textId="340E0C5A" w:rsidR="00B73263" w:rsidRDefault="00412109" w:rsidP="0041750D">
      <w:pPr>
        <w:rPr>
          <w:rFonts w:cs="Arial"/>
          <w:szCs w:val="20"/>
        </w:rPr>
      </w:pPr>
      <w:r>
        <w:rPr>
          <w:rFonts w:cs="Arial"/>
          <w:szCs w:val="20"/>
        </w:rPr>
        <w:t xml:space="preserve">We gratefully acknowledge the funding and commitment to this research from the Cooperative Research Centre for Spatial Information, the Cooperative Research Centre for Low carbon Living, the Victorian Department of Environment, Land, Water and Planning, The New South Wales Office of Environment and Heritage, Maroondah City Council and Blacktown City Council.  </w:t>
      </w:r>
    </w:p>
    <w:p w14:paraId="4777E8E9" w14:textId="77777777" w:rsidR="00F36C44" w:rsidRDefault="00F36C44">
      <w:pPr>
        <w:spacing w:after="160" w:line="259" w:lineRule="auto"/>
        <w:rPr>
          <w:rFonts w:cs="Arial"/>
          <w:b/>
          <w:szCs w:val="20"/>
        </w:rPr>
      </w:pPr>
      <w:r>
        <w:rPr>
          <w:rFonts w:cs="Arial"/>
          <w:b/>
          <w:szCs w:val="20"/>
        </w:rPr>
        <w:br w:type="page"/>
      </w:r>
    </w:p>
    <w:p w14:paraId="507E5730" w14:textId="724B2283" w:rsidR="00F36C44" w:rsidRDefault="00F36C44" w:rsidP="0041750D">
      <w:pPr>
        <w:rPr>
          <w:rFonts w:cs="Arial"/>
          <w:b/>
          <w:szCs w:val="20"/>
        </w:rPr>
      </w:pPr>
      <w:r w:rsidRPr="00F36C44">
        <w:rPr>
          <w:rFonts w:cs="Arial"/>
          <w:b/>
          <w:szCs w:val="20"/>
        </w:rPr>
        <w:t>References</w:t>
      </w:r>
    </w:p>
    <w:p w14:paraId="72CE6023" w14:textId="77777777" w:rsidR="00F36C44" w:rsidRPr="00F36C44" w:rsidRDefault="00F36C44" w:rsidP="0041750D">
      <w:pPr>
        <w:rPr>
          <w:rFonts w:cs="Arial"/>
          <w:b/>
          <w:szCs w:val="20"/>
        </w:rPr>
      </w:pPr>
    </w:p>
    <w:p w14:paraId="5D5D8322" w14:textId="77777777" w:rsidR="00A83DF4" w:rsidRPr="00A83DF4" w:rsidRDefault="00B73263" w:rsidP="00A83DF4">
      <w:pPr>
        <w:pStyle w:val="EndNoteBibliography"/>
        <w:ind w:left="720" w:hanging="720"/>
      </w:pPr>
      <w:r>
        <w:rPr>
          <w:szCs w:val="20"/>
        </w:rPr>
        <w:fldChar w:fldCharType="begin"/>
      </w:r>
      <w:r>
        <w:rPr>
          <w:szCs w:val="20"/>
        </w:rPr>
        <w:instrText xml:space="preserve"> ADDIN EN.REFLIST </w:instrText>
      </w:r>
      <w:r>
        <w:rPr>
          <w:szCs w:val="20"/>
        </w:rPr>
        <w:fldChar w:fldCharType="separate"/>
      </w:r>
      <w:r w:rsidR="00A83DF4" w:rsidRPr="00A83DF4">
        <w:t xml:space="preserve">Bond S and Thompson-Fawcett M. (2007) Public Participation and New Urbanism: A Conflicting Agenda. </w:t>
      </w:r>
      <w:r w:rsidR="00A83DF4" w:rsidRPr="00A83DF4">
        <w:rPr>
          <w:i/>
        </w:rPr>
        <w:t>Planning Theory and Practice</w:t>
      </w:r>
      <w:r w:rsidR="00A83DF4" w:rsidRPr="00A83DF4">
        <w:t xml:space="preserve"> 8: 449-472.</w:t>
      </w:r>
    </w:p>
    <w:p w14:paraId="5D8D8C01" w14:textId="77777777" w:rsidR="00A83DF4" w:rsidRPr="00A83DF4" w:rsidRDefault="00A83DF4" w:rsidP="00A83DF4">
      <w:pPr>
        <w:pStyle w:val="EndNoteBibliography"/>
        <w:ind w:left="720" w:hanging="720"/>
      </w:pPr>
      <w:r w:rsidRPr="00A83DF4">
        <w:t xml:space="preserve">Cavaye J. (2004) Governance and community engagement – the Australian experience. In: Lovan WR, Murray M and Shaffer R (eds) </w:t>
      </w:r>
      <w:r w:rsidRPr="00A83DF4">
        <w:rPr>
          <w:i/>
        </w:rPr>
        <w:t>Participatory Governance: Planning, Conflict Mediation and Public Decision Making in Civil Society.</w:t>
      </w:r>
      <w:r w:rsidRPr="00A83DF4">
        <w:t xml:space="preserve"> London: Ashgate, 85-102.</w:t>
      </w:r>
    </w:p>
    <w:p w14:paraId="45AC1DDB" w14:textId="77777777" w:rsidR="00A83DF4" w:rsidRPr="00A83DF4" w:rsidRDefault="00A83DF4" w:rsidP="00A83DF4">
      <w:pPr>
        <w:pStyle w:val="EndNoteBibliography"/>
        <w:ind w:left="720" w:hanging="720"/>
      </w:pPr>
      <w:r w:rsidRPr="00A83DF4">
        <w:t>Department of Environment Land Water and Planning. (2015) Plan Melbourne Refresh Discussion Paper. Melbourne: Victorian Government.</w:t>
      </w:r>
    </w:p>
    <w:p w14:paraId="2C810921" w14:textId="77777777" w:rsidR="00A83DF4" w:rsidRPr="00A83DF4" w:rsidRDefault="00A83DF4" w:rsidP="00A83DF4">
      <w:pPr>
        <w:pStyle w:val="EndNoteBibliography"/>
        <w:ind w:left="720" w:hanging="720"/>
      </w:pPr>
      <w:r w:rsidRPr="00A83DF4">
        <w:t>Department of Planning &amp; Environment. (2014) A Plan for Growing Sydney. Sydney.</w:t>
      </w:r>
    </w:p>
    <w:p w14:paraId="01052354" w14:textId="77777777" w:rsidR="00A83DF4" w:rsidRPr="00A83DF4" w:rsidRDefault="00A83DF4" w:rsidP="00A83DF4">
      <w:pPr>
        <w:pStyle w:val="EndNoteBibliography"/>
        <w:ind w:left="720" w:hanging="720"/>
      </w:pPr>
      <w:r w:rsidRPr="00A83DF4">
        <w:t>Department of Planning and Local Government. (2010) The Thirty Year Plan for Greater Adelaide. Adelaide.</w:t>
      </w:r>
    </w:p>
    <w:p w14:paraId="67C542D5" w14:textId="77777777" w:rsidR="00A83DF4" w:rsidRPr="00A83DF4" w:rsidRDefault="00A83DF4" w:rsidP="00A83DF4">
      <w:pPr>
        <w:pStyle w:val="EndNoteBibliography"/>
        <w:ind w:left="720" w:hanging="720"/>
      </w:pPr>
      <w:r w:rsidRPr="00A83DF4">
        <w:t xml:space="preserve">Eversole R. (2012) Remaking Participation: Challenges for Community Development Practice. </w:t>
      </w:r>
      <w:r w:rsidRPr="00A83DF4">
        <w:rPr>
          <w:i/>
        </w:rPr>
        <w:t>Community Development Journal</w:t>
      </w:r>
      <w:r w:rsidRPr="00A83DF4">
        <w:t xml:space="preserve"> 47: 29-41.</w:t>
      </w:r>
    </w:p>
    <w:p w14:paraId="7BDDBA3C" w14:textId="77777777" w:rsidR="00A83DF4" w:rsidRPr="00A83DF4" w:rsidRDefault="00A83DF4" w:rsidP="00A83DF4">
      <w:pPr>
        <w:pStyle w:val="EndNoteBibliography"/>
        <w:ind w:left="720" w:hanging="720"/>
      </w:pPr>
      <w:r w:rsidRPr="00A83DF4">
        <w:t xml:space="preserve">Glackin S. (2013) Redeveloping the Greyfields with ENVISION: Using Participatory Support Systems to Reduce Urban Sprawl in Australia. </w:t>
      </w:r>
      <w:r w:rsidRPr="00A83DF4">
        <w:rPr>
          <w:i/>
        </w:rPr>
        <w:t>European Journal of Geography</w:t>
      </w:r>
      <w:r w:rsidRPr="00A83DF4">
        <w:t xml:space="preserve"> 3: 6-22.</w:t>
      </w:r>
    </w:p>
    <w:p w14:paraId="49DC0D1C" w14:textId="77777777" w:rsidR="00A83DF4" w:rsidRPr="00A83DF4" w:rsidRDefault="00A83DF4" w:rsidP="00A83DF4">
      <w:pPr>
        <w:pStyle w:val="EndNoteBibliography"/>
        <w:ind w:left="720" w:hanging="720"/>
      </w:pPr>
      <w:r w:rsidRPr="00A83DF4">
        <w:t xml:space="preserve">Glackin S and Dionisio MR. (2016) 'Deep engagement' and urban regeneration: tea, trust, and the quest for co-design at precinct scale. </w:t>
      </w:r>
      <w:r w:rsidRPr="00A83DF4">
        <w:rPr>
          <w:i/>
        </w:rPr>
        <w:t>Land Use Policy</w:t>
      </w:r>
      <w:r w:rsidRPr="00A83DF4">
        <w:t xml:space="preserve"> 52: 363-373.</w:t>
      </w:r>
    </w:p>
    <w:p w14:paraId="49F793D9" w14:textId="77777777" w:rsidR="00A83DF4" w:rsidRPr="00A83DF4" w:rsidRDefault="00A83DF4" w:rsidP="00A83DF4">
      <w:pPr>
        <w:pStyle w:val="EndNoteBibliography"/>
        <w:ind w:left="720" w:hanging="720"/>
      </w:pPr>
      <w:r w:rsidRPr="00A83DF4">
        <w:t xml:space="preserve">Glackin S and Newton P. (2015) Engaging the greyfields: community engagement and co-design in residential redevelopment of public housing. In: Leshinsky R and Legacy C (eds) </w:t>
      </w:r>
      <w:r w:rsidRPr="00A83DF4">
        <w:rPr>
          <w:i/>
        </w:rPr>
        <w:t>Instruments of Planning: Tensions and Challenges for more Equitable and Sustainable Cities.</w:t>
      </w:r>
      <w:r w:rsidRPr="00A83DF4">
        <w:t xml:space="preserve"> Routlegde: New York.</w:t>
      </w:r>
    </w:p>
    <w:p w14:paraId="2355D301" w14:textId="77777777" w:rsidR="00A83DF4" w:rsidRPr="00A83DF4" w:rsidRDefault="00A83DF4" w:rsidP="00A83DF4">
      <w:pPr>
        <w:pStyle w:val="EndNoteBibliography"/>
        <w:ind w:left="720" w:hanging="720"/>
      </w:pPr>
      <w:r w:rsidRPr="00A83DF4">
        <w:t xml:space="preserve">Glackin S and Trubka R. (2015) Interdisciplinary Tools to Enable Middle Suburb Regeneration. </w:t>
      </w:r>
      <w:r w:rsidRPr="00A83DF4">
        <w:rPr>
          <w:i/>
        </w:rPr>
        <w:t>State fo Australian Cities.</w:t>
      </w:r>
      <w:r w:rsidRPr="00A83DF4">
        <w:t xml:space="preserve"> Gold Coast, Queensland.</w:t>
      </w:r>
    </w:p>
    <w:p w14:paraId="63989757" w14:textId="77777777" w:rsidR="00A83DF4" w:rsidRPr="00A83DF4" w:rsidRDefault="00A83DF4" w:rsidP="00A83DF4">
      <w:pPr>
        <w:pStyle w:val="EndNoteBibliography"/>
        <w:ind w:left="720" w:hanging="720"/>
      </w:pPr>
      <w:r w:rsidRPr="00A83DF4">
        <w:t xml:space="preserve">Glackin S, Trubka R and Dionisio MR. (2016) A Software-Aided Workflow for Precinct scale Residential Redevelopment. </w:t>
      </w:r>
      <w:r w:rsidRPr="00A83DF4">
        <w:rPr>
          <w:i/>
        </w:rPr>
        <w:t>Environmental Impact Assessment Review</w:t>
      </w:r>
      <w:r w:rsidRPr="00A83DF4">
        <w:t xml:space="preserve"> 60: 1-15.</w:t>
      </w:r>
    </w:p>
    <w:p w14:paraId="70481948" w14:textId="77777777" w:rsidR="00A83DF4" w:rsidRPr="00A83DF4" w:rsidRDefault="00A83DF4" w:rsidP="00A83DF4">
      <w:pPr>
        <w:pStyle w:val="EndNoteBibliography"/>
        <w:ind w:left="720" w:hanging="720"/>
      </w:pPr>
      <w:r w:rsidRPr="00A83DF4">
        <w:t>Herriman J. (2011) Local Government and Community Engagement in Australia. Working Paper No 5. Australian Centre of Excellence for Local Government: University of Technology Sydney.</w:t>
      </w:r>
    </w:p>
    <w:p w14:paraId="0216DD6A" w14:textId="5D8CFEF2" w:rsidR="00A83DF4" w:rsidRPr="00A83DF4" w:rsidRDefault="00A83DF4" w:rsidP="00A83DF4">
      <w:pPr>
        <w:pStyle w:val="EndNoteBibliography"/>
        <w:ind w:left="720" w:hanging="720"/>
      </w:pPr>
      <w:r w:rsidRPr="00A83DF4">
        <w:t xml:space="preserve">IAP2. (2015) </w:t>
      </w:r>
      <w:r w:rsidRPr="00A83DF4">
        <w:rPr>
          <w:i/>
        </w:rPr>
        <w:t>IAP2 official website</w:t>
      </w:r>
      <w:r w:rsidRPr="00A83DF4">
        <w:t xml:space="preserve">. Available at: </w:t>
      </w:r>
      <w:hyperlink r:id="rId14" w:history="1">
        <w:r w:rsidRPr="00A83DF4">
          <w:rPr>
            <w:rStyle w:val="Hyperlink"/>
          </w:rPr>
          <w:t>http://www.iap2.org.au/</w:t>
        </w:r>
      </w:hyperlink>
      <w:r w:rsidRPr="00A83DF4">
        <w:t>.</w:t>
      </w:r>
    </w:p>
    <w:p w14:paraId="16F4A44A" w14:textId="77777777" w:rsidR="00A83DF4" w:rsidRPr="00A83DF4" w:rsidRDefault="00A83DF4" w:rsidP="00A83DF4">
      <w:pPr>
        <w:pStyle w:val="EndNoteBibliography"/>
        <w:ind w:left="720" w:hanging="720"/>
      </w:pPr>
      <w:r w:rsidRPr="00A83DF4">
        <w:t>Kelly JF. (2010) Cities: Who Decides? Melbourne: The Grattan Institute.</w:t>
      </w:r>
    </w:p>
    <w:p w14:paraId="7DB23540" w14:textId="77777777" w:rsidR="00A83DF4" w:rsidRPr="00A83DF4" w:rsidRDefault="00A83DF4" w:rsidP="00A83DF4">
      <w:pPr>
        <w:pStyle w:val="EndNoteBibliography"/>
        <w:ind w:left="720" w:hanging="720"/>
      </w:pPr>
      <w:r w:rsidRPr="00A83DF4">
        <w:t>Maroondah City Council. (2016) Maroondah Housing Strategy. Maroondah: Maroondah City Council.</w:t>
      </w:r>
    </w:p>
    <w:p w14:paraId="12948DE6" w14:textId="77777777" w:rsidR="00A83DF4" w:rsidRPr="00A83DF4" w:rsidRDefault="00A83DF4" w:rsidP="00A83DF4">
      <w:pPr>
        <w:pStyle w:val="EndNoteBibliography"/>
        <w:ind w:left="720" w:hanging="720"/>
      </w:pPr>
      <w:r w:rsidRPr="00A83DF4">
        <w:t xml:space="preserve">Newman P, Beatley T and Boyer H. (2009) </w:t>
      </w:r>
      <w:r w:rsidRPr="00A83DF4">
        <w:rPr>
          <w:i/>
        </w:rPr>
        <w:t xml:space="preserve">Resilient Cities: Responding to Peak Oil and Climate Change, </w:t>
      </w:r>
      <w:r w:rsidRPr="00A83DF4">
        <w:t>Washington: Island Press.</w:t>
      </w:r>
    </w:p>
    <w:p w14:paraId="74847397" w14:textId="77777777" w:rsidR="00A83DF4" w:rsidRPr="00A83DF4" w:rsidRDefault="00A83DF4" w:rsidP="00A83DF4">
      <w:pPr>
        <w:pStyle w:val="EndNoteBibliography"/>
        <w:ind w:left="720" w:hanging="720"/>
      </w:pPr>
      <w:r w:rsidRPr="00A83DF4">
        <w:t xml:space="preserve">Newton P. (2010) Beyond Greenfield and Brownfield: The Challenge of Regenerating Australia's Greyfield Suburbs. </w:t>
      </w:r>
      <w:r w:rsidRPr="00A83DF4">
        <w:rPr>
          <w:i/>
        </w:rPr>
        <w:t>Built Environment</w:t>
      </w:r>
      <w:r w:rsidRPr="00A83DF4">
        <w:t xml:space="preserve"> 36: 81-103.</w:t>
      </w:r>
    </w:p>
    <w:p w14:paraId="79ECACA1" w14:textId="77777777" w:rsidR="00A83DF4" w:rsidRPr="00A83DF4" w:rsidRDefault="00A83DF4" w:rsidP="00A83DF4">
      <w:pPr>
        <w:pStyle w:val="EndNoteBibliography"/>
        <w:ind w:left="720" w:hanging="720"/>
      </w:pPr>
      <w:r w:rsidRPr="00A83DF4">
        <w:t xml:space="preserve">Newton P and Glackin S. (2013) Using Geo-spatial Techniques as Stakeholder Engagement Tools in Urban Planning and Development. </w:t>
      </w:r>
      <w:r w:rsidRPr="00A83DF4">
        <w:rPr>
          <w:i/>
        </w:rPr>
        <w:t>Built Environment</w:t>
      </w:r>
      <w:r w:rsidRPr="00A83DF4">
        <w:t xml:space="preserve"> 39: 473-501.</w:t>
      </w:r>
    </w:p>
    <w:p w14:paraId="5CA1C14F" w14:textId="77777777" w:rsidR="00A83DF4" w:rsidRPr="00A83DF4" w:rsidRDefault="00A83DF4" w:rsidP="00A83DF4">
      <w:pPr>
        <w:pStyle w:val="EndNoteBibliography"/>
        <w:ind w:left="720" w:hanging="720"/>
      </w:pPr>
      <w:r w:rsidRPr="00A83DF4">
        <w:t xml:space="preserve">Newton P and Glackin S. (2014) Understanding Infill: Towards New Policy and Practice for Urban Regeneration in the Established Suburbs of Australia's Cities. </w:t>
      </w:r>
      <w:r w:rsidRPr="00A83DF4">
        <w:rPr>
          <w:i/>
        </w:rPr>
        <w:t>Urban Policy and Research</w:t>
      </w:r>
      <w:r w:rsidRPr="00A83DF4">
        <w:t xml:space="preserve"> In Press.</w:t>
      </w:r>
    </w:p>
    <w:p w14:paraId="43BF6CE8" w14:textId="77777777" w:rsidR="00A83DF4" w:rsidRPr="00A83DF4" w:rsidRDefault="00A83DF4" w:rsidP="00A83DF4">
      <w:pPr>
        <w:pStyle w:val="EndNoteBibliography"/>
        <w:ind w:left="720" w:hanging="720"/>
      </w:pPr>
      <w:r w:rsidRPr="00A83DF4">
        <w:t xml:space="preserve">Newton P, Murray S, Wakefield R, et al. (2011) </w:t>
      </w:r>
      <w:r w:rsidRPr="00A83DF4">
        <w:rPr>
          <w:i/>
        </w:rPr>
        <w:t xml:space="preserve">Towards a New Development Model for Housing Regeneration in Greyfield Residential Precincts, </w:t>
      </w:r>
      <w:r w:rsidRPr="00A83DF4">
        <w:t>Melbourne: Australian Housing and Urban Research Institute (AHURI).</w:t>
      </w:r>
    </w:p>
    <w:p w14:paraId="100D0850" w14:textId="77777777" w:rsidR="00A83DF4" w:rsidRPr="00A83DF4" w:rsidRDefault="00A83DF4" w:rsidP="00A83DF4">
      <w:pPr>
        <w:pStyle w:val="EndNoteBibliography"/>
        <w:ind w:left="720" w:hanging="720"/>
      </w:pPr>
      <w:r w:rsidRPr="00A83DF4">
        <w:t xml:space="preserve">Newton P, Newman P, Glackin S, et al. (2012) Greening the Greyfields: Unlocking the Redevelopment Potential of the Middle Suburbs in Australian Cities. </w:t>
      </w:r>
      <w:r w:rsidRPr="00A83DF4">
        <w:rPr>
          <w:i/>
        </w:rPr>
        <w:t>International Conference on Urban Planning and Regional Development.</w:t>
      </w:r>
      <w:r w:rsidRPr="00A83DF4">
        <w:t xml:space="preserve"> Venice.</w:t>
      </w:r>
    </w:p>
    <w:p w14:paraId="5FA5C4A6" w14:textId="77777777" w:rsidR="00A83DF4" w:rsidRPr="00A83DF4" w:rsidRDefault="00A83DF4" w:rsidP="00A83DF4">
      <w:pPr>
        <w:pStyle w:val="EndNoteBibliography"/>
        <w:ind w:left="720" w:hanging="720"/>
      </w:pPr>
      <w:r w:rsidRPr="00A83DF4">
        <w:t xml:space="preserve">Potts R, Vella K, Dale A, et al. (2014) Exploring the usefulness of structural-functional approaches to analyse governance of planning systems </w:t>
      </w:r>
      <w:r w:rsidRPr="00A83DF4">
        <w:rPr>
          <w:i/>
        </w:rPr>
        <w:t>Planning Theory</w:t>
      </w:r>
      <w:r w:rsidRPr="00A83DF4">
        <w:t xml:space="preserve"> 15: 162-189.</w:t>
      </w:r>
    </w:p>
    <w:p w14:paraId="725E9326" w14:textId="77777777" w:rsidR="00A83DF4" w:rsidRPr="00A83DF4" w:rsidRDefault="00A83DF4" w:rsidP="00A83DF4">
      <w:pPr>
        <w:pStyle w:val="EndNoteBibliography"/>
        <w:ind w:left="720" w:hanging="720"/>
      </w:pPr>
      <w:r w:rsidRPr="00A83DF4">
        <w:t xml:space="preserve">Reddel T and Woolcock G. (2004) From Consultation to Participatory Governance? A Critical Review of Citizen Engagement Strategies in Queensland. </w:t>
      </w:r>
      <w:r w:rsidRPr="00A83DF4">
        <w:rPr>
          <w:i/>
        </w:rPr>
        <w:t>Australian Journal of Public Administration</w:t>
      </w:r>
      <w:r w:rsidRPr="00A83DF4">
        <w:t xml:space="preserve"> 63: 75-87.</w:t>
      </w:r>
    </w:p>
    <w:p w14:paraId="03FAC8D1" w14:textId="77777777" w:rsidR="00A83DF4" w:rsidRPr="00A83DF4" w:rsidRDefault="00A83DF4" w:rsidP="00A83DF4">
      <w:pPr>
        <w:pStyle w:val="EndNoteBibliography"/>
        <w:ind w:left="720" w:hanging="720"/>
      </w:pPr>
      <w:r w:rsidRPr="00A83DF4">
        <w:t>The Victorian Department of Environment Land Water and Planning. (2017) Plan Melbourne 2017. Melbourne: Victorian Government.</w:t>
      </w:r>
    </w:p>
    <w:p w14:paraId="1DB6FB5D" w14:textId="77777777" w:rsidR="00A83DF4" w:rsidRPr="00A83DF4" w:rsidRDefault="00A83DF4" w:rsidP="00A83DF4">
      <w:pPr>
        <w:pStyle w:val="EndNoteBibliography"/>
        <w:ind w:left="720" w:hanging="720"/>
      </w:pPr>
      <w:r w:rsidRPr="00A83DF4">
        <w:t xml:space="preserve">Trubka R and Glackin S. (2016) Modeling Housing Typologies for Urban Redevelopment Scenario Planning. </w:t>
      </w:r>
      <w:r w:rsidRPr="00A83DF4">
        <w:rPr>
          <w:i/>
        </w:rPr>
        <w:t>Computers, Environment and Urban Systems</w:t>
      </w:r>
      <w:r w:rsidRPr="00A83DF4">
        <w:t xml:space="preserve"> In Print.</w:t>
      </w:r>
    </w:p>
    <w:p w14:paraId="4E9AE1CB" w14:textId="77777777" w:rsidR="00A83DF4" w:rsidRPr="00A83DF4" w:rsidRDefault="00A83DF4" w:rsidP="00A83DF4">
      <w:pPr>
        <w:pStyle w:val="EndNoteBibliography"/>
        <w:ind w:left="720" w:hanging="720"/>
      </w:pPr>
      <w:r w:rsidRPr="00A83DF4">
        <w:t xml:space="preserve">Trubka R, Glackin S, Lade O, et al. (2016) A Webbased 3D Precinct Visualisation and Assessment System for Urban Precinct Scenario Modelling. </w:t>
      </w:r>
      <w:r w:rsidRPr="00A83DF4">
        <w:rPr>
          <w:i/>
        </w:rPr>
        <w:t>ISPRS Journal of Photogrammetry and Remote Sensing</w:t>
      </w:r>
      <w:r w:rsidRPr="00A83DF4">
        <w:t xml:space="preserve"> In print.</w:t>
      </w:r>
    </w:p>
    <w:p w14:paraId="555AFFF5" w14:textId="77777777" w:rsidR="00A83DF4" w:rsidRPr="00A83DF4" w:rsidRDefault="00A83DF4" w:rsidP="00A83DF4">
      <w:pPr>
        <w:pStyle w:val="EndNoteBibliography"/>
        <w:ind w:left="720" w:hanging="720"/>
      </w:pPr>
      <w:r w:rsidRPr="00A83DF4">
        <w:t xml:space="preserve">Trubka R, Newman P and Bilsborough D. (2010) The Costs of Urban Sprawl - Infrastructure and Transportation. </w:t>
      </w:r>
      <w:r w:rsidRPr="00A83DF4">
        <w:rPr>
          <w:i/>
        </w:rPr>
        <w:t>Environmental Design Guide</w:t>
      </w:r>
      <w:r w:rsidRPr="00A83DF4">
        <w:t xml:space="preserve"> April: 1-6.</w:t>
      </w:r>
    </w:p>
    <w:p w14:paraId="242101B1" w14:textId="26D5062F" w:rsidR="00F80A05" w:rsidRDefault="00B73263" w:rsidP="0041750D">
      <w:pPr>
        <w:rPr>
          <w:rFonts w:cs="Arial"/>
          <w:szCs w:val="20"/>
        </w:rPr>
      </w:pPr>
      <w:r>
        <w:rPr>
          <w:rFonts w:cs="Arial"/>
          <w:szCs w:val="20"/>
        </w:rPr>
        <w:fldChar w:fldCharType="end"/>
      </w:r>
    </w:p>
    <w:sectPr w:rsidR="00F80A0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43550" w14:textId="77777777" w:rsidR="00FC18E1" w:rsidRDefault="00FC18E1" w:rsidP="00FC18E1">
      <w:r>
        <w:separator/>
      </w:r>
    </w:p>
  </w:endnote>
  <w:endnote w:type="continuationSeparator" w:id="0">
    <w:p w14:paraId="457DF8CA" w14:textId="77777777" w:rsidR="00FC18E1" w:rsidRDefault="00FC18E1" w:rsidP="00F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D11E7" w14:textId="77777777" w:rsidR="00FC18E1" w:rsidRDefault="00FC18E1" w:rsidP="00FC18E1">
      <w:r>
        <w:separator/>
      </w:r>
    </w:p>
  </w:footnote>
  <w:footnote w:type="continuationSeparator" w:id="0">
    <w:p w14:paraId="2E59E281" w14:textId="77777777" w:rsidR="00FC18E1" w:rsidRDefault="00FC18E1" w:rsidP="00FC18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43C5C" w14:textId="77777777" w:rsidR="00FC18E1" w:rsidRPr="00AC034E" w:rsidRDefault="00FC18E1" w:rsidP="00FC18E1">
    <w:pPr>
      <w:pStyle w:val="Header"/>
      <w:rPr>
        <w:rFonts w:cs="Arial"/>
      </w:rPr>
    </w:pPr>
    <w:r w:rsidRPr="00AC034E">
      <w:rPr>
        <w:rFonts w:cs="Arial"/>
      </w:rPr>
      <w:t>SOAC 2017</w:t>
    </w:r>
  </w:p>
  <w:p w14:paraId="3C1C2DA7" w14:textId="77777777" w:rsidR="00FC18E1" w:rsidRDefault="00FC18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566F7"/>
    <w:multiLevelType w:val="hybridMultilevel"/>
    <w:tmpl w:val="B6BAB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2874BBC"/>
    <w:multiLevelType w:val="hybridMultilevel"/>
    <w:tmpl w:val="701EB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5597B4A"/>
    <w:multiLevelType w:val="multilevel"/>
    <w:tmpl w:val="1BA4D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56D7A4C"/>
    <w:multiLevelType w:val="hybridMultilevel"/>
    <w:tmpl w:val="2D3CAE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92044D9"/>
    <w:multiLevelType w:val="hybridMultilevel"/>
    <w:tmpl w:val="F0E0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2A46B8"/>
    <w:multiLevelType w:val="hybridMultilevel"/>
    <w:tmpl w:val="754C3F1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29B08CA"/>
    <w:multiLevelType w:val="hybridMultilevel"/>
    <w:tmpl w:val="B86A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D60FC4"/>
    <w:multiLevelType w:val="hybridMultilevel"/>
    <w:tmpl w:val="0A48E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8952635"/>
    <w:multiLevelType w:val="hybridMultilevel"/>
    <w:tmpl w:val="14404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8D6516"/>
    <w:multiLevelType w:val="hybridMultilevel"/>
    <w:tmpl w:val="AF20D77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A160D3F"/>
    <w:multiLevelType w:val="hybridMultilevel"/>
    <w:tmpl w:val="E35E11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19E7AF7"/>
    <w:multiLevelType w:val="hybridMultilevel"/>
    <w:tmpl w:val="648CBB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5"/>
  </w:num>
  <w:num w:numId="5">
    <w:abstractNumId w:val="4"/>
  </w:num>
  <w:num w:numId="6">
    <w:abstractNumId w:val="0"/>
  </w:num>
  <w:num w:numId="7">
    <w:abstractNumId w:val="6"/>
  </w:num>
  <w:num w:numId="8">
    <w:abstractNumId w:val="1"/>
  </w:num>
  <w:num w:numId="9">
    <w:abstractNumId w:val="7"/>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Harvar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e2fdermwpr2ceeapzpfaftrzts9tfdvwwd&quot;&gt;GtGLibrary2014&lt;record-ids&gt;&lt;item&gt;37&lt;/item&gt;&lt;item&gt;38&lt;/item&gt;&lt;item&gt;72&lt;/item&gt;&lt;item&gt;79&lt;/item&gt;&lt;item&gt;92&lt;/item&gt;&lt;item&gt;103&lt;/item&gt;&lt;item&gt;117&lt;/item&gt;&lt;item&gt;118&lt;/item&gt;&lt;item&gt;204&lt;/item&gt;&lt;item&gt;207&lt;/item&gt;&lt;item&gt;218&lt;/item&gt;&lt;item&gt;224&lt;/item&gt;&lt;item&gt;225&lt;/item&gt;&lt;item&gt;288&lt;/item&gt;&lt;item&gt;292&lt;/item&gt;&lt;item&gt;307&lt;/item&gt;&lt;item&gt;317&lt;/item&gt;&lt;item&gt;325&lt;/item&gt;&lt;item&gt;348&lt;/item&gt;&lt;item&gt;349&lt;/item&gt;&lt;item&gt;350&lt;/item&gt;&lt;item&gt;351&lt;/item&gt;&lt;item&gt;357&lt;/item&gt;&lt;item&gt;358&lt;/item&gt;&lt;item&gt;366&lt;/item&gt;&lt;item&gt;371&lt;/item&gt;&lt;item&gt;390&lt;/item&gt;&lt;/record-ids&gt;&lt;/item&gt;&lt;/Libraries&gt;"/>
  </w:docVars>
  <w:rsids>
    <w:rsidRoot w:val="008412FE"/>
    <w:rsid w:val="00016381"/>
    <w:rsid w:val="0005787A"/>
    <w:rsid w:val="000A0A49"/>
    <w:rsid w:val="000B469B"/>
    <w:rsid w:val="000C363C"/>
    <w:rsid w:val="000D334D"/>
    <w:rsid w:val="000D738A"/>
    <w:rsid w:val="000D7744"/>
    <w:rsid w:val="000E4CA1"/>
    <w:rsid w:val="000E74C2"/>
    <w:rsid w:val="000F22C2"/>
    <w:rsid w:val="000F6A8D"/>
    <w:rsid w:val="000F7C92"/>
    <w:rsid w:val="001058EC"/>
    <w:rsid w:val="00117FAE"/>
    <w:rsid w:val="00126762"/>
    <w:rsid w:val="001278B8"/>
    <w:rsid w:val="00127DAB"/>
    <w:rsid w:val="00130883"/>
    <w:rsid w:val="00130E85"/>
    <w:rsid w:val="0013358A"/>
    <w:rsid w:val="001351BC"/>
    <w:rsid w:val="001428E3"/>
    <w:rsid w:val="001464AA"/>
    <w:rsid w:val="00146B6C"/>
    <w:rsid w:val="00155853"/>
    <w:rsid w:val="00164D82"/>
    <w:rsid w:val="00184236"/>
    <w:rsid w:val="00195E15"/>
    <w:rsid w:val="001A2E5E"/>
    <w:rsid w:val="001C09E2"/>
    <w:rsid w:val="001C5B72"/>
    <w:rsid w:val="001D775C"/>
    <w:rsid w:val="001E4942"/>
    <w:rsid w:val="001F3E58"/>
    <w:rsid w:val="00200255"/>
    <w:rsid w:val="00200974"/>
    <w:rsid w:val="00203ED9"/>
    <w:rsid w:val="00206273"/>
    <w:rsid w:val="00210247"/>
    <w:rsid w:val="00217741"/>
    <w:rsid w:val="0022482B"/>
    <w:rsid w:val="0023528A"/>
    <w:rsid w:val="0023568F"/>
    <w:rsid w:val="002367FC"/>
    <w:rsid w:val="00245508"/>
    <w:rsid w:val="002539E3"/>
    <w:rsid w:val="0026040F"/>
    <w:rsid w:val="00270B73"/>
    <w:rsid w:val="00273CAB"/>
    <w:rsid w:val="00280E48"/>
    <w:rsid w:val="00286BBB"/>
    <w:rsid w:val="002A167C"/>
    <w:rsid w:val="002A354C"/>
    <w:rsid w:val="002C031E"/>
    <w:rsid w:val="002C73F7"/>
    <w:rsid w:val="002D3D71"/>
    <w:rsid w:val="002E293D"/>
    <w:rsid w:val="002E5754"/>
    <w:rsid w:val="002F1E24"/>
    <w:rsid w:val="002F3E61"/>
    <w:rsid w:val="002F5A71"/>
    <w:rsid w:val="00302154"/>
    <w:rsid w:val="00314DDB"/>
    <w:rsid w:val="00343C84"/>
    <w:rsid w:val="00356023"/>
    <w:rsid w:val="00362266"/>
    <w:rsid w:val="0036565D"/>
    <w:rsid w:val="003728B2"/>
    <w:rsid w:val="00374058"/>
    <w:rsid w:val="00376F23"/>
    <w:rsid w:val="003771FD"/>
    <w:rsid w:val="003864E1"/>
    <w:rsid w:val="0039024B"/>
    <w:rsid w:val="0039550B"/>
    <w:rsid w:val="003B1272"/>
    <w:rsid w:val="003B70C5"/>
    <w:rsid w:val="003D16F3"/>
    <w:rsid w:val="003D6F77"/>
    <w:rsid w:val="003F0393"/>
    <w:rsid w:val="00403052"/>
    <w:rsid w:val="00412109"/>
    <w:rsid w:val="0041210B"/>
    <w:rsid w:val="0041750D"/>
    <w:rsid w:val="00421D8D"/>
    <w:rsid w:val="00440129"/>
    <w:rsid w:val="00492D35"/>
    <w:rsid w:val="004935F1"/>
    <w:rsid w:val="004A0EC9"/>
    <w:rsid w:val="004A6C94"/>
    <w:rsid w:val="004D661C"/>
    <w:rsid w:val="004F1D04"/>
    <w:rsid w:val="00500364"/>
    <w:rsid w:val="005040FC"/>
    <w:rsid w:val="0053045F"/>
    <w:rsid w:val="00556E97"/>
    <w:rsid w:val="00561A17"/>
    <w:rsid w:val="00571E93"/>
    <w:rsid w:val="00580BCE"/>
    <w:rsid w:val="00582B14"/>
    <w:rsid w:val="005A0676"/>
    <w:rsid w:val="005D221B"/>
    <w:rsid w:val="005D461A"/>
    <w:rsid w:val="005E1EEB"/>
    <w:rsid w:val="005E3336"/>
    <w:rsid w:val="005F1D2A"/>
    <w:rsid w:val="00600FCA"/>
    <w:rsid w:val="00606543"/>
    <w:rsid w:val="00611C1A"/>
    <w:rsid w:val="00611EE8"/>
    <w:rsid w:val="00620396"/>
    <w:rsid w:val="006333DD"/>
    <w:rsid w:val="00641A32"/>
    <w:rsid w:val="00642441"/>
    <w:rsid w:val="00653F31"/>
    <w:rsid w:val="00655872"/>
    <w:rsid w:val="00657198"/>
    <w:rsid w:val="00670EC1"/>
    <w:rsid w:val="006714B7"/>
    <w:rsid w:val="0068117F"/>
    <w:rsid w:val="0068371B"/>
    <w:rsid w:val="006A6960"/>
    <w:rsid w:val="006B0961"/>
    <w:rsid w:val="006B1F2B"/>
    <w:rsid w:val="006B3B8A"/>
    <w:rsid w:val="006B76D6"/>
    <w:rsid w:val="006D07FB"/>
    <w:rsid w:val="006D231B"/>
    <w:rsid w:val="006D53CD"/>
    <w:rsid w:val="006E7D25"/>
    <w:rsid w:val="00710AE0"/>
    <w:rsid w:val="007214AC"/>
    <w:rsid w:val="00730508"/>
    <w:rsid w:val="00743E4F"/>
    <w:rsid w:val="00785B28"/>
    <w:rsid w:val="00794B68"/>
    <w:rsid w:val="007A21E8"/>
    <w:rsid w:val="007F15A6"/>
    <w:rsid w:val="0081347F"/>
    <w:rsid w:val="00814892"/>
    <w:rsid w:val="00821371"/>
    <w:rsid w:val="008412FE"/>
    <w:rsid w:val="008442C4"/>
    <w:rsid w:val="008520DD"/>
    <w:rsid w:val="00861734"/>
    <w:rsid w:val="00867DDE"/>
    <w:rsid w:val="0087052B"/>
    <w:rsid w:val="00882B6B"/>
    <w:rsid w:val="0088312C"/>
    <w:rsid w:val="00885FC9"/>
    <w:rsid w:val="008935EF"/>
    <w:rsid w:val="008A3689"/>
    <w:rsid w:val="008B452A"/>
    <w:rsid w:val="008B48ED"/>
    <w:rsid w:val="008C031B"/>
    <w:rsid w:val="008C06F5"/>
    <w:rsid w:val="008C27B6"/>
    <w:rsid w:val="008C6CD0"/>
    <w:rsid w:val="008D1D35"/>
    <w:rsid w:val="008D4AEA"/>
    <w:rsid w:val="008D5938"/>
    <w:rsid w:val="008E71DD"/>
    <w:rsid w:val="008F0957"/>
    <w:rsid w:val="008F6115"/>
    <w:rsid w:val="008F6978"/>
    <w:rsid w:val="00900FB4"/>
    <w:rsid w:val="009037A9"/>
    <w:rsid w:val="009072A5"/>
    <w:rsid w:val="009148E8"/>
    <w:rsid w:val="00920FB5"/>
    <w:rsid w:val="0094718E"/>
    <w:rsid w:val="00967C12"/>
    <w:rsid w:val="00973ACC"/>
    <w:rsid w:val="00975879"/>
    <w:rsid w:val="0098299C"/>
    <w:rsid w:val="009839AF"/>
    <w:rsid w:val="009C2F69"/>
    <w:rsid w:val="009D1801"/>
    <w:rsid w:val="009F71AF"/>
    <w:rsid w:val="00A056A8"/>
    <w:rsid w:val="00A0596E"/>
    <w:rsid w:val="00A05E84"/>
    <w:rsid w:val="00A06E3F"/>
    <w:rsid w:val="00A15A56"/>
    <w:rsid w:val="00A21CD0"/>
    <w:rsid w:val="00A2260A"/>
    <w:rsid w:val="00A25749"/>
    <w:rsid w:val="00A34676"/>
    <w:rsid w:val="00A37D37"/>
    <w:rsid w:val="00A40D6B"/>
    <w:rsid w:val="00A41DD3"/>
    <w:rsid w:val="00A4305C"/>
    <w:rsid w:val="00A43BD7"/>
    <w:rsid w:val="00A51D04"/>
    <w:rsid w:val="00A55AA1"/>
    <w:rsid w:val="00A56BB8"/>
    <w:rsid w:val="00A61FA8"/>
    <w:rsid w:val="00A706E9"/>
    <w:rsid w:val="00A75633"/>
    <w:rsid w:val="00A83DF4"/>
    <w:rsid w:val="00A86E30"/>
    <w:rsid w:val="00AA3C44"/>
    <w:rsid w:val="00AA6C5E"/>
    <w:rsid w:val="00AB5B46"/>
    <w:rsid w:val="00AB69D1"/>
    <w:rsid w:val="00AB77F5"/>
    <w:rsid w:val="00AD6CE4"/>
    <w:rsid w:val="00AF4117"/>
    <w:rsid w:val="00B0160A"/>
    <w:rsid w:val="00B26397"/>
    <w:rsid w:val="00B27DD7"/>
    <w:rsid w:val="00B3236F"/>
    <w:rsid w:val="00B379F7"/>
    <w:rsid w:val="00B43153"/>
    <w:rsid w:val="00B55A4E"/>
    <w:rsid w:val="00B630D6"/>
    <w:rsid w:val="00B67DAF"/>
    <w:rsid w:val="00B73263"/>
    <w:rsid w:val="00B77F6F"/>
    <w:rsid w:val="00B80843"/>
    <w:rsid w:val="00B8484D"/>
    <w:rsid w:val="00BA353B"/>
    <w:rsid w:val="00BB2408"/>
    <w:rsid w:val="00BE1B94"/>
    <w:rsid w:val="00BE4796"/>
    <w:rsid w:val="00BF206C"/>
    <w:rsid w:val="00C14D3A"/>
    <w:rsid w:val="00C57092"/>
    <w:rsid w:val="00C571B5"/>
    <w:rsid w:val="00C606D2"/>
    <w:rsid w:val="00C647F7"/>
    <w:rsid w:val="00C67AEF"/>
    <w:rsid w:val="00C748C3"/>
    <w:rsid w:val="00C76045"/>
    <w:rsid w:val="00C90910"/>
    <w:rsid w:val="00C915EA"/>
    <w:rsid w:val="00C9772A"/>
    <w:rsid w:val="00CA0DF3"/>
    <w:rsid w:val="00CB51F6"/>
    <w:rsid w:val="00CD410B"/>
    <w:rsid w:val="00CE3523"/>
    <w:rsid w:val="00CF5DD4"/>
    <w:rsid w:val="00CF5F89"/>
    <w:rsid w:val="00D00144"/>
    <w:rsid w:val="00D20D75"/>
    <w:rsid w:val="00D3750E"/>
    <w:rsid w:val="00D452C4"/>
    <w:rsid w:val="00D6298C"/>
    <w:rsid w:val="00D73D8C"/>
    <w:rsid w:val="00D76F21"/>
    <w:rsid w:val="00D9314E"/>
    <w:rsid w:val="00D94510"/>
    <w:rsid w:val="00D979DE"/>
    <w:rsid w:val="00DB1B4A"/>
    <w:rsid w:val="00DC2DED"/>
    <w:rsid w:val="00DC70EF"/>
    <w:rsid w:val="00DD4354"/>
    <w:rsid w:val="00DE4C70"/>
    <w:rsid w:val="00DE7539"/>
    <w:rsid w:val="00E00B83"/>
    <w:rsid w:val="00E06160"/>
    <w:rsid w:val="00E17345"/>
    <w:rsid w:val="00E21C08"/>
    <w:rsid w:val="00E2777F"/>
    <w:rsid w:val="00E57AA3"/>
    <w:rsid w:val="00E633A2"/>
    <w:rsid w:val="00E64BBA"/>
    <w:rsid w:val="00E7238D"/>
    <w:rsid w:val="00E74DF9"/>
    <w:rsid w:val="00E75497"/>
    <w:rsid w:val="00E82738"/>
    <w:rsid w:val="00E83128"/>
    <w:rsid w:val="00E851BF"/>
    <w:rsid w:val="00E86E05"/>
    <w:rsid w:val="00E86EB4"/>
    <w:rsid w:val="00EB0A15"/>
    <w:rsid w:val="00EC15FA"/>
    <w:rsid w:val="00EC7BD9"/>
    <w:rsid w:val="00ED0918"/>
    <w:rsid w:val="00ED2443"/>
    <w:rsid w:val="00EE18CF"/>
    <w:rsid w:val="00EF1751"/>
    <w:rsid w:val="00EF2291"/>
    <w:rsid w:val="00EF76E9"/>
    <w:rsid w:val="00F00AFB"/>
    <w:rsid w:val="00F16A59"/>
    <w:rsid w:val="00F202BF"/>
    <w:rsid w:val="00F2417D"/>
    <w:rsid w:val="00F25843"/>
    <w:rsid w:val="00F36C44"/>
    <w:rsid w:val="00F470F7"/>
    <w:rsid w:val="00F516E2"/>
    <w:rsid w:val="00F55EA0"/>
    <w:rsid w:val="00F70C4B"/>
    <w:rsid w:val="00F80A05"/>
    <w:rsid w:val="00F81294"/>
    <w:rsid w:val="00F83C08"/>
    <w:rsid w:val="00F83E9F"/>
    <w:rsid w:val="00F87259"/>
    <w:rsid w:val="00F953C4"/>
    <w:rsid w:val="00FA4451"/>
    <w:rsid w:val="00FC18E1"/>
    <w:rsid w:val="00FC379C"/>
    <w:rsid w:val="00FF0D54"/>
    <w:rsid w:val="00FF76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BE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FE"/>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29"/>
    <w:pPr>
      <w:ind w:left="720"/>
      <w:contextualSpacing/>
    </w:pPr>
  </w:style>
  <w:style w:type="table" w:styleId="TableGrid">
    <w:name w:val="Table Grid"/>
    <w:basedOn w:val="TableNormal"/>
    <w:uiPriority w:val="39"/>
    <w:rsid w:val="00A22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347F"/>
    <w:rPr>
      <w:sz w:val="16"/>
      <w:szCs w:val="16"/>
    </w:rPr>
  </w:style>
  <w:style w:type="paragraph" w:styleId="CommentText">
    <w:name w:val="annotation text"/>
    <w:basedOn w:val="Normal"/>
    <w:link w:val="CommentTextChar"/>
    <w:uiPriority w:val="99"/>
    <w:semiHidden/>
    <w:unhideWhenUsed/>
    <w:rsid w:val="0081347F"/>
    <w:rPr>
      <w:szCs w:val="20"/>
    </w:rPr>
  </w:style>
  <w:style w:type="character" w:customStyle="1" w:styleId="CommentTextChar">
    <w:name w:val="Comment Text Char"/>
    <w:basedOn w:val="DefaultParagraphFont"/>
    <w:link w:val="CommentText"/>
    <w:uiPriority w:val="99"/>
    <w:semiHidden/>
    <w:rsid w:val="0081347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47F"/>
    <w:rPr>
      <w:b/>
      <w:bCs/>
    </w:rPr>
  </w:style>
  <w:style w:type="character" w:customStyle="1" w:styleId="CommentSubjectChar">
    <w:name w:val="Comment Subject Char"/>
    <w:basedOn w:val="CommentTextChar"/>
    <w:link w:val="CommentSubject"/>
    <w:uiPriority w:val="99"/>
    <w:semiHidden/>
    <w:rsid w:val="0081347F"/>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13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47F"/>
    <w:rPr>
      <w:rFonts w:ascii="Segoe UI" w:eastAsia="Times New Roman" w:hAnsi="Segoe UI" w:cs="Segoe UI"/>
      <w:sz w:val="18"/>
      <w:szCs w:val="18"/>
      <w:lang w:val="en-GB"/>
    </w:rPr>
  </w:style>
  <w:style w:type="paragraph" w:styleId="Caption">
    <w:name w:val="caption"/>
    <w:basedOn w:val="Normal"/>
    <w:next w:val="Normal"/>
    <w:uiPriority w:val="35"/>
    <w:unhideWhenUsed/>
    <w:qFormat/>
    <w:rsid w:val="00C647F7"/>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B73263"/>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B73263"/>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B73263"/>
    <w:rPr>
      <w:rFonts w:cs="Arial"/>
      <w:noProof/>
      <w:lang w:val="en-US"/>
    </w:rPr>
  </w:style>
  <w:style w:type="character" w:customStyle="1" w:styleId="EndNoteBibliographyChar">
    <w:name w:val="EndNote Bibliography Char"/>
    <w:basedOn w:val="DefaultParagraphFont"/>
    <w:link w:val="EndNoteBibliography"/>
    <w:rsid w:val="00B73263"/>
    <w:rPr>
      <w:rFonts w:ascii="Arial" w:eastAsia="Times New Roman" w:hAnsi="Arial" w:cs="Arial"/>
      <w:noProof/>
      <w:sz w:val="20"/>
      <w:szCs w:val="24"/>
      <w:lang w:val="en-US"/>
    </w:rPr>
  </w:style>
  <w:style w:type="character" w:styleId="Hyperlink">
    <w:name w:val="Hyperlink"/>
    <w:basedOn w:val="DefaultParagraphFont"/>
    <w:uiPriority w:val="99"/>
    <w:unhideWhenUsed/>
    <w:rsid w:val="00814892"/>
    <w:rPr>
      <w:color w:val="0563C1" w:themeColor="hyperlink"/>
      <w:u w:val="single"/>
    </w:rPr>
  </w:style>
  <w:style w:type="character" w:customStyle="1" w:styleId="UnresolvedMention">
    <w:name w:val="Unresolved Mention"/>
    <w:basedOn w:val="DefaultParagraphFont"/>
    <w:uiPriority w:val="99"/>
    <w:semiHidden/>
    <w:unhideWhenUsed/>
    <w:rsid w:val="00814892"/>
    <w:rPr>
      <w:color w:val="808080"/>
      <w:shd w:val="clear" w:color="auto" w:fill="E6E6E6"/>
    </w:rPr>
  </w:style>
  <w:style w:type="paragraph" w:styleId="Header">
    <w:name w:val="header"/>
    <w:basedOn w:val="Normal"/>
    <w:link w:val="HeaderChar"/>
    <w:uiPriority w:val="99"/>
    <w:unhideWhenUsed/>
    <w:rsid w:val="00FC18E1"/>
    <w:pPr>
      <w:tabs>
        <w:tab w:val="center" w:pos="4320"/>
        <w:tab w:val="right" w:pos="8640"/>
      </w:tabs>
    </w:pPr>
  </w:style>
  <w:style w:type="character" w:customStyle="1" w:styleId="HeaderChar">
    <w:name w:val="Header Char"/>
    <w:basedOn w:val="DefaultParagraphFont"/>
    <w:link w:val="Header"/>
    <w:uiPriority w:val="99"/>
    <w:rsid w:val="00FC18E1"/>
    <w:rPr>
      <w:rFonts w:ascii="Arial" w:eastAsia="Times New Roman" w:hAnsi="Arial" w:cs="Times New Roman"/>
      <w:sz w:val="20"/>
      <w:szCs w:val="24"/>
      <w:lang w:val="en-GB"/>
    </w:rPr>
  </w:style>
  <w:style w:type="paragraph" w:styleId="Footer">
    <w:name w:val="footer"/>
    <w:basedOn w:val="Normal"/>
    <w:link w:val="FooterChar"/>
    <w:uiPriority w:val="99"/>
    <w:unhideWhenUsed/>
    <w:rsid w:val="00FC18E1"/>
    <w:pPr>
      <w:tabs>
        <w:tab w:val="center" w:pos="4320"/>
        <w:tab w:val="right" w:pos="8640"/>
      </w:tabs>
    </w:pPr>
  </w:style>
  <w:style w:type="character" w:customStyle="1" w:styleId="FooterChar">
    <w:name w:val="Footer Char"/>
    <w:basedOn w:val="DefaultParagraphFont"/>
    <w:link w:val="Footer"/>
    <w:uiPriority w:val="99"/>
    <w:rsid w:val="00FC18E1"/>
    <w:rPr>
      <w:rFonts w:ascii="Arial" w:eastAsia="Times New Roman" w:hAnsi="Arial" w:cs="Times New Roman"/>
      <w:sz w:val="20"/>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FE"/>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29"/>
    <w:pPr>
      <w:ind w:left="720"/>
      <w:contextualSpacing/>
    </w:pPr>
  </w:style>
  <w:style w:type="table" w:styleId="TableGrid">
    <w:name w:val="Table Grid"/>
    <w:basedOn w:val="TableNormal"/>
    <w:uiPriority w:val="39"/>
    <w:rsid w:val="00A22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347F"/>
    <w:rPr>
      <w:sz w:val="16"/>
      <w:szCs w:val="16"/>
    </w:rPr>
  </w:style>
  <w:style w:type="paragraph" w:styleId="CommentText">
    <w:name w:val="annotation text"/>
    <w:basedOn w:val="Normal"/>
    <w:link w:val="CommentTextChar"/>
    <w:uiPriority w:val="99"/>
    <w:semiHidden/>
    <w:unhideWhenUsed/>
    <w:rsid w:val="0081347F"/>
    <w:rPr>
      <w:szCs w:val="20"/>
    </w:rPr>
  </w:style>
  <w:style w:type="character" w:customStyle="1" w:styleId="CommentTextChar">
    <w:name w:val="Comment Text Char"/>
    <w:basedOn w:val="DefaultParagraphFont"/>
    <w:link w:val="CommentText"/>
    <w:uiPriority w:val="99"/>
    <w:semiHidden/>
    <w:rsid w:val="0081347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47F"/>
    <w:rPr>
      <w:b/>
      <w:bCs/>
    </w:rPr>
  </w:style>
  <w:style w:type="character" w:customStyle="1" w:styleId="CommentSubjectChar">
    <w:name w:val="Comment Subject Char"/>
    <w:basedOn w:val="CommentTextChar"/>
    <w:link w:val="CommentSubject"/>
    <w:uiPriority w:val="99"/>
    <w:semiHidden/>
    <w:rsid w:val="0081347F"/>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813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47F"/>
    <w:rPr>
      <w:rFonts w:ascii="Segoe UI" w:eastAsia="Times New Roman" w:hAnsi="Segoe UI" w:cs="Segoe UI"/>
      <w:sz w:val="18"/>
      <w:szCs w:val="18"/>
      <w:lang w:val="en-GB"/>
    </w:rPr>
  </w:style>
  <w:style w:type="paragraph" w:styleId="Caption">
    <w:name w:val="caption"/>
    <w:basedOn w:val="Normal"/>
    <w:next w:val="Normal"/>
    <w:uiPriority w:val="35"/>
    <w:unhideWhenUsed/>
    <w:qFormat/>
    <w:rsid w:val="00C647F7"/>
    <w:pPr>
      <w:spacing w:after="200"/>
    </w:pPr>
    <w:rPr>
      <w:i/>
      <w:iCs/>
      <w:color w:val="44546A" w:themeColor="text2"/>
      <w:sz w:val="18"/>
      <w:szCs w:val="18"/>
    </w:rPr>
  </w:style>
  <w:style w:type="paragraph" w:customStyle="1" w:styleId="EndNoteBibliographyTitle">
    <w:name w:val="EndNote Bibliography Title"/>
    <w:basedOn w:val="Normal"/>
    <w:link w:val="EndNoteBibliographyTitleChar"/>
    <w:rsid w:val="00B73263"/>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B73263"/>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B73263"/>
    <w:rPr>
      <w:rFonts w:cs="Arial"/>
      <w:noProof/>
      <w:lang w:val="en-US"/>
    </w:rPr>
  </w:style>
  <w:style w:type="character" w:customStyle="1" w:styleId="EndNoteBibliographyChar">
    <w:name w:val="EndNote Bibliography Char"/>
    <w:basedOn w:val="DefaultParagraphFont"/>
    <w:link w:val="EndNoteBibliography"/>
    <w:rsid w:val="00B73263"/>
    <w:rPr>
      <w:rFonts w:ascii="Arial" w:eastAsia="Times New Roman" w:hAnsi="Arial" w:cs="Arial"/>
      <w:noProof/>
      <w:sz w:val="20"/>
      <w:szCs w:val="24"/>
      <w:lang w:val="en-US"/>
    </w:rPr>
  </w:style>
  <w:style w:type="character" w:styleId="Hyperlink">
    <w:name w:val="Hyperlink"/>
    <w:basedOn w:val="DefaultParagraphFont"/>
    <w:uiPriority w:val="99"/>
    <w:unhideWhenUsed/>
    <w:rsid w:val="00814892"/>
    <w:rPr>
      <w:color w:val="0563C1" w:themeColor="hyperlink"/>
      <w:u w:val="single"/>
    </w:rPr>
  </w:style>
  <w:style w:type="character" w:customStyle="1" w:styleId="UnresolvedMention">
    <w:name w:val="Unresolved Mention"/>
    <w:basedOn w:val="DefaultParagraphFont"/>
    <w:uiPriority w:val="99"/>
    <w:semiHidden/>
    <w:unhideWhenUsed/>
    <w:rsid w:val="00814892"/>
    <w:rPr>
      <w:color w:val="808080"/>
      <w:shd w:val="clear" w:color="auto" w:fill="E6E6E6"/>
    </w:rPr>
  </w:style>
  <w:style w:type="paragraph" w:styleId="Header">
    <w:name w:val="header"/>
    <w:basedOn w:val="Normal"/>
    <w:link w:val="HeaderChar"/>
    <w:uiPriority w:val="99"/>
    <w:unhideWhenUsed/>
    <w:rsid w:val="00FC18E1"/>
    <w:pPr>
      <w:tabs>
        <w:tab w:val="center" w:pos="4320"/>
        <w:tab w:val="right" w:pos="8640"/>
      </w:tabs>
    </w:pPr>
  </w:style>
  <w:style w:type="character" w:customStyle="1" w:styleId="HeaderChar">
    <w:name w:val="Header Char"/>
    <w:basedOn w:val="DefaultParagraphFont"/>
    <w:link w:val="Header"/>
    <w:uiPriority w:val="99"/>
    <w:rsid w:val="00FC18E1"/>
    <w:rPr>
      <w:rFonts w:ascii="Arial" w:eastAsia="Times New Roman" w:hAnsi="Arial" w:cs="Times New Roman"/>
      <w:sz w:val="20"/>
      <w:szCs w:val="24"/>
      <w:lang w:val="en-GB"/>
    </w:rPr>
  </w:style>
  <w:style w:type="paragraph" w:styleId="Footer">
    <w:name w:val="footer"/>
    <w:basedOn w:val="Normal"/>
    <w:link w:val="FooterChar"/>
    <w:uiPriority w:val="99"/>
    <w:unhideWhenUsed/>
    <w:rsid w:val="00FC18E1"/>
    <w:pPr>
      <w:tabs>
        <w:tab w:val="center" w:pos="4320"/>
        <w:tab w:val="right" w:pos="8640"/>
      </w:tabs>
    </w:pPr>
  </w:style>
  <w:style w:type="character" w:customStyle="1" w:styleId="FooterChar">
    <w:name w:val="Footer Char"/>
    <w:basedOn w:val="DefaultParagraphFont"/>
    <w:link w:val="Footer"/>
    <w:uiPriority w:val="99"/>
    <w:rsid w:val="00FC18E1"/>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image" Target="media/image1.png"/><Relationship Id="rId14" Type="http://schemas.openxmlformats.org/officeDocument/2006/relationships/hyperlink" Target="http://www.iap2.org.au/"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1E543-59F3-4E44-9E6F-ADD4886C20BE}"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en-US"/>
        </a:p>
      </dgm:t>
    </dgm:pt>
    <dgm:pt modelId="{61B825FD-0719-45C5-BB86-83769B2C73A0}">
      <dgm:prSet phldrT="[Text]"/>
      <dgm:spPr/>
      <dgm:t>
        <a:bodyPr/>
        <a:lstStyle/>
        <a:p>
          <a:r>
            <a:rPr lang="en-US"/>
            <a:t>Endpoint</a:t>
          </a:r>
        </a:p>
      </dgm:t>
    </dgm:pt>
    <dgm:pt modelId="{4C725CB6-DA34-48E4-B6A8-9A83A466F86D}" type="parTrans" cxnId="{3050A8B9-7571-48D9-8DE5-79FBA5F15D4E}">
      <dgm:prSet/>
      <dgm:spPr/>
      <dgm:t>
        <a:bodyPr/>
        <a:lstStyle/>
        <a:p>
          <a:endParaRPr lang="en-US"/>
        </a:p>
      </dgm:t>
    </dgm:pt>
    <dgm:pt modelId="{127BBE97-4D81-4AB3-A392-739AB3D07FE1}" type="sibTrans" cxnId="{3050A8B9-7571-48D9-8DE5-79FBA5F15D4E}">
      <dgm:prSet/>
      <dgm:spPr/>
      <dgm:t>
        <a:bodyPr/>
        <a:lstStyle/>
        <a:p>
          <a:endParaRPr lang="en-US"/>
        </a:p>
      </dgm:t>
    </dgm:pt>
    <dgm:pt modelId="{F1E744F0-9B41-4B70-867F-628EBF1C20FC}">
      <dgm:prSet phldrT="[Text]"/>
      <dgm:spPr/>
      <dgm:t>
        <a:bodyPr/>
        <a:lstStyle/>
        <a:p>
          <a:r>
            <a:rPr lang="en-US"/>
            <a:t>Stakeholder</a:t>
          </a:r>
        </a:p>
      </dgm:t>
    </dgm:pt>
    <dgm:pt modelId="{167297A3-200C-4C6A-B6FF-D00D27906603}" type="parTrans" cxnId="{10334CA4-E57D-48C1-831E-F7207B2E9288}">
      <dgm:prSet/>
      <dgm:spPr/>
      <dgm:t>
        <a:bodyPr/>
        <a:lstStyle/>
        <a:p>
          <a:endParaRPr lang="en-US"/>
        </a:p>
      </dgm:t>
    </dgm:pt>
    <dgm:pt modelId="{75279925-46D1-458E-8055-FA97B3FB1606}" type="sibTrans" cxnId="{10334CA4-E57D-48C1-831E-F7207B2E9288}">
      <dgm:prSet/>
      <dgm:spPr/>
      <dgm:t>
        <a:bodyPr/>
        <a:lstStyle/>
        <a:p>
          <a:endParaRPr lang="en-US"/>
        </a:p>
      </dgm:t>
    </dgm:pt>
    <dgm:pt modelId="{3A6B4569-0539-4DB0-8711-17B12E5511D8}">
      <dgm:prSet phldrT="[Text]"/>
      <dgm:spPr/>
      <dgm:t>
        <a:bodyPr/>
        <a:lstStyle/>
        <a:p>
          <a:r>
            <a:rPr lang="en-US"/>
            <a:t>Rationale </a:t>
          </a:r>
        </a:p>
      </dgm:t>
    </dgm:pt>
    <dgm:pt modelId="{3B3D2FD3-0735-48B3-808B-718DD0771A0E}" type="parTrans" cxnId="{28FD5536-F01A-463E-9600-B0E45374F507}">
      <dgm:prSet/>
      <dgm:spPr/>
      <dgm:t>
        <a:bodyPr/>
        <a:lstStyle/>
        <a:p>
          <a:endParaRPr lang="en-US"/>
        </a:p>
      </dgm:t>
    </dgm:pt>
    <dgm:pt modelId="{BE948675-0097-406E-89BA-98C8E33BBF57}" type="sibTrans" cxnId="{28FD5536-F01A-463E-9600-B0E45374F507}">
      <dgm:prSet/>
      <dgm:spPr/>
      <dgm:t>
        <a:bodyPr/>
        <a:lstStyle/>
        <a:p>
          <a:endParaRPr lang="en-US"/>
        </a:p>
      </dgm:t>
    </dgm:pt>
    <dgm:pt modelId="{A31A3B74-1F0E-462A-B52D-7B1A25588C34}">
      <dgm:prSet phldrT="[Text]"/>
      <dgm:spPr/>
      <dgm:t>
        <a:bodyPr/>
        <a:lstStyle/>
        <a:p>
          <a:r>
            <a:rPr lang="en-US"/>
            <a:t>Required Precursor</a:t>
          </a:r>
        </a:p>
      </dgm:t>
    </dgm:pt>
    <dgm:pt modelId="{C31449C4-327A-4D3E-A547-5B357AEA44F9}" type="parTrans" cxnId="{C67E5D9F-0255-4607-9436-E4DD1A85AE52}">
      <dgm:prSet/>
      <dgm:spPr/>
      <dgm:t>
        <a:bodyPr/>
        <a:lstStyle/>
        <a:p>
          <a:endParaRPr lang="en-US"/>
        </a:p>
      </dgm:t>
    </dgm:pt>
    <dgm:pt modelId="{FB9E17AC-5848-49FB-A85D-C34617A6E112}" type="sibTrans" cxnId="{C67E5D9F-0255-4607-9436-E4DD1A85AE52}">
      <dgm:prSet/>
      <dgm:spPr/>
      <dgm:t>
        <a:bodyPr/>
        <a:lstStyle/>
        <a:p>
          <a:endParaRPr lang="en-US"/>
        </a:p>
      </dgm:t>
    </dgm:pt>
    <dgm:pt modelId="{31BFF773-F52C-4EF2-84E9-BB31C4F7CB50}">
      <dgm:prSet phldrT="[Text]"/>
      <dgm:spPr/>
      <dgm:t>
        <a:bodyPr/>
        <a:lstStyle/>
        <a:p>
          <a:r>
            <a:rPr lang="en-US"/>
            <a:t>Stakeholder</a:t>
          </a:r>
        </a:p>
      </dgm:t>
    </dgm:pt>
    <dgm:pt modelId="{37D9DCCE-A2C2-480D-BE35-EAD2FBCF52F5}" type="parTrans" cxnId="{1622F9B5-35E3-486D-82C0-2EE54BCE7ACE}">
      <dgm:prSet/>
      <dgm:spPr/>
      <dgm:t>
        <a:bodyPr/>
        <a:lstStyle/>
        <a:p>
          <a:endParaRPr lang="en-US"/>
        </a:p>
      </dgm:t>
    </dgm:pt>
    <dgm:pt modelId="{A3C234B5-6030-4A0F-B09A-7020152A1C3C}" type="sibTrans" cxnId="{1622F9B5-35E3-486D-82C0-2EE54BCE7ACE}">
      <dgm:prSet/>
      <dgm:spPr/>
      <dgm:t>
        <a:bodyPr/>
        <a:lstStyle/>
        <a:p>
          <a:endParaRPr lang="en-US"/>
        </a:p>
      </dgm:t>
    </dgm:pt>
    <dgm:pt modelId="{926144EA-DF9D-4665-A45B-D3FAF39F5646}">
      <dgm:prSet phldrT="[Text]"/>
      <dgm:spPr/>
      <dgm:t>
        <a:bodyPr/>
        <a:lstStyle/>
        <a:p>
          <a:r>
            <a:rPr lang="en-US"/>
            <a:t>Required Precursor</a:t>
          </a:r>
        </a:p>
      </dgm:t>
    </dgm:pt>
    <dgm:pt modelId="{9BC8BBC0-5716-4194-87A5-16D61CDEA46D}" type="parTrans" cxnId="{A58E61D3-81C3-43A3-A82E-EEFAA9DA93CD}">
      <dgm:prSet/>
      <dgm:spPr/>
      <dgm:t>
        <a:bodyPr/>
        <a:lstStyle/>
        <a:p>
          <a:endParaRPr lang="en-US"/>
        </a:p>
      </dgm:t>
    </dgm:pt>
    <dgm:pt modelId="{035BAEF3-C0D0-4E98-9327-1BACD1D2664C}" type="sibTrans" cxnId="{A58E61D3-81C3-43A3-A82E-EEFAA9DA93CD}">
      <dgm:prSet/>
      <dgm:spPr/>
      <dgm:t>
        <a:bodyPr/>
        <a:lstStyle/>
        <a:p>
          <a:endParaRPr lang="en-US"/>
        </a:p>
      </dgm:t>
    </dgm:pt>
    <dgm:pt modelId="{5FECA4C0-6490-4C36-A822-75429FE0A97C}">
      <dgm:prSet phldrT="[Text]"/>
      <dgm:spPr/>
      <dgm:t>
        <a:bodyPr/>
        <a:lstStyle/>
        <a:p>
          <a:r>
            <a:rPr lang="en-US"/>
            <a:t>Stakeholder</a:t>
          </a:r>
        </a:p>
      </dgm:t>
    </dgm:pt>
    <dgm:pt modelId="{414FD941-4A3F-42DF-A02B-AAE042AAA573}" type="parTrans" cxnId="{657906E1-B713-4243-9338-440884D998E9}">
      <dgm:prSet/>
      <dgm:spPr/>
      <dgm:t>
        <a:bodyPr/>
        <a:lstStyle/>
        <a:p>
          <a:endParaRPr lang="en-US"/>
        </a:p>
      </dgm:t>
    </dgm:pt>
    <dgm:pt modelId="{BE440544-C532-4FAA-8B40-F41E94F3E227}" type="sibTrans" cxnId="{657906E1-B713-4243-9338-440884D998E9}">
      <dgm:prSet/>
      <dgm:spPr/>
      <dgm:t>
        <a:bodyPr/>
        <a:lstStyle/>
        <a:p>
          <a:endParaRPr lang="en-US"/>
        </a:p>
      </dgm:t>
    </dgm:pt>
    <dgm:pt modelId="{C6A3B918-2B31-4D7F-8DC5-99DF14662C14}">
      <dgm:prSet phldrT="[Text]"/>
      <dgm:spPr/>
      <dgm:t>
        <a:bodyPr/>
        <a:lstStyle/>
        <a:p>
          <a:r>
            <a:rPr lang="en-US"/>
            <a:t>Narrative &amp; business logic </a:t>
          </a:r>
        </a:p>
      </dgm:t>
    </dgm:pt>
    <dgm:pt modelId="{F1FE21CB-4E71-4551-B374-D3B7620AAF2C}" type="parTrans" cxnId="{D68851ED-10E4-4832-B8DE-9E2600F835DF}">
      <dgm:prSet/>
      <dgm:spPr/>
      <dgm:t>
        <a:bodyPr/>
        <a:lstStyle/>
        <a:p>
          <a:endParaRPr lang="en-US"/>
        </a:p>
      </dgm:t>
    </dgm:pt>
    <dgm:pt modelId="{F607085C-BF05-4840-A007-BD98870D8B79}" type="sibTrans" cxnId="{D68851ED-10E4-4832-B8DE-9E2600F835DF}">
      <dgm:prSet/>
      <dgm:spPr/>
      <dgm:t>
        <a:bodyPr/>
        <a:lstStyle/>
        <a:p>
          <a:endParaRPr lang="en-US"/>
        </a:p>
      </dgm:t>
    </dgm:pt>
    <dgm:pt modelId="{CD014324-24FE-4662-BB91-1BD4DC69484D}">
      <dgm:prSet/>
      <dgm:spPr/>
      <dgm:t>
        <a:bodyPr/>
        <a:lstStyle/>
        <a:p>
          <a:r>
            <a:rPr lang="en-US"/>
            <a:t>Rationale </a:t>
          </a:r>
        </a:p>
      </dgm:t>
    </dgm:pt>
    <dgm:pt modelId="{38CF6520-9FA6-45E4-924A-8B4979022F6E}" type="parTrans" cxnId="{C045B6F4-1C3D-48EC-868F-A174286A87DA}">
      <dgm:prSet/>
      <dgm:spPr/>
      <dgm:t>
        <a:bodyPr/>
        <a:lstStyle/>
        <a:p>
          <a:endParaRPr lang="en-US"/>
        </a:p>
      </dgm:t>
    </dgm:pt>
    <dgm:pt modelId="{D7809CD2-F971-4211-8335-888B7D9F8FE8}" type="sibTrans" cxnId="{C045B6F4-1C3D-48EC-868F-A174286A87DA}">
      <dgm:prSet/>
      <dgm:spPr/>
      <dgm:t>
        <a:bodyPr/>
        <a:lstStyle/>
        <a:p>
          <a:endParaRPr lang="en-US"/>
        </a:p>
      </dgm:t>
    </dgm:pt>
    <dgm:pt modelId="{61CFCA5B-D666-45EA-A3EF-4625ED054585}">
      <dgm:prSet/>
      <dgm:spPr/>
      <dgm:t>
        <a:bodyPr/>
        <a:lstStyle/>
        <a:p>
          <a:r>
            <a:rPr lang="en-US"/>
            <a:t>Narrative &amp; business logic </a:t>
          </a:r>
        </a:p>
      </dgm:t>
    </dgm:pt>
    <dgm:pt modelId="{D49F8165-7FD8-494A-B92F-2C5E23FB184C}" type="parTrans" cxnId="{29BF5D3F-33E0-4E97-9A7B-CA3C58268331}">
      <dgm:prSet/>
      <dgm:spPr/>
      <dgm:t>
        <a:bodyPr/>
        <a:lstStyle/>
        <a:p>
          <a:endParaRPr lang="en-US"/>
        </a:p>
      </dgm:t>
    </dgm:pt>
    <dgm:pt modelId="{265BB26E-5C00-4EB2-A204-380BD941A90C}" type="sibTrans" cxnId="{29BF5D3F-33E0-4E97-9A7B-CA3C58268331}">
      <dgm:prSet/>
      <dgm:spPr/>
      <dgm:t>
        <a:bodyPr/>
        <a:lstStyle/>
        <a:p>
          <a:endParaRPr lang="en-US"/>
        </a:p>
      </dgm:t>
    </dgm:pt>
    <dgm:pt modelId="{EC8EA73D-38EE-48C7-AB87-0FA2F41C10CB}">
      <dgm:prSet/>
      <dgm:spPr/>
      <dgm:t>
        <a:bodyPr/>
        <a:lstStyle/>
        <a:p>
          <a:r>
            <a:rPr lang="en-US"/>
            <a:t>Rationale </a:t>
          </a:r>
        </a:p>
      </dgm:t>
    </dgm:pt>
    <dgm:pt modelId="{9A0E78A7-34E4-4C44-B1E2-7A495DBF1786}" type="parTrans" cxnId="{F11936A6-8734-43B5-BDEA-610F5DF77C7A}">
      <dgm:prSet/>
      <dgm:spPr/>
      <dgm:t>
        <a:bodyPr/>
        <a:lstStyle/>
        <a:p>
          <a:endParaRPr lang="en-US"/>
        </a:p>
      </dgm:t>
    </dgm:pt>
    <dgm:pt modelId="{C516C577-562C-4606-A5FF-ABA029598EA4}" type="sibTrans" cxnId="{F11936A6-8734-43B5-BDEA-610F5DF77C7A}">
      <dgm:prSet/>
      <dgm:spPr/>
      <dgm:t>
        <a:bodyPr/>
        <a:lstStyle/>
        <a:p>
          <a:endParaRPr lang="en-US"/>
        </a:p>
      </dgm:t>
    </dgm:pt>
    <dgm:pt modelId="{233F3DB6-0A8E-4E9F-9974-7537EE5E83EF}">
      <dgm:prSet/>
      <dgm:spPr/>
      <dgm:t>
        <a:bodyPr/>
        <a:lstStyle/>
        <a:p>
          <a:r>
            <a:rPr lang="en-US"/>
            <a:t>Narrative &amp; business logic </a:t>
          </a:r>
        </a:p>
      </dgm:t>
    </dgm:pt>
    <dgm:pt modelId="{73D20D7B-E268-46A7-8E33-3E5181273ABF}" type="parTrans" cxnId="{354FA56A-558D-4E78-AFB3-C9B1960E750A}">
      <dgm:prSet/>
      <dgm:spPr/>
      <dgm:t>
        <a:bodyPr/>
        <a:lstStyle/>
        <a:p>
          <a:endParaRPr lang="en-US"/>
        </a:p>
      </dgm:t>
    </dgm:pt>
    <dgm:pt modelId="{8E3F38BF-D115-403A-A5B8-36E1ED06916D}" type="sibTrans" cxnId="{354FA56A-558D-4E78-AFB3-C9B1960E750A}">
      <dgm:prSet/>
      <dgm:spPr/>
      <dgm:t>
        <a:bodyPr/>
        <a:lstStyle/>
        <a:p>
          <a:endParaRPr lang="en-US"/>
        </a:p>
      </dgm:t>
    </dgm:pt>
    <dgm:pt modelId="{239AA402-6DC6-4541-A5B2-665AE33D762F}" type="pres">
      <dgm:prSet presAssocID="{8351E543-59F3-4E44-9E6F-ADD4886C20BE}" presName="theList" presStyleCnt="0">
        <dgm:presLayoutVars>
          <dgm:dir/>
          <dgm:animLvl val="lvl"/>
          <dgm:resizeHandles val="exact"/>
        </dgm:presLayoutVars>
      </dgm:prSet>
      <dgm:spPr/>
      <dgm:t>
        <a:bodyPr/>
        <a:lstStyle/>
        <a:p>
          <a:endParaRPr lang="en-US"/>
        </a:p>
      </dgm:t>
    </dgm:pt>
    <dgm:pt modelId="{161A7338-4923-4B1E-B74F-1A985B1E254F}" type="pres">
      <dgm:prSet presAssocID="{61B825FD-0719-45C5-BB86-83769B2C73A0}" presName="compNode" presStyleCnt="0"/>
      <dgm:spPr/>
    </dgm:pt>
    <dgm:pt modelId="{57AFAA4E-5BAB-488D-8BC5-9CFF7CB54892}" type="pres">
      <dgm:prSet presAssocID="{61B825FD-0719-45C5-BB86-83769B2C73A0}" presName="noGeometry" presStyleCnt="0"/>
      <dgm:spPr/>
    </dgm:pt>
    <dgm:pt modelId="{FD375592-20A3-42FF-AC10-D9D5BD39C98C}" type="pres">
      <dgm:prSet presAssocID="{61B825FD-0719-45C5-BB86-83769B2C73A0}" presName="childTextVisible" presStyleLbl="bgAccFollowNode1" presStyleIdx="0" presStyleCnt="3">
        <dgm:presLayoutVars>
          <dgm:bulletEnabled val="1"/>
        </dgm:presLayoutVars>
      </dgm:prSet>
      <dgm:spPr/>
      <dgm:t>
        <a:bodyPr/>
        <a:lstStyle/>
        <a:p>
          <a:endParaRPr lang="en-US"/>
        </a:p>
      </dgm:t>
    </dgm:pt>
    <dgm:pt modelId="{0AC1A0E0-AB66-4023-A60B-393F22A10DE0}" type="pres">
      <dgm:prSet presAssocID="{61B825FD-0719-45C5-BB86-83769B2C73A0}" presName="childTextHidden" presStyleLbl="bgAccFollowNode1" presStyleIdx="0" presStyleCnt="3"/>
      <dgm:spPr/>
      <dgm:t>
        <a:bodyPr/>
        <a:lstStyle/>
        <a:p>
          <a:endParaRPr lang="en-US"/>
        </a:p>
      </dgm:t>
    </dgm:pt>
    <dgm:pt modelId="{092A9D64-DD73-4883-AB3D-3BBE2F837B1D}" type="pres">
      <dgm:prSet presAssocID="{61B825FD-0719-45C5-BB86-83769B2C73A0}" presName="parentText" presStyleLbl="node1" presStyleIdx="0" presStyleCnt="3">
        <dgm:presLayoutVars>
          <dgm:chMax val="1"/>
          <dgm:bulletEnabled val="1"/>
        </dgm:presLayoutVars>
      </dgm:prSet>
      <dgm:spPr/>
      <dgm:t>
        <a:bodyPr/>
        <a:lstStyle/>
        <a:p>
          <a:endParaRPr lang="en-US"/>
        </a:p>
      </dgm:t>
    </dgm:pt>
    <dgm:pt modelId="{D2ABAB2D-0D84-4FA8-B47D-1EA9EA9B1B7B}" type="pres">
      <dgm:prSet presAssocID="{61B825FD-0719-45C5-BB86-83769B2C73A0}" presName="aSpace" presStyleCnt="0"/>
      <dgm:spPr/>
    </dgm:pt>
    <dgm:pt modelId="{6D604276-F46B-4451-890A-2E8DFC95331C}" type="pres">
      <dgm:prSet presAssocID="{A31A3B74-1F0E-462A-B52D-7B1A25588C34}" presName="compNode" presStyleCnt="0"/>
      <dgm:spPr/>
    </dgm:pt>
    <dgm:pt modelId="{02ED9F09-A19C-4B4A-A10C-F3C295BFD80C}" type="pres">
      <dgm:prSet presAssocID="{A31A3B74-1F0E-462A-B52D-7B1A25588C34}" presName="noGeometry" presStyleCnt="0"/>
      <dgm:spPr/>
    </dgm:pt>
    <dgm:pt modelId="{A626743C-BB88-42C8-970A-488EACB6B94A}" type="pres">
      <dgm:prSet presAssocID="{A31A3B74-1F0E-462A-B52D-7B1A25588C34}" presName="childTextVisible" presStyleLbl="bgAccFollowNode1" presStyleIdx="1" presStyleCnt="3">
        <dgm:presLayoutVars>
          <dgm:bulletEnabled val="1"/>
        </dgm:presLayoutVars>
      </dgm:prSet>
      <dgm:spPr/>
      <dgm:t>
        <a:bodyPr/>
        <a:lstStyle/>
        <a:p>
          <a:endParaRPr lang="en-US"/>
        </a:p>
      </dgm:t>
    </dgm:pt>
    <dgm:pt modelId="{F69819A7-C15D-4042-AD9E-54CD6393A09A}" type="pres">
      <dgm:prSet presAssocID="{A31A3B74-1F0E-462A-B52D-7B1A25588C34}" presName="childTextHidden" presStyleLbl="bgAccFollowNode1" presStyleIdx="1" presStyleCnt="3"/>
      <dgm:spPr/>
      <dgm:t>
        <a:bodyPr/>
        <a:lstStyle/>
        <a:p>
          <a:endParaRPr lang="en-US"/>
        </a:p>
      </dgm:t>
    </dgm:pt>
    <dgm:pt modelId="{EA4E83AD-B2F7-4542-809B-3E4B59E3F877}" type="pres">
      <dgm:prSet presAssocID="{A31A3B74-1F0E-462A-B52D-7B1A25588C34}" presName="parentText" presStyleLbl="node1" presStyleIdx="1" presStyleCnt="3">
        <dgm:presLayoutVars>
          <dgm:chMax val="1"/>
          <dgm:bulletEnabled val="1"/>
        </dgm:presLayoutVars>
      </dgm:prSet>
      <dgm:spPr/>
      <dgm:t>
        <a:bodyPr/>
        <a:lstStyle/>
        <a:p>
          <a:endParaRPr lang="en-US"/>
        </a:p>
      </dgm:t>
    </dgm:pt>
    <dgm:pt modelId="{F395162D-8B1B-48C4-A01C-D01A8456FB94}" type="pres">
      <dgm:prSet presAssocID="{A31A3B74-1F0E-462A-B52D-7B1A25588C34}" presName="aSpace" presStyleCnt="0"/>
      <dgm:spPr/>
    </dgm:pt>
    <dgm:pt modelId="{2B9F1D3F-442E-4C7F-9B4E-6D597A9F3EEE}" type="pres">
      <dgm:prSet presAssocID="{926144EA-DF9D-4665-A45B-D3FAF39F5646}" presName="compNode" presStyleCnt="0"/>
      <dgm:spPr/>
    </dgm:pt>
    <dgm:pt modelId="{A78B6673-5B03-436F-9D89-063CB860D4EC}" type="pres">
      <dgm:prSet presAssocID="{926144EA-DF9D-4665-A45B-D3FAF39F5646}" presName="noGeometry" presStyleCnt="0"/>
      <dgm:spPr/>
    </dgm:pt>
    <dgm:pt modelId="{338DBB4C-D0A3-4185-A0BF-BFAFF9081799}" type="pres">
      <dgm:prSet presAssocID="{926144EA-DF9D-4665-A45B-D3FAF39F5646}" presName="childTextVisible" presStyleLbl="bgAccFollowNode1" presStyleIdx="2" presStyleCnt="3">
        <dgm:presLayoutVars>
          <dgm:bulletEnabled val="1"/>
        </dgm:presLayoutVars>
      </dgm:prSet>
      <dgm:spPr/>
      <dgm:t>
        <a:bodyPr/>
        <a:lstStyle/>
        <a:p>
          <a:endParaRPr lang="en-US"/>
        </a:p>
      </dgm:t>
    </dgm:pt>
    <dgm:pt modelId="{21B0878E-13A1-4754-AD42-5183A6D86731}" type="pres">
      <dgm:prSet presAssocID="{926144EA-DF9D-4665-A45B-D3FAF39F5646}" presName="childTextHidden" presStyleLbl="bgAccFollowNode1" presStyleIdx="2" presStyleCnt="3"/>
      <dgm:spPr/>
      <dgm:t>
        <a:bodyPr/>
        <a:lstStyle/>
        <a:p>
          <a:endParaRPr lang="en-US"/>
        </a:p>
      </dgm:t>
    </dgm:pt>
    <dgm:pt modelId="{66305D60-D7F9-4BB7-8715-EA568BB3E478}" type="pres">
      <dgm:prSet presAssocID="{926144EA-DF9D-4665-A45B-D3FAF39F5646}" presName="parentText" presStyleLbl="node1" presStyleIdx="2" presStyleCnt="3">
        <dgm:presLayoutVars>
          <dgm:chMax val="1"/>
          <dgm:bulletEnabled val="1"/>
        </dgm:presLayoutVars>
      </dgm:prSet>
      <dgm:spPr/>
      <dgm:t>
        <a:bodyPr/>
        <a:lstStyle/>
        <a:p>
          <a:endParaRPr lang="en-US"/>
        </a:p>
      </dgm:t>
    </dgm:pt>
  </dgm:ptLst>
  <dgm:cxnLst>
    <dgm:cxn modelId="{354FA56A-558D-4E78-AFB3-C9B1960E750A}" srcId="{926144EA-DF9D-4665-A45B-D3FAF39F5646}" destId="{233F3DB6-0A8E-4E9F-9974-7537EE5E83EF}" srcOrd="2" destOrd="0" parTransId="{73D20D7B-E268-46A7-8E33-3E5181273ABF}" sibTransId="{8E3F38BF-D115-403A-A5B8-36E1ED06916D}"/>
    <dgm:cxn modelId="{996BEF3A-FD7F-4123-8810-9D438C6AD220}" type="presOf" srcId="{CD014324-24FE-4662-BB91-1BD4DC69484D}" destId="{F69819A7-C15D-4042-AD9E-54CD6393A09A}" srcOrd="1" destOrd="1" presId="urn:microsoft.com/office/officeart/2005/8/layout/hProcess6"/>
    <dgm:cxn modelId="{C7169566-D0BB-4F4E-9433-6279461A71CF}" type="presOf" srcId="{5FECA4C0-6490-4C36-A822-75429FE0A97C}" destId="{21B0878E-13A1-4754-AD42-5183A6D86731}" srcOrd="1" destOrd="0" presId="urn:microsoft.com/office/officeart/2005/8/layout/hProcess6"/>
    <dgm:cxn modelId="{80F087C3-B87F-4BE8-A9CD-8688D4D86B1E}" type="presOf" srcId="{A31A3B74-1F0E-462A-B52D-7B1A25588C34}" destId="{EA4E83AD-B2F7-4542-809B-3E4B59E3F877}" srcOrd="0" destOrd="0" presId="urn:microsoft.com/office/officeart/2005/8/layout/hProcess6"/>
    <dgm:cxn modelId="{6C656F6D-4673-4941-8ECF-02F66F61700C}" type="presOf" srcId="{61CFCA5B-D666-45EA-A3EF-4625ED054585}" destId="{F69819A7-C15D-4042-AD9E-54CD6393A09A}" srcOrd="1" destOrd="2" presId="urn:microsoft.com/office/officeart/2005/8/layout/hProcess6"/>
    <dgm:cxn modelId="{1A3ADAB8-ED2D-4BDB-82C1-4586DBAC813B}" type="presOf" srcId="{233F3DB6-0A8E-4E9F-9974-7537EE5E83EF}" destId="{338DBB4C-D0A3-4185-A0BF-BFAFF9081799}" srcOrd="0" destOrd="2" presId="urn:microsoft.com/office/officeart/2005/8/layout/hProcess6"/>
    <dgm:cxn modelId="{1EBE91D8-70E7-424D-BBCF-6F3E27545AA5}" type="presOf" srcId="{61B825FD-0719-45C5-BB86-83769B2C73A0}" destId="{092A9D64-DD73-4883-AB3D-3BBE2F837B1D}" srcOrd="0" destOrd="0" presId="urn:microsoft.com/office/officeart/2005/8/layout/hProcess6"/>
    <dgm:cxn modelId="{657906E1-B713-4243-9338-440884D998E9}" srcId="{926144EA-DF9D-4665-A45B-D3FAF39F5646}" destId="{5FECA4C0-6490-4C36-A822-75429FE0A97C}" srcOrd="0" destOrd="0" parTransId="{414FD941-4A3F-42DF-A02B-AAE042AAA573}" sibTransId="{BE440544-C532-4FAA-8B40-F41E94F3E227}"/>
    <dgm:cxn modelId="{C045B6F4-1C3D-48EC-868F-A174286A87DA}" srcId="{A31A3B74-1F0E-462A-B52D-7B1A25588C34}" destId="{CD014324-24FE-4662-BB91-1BD4DC69484D}" srcOrd="1" destOrd="0" parTransId="{38CF6520-9FA6-45E4-924A-8B4979022F6E}" sibTransId="{D7809CD2-F971-4211-8335-888B7D9F8FE8}"/>
    <dgm:cxn modelId="{9D2E49D6-2AC6-42D6-B396-37EE0C9C7560}" type="presOf" srcId="{C6A3B918-2B31-4D7F-8DC5-99DF14662C14}" destId="{FD375592-20A3-42FF-AC10-D9D5BD39C98C}" srcOrd="0" destOrd="2" presId="urn:microsoft.com/office/officeart/2005/8/layout/hProcess6"/>
    <dgm:cxn modelId="{2620C38A-AE85-4C8F-A851-B53E40A107E1}" type="presOf" srcId="{CD014324-24FE-4662-BB91-1BD4DC69484D}" destId="{A626743C-BB88-42C8-970A-488EACB6B94A}" srcOrd="0" destOrd="1" presId="urn:microsoft.com/office/officeart/2005/8/layout/hProcess6"/>
    <dgm:cxn modelId="{DDFC06BA-6319-4375-A10D-60388AEFB653}" type="presOf" srcId="{61CFCA5B-D666-45EA-A3EF-4625ED054585}" destId="{A626743C-BB88-42C8-970A-488EACB6B94A}" srcOrd="0" destOrd="2" presId="urn:microsoft.com/office/officeart/2005/8/layout/hProcess6"/>
    <dgm:cxn modelId="{F56E3528-5559-4811-B0A7-96829FA6B4BA}" type="presOf" srcId="{3A6B4569-0539-4DB0-8711-17B12E5511D8}" destId="{FD375592-20A3-42FF-AC10-D9D5BD39C98C}" srcOrd="0" destOrd="1" presId="urn:microsoft.com/office/officeart/2005/8/layout/hProcess6"/>
    <dgm:cxn modelId="{6BC7DCF5-FF54-41E3-B0FA-A5F409FD4376}" type="presOf" srcId="{31BFF773-F52C-4EF2-84E9-BB31C4F7CB50}" destId="{F69819A7-C15D-4042-AD9E-54CD6393A09A}" srcOrd="1" destOrd="0" presId="urn:microsoft.com/office/officeart/2005/8/layout/hProcess6"/>
    <dgm:cxn modelId="{A58E61D3-81C3-43A3-A82E-EEFAA9DA93CD}" srcId="{8351E543-59F3-4E44-9E6F-ADD4886C20BE}" destId="{926144EA-DF9D-4665-A45B-D3FAF39F5646}" srcOrd="2" destOrd="0" parTransId="{9BC8BBC0-5716-4194-87A5-16D61CDEA46D}" sibTransId="{035BAEF3-C0D0-4E98-9327-1BACD1D2664C}"/>
    <dgm:cxn modelId="{110D6089-6821-4918-9209-79A3DFA0715E}" type="presOf" srcId="{EC8EA73D-38EE-48C7-AB87-0FA2F41C10CB}" destId="{338DBB4C-D0A3-4185-A0BF-BFAFF9081799}" srcOrd="0" destOrd="1" presId="urn:microsoft.com/office/officeart/2005/8/layout/hProcess6"/>
    <dgm:cxn modelId="{DDF2CD72-EFB0-41B2-B358-19B903B1AE34}" type="presOf" srcId="{233F3DB6-0A8E-4E9F-9974-7537EE5E83EF}" destId="{21B0878E-13A1-4754-AD42-5183A6D86731}" srcOrd="1" destOrd="2" presId="urn:microsoft.com/office/officeart/2005/8/layout/hProcess6"/>
    <dgm:cxn modelId="{10334CA4-E57D-48C1-831E-F7207B2E9288}" srcId="{61B825FD-0719-45C5-BB86-83769B2C73A0}" destId="{F1E744F0-9B41-4B70-867F-628EBF1C20FC}" srcOrd="0" destOrd="0" parTransId="{167297A3-200C-4C6A-B6FF-D00D27906603}" sibTransId="{75279925-46D1-458E-8055-FA97B3FB1606}"/>
    <dgm:cxn modelId="{4C84C49E-1DDF-4B56-981D-3535839A7DC2}" type="presOf" srcId="{31BFF773-F52C-4EF2-84E9-BB31C4F7CB50}" destId="{A626743C-BB88-42C8-970A-488EACB6B94A}" srcOrd="0" destOrd="0" presId="urn:microsoft.com/office/officeart/2005/8/layout/hProcess6"/>
    <dgm:cxn modelId="{45E84B01-EB02-4E1C-A7F2-E1F216F8A9E1}" type="presOf" srcId="{EC8EA73D-38EE-48C7-AB87-0FA2F41C10CB}" destId="{21B0878E-13A1-4754-AD42-5183A6D86731}" srcOrd="1" destOrd="1" presId="urn:microsoft.com/office/officeart/2005/8/layout/hProcess6"/>
    <dgm:cxn modelId="{28FD5536-F01A-463E-9600-B0E45374F507}" srcId="{61B825FD-0719-45C5-BB86-83769B2C73A0}" destId="{3A6B4569-0539-4DB0-8711-17B12E5511D8}" srcOrd="1" destOrd="0" parTransId="{3B3D2FD3-0735-48B3-808B-718DD0771A0E}" sibTransId="{BE948675-0097-406E-89BA-98C8E33BBF57}"/>
    <dgm:cxn modelId="{C67E5D9F-0255-4607-9436-E4DD1A85AE52}" srcId="{8351E543-59F3-4E44-9E6F-ADD4886C20BE}" destId="{A31A3B74-1F0E-462A-B52D-7B1A25588C34}" srcOrd="1" destOrd="0" parTransId="{C31449C4-327A-4D3E-A547-5B357AEA44F9}" sibTransId="{FB9E17AC-5848-49FB-A85D-C34617A6E112}"/>
    <dgm:cxn modelId="{714A08A9-D55E-409F-A4BC-43D1129D0656}" type="presOf" srcId="{3A6B4569-0539-4DB0-8711-17B12E5511D8}" destId="{0AC1A0E0-AB66-4023-A60B-393F22A10DE0}" srcOrd="1" destOrd="1" presId="urn:microsoft.com/office/officeart/2005/8/layout/hProcess6"/>
    <dgm:cxn modelId="{65731D7D-DF6F-4539-B56F-B12E1AEF35AE}" type="presOf" srcId="{926144EA-DF9D-4665-A45B-D3FAF39F5646}" destId="{66305D60-D7F9-4BB7-8715-EA568BB3E478}" srcOrd="0" destOrd="0" presId="urn:microsoft.com/office/officeart/2005/8/layout/hProcess6"/>
    <dgm:cxn modelId="{88CFCEDB-8B43-4A7E-AB27-20FB802511F2}" type="presOf" srcId="{C6A3B918-2B31-4D7F-8DC5-99DF14662C14}" destId="{0AC1A0E0-AB66-4023-A60B-393F22A10DE0}" srcOrd="1" destOrd="2" presId="urn:microsoft.com/office/officeart/2005/8/layout/hProcess6"/>
    <dgm:cxn modelId="{D86DA650-9F29-432F-891E-82ED2567A372}" type="presOf" srcId="{F1E744F0-9B41-4B70-867F-628EBF1C20FC}" destId="{0AC1A0E0-AB66-4023-A60B-393F22A10DE0}" srcOrd="1" destOrd="0" presId="urn:microsoft.com/office/officeart/2005/8/layout/hProcess6"/>
    <dgm:cxn modelId="{1622F9B5-35E3-486D-82C0-2EE54BCE7ACE}" srcId="{A31A3B74-1F0E-462A-B52D-7B1A25588C34}" destId="{31BFF773-F52C-4EF2-84E9-BB31C4F7CB50}" srcOrd="0" destOrd="0" parTransId="{37D9DCCE-A2C2-480D-BE35-EAD2FBCF52F5}" sibTransId="{A3C234B5-6030-4A0F-B09A-7020152A1C3C}"/>
    <dgm:cxn modelId="{29BF5D3F-33E0-4E97-9A7B-CA3C58268331}" srcId="{A31A3B74-1F0E-462A-B52D-7B1A25588C34}" destId="{61CFCA5B-D666-45EA-A3EF-4625ED054585}" srcOrd="2" destOrd="0" parTransId="{D49F8165-7FD8-494A-B92F-2C5E23FB184C}" sibTransId="{265BB26E-5C00-4EB2-A204-380BD941A90C}"/>
    <dgm:cxn modelId="{3050A8B9-7571-48D9-8DE5-79FBA5F15D4E}" srcId="{8351E543-59F3-4E44-9E6F-ADD4886C20BE}" destId="{61B825FD-0719-45C5-BB86-83769B2C73A0}" srcOrd="0" destOrd="0" parTransId="{4C725CB6-DA34-48E4-B6A8-9A83A466F86D}" sibTransId="{127BBE97-4D81-4AB3-A392-739AB3D07FE1}"/>
    <dgm:cxn modelId="{2FBB2367-DF01-4B0E-87B2-F40F7B037376}" type="presOf" srcId="{F1E744F0-9B41-4B70-867F-628EBF1C20FC}" destId="{FD375592-20A3-42FF-AC10-D9D5BD39C98C}" srcOrd="0" destOrd="0" presId="urn:microsoft.com/office/officeart/2005/8/layout/hProcess6"/>
    <dgm:cxn modelId="{D68851ED-10E4-4832-B8DE-9E2600F835DF}" srcId="{61B825FD-0719-45C5-BB86-83769B2C73A0}" destId="{C6A3B918-2B31-4D7F-8DC5-99DF14662C14}" srcOrd="2" destOrd="0" parTransId="{F1FE21CB-4E71-4551-B374-D3B7620AAF2C}" sibTransId="{F607085C-BF05-4840-A007-BD98870D8B79}"/>
    <dgm:cxn modelId="{2006901A-9ABA-454F-9E96-29D431C6CDEC}" type="presOf" srcId="{8351E543-59F3-4E44-9E6F-ADD4886C20BE}" destId="{239AA402-6DC6-4541-A5B2-665AE33D762F}" srcOrd="0" destOrd="0" presId="urn:microsoft.com/office/officeart/2005/8/layout/hProcess6"/>
    <dgm:cxn modelId="{F11936A6-8734-43B5-BDEA-610F5DF77C7A}" srcId="{926144EA-DF9D-4665-A45B-D3FAF39F5646}" destId="{EC8EA73D-38EE-48C7-AB87-0FA2F41C10CB}" srcOrd="1" destOrd="0" parTransId="{9A0E78A7-34E4-4C44-B1E2-7A495DBF1786}" sibTransId="{C516C577-562C-4606-A5FF-ABA029598EA4}"/>
    <dgm:cxn modelId="{C826D049-1836-436C-9C4A-62A270C7CC20}" type="presOf" srcId="{5FECA4C0-6490-4C36-A822-75429FE0A97C}" destId="{338DBB4C-D0A3-4185-A0BF-BFAFF9081799}" srcOrd="0" destOrd="0" presId="urn:microsoft.com/office/officeart/2005/8/layout/hProcess6"/>
    <dgm:cxn modelId="{E14C5EF3-EF8A-4BAE-92BC-6F4DF83DC4C9}" type="presParOf" srcId="{239AA402-6DC6-4541-A5B2-665AE33D762F}" destId="{161A7338-4923-4B1E-B74F-1A985B1E254F}" srcOrd="0" destOrd="0" presId="urn:microsoft.com/office/officeart/2005/8/layout/hProcess6"/>
    <dgm:cxn modelId="{0D1C7455-875A-4D3B-B669-770C86D44DE1}" type="presParOf" srcId="{161A7338-4923-4B1E-B74F-1A985B1E254F}" destId="{57AFAA4E-5BAB-488D-8BC5-9CFF7CB54892}" srcOrd="0" destOrd="0" presId="urn:microsoft.com/office/officeart/2005/8/layout/hProcess6"/>
    <dgm:cxn modelId="{BE2AF246-DAE2-4836-8CC7-43C34EAB55DA}" type="presParOf" srcId="{161A7338-4923-4B1E-B74F-1A985B1E254F}" destId="{FD375592-20A3-42FF-AC10-D9D5BD39C98C}" srcOrd="1" destOrd="0" presId="urn:microsoft.com/office/officeart/2005/8/layout/hProcess6"/>
    <dgm:cxn modelId="{D8DD0460-E3BC-4C88-A36B-A3B2510F268B}" type="presParOf" srcId="{161A7338-4923-4B1E-B74F-1A985B1E254F}" destId="{0AC1A0E0-AB66-4023-A60B-393F22A10DE0}" srcOrd="2" destOrd="0" presId="urn:microsoft.com/office/officeart/2005/8/layout/hProcess6"/>
    <dgm:cxn modelId="{C8F7A1CD-AE91-44DD-8806-A2D12E646E27}" type="presParOf" srcId="{161A7338-4923-4B1E-B74F-1A985B1E254F}" destId="{092A9D64-DD73-4883-AB3D-3BBE2F837B1D}" srcOrd="3" destOrd="0" presId="urn:microsoft.com/office/officeart/2005/8/layout/hProcess6"/>
    <dgm:cxn modelId="{9EABAF0D-AD2A-410E-B53A-38E226064AA2}" type="presParOf" srcId="{239AA402-6DC6-4541-A5B2-665AE33D762F}" destId="{D2ABAB2D-0D84-4FA8-B47D-1EA9EA9B1B7B}" srcOrd="1" destOrd="0" presId="urn:microsoft.com/office/officeart/2005/8/layout/hProcess6"/>
    <dgm:cxn modelId="{B7F09822-819A-44F0-A615-790F63FA51B4}" type="presParOf" srcId="{239AA402-6DC6-4541-A5B2-665AE33D762F}" destId="{6D604276-F46B-4451-890A-2E8DFC95331C}" srcOrd="2" destOrd="0" presId="urn:microsoft.com/office/officeart/2005/8/layout/hProcess6"/>
    <dgm:cxn modelId="{15F70699-BCF8-4320-BE34-3B2F245757FE}" type="presParOf" srcId="{6D604276-F46B-4451-890A-2E8DFC95331C}" destId="{02ED9F09-A19C-4B4A-A10C-F3C295BFD80C}" srcOrd="0" destOrd="0" presId="urn:microsoft.com/office/officeart/2005/8/layout/hProcess6"/>
    <dgm:cxn modelId="{D9935D12-5285-4464-9923-8C6DE11F88D1}" type="presParOf" srcId="{6D604276-F46B-4451-890A-2E8DFC95331C}" destId="{A626743C-BB88-42C8-970A-488EACB6B94A}" srcOrd="1" destOrd="0" presId="urn:microsoft.com/office/officeart/2005/8/layout/hProcess6"/>
    <dgm:cxn modelId="{E6C14B18-C0B6-4BA0-AF3A-0EAF9AD5A6F9}" type="presParOf" srcId="{6D604276-F46B-4451-890A-2E8DFC95331C}" destId="{F69819A7-C15D-4042-AD9E-54CD6393A09A}" srcOrd="2" destOrd="0" presId="urn:microsoft.com/office/officeart/2005/8/layout/hProcess6"/>
    <dgm:cxn modelId="{D54E4566-8567-4843-817C-792AD0F2FD39}" type="presParOf" srcId="{6D604276-F46B-4451-890A-2E8DFC95331C}" destId="{EA4E83AD-B2F7-4542-809B-3E4B59E3F877}" srcOrd="3" destOrd="0" presId="urn:microsoft.com/office/officeart/2005/8/layout/hProcess6"/>
    <dgm:cxn modelId="{32EA344E-BF79-477E-9604-2CE65A029E75}" type="presParOf" srcId="{239AA402-6DC6-4541-A5B2-665AE33D762F}" destId="{F395162D-8B1B-48C4-A01C-D01A8456FB94}" srcOrd="3" destOrd="0" presId="urn:microsoft.com/office/officeart/2005/8/layout/hProcess6"/>
    <dgm:cxn modelId="{A154D46F-29BD-4536-BAE7-47C6D0447584}" type="presParOf" srcId="{239AA402-6DC6-4541-A5B2-665AE33D762F}" destId="{2B9F1D3F-442E-4C7F-9B4E-6D597A9F3EEE}" srcOrd="4" destOrd="0" presId="urn:microsoft.com/office/officeart/2005/8/layout/hProcess6"/>
    <dgm:cxn modelId="{BBDDF196-13CE-4727-B0FE-506881D922FD}" type="presParOf" srcId="{2B9F1D3F-442E-4C7F-9B4E-6D597A9F3EEE}" destId="{A78B6673-5B03-436F-9D89-063CB860D4EC}" srcOrd="0" destOrd="0" presId="urn:microsoft.com/office/officeart/2005/8/layout/hProcess6"/>
    <dgm:cxn modelId="{EF9AFFD4-1B99-4AD1-A813-161817A23481}" type="presParOf" srcId="{2B9F1D3F-442E-4C7F-9B4E-6D597A9F3EEE}" destId="{338DBB4C-D0A3-4185-A0BF-BFAFF9081799}" srcOrd="1" destOrd="0" presId="urn:microsoft.com/office/officeart/2005/8/layout/hProcess6"/>
    <dgm:cxn modelId="{C4E31C49-388A-48AA-8C97-8906264F3194}" type="presParOf" srcId="{2B9F1D3F-442E-4C7F-9B4E-6D597A9F3EEE}" destId="{21B0878E-13A1-4754-AD42-5183A6D86731}" srcOrd="2" destOrd="0" presId="urn:microsoft.com/office/officeart/2005/8/layout/hProcess6"/>
    <dgm:cxn modelId="{BDBAE71C-32C4-4638-8DBD-BB45C0B62369}" type="presParOf" srcId="{2B9F1D3F-442E-4C7F-9B4E-6D597A9F3EEE}" destId="{66305D60-D7F9-4BB7-8715-EA568BB3E478}" srcOrd="3" destOrd="0" presId="urn:microsoft.com/office/officeart/2005/8/layout/hProcess6"/>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375592-20A3-42FF-AC10-D9D5BD39C98C}">
      <dsp:nvSpPr>
        <dsp:cNvPr id="0" name=""/>
        <dsp:cNvSpPr/>
      </dsp:nvSpPr>
      <dsp:spPr>
        <a:xfrm>
          <a:off x="356294" y="246660"/>
          <a:ext cx="1414462" cy="1236418"/>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Stakeholder</a:t>
          </a:r>
        </a:p>
        <a:p>
          <a:pPr marL="57150" lvl="1" indent="-57150" algn="l" defTabSz="400050">
            <a:lnSpc>
              <a:spcPct val="90000"/>
            </a:lnSpc>
            <a:spcBef>
              <a:spcPct val="0"/>
            </a:spcBef>
            <a:spcAft>
              <a:spcPct val="15000"/>
            </a:spcAft>
            <a:buChar char="••"/>
          </a:pPr>
          <a:r>
            <a:rPr lang="en-US" sz="900" kern="1200"/>
            <a:t>Rationale </a:t>
          </a:r>
        </a:p>
        <a:p>
          <a:pPr marL="57150" lvl="1" indent="-57150" algn="l" defTabSz="400050">
            <a:lnSpc>
              <a:spcPct val="90000"/>
            </a:lnSpc>
            <a:spcBef>
              <a:spcPct val="0"/>
            </a:spcBef>
            <a:spcAft>
              <a:spcPct val="15000"/>
            </a:spcAft>
            <a:buChar char="••"/>
          </a:pPr>
          <a:r>
            <a:rPr lang="en-US" sz="900" kern="1200"/>
            <a:t>Narrative &amp; business logic </a:t>
          </a:r>
        </a:p>
      </dsp:txBody>
      <dsp:txXfrm>
        <a:off x="709910" y="432123"/>
        <a:ext cx="689550" cy="865492"/>
      </dsp:txXfrm>
    </dsp:sp>
    <dsp:sp modelId="{092A9D64-DD73-4883-AB3D-3BBE2F837B1D}">
      <dsp:nvSpPr>
        <dsp:cNvPr id="0" name=""/>
        <dsp:cNvSpPr/>
      </dsp:nvSpPr>
      <dsp:spPr>
        <a:xfrm>
          <a:off x="2678" y="511254"/>
          <a:ext cx="707231" cy="70723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Endpoint</a:t>
          </a:r>
        </a:p>
      </dsp:txBody>
      <dsp:txXfrm>
        <a:off x="106250" y="614826"/>
        <a:ext cx="500087" cy="500087"/>
      </dsp:txXfrm>
    </dsp:sp>
    <dsp:sp modelId="{A626743C-BB88-42C8-970A-488EACB6B94A}">
      <dsp:nvSpPr>
        <dsp:cNvPr id="0" name=""/>
        <dsp:cNvSpPr/>
      </dsp:nvSpPr>
      <dsp:spPr>
        <a:xfrm>
          <a:off x="2212776" y="246660"/>
          <a:ext cx="1414462" cy="1236418"/>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Stakeholder</a:t>
          </a:r>
        </a:p>
        <a:p>
          <a:pPr marL="57150" lvl="1" indent="-57150" algn="l" defTabSz="400050">
            <a:lnSpc>
              <a:spcPct val="90000"/>
            </a:lnSpc>
            <a:spcBef>
              <a:spcPct val="0"/>
            </a:spcBef>
            <a:spcAft>
              <a:spcPct val="15000"/>
            </a:spcAft>
            <a:buChar char="••"/>
          </a:pPr>
          <a:r>
            <a:rPr lang="en-US" sz="900" kern="1200"/>
            <a:t>Rationale </a:t>
          </a:r>
        </a:p>
        <a:p>
          <a:pPr marL="57150" lvl="1" indent="-57150" algn="l" defTabSz="400050">
            <a:lnSpc>
              <a:spcPct val="90000"/>
            </a:lnSpc>
            <a:spcBef>
              <a:spcPct val="0"/>
            </a:spcBef>
            <a:spcAft>
              <a:spcPct val="15000"/>
            </a:spcAft>
            <a:buChar char="••"/>
          </a:pPr>
          <a:r>
            <a:rPr lang="en-US" sz="900" kern="1200"/>
            <a:t>Narrative &amp; business logic </a:t>
          </a:r>
        </a:p>
      </dsp:txBody>
      <dsp:txXfrm>
        <a:off x="2566392" y="432123"/>
        <a:ext cx="689550" cy="865492"/>
      </dsp:txXfrm>
    </dsp:sp>
    <dsp:sp modelId="{EA4E83AD-B2F7-4542-809B-3E4B59E3F877}">
      <dsp:nvSpPr>
        <dsp:cNvPr id="0" name=""/>
        <dsp:cNvSpPr/>
      </dsp:nvSpPr>
      <dsp:spPr>
        <a:xfrm>
          <a:off x="1859160" y="511254"/>
          <a:ext cx="707231" cy="70723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Required Precursor</a:t>
          </a:r>
        </a:p>
      </dsp:txBody>
      <dsp:txXfrm>
        <a:off x="1962732" y="614826"/>
        <a:ext cx="500087" cy="500087"/>
      </dsp:txXfrm>
    </dsp:sp>
    <dsp:sp modelId="{338DBB4C-D0A3-4185-A0BF-BFAFF9081799}">
      <dsp:nvSpPr>
        <dsp:cNvPr id="0" name=""/>
        <dsp:cNvSpPr/>
      </dsp:nvSpPr>
      <dsp:spPr>
        <a:xfrm>
          <a:off x="4069258" y="246660"/>
          <a:ext cx="1414462" cy="1236418"/>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Stakeholder</a:t>
          </a:r>
        </a:p>
        <a:p>
          <a:pPr marL="57150" lvl="1" indent="-57150" algn="l" defTabSz="400050">
            <a:lnSpc>
              <a:spcPct val="90000"/>
            </a:lnSpc>
            <a:spcBef>
              <a:spcPct val="0"/>
            </a:spcBef>
            <a:spcAft>
              <a:spcPct val="15000"/>
            </a:spcAft>
            <a:buChar char="••"/>
          </a:pPr>
          <a:r>
            <a:rPr lang="en-US" sz="900" kern="1200"/>
            <a:t>Rationale </a:t>
          </a:r>
        </a:p>
        <a:p>
          <a:pPr marL="57150" lvl="1" indent="-57150" algn="l" defTabSz="400050">
            <a:lnSpc>
              <a:spcPct val="90000"/>
            </a:lnSpc>
            <a:spcBef>
              <a:spcPct val="0"/>
            </a:spcBef>
            <a:spcAft>
              <a:spcPct val="15000"/>
            </a:spcAft>
            <a:buChar char="••"/>
          </a:pPr>
          <a:r>
            <a:rPr lang="en-US" sz="900" kern="1200"/>
            <a:t>Narrative &amp; business logic </a:t>
          </a:r>
        </a:p>
      </dsp:txBody>
      <dsp:txXfrm>
        <a:off x="4422874" y="432123"/>
        <a:ext cx="689550" cy="865492"/>
      </dsp:txXfrm>
    </dsp:sp>
    <dsp:sp modelId="{66305D60-D7F9-4BB7-8715-EA568BB3E478}">
      <dsp:nvSpPr>
        <dsp:cNvPr id="0" name=""/>
        <dsp:cNvSpPr/>
      </dsp:nvSpPr>
      <dsp:spPr>
        <a:xfrm>
          <a:off x="3715642" y="511254"/>
          <a:ext cx="707231" cy="70723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Required Precursor</a:t>
          </a:r>
        </a:p>
      </dsp:txBody>
      <dsp:txXfrm>
        <a:off x="3819214" y="614826"/>
        <a:ext cx="500087" cy="50008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8230</Words>
  <Characters>46912</Characters>
  <Application>Microsoft Macintosh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Lesley K  Woods</cp:lastModifiedBy>
  <cp:revision>3</cp:revision>
  <dcterms:created xsi:type="dcterms:W3CDTF">2018-04-12T07:10:00Z</dcterms:created>
  <dcterms:modified xsi:type="dcterms:W3CDTF">2018-04-24T04:10:00Z</dcterms:modified>
</cp:coreProperties>
</file>