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DEA17" w14:textId="77777777" w:rsidR="007F2F83" w:rsidRDefault="007F2F83" w:rsidP="000E7C6F">
      <w:pPr>
        <w:jc w:val="center"/>
        <w:rPr>
          <w:rFonts w:cs="Arial"/>
          <w:b/>
          <w:iCs/>
          <w:szCs w:val="22"/>
          <w:lang w:val="en-US"/>
        </w:rPr>
      </w:pPr>
      <w:r>
        <w:rPr>
          <w:rFonts w:cs="Arial"/>
          <w:b/>
          <w:sz w:val="28"/>
          <w:szCs w:val="22"/>
          <w:lang w:val="en-US"/>
        </w:rPr>
        <w:t>Reorienting TOD P</w:t>
      </w:r>
      <w:r w:rsidRPr="00A84460">
        <w:rPr>
          <w:rFonts w:cs="Arial"/>
          <w:b/>
          <w:sz w:val="28"/>
          <w:szCs w:val="22"/>
          <w:lang w:val="en-US"/>
        </w:rPr>
        <w:t>olicy in Bri</w:t>
      </w:r>
      <w:r>
        <w:rPr>
          <w:rFonts w:cs="Arial"/>
          <w:b/>
          <w:sz w:val="28"/>
          <w:szCs w:val="22"/>
          <w:lang w:val="en-US"/>
        </w:rPr>
        <w:t>sbane, Sydney and Melbourne to Improve D</w:t>
      </w:r>
      <w:r w:rsidRPr="00A84460">
        <w:rPr>
          <w:rFonts w:cs="Arial"/>
          <w:b/>
          <w:sz w:val="28"/>
          <w:szCs w:val="22"/>
          <w:lang w:val="en-US"/>
        </w:rPr>
        <w:t xml:space="preserve">elivery of </w:t>
      </w:r>
      <w:r>
        <w:rPr>
          <w:rFonts w:cs="Arial"/>
          <w:b/>
          <w:iCs/>
          <w:sz w:val="28"/>
          <w:szCs w:val="22"/>
          <w:lang w:val="en-US"/>
        </w:rPr>
        <w:t>Low-Carbon C</w:t>
      </w:r>
      <w:r w:rsidRPr="00A84460">
        <w:rPr>
          <w:rFonts w:cs="Arial"/>
          <w:b/>
          <w:iCs/>
          <w:sz w:val="28"/>
          <w:szCs w:val="22"/>
          <w:lang w:val="en-US"/>
        </w:rPr>
        <w:t>ommunities</w:t>
      </w:r>
    </w:p>
    <w:p w14:paraId="533A4CFF" w14:textId="77777777" w:rsidR="007F2F83" w:rsidRDefault="007F2F83" w:rsidP="000E7C6F"/>
    <w:p w14:paraId="4BAE256D" w14:textId="26056DB1" w:rsidR="00081844" w:rsidRPr="00081844" w:rsidRDefault="00081844" w:rsidP="00081844">
      <w:pPr>
        <w:jc w:val="center"/>
        <w:rPr>
          <w:rFonts w:eastAsia="Arial" w:cs="Arial"/>
          <w:b/>
          <w:noProof/>
          <w:color w:val="000000"/>
          <w:szCs w:val="20"/>
          <w:u w:color="000000"/>
          <w:vertAlign w:val="superscript"/>
          <w:lang w:eastAsia="en-AU"/>
        </w:rPr>
      </w:pPr>
      <w:r w:rsidRPr="00081844">
        <w:rPr>
          <w:rFonts w:eastAsia="Arial" w:cs="Arial"/>
          <w:b/>
          <w:noProof/>
          <w:color w:val="000000"/>
          <w:szCs w:val="20"/>
          <w:u w:color="000000"/>
          <w:lang w:eastAsia="en-AU"/>
        </w:rPr>
        <w:t>Tony Matthews</w:t>
      </w:r>
      <w:r w:rsidRPr="00081844">
        <w:rPr>
          <w:rFonts w:eastAsia="Arial" w:cs="Arial"/>
          <w:b/>
          <w:noProof/>
          <w:color w:val="000000"/>
          <w:szCs w:val="20"/>
          <w:u w:color="000000"/>
          <w:vertAlign w:val="superscript"/>
          <w:lang w:eastAsia="en-AU"/>
        </w:rPr>
        <w:t>1</w:t>
      </w:r>
      <w:r w:rsidRPr="00081844">
        <w:rPr>
          <w:rFonts w:eastAsia="Arial" w:cs="Arial"/>
          <w:b/>
          <w:noProof/>
          <w:color w:val="000000"/>
          <w:szCs w:val="20"/>
          <w:u w:color="000000"/>
          <w:lang w:eastAsia="en-AU"/>
        </w:rPr>
        <w:t>,</w:t>
      </w:r>
      <w:r w:rsidRPr="00081844">
        <w:rPr>
          <w:rFonts w:eastAsia="Arial" w:cs="Arial"/>
          <w:b/>
          <w:noProof/>
          <w:color w:val="000000"/>
          <w:szCs w:val="20"/>
          <w:u w:color="000000"/>
          <w:vertAlign w:val="superscript"/>
          <w:lang w:eastAsia="en-AU"/>
        </w:rPr>
        <w:t xml:space="preserve"> </w:t>
      </w:r>
      <w:r w:rsidRPr="00081844">
        <w:rPr>
          <w:rFonts w:eastAsia="Arial" w:cs="Arial"/>
          <w:b/>
          <w:noProof/>
          <w:color w:val="000000"/>
          <w:szCs w:val="20"/>
          <w:u w:color="000000"/>
          <w:lang w:eastAsia="en-AU"/>
        </w:rPr>
        <w:t>Douglas Baker</w:t>
      </w:r>
      <w:r w:rsidRPr="00081844">
        <w:rPr>
          <w:rFonts w:eastAsia="Arial" w:cs="Arial"/>
          <w:b/>
          <w:noProof/>
          <w:color w:val="000000"/>
          <w:szCs w:val="20"/>
          <w:u w:color="000000"/>
          <w:vertAlign w:val="superscript"/>
          <w:lang w:eastAsia="en-AU"/>
        </w:rPr>
        <w:t>2</w:t>
      </w:r>
      <w:r w:rsidRPr="00081844">
        <w:rPr>
          <w:rFonts w:eastAsia="Arial" w:cs="Arial"/>
          <w:b/>
          <w:noProof/>
          <w:color w:val="000000"/>
          <w:szCs w:val="20"/>
          <w:u w:color="000000"/>
          <w:lang w:eastAsia="en-AU"/>
        </w:rPr>
        <w:t>, Gregory Marston</w:t>
      </w:r>
      <w:r w:rsidRPr="00081844">
        <w:rPr>
          <w:rFonts w:eastAsia="Arial" w:cs="Arial"/>
          <w:b/>
          <w:noProof/>
          <w:color w:val="000000"/>
          <w:szCs w:val="20"/>
          <w:u w:color="000000"/>
          <w:vertAlign w:val="superscript"/>
          <w:lang w:eastAsia="en-AU"/>
        </w:rPr>
        <w:t>3</w:t>
      </w:r>
      <w:r w:rsidRPr="00081844">
        <w:rPr>
          <w:rFonts w:eastAsia="Arial" w:cs="Arial"/>
          <w:b/>
          <w:noProof/>
          <w:color w:val="000000"/>
          <w:szCs w:val="20"/>
          <w:u w:color="000000"/>
          <w:lang w:eastAsia="en-AU"/>
        </w:rPr>
        <w:t>, Alastair Stark</w:t>
      </w:r>
      <w:r w:rsidRPr="00081844">
        <w:rPr>
          <w:rFonts w:eastAsia="Arial" w:cs="Arial"/>
          <w:b/>
          <w:noProof/>
          <w:color w:val="000000"/>
          <w:szCs w:val="20"/>
          <w:u w:color="000000"/>
          <w:vertAlign w:val="superscript"/>
          <w:lang w:eastAsia="en-AU"/>
        </w:rPr>
        <w:t>4</w:t>
      </w:r>
      <w:r w:rsidRPr="00081844">
        <w:rPr>
          <w:rFonts w:eastAsia="Arial" w:cs="Arial"/>
          <w:b/>
          <w:noProof/>
          <w:color w:val="000000"/>
          <w:szCs w:val="20"/>
          <w:u w:color="000000"/>
          <w:lang w:eastAsia="en-AU"/>
        </w:rPr>
        <w:t xml:space="preserve"> and Elnaz Torabi</w:t>
      </w:r>
      <w:r w:rsidRPr="00081844">
        <w:rPr>
          <w:rFonts w:eastAsia="Arial" w:cs="Arial"/>
          <w:b/>
          <w:noProof/>
          <w:color w:val="000000"/>
          <w:szCs w:val="20"/>
          <w:u w:color="000000"/>
          <w:vertAlign w:val="superscript"/>
          <w:lang w:eastAsia="en-AU"/>
        </w:rPr>
        <w:t>1</w:t>
      </w:r>
    </w:p>
    <w:p w14:paraId="738CE27E" w14:textId="77777777" w:rsidR="00081844" w:rsidRDefault="00081844" w:rsidP="00081844">
      <w:pPr>
        <w:jc w:val="center"/>
        <w:rPr>
          <w:rFonts w:eastAsia="Arial" w:cs="Arial"/>
          <w:noProof/>
          <w:color w:val="000000"/>
          <w:szCs w:val="20"/>
          <w:u w:color="000000"/>
          <w:lang w:eastAsia="en-AU"/>
        </w:rPr>
      </w:pPr>
    </w:p>
    <w:p w14:paraId="487CB1D3" w14:textId="7EDA039D" w:rsidR="00081844" w:rsidRPr="00081844" w:rsidRDefault="00081844" w:rsidP="00081844">
      <w:pPr>
        <w:jc w:val="center"/>
        <w:rPr>
          <w:rFonts w:eastAsia="Arial" w:cs="Arial"/>
          <w:b/>
          <w:noProof/>
          <w:color w:val="000000"/>
          <w:szCs w:val="20"/>
          <w:u w:color="000000"/>
          <w:lang w:eastAsia="en-AU"/>
        </w:rPr>
      </w:pPr>
      <w:r w:rsidRPr="00081844">
        <w:rPr>
          <w:rFonts w:eastAsia="Arial" w:cs="Arial"/>
          <w:b/>
          <w:noProof/>
          <w:color w:val="000000"/>
          <w:szCs w:val="20"/>
          <w:u w:color="000000"/>
          <w:vertAlign w:val="superscript"/>
          <w:lang w:eastAsia="en-AU"/>
        </w:rPr>
        <w:t>1</w:t>
      </w:r>
      <w:r w:rsidRPr="00081844">
        <w:rPr>
          <w:rFonts w:eastAsia="Arial" w:cs="Arial"/>
          <w:b/>
          <w:noProof/>
          <w:color w:val="000000"/>
          <w:szCs w:val="20"/>
          <w:u w:color="000000"/>
          <w:lang w:eastAsia="en-AU"/>
        </w:rPr>
        <w:t>School of Environment, Griffith University</w:t>
      </w:r>
    </w:p>
    <w:p w14:paraId="72DEB66D" w14:textId="39C917C9" w:rsidR="00081844" w:rsidRPr="00081844" w:rsidRDefault="00081844" w:rsidP="00081844">
      <w:pPr>
        <w:jc w:val="center"/>
        <w:rPr>
          <w:rFonts w:eastAsia="Arial" w:cs="Arial"/>
          <w:b/>
          <w:noProof/>
          <w:color w:val="000000"/>
          <w:szCs w:val="20"/>
          <w:u w:color="000000"/>
          <w:lang w:eastAsia="en-AU"/>
        </w:rPr>
      </w:pPr>
      <w:r w:rsidRPr="00081844">
        <w:rPr>
          <w:rFonts w:eastAsia="Arial" w:cs="Arial"/>
          <w:b/>
          <w:noProof/>
          <w:color w:val="000000"/>
          <w:szCs w:val="20"/>
          <w:u w:color="000000"/>
          <w:vertAlign w:val="superscript"/>
          <w:lang w:eastAsia="en-AU"/>
        </w:rPr>
        <w:t>2</w:t>
      </w:r>
      <w:r w:rsidRPr="00081844">
        <w:rPr>
          <w:rFonts w:eastAsia="Arial" w:cs="Arial"/>
          <w:b/>
          <w:noProof/>
          <w:color w:val="000000"/>
          <w:szCs w:val="20"/>
          <w:u w:color="000000"/>
          <w:lang w:eastAsia="en-AU"/>
        </w:rPr>
        <w:t>School of Civil Engineering and Built Environment, Queensland University of Technology</w:t>
      </w:r>
    </w:p>
    <w:p w14:paraId="6C83A768" w14:textId="394DE822" w:rsidR="00081844" w:rsidRPr="00081844" w:rsidRDefault="00081844" w:rsidP="00081844">
      <w:pPr>
        <w:jc w:val="center"/>
        <w:rPr>
          <w:rFonts w:eastAsia="Arial" w:cs="Arial"/>
          <w:b/>
          <w:noProof/>
          <w:color w:val="000000"/>
          <w:szCs w:val="20"/>
          <w:u w:color="000000"/>
          <w:lang w:eastAsia="en-AU"/>
        </w:rPr>
      </w:pPr>
      <w:r w:rsidRPr="00081844">
        <w:rPr>
          <w:rFonts w:eastAsia="Arial" w:cs="Arial"/>
          <w:b/>
          <w:noProof/>
          <w:color w:val="000000"/>
          <w:szCs w:val="20"/>
          <w:u w:color="000000"/>
          <w:vertAlign w:val="superscript"/>
          <w:lang w:eastAsia="en-AU"/>
        </w:rPr>
        <w:t>3</w:t>
      </w:r>
      <w:r w:rsidRPr="00081844">
        <w:rPr>
          <w:rFonts w:eastAsia="Arial" w:cs="Arial"/>
          <w:b/>
          <w:noProof/>
          <w:color w:val="000000"/>
          <w:szCs w:val="20"/>
          <w:u w:color="000000"/>
          <w:lang w:eastAsia="en-AU"/>
        </w:rPr>
        <w:t xml:space="preserve">School of Social Science, </w:t>
      </w:r>
      <w:r w:rsidRPr="00081844">
        <w:rPr>
          <w:rFonts w:eastAsiaTheme="minorHAnsi" w:cs="Arial"/>
          <w:b/>
          <w:szCs w:val="20"/>
          <w:lang w:val="en-AU"/>
        </w:rPr>
        <w:t>University of Queensland</w:t>
      </w:r>
    </w:p>
    <w:p w14:paraId="1C9766E9" w14:textId="7CCF401B" w:rsidR="00081844" w:rsidRPr="00081844" w:rsidRDefault="00081844" w:rsidP="00081844">
      <w:pPr>
        <w:jc w:val="center"/>
        <w:rPr>
          <w:rFonts w:eastAsiaTheme="minorHAnsi" w:cs="Arial"/>
          <w:b/>
          <w:szCs w:val="20"/>
          <w:lang w:val="en-AU"/>
        </w:rPr>
      </w:pPr>
      <w:r w:rsidRPr="00081844">
        <w:rPr>
          <w:rFonts w:eastAsiaTheme="minorHAnsi" w:cs="Arial"/>
          <w:b/>
          <w:szCs w:val="20"/>
          <w:vertAlign w:val="superscript"/>
          <w:lang w:val="en-AU"/>
        </w:rPr>
        <w:t>4</w:t>
      </w:r>
      <w:r w:rsidRPr="00081844">
        <w:rPr>
          <w:rFonts w:eastAsiaTheme="minorHAnsi" w:cs="Arial"/>
          <w:b/>
          <w:szCs w:val="20"/>
          <w:lang w:val="en-AU"/>
        </w:rPr>
        <w:t>School of Political Science and International Studies, University of Queensland</w:t>
      </w:r>
    </w:p>
    <w:p w14:paraId="0D3F2D01" w14:textId="77777777" w:rsidR="00081844" w:rsidRDefault="00081844" w:rsidP="000E7C6F"/>
    <w:p w14:paraId="7EA8A7E7" w14:textId="77777777" w:rsidR="007F2F83" w:rsidRDefault="007F2F83" w:rsidP="000E7C6F">
      <w:pPr>
        <w:jc w:val="both"/>
      </w:pPr>
      <w:r w:rsidRPr="007744B1">
        <w:rPr>
          <w:b/>
          <w:sz w:val="22"/>
        </w:rPr>
        <w:t xml:space="preserve">Abstract: </w:t>
      </w:r>
      <w:r w:rsidRPr="00A84460">
        <w:rPr>
          <w:rFonts w:cs="Arial"/>
          <w:iCs/>
          <w:szCs w:val="22"/>
          <w:lang w:val="en-US"/>
        </w:rPr>
        <w:t xml:space="preserve">Transit Orientated Development (TOD) provides a nuanced, policy-relevant design to connect social and planning frameworks to create low-carbon communities. </w:t>
      </w:r>
      <w:r w:rsidRPr="00A84460">
        <w:rPr>
          <w:rFonts w:cs="Arial"/>
          <w:szCs w:val="22"/>
          <w:lang w:val="en-US"/>
        </w:rPr>
        <w:t xml:space="preserve">This form of urban development aims to co-locate sustainable housing, transport and consolidated urban forms. Fully integrated TODs offer strong potential to blend social and environmental planning objectives to reduce carbon intensity. Despite this, many Australian cities have struggled to deliver fully integrated low-carbon TODs. These outcomes are even more problematic considering TODs are long established in Australian urban development frameworks. This paper provides emerging empirical insights into how TOD policies in Brisbane, Sydney and Melbourne might be reoriented to deliver more equitable and lower-carbon urban settlements. Existing policy frameworks in each case study are critically interrogated vertically and horizontally to identify causes for current undesirable outcomes. </w:t>
      </w:r>
      <w:r w:rsidRPr="00A84460">
        <w:rPr>
          <w:rFonts w:cs="Arial"/>
          <w:szCs w:val="22"/>
          <w:lang w:eastAsia="en-AU"/>
        </w:rPr>
        <w:t xml:space="preserve">Initial results indicate that while TOD delivery is an important policy concern across all cases, there are varying degrees of priority attached to realising their delivery. There is also considerable variability in terms of how social and spatial synergies can be best realised. These findings call for a better understanding of the concept of TOD and the need for a more integrated approach to connect urban planning and social policy priorities to achieve equitable </w:t>
      </w:r>
      <w:r w:rsidRPr="00A84460">
        <w:rPr>
          <w:rFonts w:cs="Arial"/>
          <w:iCs/>
          <w:szCs w:val="22"/>
          <w:lang w:val="en-US"/>
        </w:rPr>
        <w:t>low-carbon communities</w:t>
      </w:r>
      <w:r w:rsidRPr="00A84460">
        <w:rPr>
          <w:rFonts w:cs="Arial"/>
          <w:szCs w:val="22"/>
          <w:lang w:eastAsia="en-AU"/>
        </w:rPr>
        <w:t>.</w:t>
      </w:r>
    </w:p>
    <w:p w14:paraId="273E3DE2" w14:textId="77777777" w:rsidR="007F2F83" w:rsidRDefault="007F2F83" w:rsidP="000E7C6F"/>
    <w:p w14:paraId="19D8CF69" w14:textId="41ED49DA" w:rsidR="007F2F83" w:rsidRDefault="007F2F83" w:rsidP="000E7C6F">
      <w:r w:rsidRPr="007744B1">
        <w:rPr>
          <w:b/>
          <w:sz w:val="22"/>
        </w:rPr>
        <w:t>Keywords:</w:t>
      </w:r>
      <w:r w:rsidRPr="007744B1">
        <w:rPr>
          <w:sz w:val="22"/>
        </w:rPr>
        <w:t xml:space="preserve"> </w:t>
      </w:r>
      <w:r>
        <w:t xml:space="preserve">transit oriented development; </w:t>
      </w:r>
      <w:r w:rsidR="001E7EA6" w:rsidRPr="00A84460">
        <w:rPr>
          <w:rFonts w:cs="Arial"/>
          <w:iCs/>
          <w:szCs w:val="22"/>
          <w:lang w:val="en-US"/>
        </w:rPr>
        <w:t>low-carbon communities</w:t>
      </w:r>
      <w:r>
        <w:t>; Brisbane; Sydney; Melbourne</w:t>
      </w:r>
    </w:p>
    <w:p w14:paraId="2D99AD7C" w14:textId="77777777" w:rsidR="007F2F83" w:rsidRPr="00153089" w:rsidRDefault="007F2F83" w:rsidP="000E7C6F">
      <w:pPr>
        <w:rPr>
          <w:b/>
          <w:sz w:val="22"/>
        </w:rPr>
      </w:pPr>
    </w:p>
    <w:p w14:paraId="7BA14CAE" w14:textId="77777777" w:rsidR="007F2F83" w:rsidRPr="00010694" w:rsidRDefault="007F2F83" w:rsidP="000E7C6F">
      <w:pPr>
        <w:rPr>
          <w:b/>
          <w:sz w:val="22"/>
        </w:rPr>
      </w:pPr>
      <w:r w:rsidRPr="00010694">
        <w:rPr>
          <w:b/>
          <w:sz w:val="22"/>
        </w:rPr>
        <w:t>Introduction</w:t>
      </w:r>
    </w:p>
    <w:p w14:paraId="760798DB" w14:textId="30A8FA02" w:rsidR="007F2F83" w:rsidRDefault="007F2F83" w:rsidP="000E7C6F">
      <w:pPr>
        <w:pStyle w:val="Paragraph"/>
        <w:spacing w:before="0" w:line="240" w:lineRule="auto"/>
        <w:jc w:val="both"/>
        <w:rPr>
          <w:rFonts w:ascii="Arial" w:hAnsi="Arial" w:cs="Arial"/>
          <w:sz w:val="20"/>
          <w:szCs w:val="20"/>
        </w:rPr>
      </w:pPr>
      <w:r w:rsidRPr="00FB6C1B">
        <w:rPr>
          <w:rFonts w:ascii="Arial" w:hAnsi="Arial" w:cs="Arial"/>
          <w:sz w:val="20"/>
          <w:szCs w:val="20"/>
        </w:rPr>
        <w:t xml:space="preserve">In a changing climate, </w:t>
      </w:r>
      <w:r w:rsidR="000716BE">
        <w:rPr>
          <w:rFonts w:ascii="Arial" w:hAnsi="Arial" w:cs="Arial"/>
          <w:sz w:val="20"/>
          <w:szCs w:val="20"/>
        </w:rPr>
        <w:t xml:space="preserve">the </w:t>
      </w:r>
      <w:r w:rsidRPr="00FB6C1B">
        <w:rPr>
          <w:rFonts w:ascii="Arial" w:hAnsi="Arial" w:cs="Arial"/>
          <w:sz w:val="20"/>
          <w:szCs w:val="20"/>
        </w:rPr>
        <w:t xml:space="preserve">urban footprint </w:t>
      </w:r>
      <w:r w:rsidR="000E7C6F">
        <w:rPr>
          <w:rFonts w:ascii="Arial" w:hAnsi="Arial" w:cs="Arial"/>
          <w:sz w:val="20"/>
          <w:szCs w:val="20"/>
        </w:rPr>
        <w:t xml:space="preserve">and associated environmental and social costs </w:t>
      </w:r>
      <w:r w:rsidR="000716BE">
        <w:rPr>
          <w:rFonts w:ascii="Arial" w:hAnsi="Arial" w:cs="Arial"/>
          <w:sz w:val="20"/>
          <w:szCs w:val="20"/>
        </w:rPr>
        <w:t xml:space="preserve">shaped by automobile dependency </w:t>
      </w:r>
      <w:r w:rsidRPr="00FB6C1B">
        <w:rPr>
          <w:rFonts w:ascii="Arial" w:hAnsi="Arial" w:cs="Arial"/>
          <w:sz w:val="20"/>
          <w:szCs w:val="20"/>
        </w:rPr>
        <w:t>pose</w:t>
      </w:r>
      <w:r w:rsidR="000E7C6F">
        <w:rPr>
          <w:rFonts w:ascii="Arial" w:hAnsi="Arial" w:cs="Arial"/>
          <w:sz w:val="20"/>
          <w:szCs w:val="20"/>
        </w:rPr>
        <w:t>s</w:t>
      </w:r>
      <w:r w:rsidRPr="00FB6C1B">
        <w:rPr>
          <w:rFonts w:ascii="Arial" w:hAnsi="Arial" w:cs="Arial"/>
          <w:sz w:val="20"/>
          <w:szCs w:val="20"/>
        </w:rPr>
        <w:t xml:space="preserve"> significant challenges </w:t>
      </w:r>
      <w:r w:rsidR="000E7C6F">
        <w:rPr>
          <w:rFonts w:ascii="Arial" w:hAnsi="Arial" w:cs="Arial"/>
          <w:sz w:val="20"/>
          <w:szCs w:val="20"/>
        </w:rPr>
        <w:t>for</w:t>
      </w:r>
      <w:r w:rsidRPr="00FB6C1B">
        <w:rPr>
          <w:rFonts w:ascii="Arial" w:hAnsi="Arial" w:cs="Arial"/>
          <w:sz w:val="20"/>
          <w:szCs w:val="20"/>
        </w:rPr>
        <w:t xml:space="preserve"> urban planning and policy (Intergovernmenta</w:t>
      </w:r>
      <w:r w:rsidR="00123A7B">
        <w:rPr>
          <w:rFonts w:ascii="Arial" w:hAnsi="Arial" w:cs="Arial"/>
          <w:sz w:val="20"/>
          <w:szCs w:val="20"/>
        </w:rPr>
        <w:t>l Panel on Climate Change,</w:t>
      </w:r>
      <w:r w:rsidRPr="00FB6C1B">
        <w:rPr>
          <w:rFonts w:ascii="Arial" w:hAnsi="Arial" w:cs="Arial"/>
          <w:sz w:val="20"/>
          <w:szCs w:val="20"/>
        </w:rPr>
        <w:t xml:space="preserve"> 2014). </w:t>
      </w:r>
      <w:r w:rsidR="000E7C6F">
        <w:rPr>
          <w:rFonts w:ascii="Arial" w:hAnsi="Arial" w:cs="Arial"/>
          <w:sz w:val="20"/>
          <w:szCs w:val="20"/>
        </w:rPr>
        <w:t>Flexible and fast public t</w:t>
      </w:r>
      <w:r w:rsidRPr="00FB6C1B">
        <w:rPr>
          <w:rFonts w:ascii="Arial" w:hAnsi="Arial" w:cs="Arial"/>
          <w:sz w:val="20"/>
          <w:szCs w:val="20"/>
        </w:rPr>
        <w:t xml:space="preserve">ransit infrastructure plays a critical role in reducing unsustainable patterns of </w:t>
      </w:r>
      <w:r w:rsidR="000E7C6F">
        <w:rPr>
          <w:rFonts w:ascii="Arial" w:hAnsi="Arial" w:cs="Arial"/>
          <w:sz w:val="20"/>
          <w:szCs w:val="20"/>
        </w:rPr>
        <w:t xml:space="preserve">urban </w:t>
      </w:r>
      <w:r w:rsidRPr="00FB6C1B">
        <w:rPr>
          <w:rFonts w:ascii="Arial" w:hAnsi="Arial" w:cs="Arial"/>
          <w:sz w:val="20"/>
          <w:szCs w:val="20"/>
        </w:rPr>
        <w:t>car dependence (</w:t>
      </w:r>
      <w:proofErr w:type="spellStart"/>
      <w:r w:rsidRPr="00FB6C1B">
        <w:rPr>
          <w:rFonts w:ascii="Arial" w:hAnsi="Arial" w:cs="Arial"/>
          <w:sz w:val="20"/>
          <w:szCs w:val="20"/>
        </w:rPr>
        <w:t>Bertolini</w:t>
      </w:r>
      <w:proofErr w:type="spellEnd"/>
      <w:r w:rsidRPr="00FB6C1B">
        <w:rPr>
          <w:rFonts w:ascii="Arial" w:hAnsi="Arial" w:cs="Arial"/>
          <w:sz w:val="20"/>
          <w:szCs w:val="20"/>
        </w:rPr>
        <w:t xml:space="preserve"> </w:t>
      </w:r>
      <w:r w:rsidR="000E7C6F">
        <w:rPr>
          <w:rFonts w:ascii="Arial" w:hAnsi="Arial" w:cs="Arial"/>
          <w:sz w:val="20"/>
          <w:szCs w:val="20"/>
        </w:rPr>
        <w:t>et al.</w:t>
      </w:r>
      <w:r w:rsidR="00123A7B">
        <w:rPr>
          <w:rFonts w:ascii="Arial" w:hAnsi="Arial" w:cs="Arial"/>
          <w:sz w:val="20"/>
          <w:szCs w:val="20"/>
        </w:rPr>
        <w:t>,</w:t>
      </w:r>
      <w:r w:rsidRPr="00FB6C1B">
        <w:rPr>
          <w:rFonts w:ascii="Arial" w:hAnsi="Arial" w:cs="Arial"/>
          <w:sz w:val="20"/>
          <w:szCs w:val="20"/>
        </w:rPr>
        <w:t xml:space="preserve"> 2009). </w:t>
      </w:r>
      <w:r>
        <w:rPr>
          <w:rFonts w:ascii="Arial" w:hAnsi="Arial" w:cs="Arial"/>
          <w:sz w:val="20"/>
          <w:szCs w:val="20"/>
        </w:rPr>
        <w:t>D</w:t>
      </w:r>
      <w:r w:rsidRPr="00FB6C1B">
        <w:rPr>
          <w:rFonts w:ascii="Arial" w:hAnsi="Arial" w:cs="Arial"/>
          <w:sz w:val="20"/>
          <w:szCs w:val="20"/>
        </w:rPr>
        <w:t xml:space="preserve">espite </w:t>
      </w:r>
      <w:r>
        <w:rPr>
          <w:rFonts w:ascii="Arial" w:hAnsi="Arial" w:cs="Arial"/>
          <w:sz w:val="20"/>
          <w:szCs w:val="20"/>
        </w:rPr>
        <w:t>existing efforts</w:t>
      </w:r>
      <w:r w:rsidRPr="00FB6C1B">
        <w:rPr>
          <w:rFonts w:ascii="Arial" w:hAnsi="Arial" w:cs="Arial"/>
          <w:sz w:val="20"/>
          <w:szCs w:val="20"/>
        </w:rPr>
        <w:t xml:space="preserve">, the tools and processes to deliver effective reduction in car dependency are still </w:t>
      </w:r>
      <w:r w:rsidR="000E7C6F">
        <w:rPr>
          <w:rFonts w:ascii="Arial" w:hAnsi="Arial" w:cs="Arial"/>
          <w:sz w:val="20"/>
          <w:szCs w:val="20"/>
        </w:rPr>
        <w:t>underdeveloped</w:t>
      </w:r>
      <w:r w:rsidRPr="00FB6C1B">
        <w:rPr>
          <w:rFonts w:ascii="Arial" w:hAnsi="Arial" w:cs="Arial"/>
          <w:sz w:val="20"/>
          <w:szCs w:val="20"/>
        </w:rPr>
        <w:t xml:space="preserve"> (Newman</w:t>
      </w:r>
      <w:r w:rsidR="00123A7B">
        <w:rPr>
          <w:rFonts w:ascii="Arial" w:hAnsi="Arial" w:cs="Arial"/>
          <w:sz w:val="20"/>
          <w:szCs w:val="20"/>
        </w:rPr>
        <w:t>,</w:t>
      </w:r>
      <w:r w:rsidRPr="00FB6C1B">
        <w:rPr>
          <w:rFonts w:ascii="Arial" w:hAnsi="Arial" w:cs="Arial"/>
          <w:sz w:val="20"/>
          <w:szCs w:val="20"/>
        </w:rPr>
        <w:t xml:space="preserve"> 2015). A paradigm shift in urban transport </w:t>
      </w:r>
      <w:r w:rsidR="000E7C6F">
        <w:rPr>
          <w:rFonts w:ascii="Arial" w:hAnsi="Arial" w:cs="Arial"/>
          <w:sz w:val="20"/>
          <w:szCs w:val="20"/>
        </w:rPr>
        <w:t>remains</w:t>
      </w:r>
      <w:r w:rsidRPr="00FB6C1B">
        <w:rPr>
          <w:rFonts w:ascii="Arial" w:hAnsi="Arial" w:cs="Arial"/>
          <w:sz w:val="20"/>
          <w:szCs w:val="20"/>
        </w:rPr>
        <w:t xml:space="preserve"> necessary to decarbonise cities </w:t>
      </w:r>
      <w:r w:rsidR="000E7C6F">
        <w:rPr>
          <w:rFonts w:ascii="Arial" w:hAnsi="Arial" w:cs="Arial"/>
          <w:sz w:val="20"/>
          <w:szCs w:val="20"/>
        </w:rPr>
        <w:t xml:space="preserve">whilst simultaneously </w:t>
      </w:r>
      <w:r w:rsidRPr="00FB6C1B">
        <w:rPr>
          <w:rFonts w:ascii="Arial" w:hAnsi="Arial" w:cs="Arial"/>
          <w:sz w:val="20"/>
          <w:szCs w:val="20"/>
        </w:rPr>
        <w:t xml:space="preserve">creating cleaner, viable and socially just cities </w:t>
      </w:r>
      <w:r w:rsidRPr="00FB6C1B">
        <w:rPr>
          <w:rFonts w:ascii="Arial" w:hAnsi="Arial" w:cs="Arial"/>
          <w:noProof/>
          <w:sz w:val="20"/>
          <w:szCs w:val="20"/>
        </w:rPr>
        <w:t>(Cervero</w:t>
      </w:r>
      <w:r w:rsidR="00123A7B">
        <w:rPr>
          <w:rFonts w:ascii="Arial" w:hAnsi="Arial" w:cs="Arial"/>
          <w:noProof/>
          <w:sz w:val="20"/>
          <w:szCs w:val="20"/>
        </w:rPr>
        <w:t>,</w:t>
      </w:r>
      <w:r w:rsidRPr="00FB6C1B">
        <w:rPr>
          <w:rFonts w:ascii="Arial" w:hAnsi="Arial" w:cs="Arial"/>
          <w:noProof/>
          <w:sz w:val="20"/>
          <w:szCs w:val="20"/>
        </w:rPr>
        <w:t xml:space="preserve"> 2013)</w:t>
      </w:r>
      <w:r w:rsidRPr="00FB6C1B">
        <w:rPr>
          <w:rFonts w:ascii="Arial" w:hAnsi="Arial" w:cs="Arial"/>
          <w:sz w:val="20"/>
          <w:szCs w:val="20"/>
        </w:rPr>
        <w:t xml:space="preserve">. Transit Orientated Development (TOD) provides a distinct urban </w:t>
      </w:r>
      <w:r w:rsidR="000E7C6F">
        <w:rPr>
          <w:rFonts w:ascii="Arial" w:hAnsi="Arial" w:cs="Arial"/>
          <w:sz w:val="20"/>
          <w:szCs w:val="20"/>
        </w:rPr>
        <w:t>form</w:t>
      </w:r>
      <w:r w:rsidRPr="00FB6C1B">
        <w:rPr>
          <w:rFonts w:ascii="Arial" w:hAnsi="Arial" w:cs="Arial"/>
          <w:sz w:val="20"/>
          <w:szCs w:val="20"/>
        </w:rPr>
        <w:t xml:space="preserve"> that </w:t>
      </w:r>
      <w:r>
        <w:rPr>
          <w:rFonts w:ascii="Arial" w:hAnsi="Arial" w:cs="Arial"/>
          <w:sz w:val="20"/>
          <w:szCs w:val="20"/>
        </w:rPr>
        <w:t xml:space="preserve">can </w:t>
      </w:r>
      <w:r w:rsidRPr="00FB6C1B">
        <w:rPr>
          <w:rFonts w:ascii="Arial" w:hAnsi="Arial" w:cs="Arial"/>
          <w:sz w:val="20"/>
          <w:szCs w:val="20"/>
        </w:rPr>
        <w:t>connect</w:t>
      </w:r>
      <w:r>
        <w:rPr>
          <w:rFonts w:ascii="Arial" w:hAnsi="Arial" w:cs="Arial"/>
          <w:sz w:val="20"/>
          <w:szCs w:val="20"/>
        </w:rPr>
        <w:t xml:space="preserve"> </w:t>
      </w:r>
      <w:r w:rsidRPr="00FB6C1B">
        <w:rPr>
          <w:rFonts w:ascii="Arial" w:hAnsi="Arial" w:cs="Arial"/>
          <w:sz w:val="20"/>
          <w:szCs w:val="20"/>
        </w:rPr>
        <w:t>planning</w:t>
      </w:r>
      <w:r w:rsidR="000E7C6F">
        <w:rPr>
          <w:rFonts w:ascii="Arial" w:hAnsi="Arial" w:cs="Arial"/>
          <w:sz w:val="20"/>
          <w:szCs w:val="20"/>
        </w:rPr>
        <w:t>, environmental</w:t>
      </w:r>
      <w:r>
        <w:rPr>
          <w:rFonts w:ascii="Arial" w:hAnsi="Arial" w:cs="Arial"/>
          <w:sz w:val="20"/>
          <w:szCs w:val="20"/>
        </w:rPr>
        <w:t xml:space="preserve"> and social</w:t>
      </w:r>
      <w:r w:rsidRPr="00FB6C1B">
        <w:rPr>
          <w:rFonts w:ascii="Arial" w:hAnsi="Arial" w:cs="Arial"/>
          <w:sz w:val="20"/>
          <w:szCs w:val="20"/>
        </w:rPr>
        <w:t xml:space="preserve"> frameworks. This form of urban development aims to </w:t>
      </w:r>
      <w:r w:rsidR="004F50D4">
        <w:rPr>
          <w:rFonts w:ascii="Arial" w:hAnsi="Arial" w:cs="Arial"/>
          <w:sz w:val="20"/>
          <w:szCs w:val="20"/>
        </w:rPr>
        <w:t xml:space="preserve">co-locate </w:t>
      </w:r>
      <w:r w:rsidRPr="00FB6C1B">
        <w:rPr>
          <w:rFonts w:ascii="Arial" w:hAnsi="Arial" w:cs="Arial"/>
          <w:sz w:val="20"/>
          <w:szCs w:val="20"/>
        </w:rPr>
        <w:t xml:space="preserve">housing, transport and consolidated urban forms to create low-carbon communities. Despite the growing </w:t>
      </w:r>
      <w:r>
        <w:rPr>
          <w:rFonts w:ascii="Arial" w:hAnsi="Arial" w:cs="Arial"/>
          <w:sz w:val="20"/>
          <w:szCs w:val="20"/>
        </w:rPr>
        <w:t>understanding</w:t>
      </w:r>
      <w:r w:rsidRPr="00FB6C1B">
        <w:rPr>
          <w:rFonts w:ascii="Arial" w:hAnsi="Arial" w:cs="Arial"/>
          <w:sz w:val="20"/>
          <w:szCs w:val="20"/>
        </w:rPr>
        <w:t xml:space="preserve"> of the potential of TODs to deliver equitable social and environmental planning objectives, evidence of success is not conclusive across the globe</w:t>
      </w:r>
      <w:r>
        <w:rPr>
          <w:rFonts w:ascii="Arial" w:hAnsi="Arial" w:cs="Arial"/>
          <w:sz w:val="20"/>
          <w:szCs w:val="20"/>
        </w:rPr>
        <w:t xml:space="preserve">. This is due to inconsistencies in the ways TOD policy has been formulated as well as the existence of organisational barriers to implementation of the policy. </w:t>
      </w:r>
      <w:r w:rsidRPr="00FB6C1B">
        <w:rPr>
          <w:rFonts w:ascii="Arial" w:hAnsi="Arial" w:cs="Arial"/>
          <w:sz w:val="20"/>
          <w:szCs w:val="20"/>
        </w:rPr>
        <w:t xml:space="preserve">This is particularly an issue for Australia, where </w:t>
      </w:r>
      <w:r w:rsidR="0059007E" w:rsidRPr="00FB6C1B">
        <w:rPr>
          <w:rFonts w:ascii="Arial" w:hAnsi="Arial" w:cs="Arial"/>
          <w:sz w:val="20"/>
          <w:szCs w:val="20"/>
        </w:rPr>
        <w:t xml:space="preserve">cities are still struggling to deliver fully integrated TODs </w:t>
      </w:r>
      <w:r w:rsidRPr="00FB6C1B">
        <w:rPr>
          <w:rFonts w:ascii="Arial" w:hAnsi="Arial" w:cs="Arial"/>
          <w:sz w:val="20"/>
          <w:szCs w:val="20"/>
        </w:rPr>
        <w:t xml:space="preserve">despite the urgency of climate change </w:t>
      </w:r>
      <w:r w:rsidR="004F50D4">
        <w:rPr>
          <w:rFonts w:ascii="Arial" w:hAnsi="Arial" w:cs="Arial"/>
          <w:sz w:val="20"/>
          <w:szCs w:val="20"/>
        </w:rPr>
        <w:t xml:space="preserve">response </w:t>
      </w:r>
      <w:r w:rsidRPr="00FB6C1B">
        <w:rPr>
          <w:rFonts w:ascii="Arial" w:hAnsi="Arial" w:cs="Arial"/>
          <w:sz w:val="20"/>
          <w:szCs w:val="20"/>
        </w:rPr>
        <w:t>and</w:t>
      </w:r>
      <w:r w:rsidR="004F50D4">
        <w:rPr>
          <w:rFonts w:ascii="Arial" w:hAnsi="Arial" w:cs="Arial"/>
          <w:sz w:val="20"/>
          <w:szCs w:val="20"/>
        </w:rPr>
        <w:t xml:space="preserve"> the</w:t>
      </w:r>
      <w:r w:rsidRPr="00FB6C1B">
        <w:rPr>
          <w:rFonts w:ascii="Arial" w:hAnsi="Arial" w:cs="Arial"/>
          <w:sz w:val="20"/>
          <w:szCs w:val="20"/>
        </w:rPr>
        <w:t xml:space="preserve"> existence of </w:t>
      </w:r>
      <w:r w:rsidR="004F50D4">
        <w:rPr>
          <w:rFonts w:ascii="Arial" w:hAnsi="Arial" w:cs="Arial"/>
          <w:sz w:val="20"/>
          <w:szCs w:val="20"/>
        </w:rPr>
        <w:t>long-</w:t>
      </w:r>
      <w:r w:rsidR="0059007E">
        <w:rPr>
          <w:rFonts w:ascii="Arial" w:hAnsi="Arial" w:cs="Arial"/>
          <w:sz w:val="20"/>
          <w:szCs w:val="20"/>
        </w:rPr>
        <w:t>established TOD policy positions.</w:t>
      </w:r>
    </w:p>
    <w:p w14:paraId="1C800E42" w14:textId="77777777" w:rsidR="000E7C6F" w:rsidRPr="00DB6613" w:rsidRDefault="000E7C6F" w:rsidP="000E7C6F">
      <w:pPr>
        <w:rPr>
          <w:rFonts w:cs="Arial"/>
          <w:szCs w:val="20"/>
        </w:rPr>
      </w:pPr>
    </w:p>
    <w:p w14:paraId="502FFA9D" w14:textId="75366404" w:rsidR="00123A7B" w:rsidRDefault="007F2F83" w:rsidP="005C3E9C">
      <w:pPr>
        <w:pStyle w:val="Newparagraph"/>
        <w:spacing w:before="0" w:after="0" w:line="240" w:lineRule="auto"/>
        <w:ind w:firstLine="0"/>
        <w:jc w:val="both"/>
        <w:rPr>
          <w:rFonts w:ascii="Arial" w:hAnsi="Arial" w:cs="Arial"/>
          <w:sz w:val="20"/>
          <w:szCs w:val="20"/>
        </w:rPr>
      </w:pPr>
      <w:r w:rsidRPr="00726A92">
        <w:rPr>
          <w:rFonts w:ascii="Arial" w:hAnsi="Arial" w:cs="Arial"/>
          <w:sz w:val="20"/>
          <w:szCs w:val="20"/>
        </w:rPr>
        <w:t xml:space="preserve">This paper </w:t>
      </w:r>
      <w:r w:rsidR="00DB6613" w:rsidRPr="00726A92">
        <w:rPr>
          <w:rFonts w:ascii="Arial" w:hAnsi="Arial" w:cs="Arial"/>
          <w:sz w:val="20"/>
          <w:szCs w:val="20"/>
        </w:rPr>
        <w:t xml:space="preserve">offers early insights from an ARC Discovery project that examines ways to better </w:t>
      </w:r>
      <w:r w:rsidR="00DB6613" w:rsidRPr="00726A92">
        <w:rPr>
          <w:rFonts w:ascii="Arial" w:hAnsi="Arial" w:cs="Arial"/>
          <w:sz w:val="20"/>
          <w:szCs w:val="20"/>
          <w:lang w:eastAsia="en-AU"/>
        </w:rPr>
        <w:t xml:space="preserve">connect urban planning and social policy priorities </w:t>
      </w:r>
      <w:r w:rsidR="00DD068B">
        <w:rPr>
          <w:rFonts w:ascii="Arial" w:hAnsi="Arial" w:cs="Arial"/>
          <w:sz w:val="20"/>
          <w:szCs w:val="20"/>
          <w:lang w:eastAsia="en-AU"/>
        </w:rPr>
        <w:t>in pursuit of</w:t>
      </w:r>
      <w:r w:rsidR="00DB6613" w:rsidRPr="00726A92">
        <w:rPr>
          <w:rFonts w:ascii="Arial" w:hAnsi="Arial" w:cs="Arial"/>
          <w:sz w:val="20"/>
          <w:szCs w:val="20"/>
          <w:lang w:eastAsia="en-AU"/>
        </w:rPr>
        <w:t xml:space="preserve"> equitable </w:t>
      </w:r>
      <w:r w:rsidR="00DB6613" w:rsidRPr="00726A92">
        <w:rPr>
          <w:rFonts w:ascii="Arial" w:hAnsi="Arial" w:cs="Arial"/>
          <w:iCs/>
          <w:sz w:val="20"/>
          <w:szCs w:val="20"/>
          <w:lang w:val="en-US"/>
        </w:rPr>
        <w:t>low-carbon communities. In this instance, we</w:t>
      </w:r>
      <w:r w:rsidR="00DB6613" w:rsidRPr="00726A92">
        <w:rPr>
          <w:rFonts w:ascii="Arial" w:hAnsi="Arial" w:cs="Arial"/>
          <w:sz w:val="20"/>
          <w:szCs w:val="20"/>
        </w:rPr>
        <w:t xml:space="preserve"> </w:t>
      </w:r>
      <w:r w:rsidRPr="00726A92">
        <w:rPr>
          <w:rFonts w:ascii="Arial" w:hAnsi="Arial" w:cs="Arial"/>
          <w:sz w:val="20"/>
          <w:szCs w:val="20"/>
        </w:rPr>
        <w:t xml:space="preserve">focus on TOD policy formulation </w:t>
      </w:r>
      <w:r w:rsidR="00CC2143" w:rsidRPr="00726A92">
        <w:rPr>
          <w:rFonts w:ascii="Arial" w:hAnsi="Arial" w:cs="Arial"/>
          <w:sz w:val="20"/>
          <w:szCs w:val="20"/>
        </w:rPr>
        <w:t>through the</w:t>
      </w:r>
      <w:r w:rsidR="00DB6613" w:rsidRPr="00726A92">
        <w:rPr>
          <w:rFonts w:ascii="Arial" w:hAnsi="Arial" w:cs="Arial"/>
          <w:sz w:val="20"/>
          <w:szCs w:val="20"/>
        </w:rPr>
        <w:t xml:space="preserve"> conceptual</w:t>
      </w:r>
      <w:r w:rsidR="00CC2143" w:rsidRPr="00726A92">
        <w:rPr>
          <w:rFonts w:ascii="Arial" w:hAnsi="Arial" w:cs="Arial"/>
          <w:sz w:val="20"/>
          <w:szCs w:val="20"/>
        </w:rPr>
        <w:t xml:space="preserve"> lens</w:t>
      </w:r>
      <w:r w:rsidR="00EB3B87">
        <w:rPr>
          <w:rFonts w:ascii="Arial" w:hAnsi="Arial" w:cs="Arial"/>
          <w:sz w:val="20"/>
          <w:szCs w:val="20"/>
        </w:rPr>
        <w:t xml:space="preserve"> of ‘I</w:t>
      </w:r>
      <w:r w:rsidR="00D66C67">
        <w:rPr>
          <w:rFonts w:ascii="Arial" w:hAnsi="Arial" w:cs="Arial"/>
          <w:sz w:val="20"/>
          <w:szCs w:val="20"/>
        </w:rPr>
        <w:t>ntegrated TOD’, which we introduce</w:t>
      </w:r>
      <w:r w:rsidR="00CC2143" w:rsidRPr="00726A92">
        <w:rPr>
          <w:rFonts w:ascii="Arial" w:hAnsi="Arial" w:cs="Arial"/>
          <w:sz w:val="20"/>
          <w:szCs w:val="20"/>
        </w:rPr>
        <w:t xml:space="preserve"> as a new way to measure TOD policy as an integrated and multidimensional enterprise. </w:t>
      </w:r>
      <w:r w:rsidR="0082446C" w:rsidRPr="00726A92">
        <w:rPr>
          <w:rFonts w:ascii="Arial" w:hAnsi="Arial" w:cs="Arial"/>
          <w:sz w:val="20"/>
          <w:szCs w:val="20"/>
        </w:rPr>
        <w:t xml:space="preserve">Integrated TODs are based on </w:t>
      </w:r>
      <w:r w:rsidR="003040FD">
        <w:rPr>
          <w:rFonts w:ascii="Arial" w:hAnsi="Arial" w:cs="Arial"/>
          <w:sz w:val="20"/>
          <w:szCs w:val="20"/>
        </w:rPr>
        <w:t>nuanced</w:t>
      </w:r>
      <w:r w:rsidR="0082446C" w:rsidRPr="00726A92">
        <w:rPr>
          <w:rFonts w:ascii="Arial" w:hAnsi="Arial" w:cs="Arial"/>
          <w:sz w:val="20"/>
          <w:szCs w:val="20"/>
        </w:rPr>
        <w:t xml:space="preserve"> policy priorities that recognise the need for successful TODs to include </w:t>
      </w:r>
      <w:r w:rsidR="00EB3B87">
        <w:rPr>
          <w:rFonts w:ascii="Arial" w:hAnsi="Arial" w:cs="Arial"/>
          <w:sz w:val="20"/>
          <w:szCs w:val="20"/>
        </w:rPr>
        <w:t>intertwined</w:t>
      </w:r>
      <w:r w:rsidR="0082446C" w:rsidRPr="00726A92">
        <w:rPr>
          <w:rFonts w:ascii="Arial" w:hAnsi="Arial" w:cs="Arial"/>
          <w:sz w:val="20"/>
          <w:szCs w:val="20"/>
        </w:rPr>
        <w:t xml:space="preserve"> planning, environmental and social outcomes. </w:t>
      </w:r>
      <w:r w:rsidR="00CC2143" w:rsidRPr="00726A92">
        <w:rPr>
          <w:rFonts w:ascii="Arial" w:hAnsi="Arial" w:cs="Arial"/>
          <w:sz w:val="20"/>
          <w:szCs w:val="20"/>
        </w:rPr>
        <w:t xml:space="preserve">Using this novel concept we </w:t>
      </w:r>
      <w:r w:rsidR="00EB3B87">
        <w:rPr>
          <w:rFonts w:ascii="Arial" w:hAnsi="Arial" w:cs="Arial"/>
          <w:sz w:val="20"/>
          <w:szCs w:val="20"/>
        </w:rPr>
        <w:t>interrogate</w:t>
      </w:r>
      <w:r w:rsidRPr="00726A92">
        <w:rPr>
          <w:rFonts w:ascii="Arial" w:hAnsi="Arial" w:cs="Arial"/>
          <w:sz w:val="20"/>
          <w:szCs w:val="20"/>
        </w:rPr>
        <w:t xml:space="preserve"> </w:t>
      </w:r>
      <w:r w:rsidR="00726A92" w:rsidRPr="00726A92">
        <w:rPr>
          <w:rFonts w:ascii="Arial" w:hAnsi="Arial" w:cs="Arial"/>
          <w:sz w:val="20"/>
          <w:szCs w:val="20"/>
        </w:rPr>
        <w:t xml:space="preserve">policies connected to </w:t>
      </w:r>
      <w:r w:rsidR="00DB6613" w:rsidRPr="00726A92">
        <w:rPr>
          <w:rFonts w:ascii="Arial" w:hAnsi="Arial" w:cs="Arial"/>
          <w:sz w:val="20"/>
          <w:szCs w:val="20"/>
        </w:rPr>
        <w:t>TOD delivery</w:t>
      </w:r>
      <w:r w:rsidRPr="00726A92">
        <w:rPr>
          <w:rFonts w:ascii="Arial" w:hAnsi="Arial" w:cs="Arial"/>
          <w:sz w:val="20"/>
          <w:szCs w:val="20"/>
        </w:rPr>
        <w:t xml:space="preserve"> </w:t>
      </w:r>
      <w:r w:rsidR="00DB6613" w:rsidRPr="00726A92">
        <w:rPr>
          <w:rFonts w:ascii="Arial" w:hAnsi="Arial" w:cs="Arial"/>
          <w:sz w:val="20"/>
          <w:szCs w:val="20"/>
        </w:rPr>
        <w:t>in</w:t>
      </w:r>
      <w:r w:rsidRPr="00726A92">
        <w:rPr>
          <w:rFonts w:ascii="Arial" w:hAnsi="Arial" w:cs="Arial"/>
          <w:sz w:val="20"/>
          <w:szCs w:val="20"/>
        </w:rPr>
        <w:t xml:space="preserve"> three Australian </w:t>
      </w:r>
      <w:r w:rsidR="00CC2143" w:rsidRPr="00726A92">
        <w:rPr>
          <w:rFonts w:ascii="Arial" w:hAnsi="Arial" w:cs="Arial"/>
          <w:sz w:val="20"/>
          <w:szCs w:val="20"/>
        </w:rPr>
        <w:t xml:space="preserve">capital </w:t>
      </w:r>
      <w:r w:rsidRPr="00726A92">
        <w:rPr>
          <w:rFonts w:ascii="Arial" w:hAnsi="Arial" w:cs="Arial"/>
          <w:sz w:val="20"/>
          <w:szCs w:val="20"/>
        </w:rPr>
        <w:t>cities</w:t>
      </w:r>
      <w:r w:rsidR="00CC2143" w:rsidRPr="00726A92">
        <w:rPr>
          <w:rFonts w:ascii="Arial" w:hAnsi="Arial" w:cs="Arial"/>
          <w:sz w:val="20"/>
          <w:szCs w:val="20"/>
        </w:rPr>
        <w:t>:</w:t>
      </w:r>
      <w:r w:rsidRPr="00726A92">
        <w:rPr>
          <w:rFonts w:ascii="Arial" w:hAnsi="Arial" w:cs="Arial"/>
          <w:sz w:val="20"/>
          <w:szCs w:val="20"/>
        </w:rPr>
        <w:t xml:space="preserve"> Brisbane, Melbourne</w:t>
      </w:r>
      <w:r w:rsidR="000716BE" w:rsidRPr="00726A92">
        <w:rPr>
          <w:rFonts w:ascii="Arial" w:hAnsi="Arial" w:cs="Arial"/>
          <w:sz w:val="20"/>
          <w:szCs w:val="20"/>
        </w:rPr>
        <w:t xml:space="preserve"> and Sydney</w:t>
      </w:r>
      <w:r w:rsidRPr="00726A92">
        <w:rPr>
          <w:rFonts w:ascii="Arial" w:hAnsi="Arial" w:cs="Arial"/>
          <w:sz w:val="20"/>
          <w:szCs w:val="20"/>
        </w:rPr>
        <w:t xml:space="preserve">. </w:t>
      </w:r>
      <w:r w:rsidR="00CC2143" w:rsidRPr="00726A92">
        <w:rPr>
          <w:rFonts w:ascii="Arial" w:hAnsi="Arial" w:cs="Arial"/>
          <w:sz w:val="20"/>
          <w:szCs w:val="20"/>
        </w:rPr>
        <w:t xml:space="preserve">We </w:t>
      </w:r>
      <w:r w:rsidR="00726A92" w:rsidRPr="00726A92">
        <w:rPr>
          <w:rFonts w:ascii="Arial" w:hAnsi="Arial" w:cs="Arial"/>
          <w:sz w:val="20"/>
          <w:szCs w:val="20"/>
        </w:rPr>
        <w:t>begin with</w:t>
      </w:r>
      <w:r w:rsidR="00CC2143" w:rsidRPr="00726A92">
        <w:rPr>
          <w:rFonts w:ascii="Arial" w:hAnsi="Arial" w:cs="Arial"/>
          <w:sz w:val="20"/>
          <w:szCs w:val="20"/>
        </w:rPr>
        <w:t xml:space="preserve"> a review of a wide spectrum of literature related to TOD formulation and delivery, </w:t>
      </w:r>
      <w:r w:rsidR="004F50D4">
        <w:rPr>
          <w:rFonts w:ascii="Arial" w:hAnsi="Arial" w:cs="Arial"/>
          <w:sz w:val="20"/>
          <w:szCs w:val="20"/>
        </w:rPr>
        <w:t xml:space="preserve">along with </w:t>
      </w:r>
      <w:r w:rsidR="00CC2143" w:rsidRPr="00726A92">
        <w:rPr>
          <w:rFonts w:ascii="Arial" w:hAnsi="Arial" w:cs="Arial"/>
          <w:sz w:val="20"/>
          <w:szCs w:val="20"/>
        </w:rPr>
        <w:t>the</w:t>
      </w:r>
      <w:r w:rsidR="004F50D4">
        <w:rPr>
          <w:rFonts w:ascii="Arial" w:hAnsi="Arial" w:cs="Arial"/>
          <w:sz w:val="20"/>
          <w:szCs w:val="20"/>
        </w:rPr>
        <w:t>ir</w:t>
      </w:r>
      <w:r w:rsidRPr="00726A92">
        <w:rPr>
          <w:rFonts w:ascii="Arial" w:hAnsi="Arial" w:cs="Arial"/>
          <w:sz w:val="20"/>
          <w:szCs w:val="20"/>
        </w:rPr>
        <w:t xml:space="preserve"> associated costs and benefits</w:t>
      </w:r>
      <w:r w:rsidR="00CC2143" w:rsidRPr="00726A92">
        <w:rPr>
          <w:rFonts w:ascii="Arial" w:hAnsi="Arial" w:cs="Arial"/>
          <w:sz w:val="20"/>
          <w:szCs w:val="20"/>
        </w:rPr>
        <w:t xml:space="preserve">. Following an explanation of the methodological basis of our research, we </w:t>
      </w:r>
      <w:r w:rsidRPr="00726A92">
        <w:rPr>
          <w:rFonts w:ascii="Arial" w:hAnsi="Arial" w:cs="Arial"/>
          <w:sz w:val="20"/>
          <w:szCs w:val="20"/>
        </w:rPr>
        <w:t xml:space="preserve">present </w:t>
      </w:r>
      <w:r w:rsidR="00CC2143" w:rsidRPr="00726A92">
        <w:rPr>
          <w:rFonts w:ascii="Arial" w:hAnsi="Arial" w:cs="Arial"/>
          <w:sz w:val="20"/>
          <w:szCs w:val="20"/>
        </w:rPr>
        <w:t>our substantive findings</w:t>
      </w:r>
      <w:r w:rsidR="00726A92" w:rsidRPr="00726A92">
        <w:rPr>
          <w:rFonts w:ascii="Arial" w:hAnsi="Arial" w:cs="Arial"/>
          <w:sz w:val="20"/>
          <w:szCs w:val="20"/>
        </w:rPr>
        <w:t xml:space="preserve"> based on vertical and horizontal examinations of relevant TOD policies. We provide</w:t>
      </w:r>
      <w:r w:rsidR="00CC2143" w:rsidRPr="00726A92">
        <w:rPr>
          <w:rFonts w:ascii="Arial" w:hAnsi="Arial" w:cs="Arial"/>
          <w:sz w:val="20"/>
          <w:szCs w:val="20"/>
        </w:rPr>
        <w:t xml:space="preserve"> a </w:t>
      </w:r>
      <w:r w:rsidR="00DB6613" w:rsidRPr="00726A92">
        <w:rPr>
          <w:rFonts w:ascii="Arial" w:hAnsi="Arial" w:cs="Arial"/>
          <w:sz w:val="20"/>
          <w:szCs w:val="20"/>
        </w:rPr>
        <w:t xml:space="preserve">structured </w:t>
      </w:r>
      <w:r w:rsidR="00CC2143" w:rsidRPr="00726A92">
        <w:rPr>
          <w:rFonts w:ascii="Arial" w:hAnsi="Arial" w:cs="Arial"/>
          <w:sz w:val="20"/>
          <w:szCs w:val="20"/>
        </w:rPr>
        <w:t xml:space="preserve">ranking of how </w:t>
      </w:r>
      <w:r w:rsidR="00DB6613" w:rsidRPr="00726A92">
        <w:rPr>
          <w:rFonts w:ascii="Arial" w:hAnsi="Arial" w:cs="Arial"/>
          <w:sz w:val="20"/>
          <w:szCs w:val="20"/>
        </w:rPr>
        <w:t xml:space="preserve">policies in </w:t>
      </w:r>
      <w:r w:rsidR="00CC2143" w:rsidRPr="00726A92">
        <w:rPr>
          <w:rFonts w:ascii="Arial" w:hAnsi="Arial" w:cs="Arial"/>
          <w:sz w:val="20"/>
          <w:szCs w:val="20"/>
        </w:rPr>
        <w:t xml:space="preserve">Brisbane, Melbourne and Sydney are performing in respect </w:t>
      </w:r>
      <w:r w:rsidR="00EB3B87">
        <w:rPr>
          <w:rFonts w:ascii="Arial" w:hAnsi="Arial" w:cs="Arial"/>
          <w:sz w:val="20"/>
          <w:szCs w:val="20"/>
        </w:rPr>
        <w:t>of acknowledging or delivering I</w:t>
      </w:r>
      <w:r w:rsidR="00CC2143" w:rsidRPr="00726A92">
        <w:rPr>
          <w:rFonts w:ascii="Arial" w:hAnsi="Arial" w:cs="Arial"/>
          <w:sz w:val="20"/>
          <w:szCs w:val="20"/>
        </w:rPr>
        <w:t xml:space="preserve">ntegrated TODs in each city. </w:t>
      </w:r>
      <w:r w:rsidR="00DB6613" w:rsidRPr="00726A92">
        <w:rPr>
          <w:rFonts w:ascii="Arial" w:hAnsi="Arial" w:cs="Arial"/>
          <w:sz w:val="20"/>
          <w:szCs w:val="20"/>
        </w:rPr>
        <w:t xml:space="preserve">We find that Brisbane is out-performing Sydney and Melbourne.  </w:t>
      </w:r>
      <w:r w:rsidR="005C3E9C">
        <w:rPr>
          <w:rFonts w:ascii="Arial" w:hAnsi="Arial" w:cs="Arial"/>
          <w:sz w:val="20"/>
          <w:szCs w:val="20"/>
        </w:rPr>
        <w:t xml:space="preserve">We conclude that </w:t>
      </w:r>
      <w:r w:rsidR="00DB6613" w:rsidRPr="00726A92">
        <w:rPr>
          <w:rFonts w:ascii="Arial" w:hAnsi="Arial" w:cs="Arial"/>
          <w:sz w:val="20"/>
          <w:szCs w:val="20"/>
        </w:rPr>
        <w:t xml:space="preserve">the </w:t>
      </w:r>
      <w:r w:rsidR="0082446C" w:rsidRPr="00726A92">
        <w:rPr>
          <w:rFonts w:ascii="Arial" w:hAnsi="Arial" w:cs="Arial"/>
          <w:sz w:val="20"/>
          <w:szCs w:val="20"/>
        </w:rPr>
        <w:t>presence of</w:t>
      </w:r>
      <w:r w:rsidR="00726A92">
        <w:rPr>
          <w:rFonts w:ascii="Arial" w:hAnsi="Arial" w:cs="Arial"/>
          <w:sz w:val="20"/>
          <w:szCs w:val="20"/>
        </w:rPr>
        <w:t xml:space="preserve"> well-</w:t>
      </w:r>
      <w:r w:rsidR="0082446C" w:rsidRPr="00726A92">
        <w:rPr>
          <w:rFonts w:ascii="Arial" w:hAnsi="Arial" w:cs="Arial"/>
          <w:sz w:val="20"/>
          <w:szCs w:val="20"/>
        </w:rPr>
        <w:t>articulated policies</w:t>
      </w:r>
      <w:r w:rsidR="005C3E9C">
        <w:rPr>
          <w:rFonts w:ascii="Arial" w:hAnsi="Arial" w:cs="Arial"/>
          <w:sz w:val="20"/>
          <w:szCs w:val="20"/>
        </w:rPr>
        <w:t>, while welcome,</w:t>
      </w:r>
      <w:r w:rsidR="0082446C" w:rsidRPr="00726A92">
        <w:rPr>
          <w:rFonts w:ascii="Arial" w:hAnsi="Arial" w:cs="Arial"/>
          <w:sz w:val="20"/>
          <w:szCs w:val="20"/>
        </w:rPr>
        <w:t xml:space="preserve"> is no guarantee </w:t>
      </w:r>
      <w:r w:rsidR="00726A92" w:rsidRPr="00726A92">
        <w:rPr>
          <w:rFonts w:ascii="Arial" w:hAnsi="Arial" w:cs="Arial"/>
          <w:sz w:val="20"/>
          <w:szCs w:val="20"/>
        </w:rPr>
        <w:t xml:space="preserve">that </w:t>
      </w:r>
      <w:r w:rsidR="00EB3B87">
        <w:rPr>
          <w:rFonts w:ascii="Arial" w:hAnsi="Arial" w:cs="Arial"/>
          <w:sz w:val="20"/>
          <w:szCs w:val="20"/>
        </w:rPr>
        <w:t>I</w:t>
      </w:r>
      <w:r w:rsidR="00726A92">
        <w:rPr>
          <w:rFonts w:ascii="Arial" w:hAnsi="Arial" w:cs="Arial"/>
          <w:sz w:val="20"/>
          <w:szCs w:val="20"/>
        </w:rPr>
        <w:t xml:space="preserve">ntegrated TODs </w:t>
      </w:r>
      <w:r w:rsidR="00726A92" w:rsidRPr="00726A92">
        <w:rPr>
          <w:rFonts w:ascii="Arial" w:hAnsi="Arial" w:cs="Arial"/>
          <w:sz w:val="20"/>
          <w:szCs w:val="20"/>
        </w:rPr>
        <w:t xml:space="preserve">will </w:t>
      </w:r>
      <w:r w:rsidR="005C3E9C">
        <w:rPr>
          <w:rFonts w:ascii="Arial" w:hAnsi="Arial" w:cs="Arial"/>
          <w:sz w:val="20"/>
          <w:szCs w:val="20"/>
        </w:rPr>
        <w:t xml:space="preserve">necessarily be realised. We point to future research directions to better understand how </w:t>
      </w:r>
      <w:r w:rsidR="00726A92">
        <w:rPr>
          <w:rFonts w:ascii="Arial" w:hAnsi="Arial" w:cs="Arial"/>
          <w:sz w:val="20"/>
          <w:szCs w:val="20"/>
        </w:rPr>
        <w:t xml:space="preserve">the creation of </w:t>
      </w:r>
      <w:r w:rsidR="00726A92" w:rsidRPr="00726A92">
        <w:rPr>
          <w:rFonts w:ascii="Arial" w:hAnsi="Arial" w:cs="Arial"/>
          <w:sz w:val="20"/>
          <w:szCs w:val="20"/>
          <w:lang w:eastAsia="en-AU"/>
        </w:rPr>
        <w:lastRenderedPageBreak/>
        <w:t xml:space="preserve">equitable </w:t>
      </w:r>
      <w:r w:rsidR="00726A92" w:rsidRPr="00726A92">
        <w:rPr>
          <w:rFonts w:ascii="Arial" w:hAnsi="Arial" w:cs="Arial"/>
          <w:iCs/>
          <w:sz w:val="20"/>
          <w:szCs w:val="20"/>
          <w:lang w:val="en-US"/>
        </w:rPr>
        <w:t>low-carbon communities</w:t>
      </w:r>
      <w:r w:rsidR="005C3E9C">
        <w:rPr>
          <w:rFonts w:ascii="Arial" w:hAnsi="Arial" w:cs="Arial"/>
          <w:sz w:val="20"/>
          <w:szCs w:val="20"/>
        </w:rPr>
        <w:t xml:space="preserve"> can be more conclusively realised </w:t>
      </w:r>
      <w:r w:rsidR="00EB3B87">
        <w:rPr>
          <w:rFonts w:ascii="Arial" w:hAnsi="Arial" w:cs="Arial"/>
          <w:sz w:val="20"/>
          <w:szCs w:val="20"/>
        </w:rPr>
        <w:t>via I</w:t>
      </w:r>
      <w:r w:rsidR="001E7EA6">
        <w:rPr>
          <w:rFonts w:ascii="Arial" w:hAnsi="Arial" w:cs="Arial"/>
          <w:sz w:val="20"/>
          <w:szCs w:val="20"/>
        </w:rPr>
        <w:t xml:space="preserve">ntegrated TODs </w:t>
      </w:r>
      <w:r w:rsidR="005C3E9C">
        <w:rPr>
          <w:rFonts w:ascii="Arial" w:hAnsi="Arial" w:cs="Arial"/>
          <w:sz w:val="20"/>
          <w:szCs w:val="20"/>
        </w:rPr>
        <w:t>in Australian cities</w:t>
      </w:r>
      <w:r w:rsidRPr="00726A92">
        <w:rPr>
          <w:rFonts w:ascii="Arial" w:hAnsi="Arial" w:cs="Arial"/>
          <w:sz w:val="20"/>
          <w:szCs w:val="20"/>
        </w:rPr>
        <w:t xml:space="preserve">.  </w:t>
      </w:r>
    </w:p>
    <w:p w14:paraId="541019E5" w14:textId="77777777" w:rsidR="005C3E9C" w:rsidRPr="005C3E9C" w:rsidRDefault="005C3E9C" w:rsidP="005C3E9C">
      <w:pPr>
        <w:pStyle w:val="Newparagraph"/>
        <w:spacing w:before="0" w:after="0" w:line="240" w:lineRule="auto"/>
        <w:ind w:firstLine="0"/>
        <w:jc w:val="both"/>
        <w:rPr>
          <w:rFonts w:ascii="Arial" w:hAnsi="Arial" w:cs="Arial"/>
          <w:sz w:val="20"/>
          <w:szCs w:val="20"/>
        </w:rPr>
      </w:pPr>
    </w:p>
    <w:p w14:paraId="5BAE45FB" w14:textId="47763F92" w:rsidR="007F2F83" w:rsidRDefault="0083134C" w:rsidP="000E7C6F">
      <w:pPr>
        <w:rPr>
          <w:b/>
          <w:sz w:val="22"/>
        </w:rPr>
      </w:pPr>
      <w:r>
        <w:rPr>
          <w:b/>
          <w:sz w:val="22"/>
        </w:rPr>
        <w:t>Benefits and Costs of Transit O</w:t>
      </w:r>
      <w:r w:rsidR="007F2F83">
        <w:rPr>
          <w:b/>
          <w:sz w:val="22"/>
        </w:rPr>
        <w:t>riented Development</w:t>
      </w:r>
      <w:r>
        <w:rPr>
          <w:b/>
          <w:sz w:val="22"/>
        </w:rPr>
        <w:t>s</w:t>
      </w:r>
      <w:r w:rsidR="007F2F83">
        <w:rPr>
          <w:b/>
          <w:sz w:val="22"/>
        </w:rPr>
        <w:t xml:space="preserve"> </w:t>
      </w:r>
    </w:p>
    <w:p w14:paraId="2D5E3E11" w14:textId="5A1AB8D0" w:rsidR="00DD068B" w:rsidRDefault="007F2F83" w:rsidP="000E7C6F">
      <w:pPr>
        <w:pStyle w:val="Newparagraph"/>
        <w:spacing w:before="0" w:after="0" w:line="240" w:lineRule="auto"/>
        <w:ind w:firstLine="0"/>
        <w:jc w:val="both"/>
        <w:rPr>
          <w:rFonts w:ascii="Arial" w:hAnsi="Arial" w:cs="Arial"/>
          <w:sz w:val="20"/>
        </w:rPr>
      </w:pPr>
      <w:r w:rsidRPr="00CC0C2A">
        <w:rPr>
          <w:rFonts w:ascii="Arial" w:hAnsi="Arial" w:cs="Arial"/>
          <w:sz w:val="20"/>
        </w:rPr>
        <w:t xml:space="preserve">The importance of </w:t>
      </w:r>
      <w:r w:rsidR="00DD068B">
        <w:rPr>
          <w:rFonts w:ascii="Arial" w:hAnsi="Arial" w:cs="Arial"/>
          <w:sz w:val="20"/>
        </w:rPr>
        <w:t xml:space="preserve">positive </w:t>
      </w:r>
      <w:r w:rsidRPr="00CC0C2A">
        <w:rPr>
          <w:rFonts w:ascii="Arial" w:hAnsi="Arial" w:cs="Arial"/>
          <w:sz w:val="20"/>
        </w:rPr>
        <w:t xml:space="preserve">interactions between transport and the built environment </w:t>
      </w:r>
      <w:r w:rsidR="00DD068B">
        <w:rPr>
          <w:rFonts w:ascii="Arial" w:hAnsi="Arial" w:cs="Arial"/>
          <w:sz w:val="20"/>
        </w:rPr>
        <w:t>are long held in</w:t>
      </w:r>
      <w:r w:rsidRPr="00CC0C2A">
        <w:rPr>
          <w:rFonts w:ascii="Arial" w:hAnsi="Arial" w:cs="Arial"/>
          <w:sz w:val="20"/>
        </w:rPr>
        <w:t xml:space="preserve"> urban planning (Carlton</w:t>
      </w:r>
      <w:r w:rsidR="00123A7B">
        <w:rPr>
          <w:rFonts w:ascii="Arial" w:hAnsi="Arial" w:cs="Arial"/>
          <w:sz w:val="20"/>
        </w:rPr>
        <w:t>,</w:t>
      </w:r>
      <w:r w:rsidRPr="00CC0C2A">
        <w:rPr>
          <w:rFonts w:ascii="Arial" w:hAnsi="Arial" w:cs="Arial"/>
          <w:sz w:val="20"/>
        </w:rPr>
        <w:t xml:space="preserve"> 2009). </w:t>
      </w:r>
      <w:r w:rsidR="00DD068B">
        <w:rPr>
          <w:rFonts w:ascii="Arial" w:hAnsi="Arial" w:cs="Arial"/>
          <w:sz w:val="20"/>
        </w:rPr>
        <w:t>I</w:t>
      </w:r>
      <w:r w:rsidRPr="00CC0C2A">
        <w:rPr>
          <w:rFonts w:ascii="Arial" w:hAnsi="Arial" w:cs="Arial"/>
          <w:sz w:val="20"/>
        </w:rPr>
        <w:t>ncreasing concerns about the environmental and</w:t>
      </w:r>
      <w:r w:rsidR="00DD068B">
        <w:rPr>
          <w:rFonts w:ascii="Arial" w:hAnsi="Arial" w:cs="Arial"/>
          <w:sz w:val="20"/>
        </w:rPr>
        <w:t xml:space="preserve"> social impacts of urbanisation, along with recognition of</w:t>
      </w:r>
      <w:r w:rsidRPr="00CC0C2A">
        <w:rPr>
          <w:rFonts w:ascii="Arial" w:hAnsi="Arial" w:cs="Arial"/>
          <w:sz w:val="20"/>
        </w:rPr>
        <w:t xml:space="preserve"> the importance sustainable future growth paths</w:t>
      </w:r>
      <w:r w:rsidR="00DD068B">
        <w:rPr>
          <w:rFonts w:ascii="Arial" w:hAnsi="Arial" w:cs="Arial"/>
          <w:sz w:val="20"/>
        </w:rPr>
        <w:t>,</w:t>
      </w:r>
      <w:r w:rsidRPr="00CC0C2A">
        <w:rPr>
          <w:rFonts w:ascii="Arial" w:hAnsi="Arial" w:cs="Arial"/>
          <w:sz w:val="20"/>
        </w:rPr>
        <w:t xml:space="preserve"> </w:t>
      </w:r>
      <w:r>
        <w:rPr>
          <w:rFonts w:ascii="Arial" w:hAnsi="Arial" w:cs="Arial"/>
          <w:sz w:val="20"/>
        </w:rPr>
        <w:t>underscored</w:t>
      </w:r>
      <w:r w:rsidRPr="00CC0C2A">
        <w:rPr>
          <w:rFonts w:ascii="Arial" w:hAnsi="Arial" w:cs="Arial"/>
          <w:sz w:val="20"/>
        </w:rPr>
        <w:t xml:space="preserve"> r</w:t>
      </w:r>
      <w:r w:rsidR="00DD068B">
        <w:rPr>
          <w:rFonts w:ascii="Arial" w:hAnsi="Arial" w:cs="Arial"/>
          <w:sz w:val="20"/>
        </w:rPr>
        <w:t>ecent</w:t>
      </w:r>
      <w:r w:rsidRPr="00CC0C2A">
        <w:rPr>
          <w:rFonts w:ascii="Arial" w:hAnsi="Arial" w:cs="Arial"/>
          <w:sz w:val="20"/>
        </w:rPr>
        <w:t xml:space="preserve"> planning movements including </w:t>
      </w:r>
      <w:r w:rsidR="00DD068B">
        <w:rPr>
          <w:rFonts w:ascii="Arial" w:hAnsi="Arial" w:cs="Arial"/>
          <w:sz w:val="20"/>
        </w:rPr>
        <w:t>urban consolidation</w:t>
      </w:r>
      <w:r w:rsidRPr="00CC0C2A">
        <w:rPr>
          <w:rFonts w:ascii="Arial" w:hAnsi="Arial" w:cs="Arial"/>
          <w:sz w:val="20"/>
        </w:rPr>
        <w:t xml:space="preserve">, new urbanism, and smart growth </w:t>
      </w:r>
      <w:r>
        <w:rPr>
          <w:rFonts w:ascii="Arial" w:hAnsi="Arial" w:cs="Arial"/>
          <w:noProof/>
          <w:sz w:val="20"/>
        </w:rPr>
        <w:t>(Carlton</w:t>
      </w:r>
      <w:r w:rsidR="00123A7B">
        <w:rPr>
          <w:rFonts w:ascii="Arial" w:hAnsi="Arial" w:cs="Arial"/>
          <w:noProof/>
          <w:sz w:val="20"/>
        </w:rPr>
        <w:t>,</w:t>
      </w:r>
      <w:r>
        <w:rPr>
          <w:rFonts w:ascii="Arial" w:hAnsi="Arial" w:cs="Arial"/>
          <w:noProof/>
          <w:sz w:val="20"/>
        </w:rPr>
        <w:t xml:space="preserve"> 2009; Katz</w:t>
      </w:r>
      <w:r w:rsidR="00123A7B">
        <w:rPr>
          <w:rFonts w:ascii="Arial" w:hAnsi="Arial" w:cs="Arial"/>
          <w:noProof/>
          <w:sz w:val="20"/>
        </w:rPr>
        <w:t>,</w:t>
      </w:r>
      <w:r>
        <w:rPr>
          <w:rFonts w:ascii="Arial" w:hAnsi="Arial" w:cs="Arial"/>
          <w:noProof/>
          <w:sz w:val="20"/>
        </w:rPr>
        <w:t xml:space="preserve"> 1994; Yang</w:t>
      </w:r>
      <w:r w:rsidR="00123A7B">
        <w:rPr>
          <w:rFonts w:ascii="Arial" w:hAnsi="Arial" w:cs="Arial"/>
          <w:noProof/>
          <w:sz w:val="20"/>
        </w:rPr>
        <w:t>,</w:t>
      </w:r>
      <w:r>
        <w:rPr>
          <w:rFonts w:ascii="Arial" w:hAnsi="Arial" w:cs="Arial"/>
          <w:noProof/>
          <w:sz w:val="20"/>
        </w:rPr>
        <w:t xml:space="preserve"> 2008)</w:t>
      </w:r>
      <w:r w:rsidR="00DD068B">
        <w:rPr>
          <w:rFonts w:ascii="Arial" w:hAnsi="Arial" w:cs="Arial"/>
          <w:sz w:val="20"/>
        </w:rPr>
        <w:t xml:space="preserve">. By promoting compact mixed-use developments around </w:t>
      </w:r>
      <w:r w:rsidRPr="00CC0C2A">
        <w:rPr>
          <w:rFonts w:ascii="Arial" w:hAnsi="Arial" w:cs="Arial"/>
          <w:sz w:val="20"/>
        </w:rPr>
        <w:t>principles o</w:t>
      </w:r>
      <w:r w:rsidR="00DD068B">
        <w:rPr>
          <w:rFonts w:ascii="Arial" w:hAnsi="Arial" w:cs="Arial"/>
          <w:sz w:val="20"/>
        </w:rPr>
        <w:t>f sustainability, accessibility</w:t>
      </w:r>
      <w:r w:rsidRPr="00CC0C2A">
        <w:rPr>
          <w:rFonts w:ascii="Arial" w:hAnsi="Arial" w:cs="Arial"/>
          <w:sz w:val="20"/>
        </w:rPr>
        <w:t xml:space="preserve"> and affordability</w:t>
      </w:r>
      <w:r w:rsidR="00DD068B">
        <w:rPr>
          <w:rFonts w:ascii="Arial" w:hAnsi="Arial" w:cs="Arial"/>
          <w:sz w:val="20"/>
        </w:rPr>
        <w:t xml:space="preserve">, these movements provided </w:t>
      </w:r>
      <w:r w:rsidRPr="00CC0C2A">
        <w:rPr>
          <w:rFonts w:ascii="Arial" w:hAnsi="Arial" w:cs="Arial"/>
          <w:sz w:val="20"/>
        </w:rPr>
        <w:t xml:space="preserve">the main conceptual underpinnings of TOD </w:t>
      </w:r>
      <w:r w:rsidRPr="00CC0C2A">
        <w:rPr>
          <w:rFonts w:ascii="Arial" w:hAnsi="Arial" w:cs="Arial"/>
          <w:noProof/>
          <w:sz w:val="20"/>
        </w:rPr>
        <w:t xml:space="preserve">(Curtis </w:t>
      </w:r>
      <w:r w:rsidR="000E7C6F">
        <w:rPr>
          <w:rFonts w:ascii="Arial" w:hAnsi="Arial" w:cs="Arial"/>
          <w:noProof/>
          <w:sz w:val="20"/>
        </w:rPr>
        <w:t>et al.</w:t>
      </w:r>
      <w:r w:rsidR="00123A7B">
        <w:rPr>
          <w:rFonts w:ascii="Arial" w:hAnsi="Arial" w:cs="Arial"/>
          <w:noProof/>
          <w:sz w:val="20"/>
        </w:rPr>
        <w:t>,</w:t>
      </w:r>
      <w:r w:rsidRPr="00CC0C2A">
        <w:rPr>
          <w:rFonts w:ascii="Arial" w:hAnsi="Arial" w:cs="Arial"/>
          <w:noProof/>
          <w:sz w:val="20"/>
        </w:rPr>
        <w:t xml:space="preserve"> 2009)</w:t>
      </w:r>
      <w:r w:rsidRPr="00CC0C2A">
        <w:rPr>
          <w:rFonts w:ascii="Arial" w:hAnsi="Arial" w:cs="Arial"/>
          <w:sz w:val="20"/>
        </w:rPr>
        <w:t xml:space="preserve">. For instance, it </w:t>
      </w:r>
      <w:r w:rsidR="00DD068B">
        <w:rPr>
          <w:rFonts w:ascii="Arial" w:hAnsi="Arial" w:cs="Arial"/>
          <w:sz w:val="20"/>
        </w:rPr>
        <w:t>became accepted that</w:t>
      </w:r>
      <w:r w:rsidRPr="00CC0C2A">
        <w:rPr>
          <w:rFonts w:ascii="Arial" w:hAnsi="Arial" w:cs="Arial"/>
          <w:sz w:val="20"/>
        </w:rPr>
        <w:t xml:space="preserve"> consolidation of urban environment and the resultant intensification of development and mixed land-uses </w:t>
      </w:r>
      <w:r w:rsidR="00632B58" w:rsidRPr="00CC0C2A">
        <w:rPr>
          <w:rFonts w:ascii="Arial" w:hAnsi="Arial" w:cs="Arial"/>
          <w:sz w:val="20"/>
        </w:rPr>
        <w:t>could</w:t>
      </w:r>
      <w:r w:rsidRPr="00CC0C2A">
        <w:rPr>
          <w:rFonts w:ascii="Arial" w:hAnsi="Arial" w:cs="Arial"/>
          <w:sz w:val="20"/>
        </w:rPr>
        <w:t xml:space="preserve"> reduce trip lengths and promote public transport </w:t>
      </w:r>
      <w:r w:rsidRPr="00CC0C2A">
        <w:rPr>
          <w:rFonts w:ascii="Arial" w:hAnsi="Arial" w:cs="Arial"/>
          <w:noProof/>
          <w:sz w:val="20"/>
        </w:rPr>
        <w:t>(Cervero and Kockelman</w:t>
      </w:r>
      <w:r w:rsidR="00123A7B">
        <w:rPr>
          <w:rFonts w:ascii="Arial" w:hAnsi="Arial" w:cs="Arial"/>
          <w:noProof/>
          <w:sz w:val="20"/>
        </w:rPr>
        <w:t>,</w:t>
      </w:r>
      <w:r w:rsidRPr="00CC0C2A">
        <w:rPr>
          <w:rFonts w:ascii="Arial" w:hAnsi="Arial" w:cs="Arial"/>
          <w:noProof/>
          <w:sz w:val="20"/>
        </w:rPr>
        <w:t xml:space="preserve"> 1997)</w:t>
      </w:r>
      <w:r w:rsidRPr="00CC0C2A">
        <w:rPr>
          <w:rFonts w:ascii="Arial" w:hAnsi="Arial" w:cs="Arial"/>
          <w:sz w:val="20"/>
        </w:rPr>
        <w:t>. An important issue in this context is the integration</w:t>
      </w:r>
      <w:r>
        <w:rPr>
          <w:rFonts w:ascii="Arial" w:hAnsi="Arial" w:cs="Arial"/>
          <w:sz w:val="20"/>
        </w:rPr>
        <w:t xml:space="preserve"> and alignment</w:t>
      </w:r>
      <w:r w:rsidRPr="00CC0C2A">
        <w:rPr>
          <w:rFonts w:ascii="Arial" w:hAnsi="Arial" w:cs="Arial"/>
          <w:sz w:val="20"/>
        </w:rPr>
        <w:t xml:space="preserve"> of land-use, transport, and the environment to reduce private care dependency</w:t>
      </w:r>
      <w:r w:rsidR="00DD068B">
        <w:rPr>
          <w:rFonts w:ascii="Arial" w:hAnsi="Arial" w:cs="Arial"/>
          <w:sz w:val="20"/>
        </w:rPr>
        <w:t>. The</w:t>
      </w:r>
      <w:r w:rsidRPr="00CC0C2A">
        <w:rPr>
          <w:rFonts w:ascii="Arial" w:hAnsi="Arial" w:cs="Arial"/>
          <w:sz w:val="20"/>
        </w:rPr>
        <w:t xml:space="preserve"> co-location of</w:t>
      </w:r>
      <w:r w:rsidR="00DD068B">
        <w:rPr>
          <w:rFonts w:ascii="Arial" w:hAnsi="Arial" w:cs="Arial"/>
          <w:sz w:val="20"/>
        </w:rPr>
        <w:t xml:space="preserve"> mixed-use,</w:t>
      </w:r>
      <w:r w:rsidRPr="00CC0C2A">
        <w:rPr>
          <w:rFonts w:ascii="Arial" w:hAnsi="Arial" w:cs="Arial"/>
          <w:sz w:val="20"/>
        </w:rPr>
        <w:t xml:space="preserve"> </w:t>
      </w:r>
      <w:r w:rsidR="00DD068B">
        <w:rPr>
          <w:rFonts w:ascii="Arial" w:hAnsi="Arial" w:cs="Arial"/>
          <w:sz w:val="20"/>
        </w:rPr>
        <w:t>higher density developments</w:t>
      </w:r>
      <w:r w:rsidRPr="00CC0C2A">
        <w:rPr>
          <w:rFonts w:ascii="Arial" w:hAnsi="Arial" w:cs="Arial"/>
          <w:sz w:val="20"/>
        </w:rPr>
        <w:t xml:space="preserve"> </w:t>
      </w:r>
      <w:r w:rsidR="00632B58">
        <w:rPr>
          <w:rFonts w:ascii="Arial" w:hAnsi="Arial" w:cs="Arial"/>
          <w:sz w:val="20"/>
        </w:rPr>
        <w:t xml:space="preserve">and quality public transport </w:t>
      </w:r>
      <w:r w:rsidRPr="00CC0C2A">
        <w:rPr>
          <w:rFonts w:ascii="Arial" w:hAnsi="Arial" w:cs="Arial"/>
          <w:sz w:val="20"/>
        </w:rPr>
        <w:t xml:space="preserve">in accessible locations </w:t>
      </w:r>
      <w:r w:rsidR="00632B58">
        <w:rPr>
          <w:rFonts w:ascii="Arial" w:hAnsi="Arial" w:cs="Arial"/>
          <w:sz w:val="20"/>
        </w:rPr>
        <w:t>became the basis of TOD design</w:t>
      </w:r>
      <w:r w:rsidRPr="00CC0C2A">
        <w:rPr>
          <w:rFonts w:ascii="Arial" w:hAnsi="Arial" w:cs="Arial"/>
          <w:sz w:val="20"/>
        </w:rPr>
        <w:t xml:space="preserve"> </w:t>
      </w:r>
      <w:r>
        <w:rPr>
          <w:rFonts w:ascii="Arial" w:hAnsi="Arial" w:cs="Arial"/>
          <w:noProof/>
          <w:sz w:val="20"/>
        </w:rPr>
        <w:t>(Dur and Yigitcanlar</w:t>
      </w:r>
      <w:r w:rsidR="00123A7B">
        <w:rPr>
          <w:rFonts w:ascii="Arial" w:hAnsi="Arial" w:cs="Arial"/>
          <w:noProof/>
          <w:sz w:val="20"/>
        </w:rPr>
        <w:t>,</w:t>
      </w:r>
      <w:r>
        <w:rPr>
          <w:rFonts w:ascii="Arial" w:hAnsi="Arial" w:cs="Arial"/>
          <w:noProof/>
          <w:sz w:val="20"/>
        </w:rPr>
        <w:t xml:space="preserve"> 2015; Vande Walle </w:t>
      </w:r>
      <w:r w:rsidR="000E7C6F">
        <w:rPr>
          <w:rFonts w:ascii="Arial" w:hAnsi="Arial" w:cs="Arial"/>
          <w:noProof/>
          <w:sz w:val="20"/>
        </w:rPr>
        <w:t>et al.</w:t>
      </w:r>
      <w:r w:rsidR="00123A7B">
        <w:rPr>
          <w:rFonts w:ascii="Arial" w:hAnsi="Arial" w:cs="Arial"/>
          <w:noProof/>
          <w:sz w:val="20"/>
        </w:rPr>
        <w:t>,</w:t>
      </w:r>
      <w:r>
        <w:rPr>
          <w:rFonts w:ascii="Arial" w:hAnsi="Arial" w:cs="Arial"/>
          <w:noProof/>
          <w:sz w:val="20"/>
        </w:rPr>
        <w:t xml:space="preserve"> 2004; Yigitcanlar and Kamruzzaman</w:t>
      </w:r>
      <w:r w:rsidR="00123A7B">
        <w:rPr>
          <w:rFonts w:ascii="Arial" w:hAnsi="Arial" w:cs="Arial"/>
          <w:noProof/>
          <w:sz w:val="20"/>
        </w:rPr>
        <w:t>,</w:t>
      </w:r>
      <w:r>
        <w:rPr>
          <w:rFonts w:ascii="Arial" w:hAnsi="Arial" w:cs="Arial"/>
          <w:noProof/>
          <w:sz w:val="20"/>
        </w:rPr>
        <w:t xml:space="preserve"> 2014)</w:t>
      </w:r>
      <w:r w:rsidRPr="00CC0C2A">
        <w:rPr>
          <w:rFonts w:ascii="Arial" w:hAnsi="Arial" w:cs="Arial"/>
          <w:sz w:val="20"/>
        </w:rPr>
        <w:t xml:space="preserve">. </w:t>
      </w:r>
    </w:p>
    <w:p w14:paraId="2AC82712" w14:textId="77777777" w:rsidR="00DD068B" w:rsidRDefault="00DD068B" w:rsidP="000E7C6F">
      <w:pPr>
        <w:pStyle w:val="Newparagraph"/>
        <w:spacing w:before="0" w:after="0" w:line="240" w:lineRule="auto"/>
        <w:ind w:firstLine="0"/>
        <w:jc w:val="both"/>
        <w:rPr>
          <w:rFonts w:ascii="Arial" w:hAnsi="Arial" w:cs="Arial"/>
          <w:sz w:val="20"/>
        </w:rPr>
      </w:pPr>
    </w:p>
    <w:p w14:paraId="1A6D58DF" w14:textId="61F0A986" w:rsidR="007F2F83" w:rsidRDefault="007F2F83" w:rsidP="000E7C6F">
      <w:pPr>
        <w:pStyle w:val="Newparagraph"/>
        <w:spacing w:before="0" w:after="0" w:line="240" w:lineRule="auto"/>
        <w:ind w:firstLine="0"/>
        <w:jc w:val="both"/>
        <w:rPr>
          <w:rFonts w:ascii="Arial" w:hAnsi="Arial" w:cs="Arial"/>
          <w:sz w:val="20"/>
          <w:szCs w:val="20"/>
        </w:rPr>
      </w:pPr>
      <w:r w:rsidRPr="00CC0C2A">
        <w:rPr>
          <w:rFonts w:ascii="Arial" w:hAnsi="Arial" w:cs="Arial"/>
          <w:sz w:val="20"/>
        </w:rPr>
        <w:t>The concept of TOD</w:t>
      </w:r>
      <w:r w:rsidR="00632B58">
        <w:rPr>
          <w:rFonts w:ascii="Arial" w:hAnsi="Arial" w:cs="Arial"/>
          <w:sz w:val="20"/>
        </w:rPr>
        <w:t xml:space="preserve"> has now featured in planning for almost 25 years, having first been </w:t>
      </w:r>
      <w:r w:rsidRPr="00CC0C2A">
        <w:rPr>
          <w:rFonts w:ascii="Arial" w:hAnsi="Arial" w:cs="Arial"/>
          <w:sz w:val="20"/>
        </w:rPr>
        <w:t xml:space="preserve">introduced in the USA by Peter </w:t>
      </w:r>
      <w:proofErr w:type="spellStart"/>
      <w:r w:rsidRPr="00CC0C2A">
        <w:rPr>
          <w:rFonts w:ascii="Arial" w:hAnsi="Arial" w:cs="Arial"/>
          <w:sz w:val="20"/>
        </w:rPr>
        <w:t>Calthorpe</w:t>
      </w:r>
      <w:proofErr w:type="spellEnd"/>
      <w:r w:rsidRPr="00CC0C2A">
        <w:rPr>
          <w:rFonts w:ascii="Arial" w:hAnsi="Arial" w:cs="Arial"/>
          <w:sz w:val="20"/>
        </w:rPr>
        <w:t xml:space="preserve"> </w:t>
      </w:r>
      <w:r w:rsidRPr="00CC0C2A">
        <w:rPr>
          <w:rFonts w:ascii="Arial" w:hAnsi="Arial" w:cs="Arial"/>
          <w:noProof/>
          <w:sz w:val="20"/>
        </w:rPr>
        <w:t>(1993)</w:t>
      </w:r>
      <w:r w:rsidRPr="00CC0C2A">
        <w:rPr>
          <w:rFonts w:ascii="Arial" w:hAnsi="Arial" w:cs="Arial"/>
          <w:sz w:val="20"/>
        </w:rPr>
        <w:t xml:space="preserve">. He defined TOD as a development where “moderate and high density housing along with complementary public uses, jobs, retail, and services are concentrated in mixed-use developments at strategic points along the regional transit system” </w:t>
      </w:r>
      <w:r>
        <w:rPr>
          <w:rFonts w:ascii="Arial" w:hAnsi="Arial" w:cs="Arial"/>
          <w:noProof/>
          <w:sz w:val="20"/>
        </w:rPr>
        <w:t>(Calthorpe</w:t>
      </w:r>
      <w:r w:rsidR="00123A7B">
        <w:rPr>
          <w:rFonts w:ascii="Arial" w:hAnsi="Arial" w:cs="Arial"/>
          <w:noProof/>
          <w:sz w:val="20"/>
        </w:rPr>
        <w:t>,</w:t>
      </w:r>
      <w:r>
        <w:rPr>
          <w:rFonts w:ascii="Arial" w:hAnsi="Arial" w:cs="Arial"/>
          <w:noProof/>
          <w:sz w:val="20"/>
        </w:rPr>
        <w:t xml:space="preserve"> 1993, p. 41)</w:t>
      </w:r>
      <w:r w:rsidRPr="00CC0C2A">
        <w:rPr>
          <w:rFonts w:ascii="Arial" w:hAnsi="Arial" w:cs="Arial"/>
          <w:sz w:val="20"/>
        </w:rPr>
        <w:t xml:space="preserve">. </w:t>
      </w:r>
      <w:r w:rsidR="00632B58">
        <w:rPr>
          <w:rFonts w:ascii="Arial" w:hAnsi="Arial" w:cs="Arial"/>
          <w:sz w:val="20"/>
        </w:rPr>
        <w:t xml:space="preserve">In addition to public transport provision, </w:t>
      </w:r>
      <w:r w:rsidRPr="00CC0C2A">
        <w:rPr>
          <w:rFonts w:ascii="Arial" w:hAnsi="Arial" w:cs="Arial"/>
          <w:sz w:val="20"/>
        </w:rPr>
        <w:t xml:space="preserve">TODs promote </w:t>
      </w:r>
      <w:r w:rsidR="00632B58">
        <w:rPr>
          <w:rFonts w:ascii="Arial" w:hAnsi="Arial" w:cs="Arial"/>
          <w:sz w:val="20"/>
        </w:rPr>
        <w:t>other</w:t>
      </w:r>
      <w:r w:rsidRPr="00CC0C2A">
        <w:rPr>
          <w:rFonts w:ascii="Arial" w:hAnsi="Arial" w:cs="Arial"/>
          <w:sz w:val="20"/>
        </w:rPr>
        <w:t xml:space="preserve"> sustainable transport modes such as walking</w:t>
      </w:r>
      <w:r w:rsidR="00632B58">
        <w:rPr>
          <w:rFonts w:ascii="Arial" w:hAnsi="Arial" w:cs="Arial"/>
          <w:sz w:val="20"/>
        </w:rPr>
        <w:t xml:space="preserve"> and</w:t>
      </w:r>
      <w:r w:rsidRPr="00CC0C2A">
        <w:rPr>
          <w:rFonts w:ascii="Arial" w:hAnsi="Arial" w:cs="Arial"/>
          <w:sz w:val="20"/>
        </w:rPr>
        <w:t xml:space="preserve"> cycling </w:t>
      </w:r>
      <w:r w:rsidRPr="00CC0C2A">
        <w:rPr>
          <w:rFonts w:ascii="Arial" w:hAnsi="Arial" w:cs="Arial"/>
          <w:noProof/>
          <w:sz w:val="20"/>
        </w:rPr>
        <w:t xml:space="preserve">(Muley </w:t>
      </w:r>
      <w:r w:rsidR="000E7C6F">
        <w:rPr>
          <w:rFonts w:ascii="Arial" w:hAnsi="Arial" w:cs="Arial"/>
          <w:noProof/>
          <w:sz w:val="20"/>
        </w:rPr>
        <w:t>et al.</w:t>
      </w:r>
      <w:r w:rsidR="00123A7B">
        <w:rPr>
          <w:rFonts w:ascii="Arial" w:hAnsi="Arial" w:cs="Arial"/>
          <w:noProof/>
          <w:sz w:val="20"/>
        </w:rPr>
        <w:t>,</w:t>
      </w:r>
      <w:r w:rsidRPr="00CC0C2A">
        <w:rPr>
          <w:rFonts w:ascii="Arial" w:hAnsi="Arial" w:cs="Arial"/>
          <w:noProof/>
          <w:sz w:val="20"/>
        </w:rPr>
        <w:t xml:space="preserve"> 2010)</w:t>
      </w:r>
      <w:r w:rsidRPr="00CC0C2A">
        <w:rPr>
          <w:rFonts w:ascii="Arial" w:hAnsi="Arial" w:cs="Arial"/>
          <w:sz w:val="20"/>
        </w:rPr>
        <w:t xml:space="preserve">. </w:t>
      </w:r>
      <w:r w:rsidR="00632B58">
        <w:rPr>
          <w:rFonts w:ascii="Arial" w:hAnsi="Arial" w:cs="Arial"/>
          <w:sz w:val="20"/>
        </w:rPr>
        <w:t xml:space="preserve">Acceptable </w:t>
      </w:r>
      <w:r w:rsidRPr="00CC0C2A">
        <w:rPr>
          <w:rFonts w:ascii="Arial" w:hAnsi="Arial" w:cs="Arial"/>
          <w:sz w:val="20"/>
        </w:rPr>
        <w:t>walking distance</w:t>
      </w:r>
      <w:r w:rsidR="00632B58">
        <w:rPr>
          <w:rFonts w:ascii="Arial" w:hAnsi="Arial" w:cs="Arial"/>
          <w:sz w:val="20"/>
        </w:rPr>
        <w:t>s in TODs</w:t>
      </w:r>
      <w:r w:rsidRPr="00CC0C2A">
        <w:rPr>
          <w:rFonts w:ascii="Arial" w:hAnsi="Arial" w:cs="Arial"/>
          <w:sz w:val="20"/>
        </w:rPr>
        <w:t xml:space="preserve"> </w:t>
      </w:r>
      <w:r w:rsidR="00632B58">
        <w:rPr>
          <w:rFonts w:ascii="Arial" w:hAnsi="Arial" w:cs="Arial"/>
          <w:sz w:val="20"/>
        </w:rPr>
        <w:t xml:space="preserve">are </w:t>
      </w:r>
      <w:r w:rsidRPr="00CC0C2A">
        <w:rPr>
          <w:rFonts w:ascii="Arial" w:hAnsi="Arial" w:cs="Arial"/>
          <w:sz w:val="20"/>
        </w:rPr>
        <w:t xml:space="preserve">usually set between 400m and 800m </w:t>
      </w:r>
      <w:r w:rsidRPr="00CC0C2A">
        <w:rPr>
          <w:rFonts w:ascii="Arial" w:hAnsi="Arial" w:cs="Arial"/>
          <w:noProof/>
          <w:sz w:val="20"/>
        </w:rPr>
        <w:t>(Dittmar and Ohland</w:t>
      </w:r>
      <w:r w:rsidR="00123A7B">
        <w:rPr>
          <w:rFonts w:ascii="Arial" w:hAnsi="Arial" w:cs="Arial"/>
          <w:noProof/>
          <w:sz w:val="20"/>
        </w:rPr>
        <w:t>,</w:t>
      </w:r>
      <w:r w:rsidRPr="00CC0C2A">
        <w:rPr>
          <w:rFonts w:ascii="Arial" w:hAnsi="Arial" w:cs="Arial"/>
          <w:noProof/>
          <w:sz w:val="20"/>
        </w:rPr>
        <w:t xml:space="preserve"> 2004)</w:t>
      </w:r>
      <w:r w:rsidRPr="00CC0C2A">
        <w:rPr>
          <w:rFonts w:ascii="Arial" w:hAnsi="Arial" w:cs="Arial"/>
          <w:sz w:val="20"/>
        </w:rPr>
        <w:t xml:space="preserve">. The literature discusses numerous </w:t>
      </w:r>
      <w:r w:rsidR="00091E27">
        <w:rPr>
          <w:rFonts w:ascii="Arial" w:hAnsi="Arial" w:cs="Arial"/>
          <w:sz w:val="20"/>
        </w:rPr>
        <w:t>planning</w:t>
      </w:r>
      <w:r w:rsidRPr="00CC0C2A">
        <w:rPr>
          <w:rFonts w:ascii="Arial" w:hAnsi="Arial" w:cs="Arial"/>
          <w:sz w:val="20"/>
        </w:rPr>
        <w:t>,</w:t>
      </w:r>
      <w:r w:rsidR="00091E27">
        <w:rPr>
          <w:rFonts w:ascii="Arial" w:hAnsi="Arial" w:cs="Arial"/>
          <w:sz w:val="20"/>
        </w:rPr>
        <w:t xml:space="preserve"> economic, social</w:t>
      </w:r>
      <w:r w:rsidRPr="00CC0C2A">
        <w:rPr>
          <w:rFonts w:ascii="Arial" w:hAnsi="Arial" w:cs="Arial"/>
          <w:sz w:val="20"/>
        </w:rPr>
        <w:t xml:space="preserve"> and environmental benefits and costs of TOD as a promising development concept. The most significant economic benefit of TOD is the increased transit ridership and associated revenue gains </w:t>
      </w:r>
      <w:r>
        <w:rPr>
          <w:rFonts w:ascii="Arial" w:hAnsi="Arial" w:cs="Arial"/>
          <w:noProof/>
          <w:sz w:val="20"/>
        </w:rPr>
        <w:t>(Arrington and Cervero</w:t>
      </w:r>
      <w:r w:rsidR="00123A7B">
        <w:rPr>
          <w:rFonts w:ascii="Arial" w:hAnsi="Arial" w:cs="Arial"/>
          <w:noProof/>
          <w:sz w:val="20"/>
        </w:rPr>
        <w:t>,</w:t>
      </w:r>
      <w:r>
        <w:rPr>
          <w:rFonts w:ascii="Arial" w:hAnsi="Arial" w:cs="Arial"/>
          <w:noProof/>
          <w:sz w:val="20"/>
        </w:rPr>
        <w:t xml:space="preserve"> 2008; Cervero </w:t>
      </w:r>
      <w:r w:rsidR="000E7C6F">
        <w:rPr>
          <w:rFonts w:ascii="Arial" w:hAnsi="Arial" w:cs="Arial"/>
          <w:noProof/>
          <w:sz w:val="20"/>
        </w:rPr>
        <w:t>et al.</w:t>
      </w:r>
      <w:r w:rsidR="00123A7B">
        <w:rPr>
          <w:rFonts w:ascii="Arial" w:hAnsi="Arial" w:cs="Arial"/>
          <w:noProof/>
          <w:sz w:val="20"/>
        </w:rPr>
        <w:t>,</w:t>
      </w:r>
      <w:r>
        <w:rPr>
          <w:rFonts w:ascii="Arial" w:hAnsi="Arial" w:cs="Arial"/>
          <w:noProof/>
          <w:sz w:val="20"/>
        </w:rPr>
        <w:t xml:space="preserve"> 2004)</w:t>
      </w:r>
      <w:r w:rsidRPr="00CC0C2A">
        <w:rPr>
          <w:rFonts w:ascii="Arial" w:hAnsi="Arial" w:cs="Arial"/>
          <w:sz w:val="20"/>
        </w:rPr>
        <w:t xml:space="preserve">. TODs can improve </w:t>
      </w:r>
      <w:r w:rsidR="00632B58">
        <w:rPr>
          <w:rFonts w:ascii="Arial" w:hAnsi="Arial" w:cs="Arial"/>
          <w:sz w:val="20"/>
        </w:rPr>
        <w:t>social capital</w:t>
      </w:r>
      <w:r w:rsidRPr="00CC0C2A">
        <w:rPr>
          <w:rFonts w:ascii="Arial" w:hAnsi="Arial" w:cs="Arial"/>
          <w:sz w:val="20"/>
        </w:rPr>
        <w:t xml:space="preserve"> </w:t>
      </w:r>
      <w:r w:rsidR="00632B58">
        <w:rPr>
          <w:rFonts w:ascii="Arial" w:hAnsi="Arial" w:cs="Arial"/>
          <w:sz w:val="20"/>
        </w:rPr>
        <w:t>in</w:t>
      </w:r>
      <w:r w:rsidRPr="00CC0C2A">
        <w:rPr>
          <w:rFonts w:ascii="Arial" w:hAnsi="Arial" w:cs="Arial"/>
          <w:sz w:val="20"/>
        </w:rPr>
        <w:t xml:space="preserve"> urban developments by allowing for </w:t>
      </w:r>
      <w:r w:rsidR="00632B58">
        <w:rPr>
          <w:rFonts w:ascii="Arial" w:hAnsi="Arial" w:cs="Arial"/>
          <w:sz w:val="20"/>
        </w:rPr>
        <w:t xml:space="preserve">improved </w:t>
      </w:r>
      <w:r w:rsidRPr="00CC0C2A">
        <w:rPr>
          <w:rFonts w:ascii="Arial" w:hAnsi="Arial" w:cs="Arial"/>
          <w:sz w:val="20"/>
        </w:rPr>
        <w:t xml:space="preserve">housing </w:t>
      </w:r>
      <w:r w:rsidR="00632B58">
        <w:rPr>
          <w:rFonts w:ascii="Arial" w:hAnsi="Arial" w:cs="Arial"/>
          <w:sz w:val="20"/>
        </w:rPr>
        <w:t xml:space="preserve">affordability and </w:t>
      </w:r>
      <w:r w:rsidRPr="00CC0C2A">
        <w:rPr>
          <w:rFonts w:ascii="Arial" w:hAnsi="Arial" w:cs="Arial"/>
          <w:sz w:val="20"/>
        </w:rPr>
        <w:t xml:space="preserve">accessibility </w:t>
      </w:r>
      <w:r>
        <w:rPr>
          <w:rFonts w:ascii="Arial" w:hAnsi="Arial" w:cs="Arial"/>
          <w:noProof/>
          <w:sz w:val="20"/>
        </w:rPr>
        <w:t>(Guthrie and Fan</w:t>
      </w:r>
      <w:r w:rsidR="00123A7B">
        <w:rPr>
          <w:rFonts w:ascii="Arial" w:hAnsi="Arial" w:cs="Arial"/>
          <w:noProof/>
          <w:sz w:val="20"/>
        </w:rPr>
        <w:t>,</w:t>
      </w:r>
      <w:r>
        <w:rPr>
          <w:rFonts w:ascii="Arial" w:hAnsi="Arial" w:cs="Arial"/>
          <w:noProof/>
          <w:sz w:val="20"/>
        </w:rPr>
        <w:t xml:space="preserve"> 2016; Jewkeys and Delgadillo</w:t>
      </w:r>
      <w:r w:rsidR="00123A7B">
        <w:rPr>
          <w:rFonts w:ascii="Arial" w:hAnsi="Arial" w:cs="Arial"/>
          <w:noProof/>
          <w:sz w:val="20"/>
        </w:rPr>
        <w:t>,</w:t>
      </w:r>
      <w:r>
        <w:rPr>
          <w:rFonts w:ascii="Arial" w:hAnsi="Arial" w:cs="Arial"/>
          <w:noProof/>
          <w:sz w:val="20"/>
        </w:rPr>
        <w:t xml:space="preserve"> 2013</w:t>
      </w:r>
      <w:r w:rsidR="00632B58">
        <w:rPr>
          <w:rFonts w:ascii="Arial" w:hAnsi="Arial" w:cs="Arial"/>
          <w:noProof/>
          <w:sz w:val="20"/>
        </w:rPr>
        <w:t xml:space="preserve">; </w:t>
      </w:r>
      <w:r w:rsidRPr="00CC0C2A">
        <w:rPr>
          <w:rFonts w:ascii="Arial" w:hAnsi="Arial" w:cs="Arial"/>
          <w:noProof/>
          <w:sz w:val="20"/>
        </w:rPr>
        <w:t>Loukaitou-Sideris</w:t>
      </w:r>
      <w:r w:rsidR="00123A7B">
        <w:rPr>
          <w:rFonts w:ascii="Arial" w:hAnsi="Arial" w:cs="Arial"/>
          <w:noProof/>
          <w:sz w:val="20"/>
        </w:rPr>
        <w:t>,</w:t>
      </w:r>
      <w:r w:rsidRPr="00CC0C2A">
        <w:rPr>
          <w:rFonts w:ascii="Arial" w:hAnsi="Arial" w:cs="Arial"/>
          <w:noProof/>
          <w:sz w:val="20"/>
        </w:rPr>
        <w:t xml:space="preserve"> 2010)</w:t>
      </w:r>
      <w:r w:rsidRPr="00CC0C2A">
        <w:rPr>
          <w:rFonts w:ascii="Arial" w:hAnsi="Arial" w:cs="Arial"/>
          <w:sz w:val="20"/>
        </w:rPr>
        <w:t xml:space="preserve">. The reduction in economic cost of travel in TODs is </w:t>
      </w:r>
      <w:r w:rsidR="00632B58">
        <w:rPr>
          <w:rFonts w:ascii="Arial" w:hAnsi="Arial" w:cs="Arial"/>
          <w:sz w:val="20"/>
        </w:rPr>
        <w:t xml:space="preserve">often </w:t>
      </w:r>
      <w:r w:rsidRPr="00CC0C2A">
        <w:rPr>
          <w:rFonts w:ascii="Arial" w:hAnsi="Arial" w:cs="Arial"/>
          <w:sz w:val="20"/>
        </w:rPr>
        <w:t xml:space="preserve">reflected in property prices </w:t>
      </w:r>
      <w:r w:rsidR="00632B58">
        <w:rPr>
          <w:rFonts w:ascii="Arial" w:hAnsi="Arial" w:cs="Arial"/>
          <w:sz w:val="20"/>
        </w:rPr>
        <w:t>as it influences residents’</w:t>
      </w:r>
      <w:r w:rsidRPr="00CC0C2A">
        <w:rPr>
          <w:rFonts w:ascii="Arial" w:hAnsi="Arial" w:cs="Arial"/>
          <w:sz w:val="20"/>
        </w:rPr>
        <w:t xml:space="preserve"> willingness to pay </w:t>
      </w:r>
      <w:r>
        <w:rPr>
          <w:rFonts w:ascii="Arial" w:hAnsi="Arial" w:cs="Arial"/>
          <w:noProof/>
          <w:sz w:val="20"/>
          <w:szCs w:val="20"/>
        </w:rPr>
        <w:t>(Batt</w:t>
      </w:r>
      <w:r w:rsidR="00123A7B">
        <w:rPr>
          <w:rFonts w:ascii="Arial" w:hAnsi="Arial" w:cs="Arial"/>
          <w:noProof/>
          <w:sz w:val="20"/>
          <w:szCs w:val="20"/>
        </w:rPr>
        <w:t>,</w:t>
      </w:r>
      <w:r>
        <w:rPr>
          <w:rFonts w:ascii="Arial" w:hAnsi="Arial" w:cs="Arial"/>
          <w:noProof/>
          <w:sz w:val="20"/>
          <w:szCs w:val="20"/>
        </w:rPr>
        <w:t xml:space="preserve"> 2001; Duncan</w:t>
      </w:r>
      <w:r w:rsidR="00123A7B">
        <w:rPr>
          <w:rFonts w:ascii="Arial" w:hAnsi="Arial" w:cs="Arial"/>
          <w:noProof/>
          <w:sz w:val="20"/>
          <w:szCs w:val="20"/>
        </w:rPr>
        <w:t>,</w:t>
      </w:r>
      <w:r>
        <w:rPr>
          <w:rFonts w:ascii="Arial" w:hAnsi="Arial" w:cs="Arial"/>
          <w:noProof/>
          <w:sz w:val="20"/>
          <w:szCs w:val="20"/>
        </w:rPr>
        <w:t xml:space="preserve"> 2010; Ewing and Cervero</w:t>
      </w:r>
      <w:r w:rsidR="00123A7B">
        <w:rPr>
          <w:rFonts w:ascii="Arial" w:hAnsi="Arial" w:cs="Arial"/>
          <w:noProof/>
          <w:sz w:val="20"/>
          <w:szCs w:val="20"/>
        </w:rPr>
        <w:t>,</w:t>
      </w:r>
      <w:r>
        <w:rPr>
          <w:rFonts w:ascii="Arial" w:hAnsi="Arial" w:cs="Arial"/>
          <w:noProof/>
          <w:sz w:val="20"/>
          <w:szCs w:val="20"/>
        </w:rPr>
        <w:t xml:space="preserve"> 2010; Newman and Kenworthy</w:t>
      </w:r>
      <w:r w:rsidR="00123A7B">
        <w:rPr>
          <w:rFonts w:ascii="Arial" w:hAnsi="Arial" w:cs="Arial"/>
          <w:noProof/>
          <w:sz w:val="20"/>
          <w:szCs w:val="20"/>
        </w:rPr>
        <w:t>,</w:t>
      </w:r>
      <w:r>
        <w:rPr>
          <w:rFonts w:ascii="Arial" w:hAnsi="Arial" w:cs="Arial"/>
          <w:noProof/>
          <w:sz w:val="20"/>
          <w:szCs w:val="20"/>
        </w:rPr>
        <w:t xml:space="preserve"> 2015; Yan </w:t>
      </w:r>
      <w:r w:rsidR="000E7C6F">
        <w:rPr>
          <w:rFonts w:ascii="Arial" w:hAnsi="Arial" w:cs="Arial"/>
          <w:noProof/>
          <w:sz w:val="20"/>
          <w:szCs w:val="20"/>
        </w:rPr>
        <w:t>et al.</w:t>
      </w:r>
      <w:r w:rsidR="00123A7B">
        <w:rPr>
          <w:rFonts w:ascii="Arial" w:hAnsi="Arial" w:cs="Arial"/>
          <w:noProof/>
          <w:sz w:val="20"/>
          <w:szCs w:val="20"/>
        </w:rPr>
        <w:t>,</w:t>
      </w:r>
      <w:r>
        <w:rPr>
          <w:rFonts w:ascii="Arial" w:hAnsi="Arial" w:cs="Arial"/>
          <w:noProof/>
          <w:sz w:val="20"/>
          <w:szCs w:val="20"/>
        </w:rPr>
        <w:t xml:space="preserve"> 2012)</w:t>
      </w:r>
      <w:r w:rsidRPr="00CC0C2A">
        <w:rPr>
          <w:rFonts w:ascii="Arial" w:hAnsi="Arial" w:cs="Arial"/>
          <w:sz w:val="20"/>
          <w:szCs w:val="20"/>
        </w:rPr>
        <w:t>.</w:t>
      </w:r>
      <w:r w:rsidR="00632B58">
        <w:rPr>
          <w:rFonts w:ascii="Arial" w:hAnsi="Arial" w:cs="Arial"/>
          <w:sz w:val="20"/>
          <w:szCs w:val="20"/>
        </w:rPr>
        <w:t xml:space="preserve"> </w:t>
      </w:r>
      <w:r w:rsidRPr="00CC0C2A">
        <w:rPr>
          <w:rFonts w:ascii="Arial" w:hAnsi="Arial" w:cs="Arial"/>
          <w:sz w:val="20"/>
          <w:szCs w:val="20"/>
        </w:rPr>
        <w:t xml:space="preserve">TODs can also create </w:t>
      </w:r>
      <w:r w:rsidR="00F84C23">
        <w:rPr>
          <w:rFonts w:ascii="Arial" w:hAnsi="Arial" w:cs="Arial"/>
          <w:sz w:val="20"/>
          <w:szCs w:val="20"/>
        </w:rPr>
        <w:t xml:space="preserve">social and economic </w:t>
      </w:r>
      <w:r w:rsidR="00632B58">
        <w:rPr>
          <w:rFonts w:ascii="Arial" w:hAnsi="Arial" w:cs="Arial"/>
          <w:sz w:val="20"/>
          <w:szCs w:val="20"/>
        </w:rPr>
        <w:t>opportunities for revitalising</w:t>
      </w:r>
      <w:r w:rsidRPr="00CC0C2A">
        <w:rPr>
          <w:rFonts w:ascii="Arial" w:hAnsi="Arial" w:cs="Arial"/>
          <w:sz w:val="20"/>
          <w:szCs w:val="20"/>
        </w:rPr>
        <w:t xml:space="preserve"> dec</w:t>
      </w:r>
      <w:r w:rsidR="00632B58">
        <w:rPr>
          <w:rFonts w:ascii="Arial" w:hAnsi="Arial" w:cs="Arial"/>
          <w:sz w:val="20"/>
          <w:szCs w:val="20"/>
        </w:rPr>
        <w:t>lining neighbourhoods, increasing</w:t>
      </w:r>
      <w:r w:rsidRPr="00CC0C2A">
        <w:rPr>
          <w:rFonts w:ascii="Arial" w:hAnsi="Arial" w:cs="Arial"/>
          <w:sz w:val="20"/>
          <w:szCs w:val="20"/>
        </w:rPr>
        <w:t xml:space="preserve"> suppl</w:t>
      </w:r>
      <w:r w:rsidR="00632B58">
        <w:rPr>
          <w:rFonts w:ascii="Arial" w:hAnsi="Arial" w:cs="Arial"/>
          <w:sz w:val="20"/>
          <w:szCs w:val="20"/>
        </w:rPr>
        <w:t>ies</w:t>
      </w:r>
      <w:r w:rsidRPr="00CC0C2A">
        <w:rPr>
          <w:rFonts w:ascii="Arial" w:hAnsi="Arial" w:cs="Arial"/>
          <w:sz w:val="20"/>
          <w:szCs w:val="20"/>
        </w:rPr>
        <w:t xml:space="preserve"> o</w:t>
      </w:r>
      <w:r w:rsidR="00632B58">
        <w:rPr>
          <w:rFonts w:ascii="Arial" w:hAnsi="Arial" w:cs="Arial"/>
          <w:sz w:val="20"/>
          <w:szCs w:val="20"/>
        </w:rPr>
        <w:t>f affordable housing</w:t>
      </w:r>
      <w:r w:rsidRPr="00CC0C2A">
        <w:rPr>
          <w:rFonts w:ascii="Arial" w:hAnsi="Arial" w:cs="Arial"/>
          <w:sz w:val="20"/>
          <w:szCs w:val="20"/>
        </w:rPr>
        <w:t xml:space="preserve"> and</w:t>
      </w:r>
      <w:r w:rsidR="00F84C23">
        <w:rPr>
          <w:rFonts w:ascii="Arial" w:hAnsi="Arial" w:cs="Arial"/>
          <w:sz w:val="20"/>
          <w:szCs w:val="20"/>
        </w:rPr>
        <w:t xml:space="preserve"> improving</w:t>
      </w:r>
      <w:r w:rsidRPr="00CC0C2A">
        <w:rPr>
          <w:rFonts w:ascii="Arial" w:hAnsi="Arial" w:cs="Arial"/>
          <w:sz w:val="20"/>
          <w:szCs w:val="20"/>
        </w:rPr>
        <w:t xml:space="preserve"> profits for business and </w:t>
      </w:r>
      <w:r w:rsidR="00632B58" w:rsidRPr="00CC0C2A">
        <w:rPr>
          <w:rFonts w:ascii="Arial" w:hAnsi="Arial" w:cs="Arial"/>
          <w:sz w:val="20"/>
          <w:szCs w:val="20"/>
        </w:rPr>
        <w:t>landowners</w:t>
      </w:r>
      <w:r w:rsidRPr="00CC0C2A">
        <w:rPr>
          <w:rFonts w:ascii="Arial" w:hAnsi="Arial" w:cs="Arial"/>
          <w:sz w:val="20"/>
          <w:szCs w:val="20"/>
        </w:rPr>
        <w:t xml:space="preserve"> in TODs </w:t>
      </w:r>
      <w:r>
        <w:rPr>
          <w:rFonts w:ascii="Arial" w:hAnsi="Arial" w:cs="Arial"/>
          <w:noProof/>
          <w:sz w:val="20"/>
          <w:szCs w:val="20"/>
        </w:rPr>
        <w:t xml:space="preserve">(Cervero </w:t>
      </w:r>
      <w:r w:rsidR="000E7C6F">
        <w:rPr>
          <w:rFonts w:ascii="Arial" w:hAnsi="Arial" w:cs="Arial"/>
          <w:noProof/>
          <w:sz w:val="20"/>
          <w:szCs w:val="20"/>
        </w:rPr>
        <w:t>et al.</w:t>
      </w:r>
      <w:r w:rsidR="00123A7B">
        <w:rPr>
          <w:rFonts w:ascii="Arial" w:hAnsi="Arial" w:cs="Arial"/>
          <w:noProof/>
          <w:sz w:val="20"/>
          <w:szCs w:val="20"/>
        </w:rPr>
        <w:t>,</w:t>
      </w:r>
      <w:r>
        <w:rPr>
          <w:rFonts w:ascii="Arial" w:hAnsi="Arial" w:cs="Arial"/>
          <w:noProof/>
          <w:sz w:val="20"/>
          <w:szCs w:val="20"/>
        </w:rPr>
        <w:t xml:space="preserve"> 2004; Estupiñán and Rodríguez</w:t>
      </w:r>
      <w:r w:rsidR="00123A7B">
        <w:rPr>
          <w:rFonts w:ascii="Arial" w:hAnsi="Arial" w:cs="Arial"/>
          <w:noProof/>
          <w:sz w:val="20"/>
          <w:szCs w:val="20"/>
        </w:rPr>
        <w:t>,</w:t>
      </w:r>
      <w:r>
        <w:rPr>
          <w:rFonts w:ascii="Arial" w:hAnsi="Arial" w:cs="Arial"/>
          <w:noProof/>
          <w:sz w:val="20"/>
          <w:szCs w:val="20"/>
        </w:rPr>
        <w:t xml:space="preserve"> 2008)</w:t>
      </w:r>
      <w:r w:rsidRPr="00CC0C2A">
        <w:rPr>
          <w:rFonts w:ascii="Arial" w:hAnsi="Arial" w:cs="Arial"/>
          <w:sz w:val="20"/>
          <w:szCs w:val="20"/>
        </w:rPr>
        <w:t>.</w:t>
      </w:r>
      <w:r w:rsidRPr="00CC0C2A">
        <w:rPr>
          <w:rFonts w:ascii="Arial" w:hAnsi="Arial" w:cs="Arial"/>
        </w:rPr>
        <w:t xml:space="preserve"> </w:t>
      </w:r>
    </w:p>
    <w:p w14:paraId="28771DF2" w14:textId="77777777" w:rsidR="00091E27" w:rsidRDefault="00091E27" w:rsidP="00091E27">
      <w:pPr>
        <w:pStyle w:val="Newparagraph"/>
        <w:spacing w:before="0" w:after="0" w:line="240" w:lineRule="auto"/>
        <w:ind w:firstLine="0"/>
        <w:jc w:val="both"/>
        <w:rPr>
          <w:rFonts w:ascii="Arial" w:eastAsiaTheme="minorHAnsi" w:hAnsi="Arial" w:cs="Arial"/>
          <w:sz w:val="20"/>
          <w:szCs w:val="20"/>
          <w:lang w:val="en-AU" w:eastAsia="en-US"/>
        </w:rPr>
      </w:pPr>
    </w:p>
    <w:p w14:paraId="7549BA25" w14:textId="77777777" w:rsidR="00091E27" w:rsidRDefault="00091E27" w:rsidP="00091E27">
      <w:pPr>
        <w:pStyle w:val="Newparagraph"/>
        <w:spacing w:before="0" w:after="0" w:line="240" w:lineRule="auto"/>
        <w:ind w:firstLine="0"/>
        <w:jc w:val="both"/>
        <w:rPr>
          <w:rFonts w:ascii="Arial" w:hAnsi="Arial" w:cs="Arial"/>
          <w:sz w:val="20"/>
          <w:szCs w:val="20"/>
        </w:rPr>
      </w:pPr>
      <w:r w:rsidRPr="00CC0C2A">
        <w:rPr>
          <w:rFonts w:ascii="Arial" w:eastAsiaTheme="minorHAnsi" w:hAnsi="Arial" w:cs="Arial"/>
          <w:sz w:val="20"/>
          <w:szCs w:val="20"/>
          <w:lang w:val="en-AU" w:eastAsia="en-US"/>
        </w:rPr>
        <w:t xml:space="preserve">TODs can </w:t>
      </w:r>
      <w:r>
        <w:rPr>
          <w:rFonts w:ascii="Arial" w:eastAsiaTheme="minorHAnsi" w:hAnsi="Arial" w:cs="Arial"/>
          <w:sz w:val="20"/>
          <w:szCs w:val="20"/>
          <w:lang w:val="en-AU" w:eastAsia="en-US"/>
        </w:rPr>
        <w:t>potentially deliver</w:t>
      </w:r>
      <w:r w:rsidRPr="00CC0C2A">
        <w:rPr>
          <w:rFonts w:ascii="Arial" w:eastAsiaTheme="minorHAnsi" w:hAnsi="Arial" w:cs="Arial"/>
          <w:sz w:val="20"/>
          <w:szCs w:val="20"/>
          <w:lang w:val="en-AU" w:eastAsia="en-US"/>
        </w:rPr>
        <w:t xml:space="preserve"> </w:t>
      </w:r>
      <w:r>
        <w:rPr>
          <w:rFonts w:ascii="Arial" w:eastAsiaTheme="minorHAnsi" w:hAnsi="Arial" w:cs="Arial"/>
          <w:sz w:val="20"/>
          <w:szCs w:val="20"/>
          <w:lang w:val="en-AU" w:eastAsia="en-US"/>
        </w:rPr>
        <w:t xml:space="preserve">environmental benefits </w:t>
      </w:r>
      <w:r w:rsidRPr="00CC0C2A">
        <w:rPr>
          <w:rFonts w:ascii="Arial" w:eastAsiaTheme="minorHAnsi" w:hAnsi="Arial" w:cs="Arial"/>
          <w:sz w:val="20"/>
          <w:szCs w:val="20"/>
          <w:lang w:val="en-AU" w:eastAsia="en-US"/>
        </w:rPr>
        <w:t xml:space="preserve">by enhancing the interaction between transit and the surrounding </w:t>
      </w:r>
      <w:r>
        <w:rPr>
          <w:rFonts w:ascii="Arial" w:eastAsiaTheme="minorHAnsi" w:hAnsi="Arial" w:cs="Arial"/>
          <w:sz w:val="20"/>
          <w:szCs w:val="20"/>
          <w:lang w:val="en-AU" w:eastAsia="en-US"/>
        </w:rPr>
        <w:t>environment</w:t>
      </w:r>
      <w:r w:rsidRPr="00CC0C2A">
        <w:rPr>
          <w:rFonts w:ascii="Arial" w:eastAsiaTheme="minorHAnsi" w:hAnsi="Arial" w:cs="Arial"/>
          <w:sz w:val="20"/>
          <w:szCs w:val="20"/>
          <w:lang w:val="en-AU" w:eastAsia="en-US"/>
        </w:rPr>
        <w:t xml:space="preserve"> </w:t>
      </w:r>
      <w:r w:rsidRPr="00CC0C2A">
        <w:rPr>
          <w:rFonts w:ascii="Arial" w:eastAsiaTheme="minorHAnsi" w:hAnsi="Arial" w:cs="Arial"/>
          <w:noProof/>
          <w:sz w:val="20"/>
          <w:szCs w:val="20"/>
          <w:lang w:val="en-AU" w:eastAsia="en-US"/>
        </w:rPr>
        <w:t xml:space="preserve">(Singh </w:t>
      </w:r>
      <w:r>
        <w:rPr>
          <w:rFonts w:ascii="Arial" w:eastAsiaTheme="minorHAnsi" w:hAnsi="Arial" w:cs="Arial"/>
          <w:noProof/>
          <w:sz w:val="20"/>
          <w:szCs w:val="20"/>
          <w:lang w:val="en-AU" w:eastAsia="en-US"/>
        </w:rPr>
        <w:t>et al.,</w:t>
      </w:r>
      <w:r w:rsidRPr="00CC0C2A">
        <w:rPr>
          <w:rFonts w:ascii="Arial" w:eastAsiaTheme="minorHAnsi" w:hAnsi="Arial" w:cs="Arial"/>
          <w:noProof/>
          <w:sz w:val="20"/>
          <w:szCs w:val="20"/>
          <w:lang w:val="en-AU" w:eastAsia="en-US"/>
        </w:rPr>
        <w:t xml:space="preserve"> 2017)</w:t>
      </w:r>
      <w:r w:rsidRPr="00CC0C2A">
        <w:rPr>
          <w:rFonts w:ascii="Arial" w:eastAsiaTheme="minorHAnsi" w:hAnsi="Arial" w:cs="Arial"/>
          <w:sz w:val="20"/>
          <w:szCs w:val="20"/>
          <w:lang w:val="en-AU" w:eastAsia="en-US"/>
        </w:rPr>
        <w:t xml:space="preserve">. </w:t>
      </w:r>
      <w:r>
        <w:rPr>
          <w:rFonts w:ascii="Arial" w:eastAsiaTheme="minorHAnsi" w:hAnsi="Arial" w:cs="Arial"/>
          <w:sz w:val="20"/>
          <w:szCs w:val="20"/>
          <w:lang w:val="en-AU" w:eastAsia="en-US"/>
        </w:rPr>
        <w:t xml:space="preserve">The literature promotes </w:t>
      </w:r>
      <w:r w:rsidRPr="00CC0C2A">
        <w:rPr>
          <w:rFonts w:ascii="Arial" w:eastAsiaTheme="minorHAnsi" w:hAnsi="Arial" w:cs="Arial"/>
          <w:sz w:val="20"/>
          <w:szCs w:val="20"/>
          <w:lang w:val="en-AU" w:eastAsia="en-US"/>
        </w:rPr>
        <w:t>TODs as an important tool in reducing traffic congestion and improv</w:t>
      </w:r>
      <w:r>
        <w:rPr>
          <w:rFonts w:ascii="Arial" w:eastAsiaTheme="minorHAnsi" w:hAnsi="Arial" w:cs="Arial"/>
          <w:sz w:val="20"/>
          <w:szCs w:val="20"/>
          <w:lang w:val="en-AU" w:eastAsia="en-US"/>
        </w:rPr>
        <w:t>ing</w:t>
      </w:r>
      <w:r w:rsidRPr="00CC0C2A">
        <w:rPr>
          <w:rFonts w:ascii="Arial" w:eastAsiaTheme="minorHAnsi" w:hAnsi="Arial" w:cs="Arial"/>
          <w:sz w:val="20"/>
          <w:szCs w:val="20"/>
          <w:lang w:val="en-AU" w:eastAsia="en-US"/>
        </w:rPr>
        <w:t xml:space="preserve"> air quality and health </w:t>
      </w:r>
      <w:r w:rsidRPr="00CC0C2A">
        <w:rPr>
          <w:rFonts w:ascii="Arial" w:eastAsiaTheme="minorHAnsi" w:hAnsi="Arial" w:cs="Arial"/>
          <w:noProof/>
          <w:sz w:val="20"/>
          <w:szCs w:val="20"/>
          <w:lang w:val="en-AU" w:eastAsia="en-US"/>
        </w:rPr>
        <w:t>(Dittmar and Ohland</w:t>
      </w:r>
      <w:r>
        <w:rPr>
          <w:rFonts w:ascii="Arial" w:eastAsiaTheme="minorHAnsi" w:hAnsi="Arial" w:cs="Arial"/>
          <w:noProof/>
          <w:sz w:val="20"/>
          <w:szCs w:val="20"/>
          <w:lang w:val="en-AU" w:eastAsia="en-US"/>
        </w:rPr>
        <w:t>,</w:t>
      </w:r>
      <w:r w:rsidRPr="00CC0C2A">
        <w:rPr>
          <w:rFonts w:ascii="Arial" w:eastAsiaTheme="minorHAnsi" w:hAnsi="Arial" w:cs="Arial"/>
          <w:noProof/>
          <w:sz w:val="20"/>
          <w:szCs w:val="20"/>
          <w:lang w:val="en-AU" w:eastAsia="en-US"/>
        </w:rPr>
        <w:t xml:space="preserve"> 2004)</w:t>
      </w:r>
      <w:r w:rsidRPr="00CC0C2A">
        <w:rPr>
          <w:rFonts w:ascii="Arial" w:eastAsiaTheme="minorHAnsi" w:hAnsi="Arial" w:cs="Arial"/>
          <w:sz w:val="20"/>
          <w:szCs w:val="20"/>
          <w:lang w:val="en-AU" w:eastAsia="en-US"/>
        </w:rPr>
        <w:t xml:space="preserve">. However, increased density of residents, jobs, and employment in TODs can sometimes lead to increased traffic congestion </w:t>
      </w:r>
      <w:r w:rsidRPr="00CC0C2A">
        <w:rPr>
          <w:rFonts w:ascii="Arial" w:hAnsi="Arial" w:cs="Arial"/>
          <w:noProof/>
          <w:sz w:val="20"/>
          <w:szCs w:val="20"/>
        </w:rPr>
        <w:t>(Zhang</w:t>
      </w:r>
      <w:r>
        <w:rPr>
          <w:rFonts w:ascii="Arial" w:hAnsi="Arial" w:cs="Arial"/>
          <w:noProof/>
          <w:sz w:val="20"/>
          <w:szCs w:val="20"/>
        </w:rPr>
        <w:t>,</w:t>
      </w:r>
      <w:r w:rsidRPr="00CC0C2A">
        <w:rPr>
          <w:rFonts w:ascii="Arial" w:hAnsi="Arial" w:cs="Arial"/>
          <w:noProof/>
          <w:sz w:val="20"/>
          <w:szCs w:val="20"/>
        </w:rPr>
        <w:t xml:space="preserve"> 2010)</w:t>
      </w:r>
      <w:r w:rsidRPr="00CC0C2A">
        <w:rPr>
          <w:rFonts w:ascii="Arial" w:eastAsiaTheme="minorHAnsi" w:hAnsi="Arial" w:cs="Arial"/>
          <w:sz w:val="20"/>
          <w:szCs w:val="20"/>
          <w:lang w:val="en-AU" w:eastAsia="en-US"/>
        </w:rPr>
        <w:t xml:space="preserve">. </w:t>
      </w:r>
      <w:r w:rsidRPr="00CC0C2A">
        <w:rPr>
          <w:rFonts w:ascii="Arial" w:hAnsi="Arial" w:cs="Arial"/>
          <w:sz w:val="20"/>
          <w:szCs w:val="20"/>
        </w:rPr>
        <w:t xml:space="preserve">The existing literature </w:t>
      </w:r>
      <w:r>
        <w:rPr>
          <w:rFonts w:ascii="Arial" w:hAnsi="Arial" w:cs="Arial"/>
          <w:sz w:val="20"/>
          <w:szCs w:val="20"/>
        </w:rPr>
        <w:t xml:space="preserve">broadly </w:t>
      </w:r>
      <w:r w:rsidRPr="00CC0C2A">
        <w:rPr>
          <w:rFonts w:ascii="Arial" w:hAnsi="Arial" w:cs="Arial"/>
          <w:sz w:val="20"/>
          <w:szCs w:val="20"/>
        </w:rPr>
        <w:t xml:space="preserve">agrees on the potential of transport in reducing transport energy demand and greenhouse gas emissions. </w:t>
      </w:r>
      <w:proofErr w:type="spellStart"/>
      <w:r w:rsidRPr="00CC0C2A">
        <w:rPr>
          <w:rFonts w:ascii="Arial" w:hAnsi="Arial" w:cs="Arial"/>
          <w:sz w:val="20"/>
          <w:szCs w:val="20"/>
        </w:rPr>
        <w:t>Creutzig</w:t>
      </w:r>
      <w:proofErr w:type="spellEnd"/>
      <w:r w:rsidRPr="00CC0C2A">
        <w:rPr>
          <w:rFonts w:ascii="Arial" w:hAnsi="Arial" w:cs="Arial"/>
          <w:sz w:val="20"/>
          <w:szCs w:val="20"/>
        </w:rPr>
        <w:t xml:space="preserve"> </w:t>
      </w:r>
      <w:r>
        <w:rPr>
          <w:rFonts w:ascii="Arial" w:hAnsi="Arial" w:cs="Arial"/>
          <w:sz w:val="20"/>
          <w:szCs w:val="20"/>
        </w:rPr>
        <w:t>et al.</w:t>
      </w:r>
      <w:r w:rsidRPr="00CC0C2A">
        <w:rPr>
          <w:rFonts w:ascii="Arial" w:hAnsi="Arial" w:cs="Arial"/>
          <w:sz w:val="20"/>
          <w:szCs w:val="20"/>
        </w:rPr>
        <w:t xml:space="preserve"> (2012), for instance, suggested that the ri</w:t>
      </w:r>
      <w:r>
        <w:rPr>
          <w:rFonts w:ascii="Arial" w:hAnsi="Arial" w:cs="Arial"/>
          <w:sz w:val="20"/>
          <w:szCs w:val="20"/>
        </w:rPr>
        <w:t>ght combination of policies to</w:t>
      </w:r>
      <w:r w:rsidRPr="00CC0C2A">
        <w:rPr>
          <w:rFonts w:ascii="Arial" w:hAnsi="Arial" w:cs="Arial"/>
          <w:sz w:val="20"/>
          <w:szCs w:val="20"/>
        </w:rPr>
        <w:t xml:space="preserve"> reduce transport demand </w:t>
      </w:r>
      <w:r>
        <w:rPr>
          <w:rFonts w:ascii="Arial" w:hAnsi="Arial" w:cs="Arial"/>
          <w:sz w:val="20"/>
          <w:szCs w:val="20"/>
        </w:rPr>
        <w:t>and improve</w:t>
      </w:r>
      <w:r w:rsidRPr="00CC0C2A">
        <w:rPr>
          <w:rFonts w:ascii="Arial" w:hAnsi="Arial" w:cs="Arial"/>
          <w:sz w:val="20"/>
          <w:szCs w:val="20"/>
        </w:rPr>
        <w:t xml:space="preserve"> fuel standards could reduce </w:t>
      </w:r>
      <w:r>
        <w:rPr>
          <w:rFonts w:ascii="Arial" w:hAnsi="Arial" w:cs="Arial"/>
          <w:sz w:val="20"/>
          <w:szCs w:val="20"/>
        </w:rPr>
        <w:t>greenhouse gas</w:t>
      </w:r>
      <w:r w:rsidRPr="00CC0C2A">
        <w:rPr>
          <w:rFonts w:ascii="Arial" w:hAnsi="Arial" w:cs="Arial"/>
          <w:sz w:val="20"/>
          <w:szCs w:val="20"/>
        </w:rPr>
        <w:t xml:space="preserve"> emission</w:t>
      </w:r>
      <w:r>
        <w:rPr>
          <w:rFonts w:ascii="Arial" w:hAnsi="Arial" w:cs="Arial"/>
          <w:sz w:val="20"/>
          <w:szCs w:val="20"/>
        </w:rPr>
        <w:t>s</w:t>
      </w:r>
      <w:r w:rsidRPr="00CC0C2A">
        <w:rPr>
          <w:rFonts w:ascii="Arial" w:hAnsi="Arial" w:cs="Arial"/>
          <w:sz w:val="20"/>
          <w:szCs w:val="20"/>
        </w:rPr>
        <w:t xml:space="preserve"> by </w:t>
      </w:r>
      <w:r>
        <w:rPr>
          <w:rFonts w:ascii="Arial" w:hAnsi="Arial" w:cs="Arial"/>
          <w:sz w:val="20"/>
          <w:szCs w:val="20"/>
        </w:rPr>
        <w:t>up to</w:t>
      </w:r>
      <w:r w:rsidRPr="00CC0C2A">
        <w:rPr>
          <w:rFonts w:ascii="Arial" w:hAnsi="Arial" w:cs="Arial"/>
          <w:sz w:val="20"/>
          <w:szCs w:val="20"/>
        </w:rPr>
        <w:t xml:space="preserve"> 75% per </w:t>
      </w:r>
      <w:r>
        <w:rPr>
          <w:rFonts w:ascii="Arial" w:hAnsi="Arial" w:cs="Arial"/>
          <w:sz w:val="20"/>
          <w:szCs w:val="20"/>
        </w:rPr>
        <w:t>capita</w:t>
      </w:r>
      <w:r w:rsidRPr="00CC0C2A">
        <w:rPr>
          <w:rFonts w:ascii="Arial" w:hAnsi="Arial" w:cs="Arial"/>
          <w:sz w:val="20"/>
          <w:szCs w:val="20"/>
        </w:rPr>
        <w:t xml:space="preserve">. TODs also have </w:t>
      </w:r>
      <w:r>
        <w:rPr>
          <w:rFonts w:ascii="Arial" w:hAnsi="Arial" w:cs="Arial"/>
          <w:sz w:val="20"/>
          <w:szCs w:val="20"/>
        </w:rPr>
        <w:t>implications for saving energy and can reducing</w:t>
      </w:r>
      <w:r w:rsidRPr="00CC0C2A">
        <w:rPr>
          <w:rFonts w:ascii="Arial" w:hAnsi="Arial" w:cs="Arial"/>
          <w:sz w:val="20"/>
          <w:szCs w:val="20"/>
        </w:rPr>
        <w:t xml:space="preserve"> urban sprawl </w:t>
      </w:r>
      <w:r>
        <w:rPr>
          <w:rFonts w:ascii="Arial" w:hAnsi="Arial" w:cs="Arial"/>
          <w:sz w:val="20"/>
          <w:szCs w:val="20"/>
        </w:rPr>
        <w:t>b</w:t>
      </w:r>
      <w:r w:rsidRPr="00CC0C2A">
        <w:rPr>
          <w:rFonts w:ascii="Arial" w:hAnsi="Arial" w:cs="Arial"/>
          <w:sz w:val="20"/>
          <w:szCs w:val="20"/>
        </w:rPr>
        <w:t xml:space="preserve">y promoting compact, mixed use, and </w:t>
      </w:r>
      <w:proofErr w:type="spellStart"/>
      <w:r w:rsidRPr="00CC0C2A">
        <w:rPr>
          <w:rFonts w:ascii="Arial" w:hAnsi="Arial" w:cs="Arial"/>
          <w:sz w:val="20"/>
          <w:szCs w:val="20"/>
        </w:rPr>
        <w:t>walkable</w:t>
      </w:r>
      <w:proofErr w:type="spellEnd"/>
      <w:r w:rsidRPr="00CC0C2A">
        <w:rPr>
          <w:rFonts w:ascii="Arial" w:hAnsi="Arial" w:cs="Arial"/>
          <w:sz w:val="20"/>
          <w:szCs w:val="20"/>
        </w:rPr>
        <w:t xml:space="preserve"> settlements </w:t>
      </w:r>
      <w:r>
        <w:rPr>
          <w:rFonts w:ascii="Arial" w:hAnsi="Arial" w:cs="Arial"/>
          <w:noProof/>
          <w:sz w:val="20"/>
          <w:szCs w:val="20"/>
        </w:rPr>
        <w:t>(Cervero et al., 2004; Olaru et al., 2011)</w:t>
      </w:r>
      <w:r w:rsidRPr="00CC0C2A">
        <w:rPr>
          <w:rFonts w:ascii="Arial" w:hAnsi="Arial" w:cs="Arial"/>
          <w:sz w:val="20"/>
          <w:szCs w:val="20"/>
        </w:rPr>
        <w:t xml:space="preserve">. Of particular significance is the importance of behavioural changes in travel as a result of densification of urban areas around existing and new transit hubs that leads to environmental benefits </w:t>
      </w:r>
      <w:r>
        <w:rPr>
          <w:rFonts w:ascii="Arial" w:hAnsi="Arial" w:cs="Arial"/>
          <w:noProof/>
          <w:sz w:val="20"/>
          <w:szCs w:val="20"/>
        </w:rPr>
        <w:t>(Renne and Wells, 2004; van Lierop et al., 2017)</w:t>
      </w:r>
      <w:r w:rsidRPr="00CC0C2A">
        <w:rPr>
          <w:rFonts w:ascii="Arial" w:hAnsi="Arial" w:cs="Arial"/>
          <w:sz w:val="20"/>
          <w:szCs w:val="20"/>
        </w:rPr>
        <w:t xml:space="preserve">. Well-designed TODs have the potential to promote ecosystem-based approaches to sustainability by reducing heating/cooling expenses and enabling waste reuse </w:t>
      </w:r>
      <w:r>
        <w:rPr>
          <w:rFonts w:ascii="Arial" w:hAnsi="Arial" w:cs="Arial"/>
          <w:noProof/>
          <w:sz w:val="20"/>
          <w:szCs w:val="20"/>
        </w:rPr>
        <w:t>(Cervero and Sullivan, 2011; Kenworthy, 2006)</w:t>
      </w:r>
      <w:r w:rsidRPr="00CC0C2A">
        <w:rPr>
          <w:rFonts w:ascii="Arial" w:hAnsi="Arial" w:cs="Arial"/>
          <w:sz w:val="20"/>
          <w:szCs w:val="20"/>
        </w:rPr>
        <w:t>.</w:t>
      </w:r>
    </w:p>
    <w:p w14:paraId="262B461F" w14:textId="77777777" w:rsidR="00632B58" w:rsidRPr="00A658F2" w:rsidRDefault="00632B58" w:rsidP="000E7C6F">
      <w:pPr>
        <w:pStyle w:val="Newparagraph"/>
        <w:spacing w:before="0" w:after="0" w:line="240" w:lineRule="auto"/>
        <w:ind w:firstLine="0"/>
        <w:jc w:val="both"/>
        <w:rPr>
          <w:rFonts w:ascii="AdvTT5843c571" w:eastAsiaTheme="minorHAnsi" w:hAnsi="AdvTT5843c571" w:cs="AdvTT5843c571"/>
          <w:color w:val="231F20"/>
          <w:szCs w:val="20"/>
          <w:lang w:val="en-AU"/>
        </w:rPr>
      </w:pPr>
    </w:p>
    <w:p w14:paraId="4C86D436" w14:textId="37B1A0DC" w:rsidR="00F84C23" w:rsidRDefault="00C502DA" w:rsidP="00F84C23">
      <w:pPr>
        <w:pStyle w:val="Newparagraph"/>
        <w:spacing w:before="0" w:after="0" w:line="240" w:lineRule="auto"/>
        <w:ind w:firstLine="0"/>
        <w:jc w:val="both"/>
        <w:rPr>
          <w:rFonts w:ascii="Arial" w:hAnsi="Arial" w:cs="Arial"/>
          <w:sz w:val="20"/>
        </w:rPr>
      </w:pPr>
      <w:r>
        <w:rPr>
          <w:rFonts w:ascii="Arial" w:hAnsi="Arial" w:cs="Arial"/>
          <w:sz w:val="20"/>
        </w:rPr>
        <w:t xml:space="preserve">Potential </w:t>
      </w:r>
      <w:r w:rsidRPr="00CC0C2A">
        <w:rPr>
          <w:rFonts w:ascii="Arial" w:hAnsi="Arial" w:cs="Arial"/>
          <w:sz w:val="20"/>
        </w:rPr>
        <w:t>social benefits</w:t>
      </w:r>
      <w:r>
        <w:rPr>
          <w:rFonts w:ascii="Arial" w:hAnsi="Arial" w:cs="Arial"/>
          <w:sz w:val="20"/>
        </w:rPr>
        <w:t xml:space="preserve"> may</w:t>
      </w:r>
      <w:r w:rsidRPr="00CC0C2A">
        <w:rPr>
          <w:rFonts w:ascii="Arial" w:hAnsi="Arial" w:cs="Arial"/>
          <w:sz w:val="20"/>
        </w:rPr>
        <w:t xml:space="preserve"> </w:t>
      </w:r>
      <w:r>
        <w:rPr>
          <w:rFonts w:ascii="Arial" w:hAnsi="Arial" w:cs="Arial"/>
          <w:sz w:val="20"/>
        </w:rPr>
        <w:t xml:space="preserve">accrue from </w:t>
      </w:r>
      <w:r w:rsidRPr="00CC0C2A">
        <w:rPr>
          <w:rFonts w:ascii="Arial" w:hAnsi="Arial" w:cs="Arial"/>
          <w:sz w:val="20"/>
          <w:szCs w:val="20"/>
        </w:rPr>
        <w:t xml:space="preserve">TODs </w:t>
      </w:r>
      <w:r>
        <w:rPr>
          <w:rFonts w:ascii="Arial" w:hAnsi="Arial" w:cs="Arial"/>
          <w:sz w:val="20"/>
        </w:rPr>
        <w:t xml:space="preserve">in tandem with planning and environmental gains, </w:t>
      </w:r>
      <w:r w:rsidR="007F2F83" w:rsidRPr="00CC0C2A">
        <w:rPr>
          <w:rFonts w:ascii="Arial" w:hAnsi="Arial" w:cs="Arial"/>
          <w:noProof/>
          <w:sz w:val="20"/>
        </w:rPr>
        <w:t>(Guerra</w:t>
      </w:r>
      <w:r w:rsidR="00123A7B">
        <w:rPr>
          <w:rFonts w:ascii="Arial" w:hAnsi="Arial" w:cs="Arial"/>
          <w:noProof/>
          <w:sz w:val="20"/>
        </w:rPr>
        <w:t>,</w:t>
      </w:r>
      <w:r w:rsidR="007F2F83" w:rsidRPr="00CC0C2A">
        <w:rPr>
          <w:rFonts w:ascii="Arial" w:hAnsi="Arial" w:cs="Arial"/>
          <w:noProof/>
          <w:sz w:val="20"/>
        </w:rPr>
        <w:t xml:space="preserve"> 2011)</w:t>
      </w:r>
      <w:r w:rsidR="007F2F83" w:rsidRPr="00CC0C2A">
        <w:rPr>
          <w:rFonts w:ascii="Arial" w:hAnsi="Arial" w:cs="Arial"/>
          <w:sz w:val="20"/>
        </w:rPr>
        <w:t xml:space="preserve">. By promoting high density mixed use development in a well-connected urban setting, TODs promote better and easier access to employment, jobs, and opportunities </w:t>
      </w:r>
      <w:r w:rsidR="007F2F83">
        <w:rPr>
          <w:rFonts w:ascii="Arial" w:hAnsi="Arial" w:cs="Arial"/>
          <w:noProof/>
          <w:sz w:val="20"/>
        </w:rPr>
        <w:t>(Cervero and Day</w:t>
      </w:r>
      <w:r w:rsidR="00123A7B">
        <w:rPr>
          <w:rFonts w:ascii="Arial" w:hAnsi="Arial" w:cs="Arial"/>
          <w:noProof/>
          <w:sz w:val="20"/>
        </w:rPr>
        <w:t>,</w:t>
      </w:r>
      <w:r w:rsidR="007F2F83">
        <w:rPr>
          <w:rFonts w:ascii="Arial" w:hAnsi="Arial" w:cs="Arial"/>
          <w:noProof/>
          <w:sz w:val="20"/>
        </w:rPr>
        <w:t xml:space="preserve"> 2008; Schwanen and Mokhtarian</w:t>
      </w:r>
      <w:r w:rsidR="00123A7B">
        <w:rPr>
          <w:rFonts w:ascii="Arial" w:hAnsi="Arial" w:cs="Arial"/>
          <w:noProof/>
          <w:sz w:val="20"/>
        </w:rPr>
        <w:t>,</w:t>
      </w:r>
      <w:r w:rsidR="007F2F83">
        <w:rPr>
          <w:rFonts w:ascii="Arial" w:hAnsi="Arial" w:cs="Arial"/>
          <w:noProof/>
          <w:sz w:val="20"/>
        </w:rPr>
        <w:t xml:space="preserve"> 2007; Singh </w:t>
      </w:r>
      <w:r w:rsidR="000E7C6F">
        <w:rPr>
          <w:rFonts w:ascii="Arial" w:hAnsi="Arial" w:cs="Arial"/>
          <w:noProof/>
          <w:sz w:val="20"/>
        </w:rPr>
        <w:t>et al.</w:t>
      </w:r>
      <w:r w:rsidR="00123A7B">
        <w:rPr>
          <w:rFonts w:ascii="Arial" w:hAnsi="Arial" w:cs="Arial"/>
          <w:noProof/>
          <w:sz w:val="20"/>
        </w:rPr>
        <w:t>,</w:t>
      </w:r>
      <w:r w:rsidR="007F2F83">
        <w:rPr>
          <w:rFonts w:ascii="Arial" w:hAnsi="Arial" w:cs="Arial"/>
          <w:noProof/>
          <w:sz w:val="20"/>
        </w:rPr>
        <w:t xml:space="preserve"> 2017)</w:t>
      </w:r>
      <w:r>
        <w:rPr>
          <w:rFonts w:ascii="Arial" w:hAnsi="Arial" w:cs="Arial"/>
          <w:noProof/>
          <w:sz w:val="20"/>
        </w:rPr>
        <w:t xml:space="preserve">. Improved walkability and reduced </w:t>
      </w:r>
      <w:r w:rsidR="00F84C23">
        <w:rPr>
          <w:rFonts w:ascii="Arial" w:hAnsi="Arial" w:cs="Arial"/>
          <w:noProof/>
          <w:sz w:val="20"/>
        </w:rPr>
        <w:t>congestion</w:t>
      </w:r>
      <w:r w:rsidR="007F2F83" w:rsidRPr="00CC0C2A">
        <w:rPr>
          <w:rFonts w:ascii="Arial" w:hAnsi="Arial" w:cs="Arial"/>
          <w:sz w:val="20"/>
        </w:rPr>
        <w:t xml:space="preserve"> can further enhance community health </w:t>
      </w:r>
      <w:r w:rsidR="007F2F83">
        <w:rPr>
          <w:rFonts w:ascii="Arial" w:hAnsi="Arial" w:cs="Arial"/>
          <w:noProof/>
          <w:sz w:val="20"/>
        </w:rPr>
        <w:t>(Brown and Werner</w:t>
      </w:r>
      <w:r w:rsidR="00123A7B">
        <w:rPr>
          <w:rFonts w:ascii="Arial" w:hAnsi="Arial" w:cs="Arial"/>
          <w:noProof/>
          <w:sz w:val="20"/>
        </w:rPr>
        <w:t>,</w:t>
      </w:r>
      <w:r w:rsidR="007F2F83">
        <w:rPr>
          <w:rFonts w:ascii="Arial" w:hAnsi="Arial" w:cs="Arial"/>
          <w:noProof/>
          <w:sz w:val="20"/>
        </w:rPr>
        <w:t xml:space="preserve"> 2007; Chen and McKnight</w:t>
      </w:r>
      <w:r w:rsidR="00123A7B">
        <w:rPr>
          <w:rFonts w:ascii="Arial" w:hAnsi="Arial" w:cs="Arial"/>
          <w:noProof/>
          <w:sz w:val="20"/>
        </w:rPr>
        <w:t>,</w:t>
      </w:r>
      <w:r w:rsidR="007F2F83">
        <w:rPr>
          <w:rFonts w:ascii="Arial" w:hAnsi="Arial" w:cs="Arial"/>
          <w:noProof/>
          <w:sz w:val="20"/>
        </w:rPr>
        <w:t xml:space="preserve"> 2007)</w:t>
      </w:r>
      <w:r w:rsidR="007F2F83" w:rsidRPr="00CC0C2A">
        <w:rPr>
          <w:rFonts w:ascii="Arial" w:hAnsi="Arial" w:cs="Arial"/>
          <w:sz w:val="20"/>
        </w:rPr>
        <w:t xml:space="preserve">. The increased density of population as a result of TODs can promote social capital </w:t>
      </w:r>
      <w:r w:rsidR="007F2F83">
        <w:rPr>
          <w:rFonts w:ascii="Arial" w:hAnsi="Arial" w:cs="Arial"/>
          <w:noProof/>
          <w:sz w:val="20"/>
        </w:rPr>
        <w:t>(Currie and Stanley</w:t>
      </w:r>
      <w:r w:rsidR="00123A7B">
        <w:rPr>
          <w:rFonts w:ascii="Arial" w:hAnsi="Arial" w:cs="Arial"/>
          <w:noProof/>
          <w:sz w:val="20"/>
        </w:rPr>
        <w:t>,</w:t>
      </w:r>
      <w:r w:rsidR="007F2F83">
        <w:rPr>
          <w:rFonts w:ascii="Arial" w:hAnsi="Arial" w:cs="Arial"/>
          <w:noProof/>
          <w:sz w:val="20"/>
        </w:rPr>
        <w:t xml:space="preserve"> 2008; Schwanen </w:t>
      </w:r>
      <w:r w:rsidR="000E7C6F">
        <w:rPr>
          <w:rFonts w:ascii="Arial" w:hAnsi="Arial" w:cs="Arial"/>
          <w:noProof/>
          <w:sz w:val="20"/>
        </w:rPr>
        <w:t>et al.</w:t>
      </w:r>
      <w:r w:rsidR="00123A7B">
        <w:rPr>
          <w:rFonts w:ascii="Arial" w:hAnsi="Arial" w:cs="Arial"/>
          <w:noProof/>
          <w:sz w:val="20"/>
        </w:rPr>
        <w:t>,</w:t>
      </w:r>
      <w:r w:rsidR="007F2F83">
        <w:rPr>
          <w:rFonts w:ascii="Arial" w:hAnsi="Arial" w:cs="Arial"/>
          <w:noProof/>
          <w:sz w:val="20"/>
        </w:rPr>
        <w:t xml:space="preserve"> 2015)</w:t>
      </w:r>
      <w:r w:rsidR="007F2F83" w:rsidRPr="00CC0C2A">
        <w:rPr>
          <w:rFonts w:ascii="Arial" w:hAnsi="Arial" w:cs="Arial"/>
          <w:sz w:val="20"/>
        </w:rPr>
        <w:t xml:space="preserve"> and </w:t>
      </w:r>
      <w:r w:rsidR="00F84C23">
        <w:rPr>
          <w:rFonts w:ascii="Arial" w:hAnsi="Arial" w:cs="Arial"/>
          <w:sz w:val="20"/>
        </w:rPr>
        <w:t>increase</w:t>
      </w:r>
      <w:r w:rsidR="007F2F83" w:rsidRPr="00CC0C2A">
        <w:rPr>
          <w:rFonts w:ascii="Arial" w:hAnsi="Arial" w:cs="Arial"/>
          <w:sz w:val="20"/>
        </w:rPr>
        <w:t xml:space="preserve"> sense of community </w:t>
      </w:r>
      <w:r w:rsidR="007F2F83">
        <w:rPr>
          <w:rFonts w:ascii="Arial" w:hAnsi="Arial" w:cs="Arial"/>
          <w:noProof/>
          <w:sz w:val="20"/>
        </w:rPr>
        <w:t>(Brown and Werner</w:t>
      </w:r>
      <w:r w:rsidR="00123A7B">
        <w:rPr>
          <w:rFonts w:ascii="Arial" w:hAnsi="Arial" w:cs="Arial"/>
          <w:noProof/>
          <w:sz w:val="20"/>
        </w:rPr>
        <w:t>,</w:t>
      </w:r>
      <w:r w:rsidR="007F2F83">
        <w:rPr>
          <w:rFonts w:ascii="Arial" w:hAnsi="Arial" w:cs="Arial"/>
          <w:noProof/>
          <w:sz w:val="20"/>
        </w:rPr>
        <w:t xml:space="preserve"> 2011; Kamruzzaman </w:t>
      </w:r>
      <w:r w:rsidR="000E7C6F">
        <w:rPr>
          <w:rFonts w:ascii="Arial" w:hAnsi="Arial" w:cs="Arial"/>
          <w:noProof/>
          <w:sz w:val="20"/>
        </w:rPr>
        <w:t>et al.</w:t>
      </w:r>
      <w:r w:rsidR="00123A7B">
        <w:rPr>
          <w:rFonts w:ascii="Arial" w:hAnsi="Arial" w:cs="Arial"/>
          <w:noProof/>
          <w:sz w:val="20"/>
        </w:rPr>
        <w:t>,</w:t>
      </w:r>
      <w:r w:rsidR="007F2F83">
        <w:rPr>
          <w:rFonts w:ascii="Arial" w:hAnsi="Arial" w:cs="Arial"/>
          <w:noProof/>
          <w:sz w:val="20"/>
        </w:rPr>
        <w:t xml:space="preserve"> 2014b)</w:t>
      </w:r>
      <w:r w:rsidR="007F2F83" w:rsidRPr="00CC0C2A">
        <w:rPr>
          <w:rFonts w:ascii="Arial" w:hAnsi="Arial" w:cs="Arial"/>
          <w:sz w:val="20"/>
        </w:rPr>
        <w:t xml:space="preserve">. </w:t>
      </w:r>
      <w:r w:rsidR="007F2F83" w:rsidRPr="00CC0C2A">
        <w:rPr>
          <w:rFonts w:ascii="Arial" w:hAnsi="Arial" w:cs="Arial"/>
          <w:sz w:val="20"/>
          <w:szCs w:val="20"/>
        </w:rPr>
        <w:t xml:space="preserve">Well-integrated TODs can also promote more affordable housing choices for the community </w:t>
      </w:r>
      <w:r w:rsidR="007F2F83">
        <w:rPr>
          <w:rFonts w:ascii="Arial" w:hAnsi="Arial" w:cs="Arial"/>
          <w:noProof/>
          <w:sz w:val="20"/>
          <w:szCs w:val="20"/>
        </w:rPr>
        <w:t>(Haughey and Sherriff</w:t>
      </w:r>
      <w:r w:rsidR="00123A7B">
        <w:rPr>
          <w:rFonts w:ascii="Arial" w:hAnsi="Arial" w:cs="Arial"/>
          <w:noProof/>
          <w:sz w:val="20"/>
          <w:szCs w:val="20"/>
        </w:rPr>
        <w:t>,</w:t>
      </w:r>
      <w:r w:rsidR="007F2F83">
        <w:rPr>
          <w:rFonts w:ascii="Arial" w:hAnsi="Arial" w:cs="Arial"/>
          <w:noProof/>
          <w:sz w:val="20"/>
          <w:szCs w:val="20"/>
        </w:rPr>
        <w:t xml:space="preserve"> 2010; Olaru </w:t>
      </w:r>
      <w:r w:rsidR="000E7C6F">
        <w:rPr>
          <w:rFonts w:ascii="Arial" w:hAnsi="Arial" w:cs="Arial"/>
          <w:noProof/>
          <w:sz w:val="20"/>
          <w:szCs w:val="20"/>
        </w:rPr>
        <w:t>et al.</w:t>
      </w:r>
      <w:r w:rsidR="00123A7B">
        <w:rPr>
          <w:rFonts w:ascii="Arial" w:hAnsi="Arial" w:cs="Arial"/>
          <w:noProof/>
          <w:sz w:val="20"/>
          <w:szCs w:val="20"/>
        </w:rPr>
        <w:t>,</w:t>
      </w:r>
      <w:r w:rsidR="007F2F83">
        <w:rPr>
          <w:rFonts w:ascii="Arial" w:hAnsi="Arial" w:cs="Arial"/>
          <w:noProof/>
          <w:sz w:val="20"/>
          <w:szCs w:val="20"/>
        </w:rPr>
        <w:t xml:space="preserve"> 2011)</w:t>
      </w:r>
      <w:r w:rsidR="007F2F83" w:rsidRPr="00CC0C2A">
        <w:rPr>
          <w:rFonts w:ascii="Arial" w:hAnsi="Arial" w:cs="Arial"/>
          <w:sz w:val="20"/>
          <w:szCs w:val="20"/>
        </w:rPr>
        <w:t xml:space="preserve">. However, the increased density can sometimes undermine social equity or result in social exclusion by undermining access to </w:t>
      </w:r>
      <w:r w:rsidR="007F2F83" w:rsidRPr="00CC0C2A">
        <w:rPr>
          <w:rFonts w:ascii="Arial" w:hAnsi="Arial" w:cs="Arial"/>
          <w:sz w:val="20"/>
          <w:szCs w:val="20"/>
        </w:rPr>
        <w:lastRenderedPageBreak/>
        <w:t xml:space="preserve">critical services </w:t>
      </w:r>
      <w:r w:rsidR="007F2F83">
        <w:rPr>
          <w:rFonts w:ascii="Arial" w:hAnsi="Arial" w:cs="Arial"/>
          <w:noProof/>
          <w:sz w:val="20"/>
          <w:szCs w:val="20"/>
        </w:rPr>
        <w:t xml:space="preserve">(Schwanen </w:t>
      </w:r>
      <w:r w:rsidR="000E7C6F">
        <w:rPr>
          <w:rFonts w:ascii="Arial" w:hAnsi="Arial" w:cs="Arial"/>
          <w:noProof/>
          <w:sz w:val="20"/>
          <w:szCs w:val="20"/>
        </w:rPr>
        <w:t>et al.</w:t>
      </w:r>
      <w:r w:rsidR="00123A7B">
        <w:rPr>
          <w:rFonts w:ascii="Arial" w:hAnsi="Arial" w:cs="Arial"/>
          <w:noProof/>
          <w:sz w:val="20"/>
          <w:szCs w:val="20"/>
        </w:rPr>
        <w:t>,</w:t>
      </w:r>
      <w:r w:rsidR="007F2F83">
        <w:rPr>
          <w:rFonts w:ascii="Arial" w:hAnsi="Arial" w:cs="Arial"/>
          <w:noProof/>
          <w:sz w:val="20"/>
          <w:szCs w:val="20"/>
        </w:rPr>
        <w:t xml:space="preserve"> 2015; Stanley </w:t>
      </w:r>
      <w:r w:rsidR="000E7C6F">
        <w:rPr>
          <w:rFonts w:ascii="Arial" w:hAnsi="Arial" w:cs="Arial"/>
          <w:noProof/>
          <w:sz w:val="20"/>
          <w:szCs w:val="20"/>
        </w:rPr>
        <w:t>et al.</w:t>
      </w:r>
      <w:r w:rsidR="00123A7B">
        <w:rPr>
          <w:rFonts w:ascii="Arial" w:hAnsi="Arial" w:cs="Arial"/>
          <w:noProof/>
          <w:sz w:val="20"/>
          <w:szCs w:val="20"/>
        </w:rPr>
        <w:t>,</w:t>
      </w:r>
      <w:r w:rsidR="007F2F83">
        <w:rPr>
          <w:rFonts w:ascii="Arial" w:hAnsi="Arial" w:cs="Arial"/>
          <w:noProof/>
          <w:sz w:val="20"/>
          <w:szCs w:val="20"/>
        </w:rPr>
        <w:t xml:space="preserve"> 2011; Yigitcanlar </w:t>
      </w:r>
      <w:r w:rsidR="000E7C6F">
        <w:rPr>
          <w:rFonts w:ascii="Arial" w:hAnsi="Arial" w:cs="Arial"/>
          <w:noProof/>
          <w:sz w:val="20"/>
          <w:szCs w:val="20"/>
        </w:rPr>
        <w:t>et al.</w:t>
      </w:r>
      <w:r w:rsidR="00123A7B">
        <w:rPr>
          <w:rFonts w:ascii="Arial" w:hAnsi="Arial" w:cs="Arial"/>
          <w:noProof/>
          <w:sz w:val="20"/>
          <w:szCs w:val="20"/>
        </w:rPr>
        <w:t>,</w:t>
      </w:r>
      <w:r w:rsidR="007F2F83">
        <w:rPr>
          <w:rFonts w:ascii="Arial" w:hAnsi="Arial" w:cs="Arial"/>
          <w:noProof/>
          <w:sz w:val="20"/>
          <w:szCs w:val="20"/>
        </w:rPr>
        <w:t xml:space="preserve"> 2010)</w:t>
      </w:r>
      <w:r w:rsidR="007F2F83" w:rsidRPr="00CC0C2A">
        <w:rPr>
          <w:rFonts w:ascii="Arial" w:hAnsi="Arial" w:cs="Arial"/>
          <w:sz w:val="20"/>
          <w:szCs w:val="20"/>
        </w:rPr>
        <w:t xml:space="preserve">. </w:t>
      </w:r>
      <w:r w:rsidR="00F84C23">
        <w:rPr>
          <w:rFonts w:ascii="Arial" w:hAnsi="Arial" w:cs="Arial"/>
          <w:sz w:val="20"/>
          <w:szCs w:val="20"/>
        </w:rPr>
        <w:t>G</w:t>
      </w:r>
      <w:r w:rsidR="00F84C23" w:rsidRPr="00CC0C2A">
        <w:rPr>
          <w:rFonts w:ascii="Arial" w:hAnsi="Arial" w:cs="Arial"/>
          <w:sz w:val="20"/>
        </w:rPr>
        <w:t xml:space="preserve">entrification </w:t>
      </w:r>
      <w:r w:rsidR="00F84C23">
        <w:rPr>
          <w:rFonts w:ascii="Arial" w:hAnsi="Arial" w:cs="Arial"/>
          <w:sz w:val="20"/>
        </w:rPr>
        <w:t xml:space="preserve">may also occur, leading to </w:t>
      </w:r>
      <w:r w:rsidR="00F84C23" w:rsidRPr="00CC0C2A">
        <w:rPr>
          <w:rFonts w:ascii="Arial" w:hAnsi="Arial" w:cs="Arial"/>
          <w:sz w:val="20"/>
        </w:rPr>
        <w:t>housing aff</w:t>
      </w:r>
      <w:r w:rsidR="00F84C23">
        <w:rPr>
          <w:rFonts w:ascii="Arial" w:hAnsi="Arial" w:cs="Arial"/>
          <w:sz w:val="20"/>
        </w:rPr>
        <w:t>ordability issues and displacement of</w:t>
      </w:r>
      <w:r w:rsidR="00F84C23" w:rsidRPr="00CC0C2A">
        <w:rPr>
          <w:rFonts w:ascii="Arial" w:hAnsi="Arial" w:cs="Arial"/>
          <w:sz w:val="20"/>
        </w:rPr>
        <w:t xml:space="preserve"> residents </w:t>
      </w:r>
      <w:r w:rsidR="00F84C23">
        <w:rPr>
          <w:rFonts w:ascii="Arial" w:hAnsi="Arial" w:cs="Arial"/>
          <w:noProof/>
          <w:sz w:val="20"/>
        </w:rPr>
        <w:t>(Duncan, 2010; Grube-Cavers and Patterson, 2014; Kahn, 2007; Rayle, 2015)</w:t>
      </w:r>
      <w:r w:rsidR="00F84C23" w:rsidRPr="00CC0C2A">
        <w:rPr>
          <w:rFonts w:ascii="Arial" w:hAnsi="Arial" w:cs="Arial"/>
          <w:sz w:val="20"/>
        </w:rPr>
        <w:t>.</w:t>
      </w:r>
    </w:p>
    <w:p w14:paraId="7040D749" w14:textId="77777777" w:rsidR="009F51F9" w:rsidRPr="009F51F9" w:rsidRDefault="009F51F9" w:rsidP="009F51F9">
      <w:pPr>
        <w:rPr>
          <w:rFonts w:cs="Arial"/>
          <w:b/>
          <w:szCs w:val="20"/>
        </w:rPr>
      </w:pPr>
    </w:p>
    <w:p w14:paraId="07DE9CD6" w14:textId="4F1473CF" w:rsidR="009F51F9" w:rsidRPr="001F74AA" w:rsidRDefault="002B30CF" w:rsidP="009F51F9">
      <w:pPr>
        <w:rPr>
          <w:rFonts w:cs="Arial"/>
          <w:b/>
          <w:sz w:val="22"/>
          <w:szCs w:val="22"/>
        </w:rPr>
      </w:pPr>
      <w:r>
        <w:rPr>
          <w:rFonts w:cs="Arial"/>
          <w:b/>
          <w:sz w:val="22"/>
          <w:szCs w:val="22"/>
        </w:rPr>
        <w:t>Conceptualis</w:t>
      </w:r>
      <w:r w:rsidR="009F51F9" w:rsidRPr="001F74AA">
        <w:rPr>
          <w:rFonts w:cs="Arial"/>
          <w:b/>
          <w:sz w:val="22"/>
          <w:szCs w:val="22"/>
        </w:rPr>
        <w:t xml:space="preserve">ing </w:t>
      </w:r>
      <w:r w:rsidR="009F51F9">
        <w:rPr>
          <w:rFonts w:cs="Arial"/>
          <w:b/>
          <w:sz w:val="22"/>
          <w:szCs w:val="22"/>
        </w:rPr>
        <w:t>‘</w:t>
      </w:r>
      <w:r w:rsidR="009F51F9" w:rsidRPr="001F74AA">
        <w:rPr>
          <w:rFonts w:cs="Arial"/>
          <w:b/>
          <w:sz w:val="22"/>
          <w:szCs w:val="22"/>
        </w:rPr>
        <w:t xml:space="preserve">Integrated </w:t>
      </w:r>
      <w:proofErr w:type="spellStart"/>
      <w:r w:rsidR="009F51F9" w:rsidRPr="001F74AA">
        <w:rPr>
          <w:rFonts w:cs="Arial"/>
          <w:b/>
          <w:sz w:val="22"/>
          <w:szCs w:val="22"/>
        </w:rPr>
        <w:t>TODs</w:t>
      </w:r>
      <w:r w:rsidR="009F51F9">
        <w:rPr>
          <w:rFonts w:cs="Arial"/>
          <w:b/>
          <w:sz w:val="22"/>
          <w:szCs w:val="22"/>
        </w:rPr>
        <w:t>’</w:t>
      </w:r>
      <w:proofErr w:type="spellEnd"/>
    </w:p>
    <w:p w14:paraId="363EAEF3" w14:textId="2BCCE24C" w:rsidR="00F141AC" w:rsidRPr="00F141AC" w:rsidRDefault="009F51F9" w:rsidP="00F141AC">
      <w:pPr>
        <w:pStyle w:val="Paragraph"/>
        <w:spacing w:before="0" w:line="240" w:lineRule="auto"/>
        <w:jc w:val="both"/>
        <w:rPr>
          <w:rFonts w:ascii="Arial" w:hAnsi="Arial" w:cs="Arial"/>
          <w:sz w:val="20"/>
          <w:szCs w:val="20"/>
        </w:rPr>
      </w:pPr>
      <w:r w:rsidRPr="001F74AA">
        <w:rPr>
          <w:rFonts w:ascii="Arial" w:hAnsi="Arial" w:cs="Arial"/>
          <w:sz w:val="20"/>
          <w:szCs w:val="20"/>
        </w:rPr>
        <w:t xml:space="preserve">The defining qualities of TODs have traditionally included planning and </w:t>
      </w:r>
      <w:r w:rsidR="00A306AE">
        <w:rPr>
          <w:rFonts w:ascii="Arial" w:hAnsi="Arial" w:cs="Arial"/>
          <w:sz w:val="20"/>
          <w:szCs w:val="20"/>
        </w:rPr>
        <w:t xml:space="preserve">environmental </w:t>
      </w:r>
      <w:r w:rsidRPr="001F74AA">
        <w:rPr>
          <w:rFonts w:ascii="Arial" w:hAnsi="Arial" w:cs="Arial"/>
          <w:sz w:val="20"/>
          <w:szCs w:val="20"/>
        </w:rPr>
        <w:t xml:space="preserve">outcomes such as compact, high-density, mixed use, </w:t>
      </w:r>
      <w:proofErr w:type="spellStart"/>
      <w:r w:rsidRPr="001F74AA">
        <w:rPr>
          <w:rFonts w:ascii="Arial" w:hAnsi="Arial" w:cs="Arial"/>
          <w:sz w:val="20"/>
          <w:szCs w:val="20"/>
        </w:rPr>
        <w:t>walkable</w:t>
      </w:r>
      <w:proofErr w:type="spellEnd"/>
      <w:r w:rsidRPr="001F74AA">
        <w:rPr>
          <w:rFonts w:ascii="Arial" w:hAnsi="Arial" w:cs="Arial"/>
          <w:sz w:val="20"/>
          <w:szCs w:val="20"/>
        </w:rPr>
        <w:t xml:space="preserve"> urban development in close proximity well-served transit </w:t>
      </w:r>
      <w:r w:rsidRPr="001F74AA">
        <w:rPr>
          <w:rFonts w:ascii="Arial" w:hAnsi="Arial" w:cs="Arial"/>
          <w:noProof/>
          <w:sz w:val="20"/>
          <w:szCs w:val="20"/>
        </w:rPr>
        <w:t>(Calthorpe, 1993; Cervero, 2005</w:t>
      </w:r>
      <w:r w:rsidR="00A306AE">
        <w:rPr>
          <w:rFonts w:ascii="Arial" w:hAnsi="Arial" w:cs="Arial"/>
          <w:noProof/>
          <w:sz w:val="20"/>
          <w:szCs w:val="20"/>
        </w:rPr>
        <w:t xml:space="preserve">; </w:t>
      </w:r>
      <w:r w:rsidRPr="001F74AA">
        <w:rPr>
          <w:rFonts w:ascii="Arial" w:hAnsi="Arial" w:cs="Arial"/>
          <w:noProof/>
          <w:sz w:val="20"/>
          <w:szCs w:val="20"/>
        </w:rPr>
        <w:t>FasTracks, 2006)</w:t>
      </w:r>
      <w:r w:rsidRPr="001F74AA">
        <w:rPr>
          <w:rFonts w:ascii="Arial" w:hAnsi="Arial" w:cs="Arial"/>
          <w:sz w:val="20"/>
          <w:szCs w:val="20"/>
        </w:rPr>
        <w:t xml:space="preserve">. While such attributes are critical to the success of TODs, they do not enhance the compound social benefits at the heart of TODs. This has been a challenge for many TODs across the world where the over-emphasis of environmental outcomes has preceded social justice objectives (Jones and Ley, 2016). </w:t>
      </w:r>
      <w:r w:rsidR="00F141AC">
        <w:rPr>
          <w:rFonts w:ascii="Arial" w:hAnsi="Arial" w:cs="Arial"/>
          <w:sz w:val="20"/>
        </w:rPr>
        <w:t>Moreover, while</w:t>
      </w:r>
      <w:r w:rsidR="00F141AC" w:rsidRPr="00CC0C2A">
        <w:rPr>
          <w:rFonts w:ascii="Arial" w:hAnsi="Arial" w:cs="Arial"/>
          <w:sz w:val="20"/>
        </w:rPr>
        <w:t xml:space="preserve"> barriers </w:t>
      </w:r>
      <w:r w:rsidR="00F141AC">
        <w:rPr>
          <w:rFonts w:ascii="Arial" w:hAnsi="Arial" w:cs="Arial"/>
          <w:sz w:val="20"/>
        </w:rPr>
        <w:t>to the</w:t>
      </w:r>
      <w:r w:rsidR="00F141AC" w:rsidRPr="00CC0C2A">
        <w:rPr>
          <w:rFonts w:ascii="Arial" w:hAnsi="Arial" w:cs="Arial"/>
          <w:sz w:val="20"/>
        </w:rPr>
        <w:t xml:space="preserve"> delivery</w:t>
      </w:r>
      <w:r w:rsidR="00F141AC">
        <w:rPr>
          <w:rFonts w:ascii="Arial" w:hAnsi="Arial" w:cs="Arial"/>
          <w:sz w:val="20"/>
        </w:rPr>
        <w:t xml:space="preserve"> and implementation</w:t>
      </w:r>
      <w:r w:rsidR="00F141AC" w:rsidRPr="00CC0C2A">
        <w:rPr>
          <w:rFonts w:ascii="Arial" w:hAnsi="Arial" w:cs="Arial"/>
          <w:sz w:val="20"/>
        </w:rPr>
        <w:t xml:space="preserve"> of TOD</w:t>
      </w:r>
      <w:r w:rsidR="00F141AC">
        <w:rPr>
          <w:rFonts w:ascii="Arial" w:hAnsi="Arial" w:cs="Arial"/>
          <w:sz w:val="20"/>
        </w:rPr>
        <w:t xml:space="preserve"> projects</w:t>
      </w:r>
      <w:r w:rsidR="00F141AC" w:rsidRPr="00CC0C2A">
        <w:rPr>
          <w:rFonts w:ascii="Arial" w:hAnsi="Arial" w:cs="Arial"/>
          <w:sz w:val="20"/>
        </w:rPr>
        <w:t xml:space="preserve"> </w:t>
      </w:r>
      <w:r w:rsidR="00F141AC">
        <w:rPr>
          <w:rFonts w:ascii="Arial" w:hAnsi="Arial" w:cs="Arial"/>
          <w:sz w:val="20"/>
        </w:rPr>
        <w:t>have extensively been discussed in scholarship</w:t>
      </w:r>
      <w:r w:rsidR="00F141AC" w:rsidRPr="00CC0C2A">
        <w:rPr>
          <w:rFonts w:ascii="Arial" w:hAnsi="Arial" w:cs="Arial"/>
          <w:sz w:val="20"/>
        </w:rPr>
        <w:t xml:space="preserve">, little attention has been paid to the barriers that exist in </w:t>
      </w:r>
      <w:r w:rsidR="00F141AC">
        <w:rPr>
          <w:rFonts w:ascii="Arial" w:hAnsi="Arial" w:cs="Arial"/>
          <w:sz w:val="20"/>
        </w:rPr>
        <w:t xml:space="preserve">TOD </w:t>
      </w:r>
      <w:r w:rsidR="00F141AC" w:rsidRPr="00CC0C2A">
        <w:rPr>
          <w:rFonts w:ascii="Arial" w:hAnsi="Arial" w:cs="Arial"/>
          <w:sz w:val="20"/>
        </w:rPr>
        <w:t xml:space="preserve">policy formulation. The context specific nature of the costs and benefits of TODs particularly </w:t>
      </w:r>
      <w:r w:rsidR="00F141AC" w:rsidRPr="00CC0C2A">
        <w:rPr>
          <w:rFonts w:ascii="Arial" w:hAnsi="Arial" w:cs="Arial"/>
          <w:sz w:val="20"/>
          <w:szCs w:val="20"/>
        </w:rPr>
        <w:t xml:space="preserve">need to be incorporated in planning </w:t>
      </w:r>
      <w:r w:rsidR="00F141AC">
        <w:rPr>
          <w:rFonts w:ascii="Arial" w:hAnsi="Arial" w:cs="Arial"/>
          <w:sz w:val="20"/>
          <w:szCs w:val="20"/>
        </w:rPr>
        <w:t xml:space="preserve">policies </w:t>
      </w:r>
      <w:r w:rsidR="00F141AC" w:rsidRPr="00CC0C2A">
        <w:rPr>
          <w:rFonts w:ascii="Arial" w:hAnsi="Arial" w:cs="Arial"/>
          <w:sz w:val="20"/>
          <w:szCs w:val="20"/>
        </w:rPr>
        <w:t>(Atkinson-</w:t>
      </w:r>
      <w:proofErr w:type="spellStart"/>
      <w:r w:rsidR="00F141AC" w:rsidRPr="00CC0C2A">
        <w:rPr>
          <w:rFonts w:ascii="Arial" w:hAnsi="Arial" w:cs="Arial"/>
          <w:sz w:val="20"/>
          <w:szCs w:val="20"/>
        </w:rPr>
        <w:t>Palombo</w:t>
      </w:r>
      <w:proofErr w:type="spellEnd"/>
      <w:r w:rsidR="00F141AC" w:rsidRPr="00CC0C2A">
        <w:rPr>
          <w:rFonts w:ascii="Arial" w:hAnsi="Arial" w:cs="Arial"/>
          <w:sz w:val="20"/>
          <w:szCs w:val="20"/>
        </w:rPr>
        <w:t xml:space="preserve"> and </w:t>
      </w:r>
      <w:proofErr w:type="spellStart"/>
      <w:r w:rsidR="00F141AC" w:rsidRPr="00CC0C2A">
        <w:rPr>
          <w:rFonts w:ascii="Arial" w:hAnsi="Arial" w:cs="Arial"/>
          <w:sz w:val="20"/>
          <w:szCs w:val="20"/>
        </w:rPr>
        <w:t>Kuby</w:t>
      </w:r>
      <w:proofErr w:type="spellEnd"/>
      <w:r w:rsidR="00F141AC">
        <w:rPr>
          <w:rFonts w:ascii="Arial" w:hAnsi="Arial" w:cs="Arial"/>
          <w:sz w:val="20"/>
          <w:szCs w:val="20"/>
        </w:rPr>
        <w:t>,</w:t>
      </w:r>
      <w:r w:rsidR="00F141AC" w:rsidRPr="00CC0C2A">
        <w:rPr>
          <w:rFonts w:ascii="Arial" w:hAnsi="Arial" w:cs="Arial"/>
          <w:sz w:val="20"/>
          <w:szCs w:val="20"/>
        </w:rPr>
        <w:t xml:space="preserve"> 2011). Such an approach needs to be underpinned by a common understanding of TOD across governance networks. </w:t>
      </w:r>
      <w:r w:rsidR="00F141AC" w:rsidRPr="00CC0C2A">
        <w:rPr>
          <w:rFonts w:ascii="Arial" w:hAnsi="Arial" w:cs="Arial"/>
          <w:sz w:val="20"/>
        </w:rPr>
        <w:t xml:space="preserve">At the moment there is a lack of a unified definition of TODs across different stakeholders and jurisdictions involved in planning and delivery of TODs </w:t>
      </w:r>
      <w:r w:rsidR="00F141AC">
        <w:rPr>
          <w:rFonts w:ascii="Arial" w:hAnsi="Arial" w:cs="Arial"/>
          <w:noProof/>
          <w:sz w:val="20"/>
        </w:rPr>
        <w:t>(Belzer and Autler, 2002; Dittmar and Poticha, 2004; Nasri and Zhang, 2014)</w:t>
      </w:r>
      <w:r w:rsidR="00F141AC" w:rsidRPr="00CC0C2A">
        <w:rPr>
          <w:rFonts w:ascii="Arial" w:hAnsi="Arial" w:cs="Arial"/>
          <w:sz w:val="20"/>
        </w:rPr>
        <w:t xml:space="preserve">. </w:t>
      </w:r>
    </w:p>
    <w:p w14:paraId="0B5A39B5" w14:textId="77777777" w:rsidR="009F51F9" w:rsidRPr="001F74AA" w:rsidRDefault="009F51F9" w:rsidP="009F51F9">
      <w:pPr>
        <w:pStyle w:val="Paragraph"/>
        <w:spacing w:before="0" w:line="240" w:lineRule="auto"/>
        <w:jc w:val="both"/>
        <w:rPr>
          <w:rFonts w:ascii="Arial" w:hAnsi="Arial" w:cs="Arial"/>
          <w:sz w:val="20"/>
          <w:szCs w:val="20"/>
        </w:rPr>
      </w:pPr>
    </w:p>
    <w:p w14:paraId="1F6491FA" w14:textId="2C8F4D3F" w:rsidR="009F51F9" w:rsidRPr="001F74AA" w:rsidRDefault="00F141AC" w:rsidP="009F51F9">
      <w:pPr>
        <w:pStyle w:val="Paragraph"/>
        <w:spacing w:before="0" w:line="240" w:lineRule="auto"/>
        <w:jc w:val="both"/>
        <w:rPr>
          <w:rFonts w:ascii="Arial" w:hAnsi="Arial" w:cs="Arial"/>
          <w:sz w:val="20"/>
          <w:szCs w:val="20"/>
        </w:rPr>
      </w:pPr>
      <w:r>
        <w:rPr>
          <w:rFonts w:ascii="Arial" w:hAnsi="Arial" w:cs="Arial"/>
          <w:sz w:val="20"/>
          <w:szCs w:val="20"/>
        </w:rPr>
        <w:t>To overcome the above</w:t>
      </w:r>
      <w:r w:rsidR="009F51F9" w:rsidRPr="001F74AA">
        <w:rPr>
          <w:rFonts w:ascii="Arial" w:hAnsi="Arial" w:cs="Arial"/>
          <w:sz w:val="20"/>
          <w:szCs w:val="20"/>
        </w:rPr>
        <w:t xml:space="preserve"> issue</w:t>
      </w:r>
      <w:r>
        <w:rPr>
          <w:rFonts w:ascii="Arial" w:hAnsi="Arial" w:cs="Arial"/>
          <w:sz w:val="20"/>
          <w:szCs w:val="20"/>
        </w:rPr>
        <w:t>s</w:t>
      </w:r>
      <w:r w:rsidR="009F51F9" w:rsidRPr="001F74AA">
        <w:rPr>
          <w:rFonts w:ascii="Arial" w:hAnsi="Arial" w:cs="Arial"/>
          <w:sz w:val="20"/>
          <w:szCs w:val="20"/>
        </w:rPr>
        <w:t xml:space="preserve"> we p</w:t>
      </w:r>
      <w:r w:rsidR="00475481">
        <w:rPr>
          <w:rFonts w:ascii="Arial" w:hAnsi="Arial" w:cs="Arial"/>
          <w:sz w:val="20"/>
          <w:szCs w:val="20"/>
        </w:rPr>
        <w:t>ropose the concept of ‘I</w:t>
      </w:r>
      <w:r w:rsidR="009F51F9" w:rsidRPr="001F74AA">
        <w:rPr>
          <w:rFonts w:ascii="Arial" w:hAnsi="Arial" w:cs="Arial"/>
          <w:sz w:val="20"/>
          <w:szCs w:val="20"/>
        </w:rPr>
        <w:t>ntegrated TOD</w:t>
      </w:r>
      <w:r w:rsidR="00475481">
        <w:rPr>
          <w:rFonts w:ascii="Arial" w:hAnsi="Arial" w:cs="Arial"/>
          <w:sz w:val="20"/>
          <w:szCs w:val="20"/>
        </w:rPr>
        <w:t>’</w:t>
      </w:r>
      <w:r w:rsidR="009F51F9" w:rsidRPr="001F74AA">
        <w:rPr>
          <w:rFonts w:ascii="Arial" w:hAnsi="Arial" w:cs="Arial"/>
          <w:sz w:val="20"/>
          <w:szCs w:val="20"/>
        </w:rPr>
        <w:t xml:space="preserve"> as a model of</w:t>
      </w:r>
      <w:r w:rsidR="00A306AE">
        <w:rPr>
          <w:rFonts w:ascii="Arial" w:hAnsi="Arial" w:cs="Arial"/>
          <w:sz w:val="20"/>
          <w:szCs w:val="20"/>
        </w:rPr>
        <w:t xml:space="preserve"> equitable, low-carbon</w:t>
      </w:r>
      <w:r w:rsidR="009F51F9" w:rsidRPr="001F74AA">
        <w:rPr>
          <w:rFonts w:ascii="Arial" w:hAnsi="Arial" w:cs="Arial"/>
          <w:sz w:val="20"/>
          <w:szCs w:val="20"/>
        </w:rPr>
        <w:t xml:space="preserve"> urban devel</w:t>
      </w:r>
      <w:r>
        <w:rPr>
          <w:rFonts w:ascii="Arial" w:hAnsi="Arial" w:cs="Arial"/>
          <w:sz w:val="20"/>
          <w:szCs w:val="20"/>
        </w:rPr>
        <w:t>opment. We define Integrated TODs as combining</w:t>
      </w:r>
      <w:r w:rsidR="009F51F9" w:rsidRPr="001F74AA">
        <w:rPr>
          <w:rFonts w:ascii="Arial" w:hAnsi="Arial" w:cs="Arial"/>
          <w:sz w:val="20"/>
          <w:szCs w:val="20"/>
        </w:rPr>
        <w:t xml:space="preserve"> </w:t>
      </w:r>
      <w:r>
        <w:rPr>
          <w:rFonts w:ascii="Arial" w:hAnsi="Arial" w:cs="Arial"/>
          <w:sz w:val="20"/>
          <w:szCs w:val="20"/>
        </w:rPr>
        <w:t xml:space="preserve">and balancing </w:t>
      </w:r>
      <w:r w:rsidR="009F51F9" w:rsidRPr="001F74AA">
        <w:rPr>
          <w:rFonts w:ascii="Arial" w:hAnsi="Arial" w:cs="Arial"/>
          <w:sz w:val="20"/>
          <w:szCs w:val="20"/>
        </w:rPr>
        <w:t xml:space="preserve">planning and design outcomes (e.g. density, land-use diversity, traffic congestion, etc.), environmental outcomes (e.g. sustainability, reducing emissions, etc.), and social outcomes (e.g. affordability, social housing, social justice, etc.).  </w:t>
      </w:r>
      <w:r>
        <w:rPr>
          <w:rFonts w:ascii="Arial" w:hAnsi="Arial" w:cs="Arial"/>
          <w:sz w:val="20"/>
          <w:szCs w:val="20"/>
        </w:rPr>
        <w:t xml:space="preserve">We propose </w:t>
      </w:r>
      <w:r w:rsidR="009F51F9" w:rsidRPr="001F74AA">
        <w:rPr>
          <w:rFonts w:ascii="Arial" w:hAnsi="Arial" w:cs="Arial"/>
          <w:sz w:val="20"/>
          <w:szCs w:val="20"/>
        </w:rPr>
        <w:t>Integrated TODs provide a nuanced policy approach with great potential in promoting healthier, low-carbon and social just cities. However, to be effective, it needs to be well formulated and supported in policy and understood by all stakeholders. Planning and environmental outcomes must be understood as equivalent rather than superior to social outcomes. Mo</w:t>
      </w:r>
      <w:r w:rsidR="00475481">
        <w:rPr>
          <w:rFonts w:ascii="Arial" w:hAnsi="Arial" w:cs="Arial"/>
          <w:sz w:val="20"/>
          <w:szCs w:val="20"/>
        </w:rPr>
        <w:t>reover, I</w:t>
      </w:r>
      <w:r w:rsidR="009F51F9" w:rsidRPr="001F74AA">
        <w:rPr>
          <w:rFonts w:ascii="Arial" w:hAnsi="Arial" w:cs="Arial"/>
          <w:sz w:val="20"/>
          <w:szCs w:val="20"/>
        </w:rPr>
        <w:t xml:space="preserve">ntegrated TOD policies need to </w:t>
      </w:r>
      <w:r>
        <w:rPr>
          <w:rFonts w:ascii="Arial" w:hAnsi="Arial" w:cs="Arial"/>
          <w:sz w:val="20"/>
          <w:szCs w:val="20"/>
        </w:rPr>
        <w:t xml:space="preserve">adhere to definitional nuance and </w:t>
      </w:r>
      <w:r w:rsidR="009F51F9" w:rsidRPr="001F74AA">
        <w:rPr>
          <w:rFonts w:ascii="Arial" w:hAnsi="Arial" w:cs="Arial"/>
          <w:sz w:val="20"/>
          <w:szCs w:val="20"/>
        </w:rPr>
        <w:t>be more prescriptive in outlining details and specific requirements at the local scale.</w:t>
      </w:r>
    </w:p>
    <w:p w14:paraId="1ACDB40B" w14:textId="77777777" w:rsidR="007F2F83" w:rsidRDefault="007F2F83" w:rsidP="000E7C6F"/>
    <w:p w14:paraId="6080D838" w14:textId="77777777" w:rsidR="007F2F83" w:rsidRDefault="007F2F83" w:rsidP="000E7C6F">
      <w:pPr>
        <w:rPr>
          <w:b/>
          <w:sz w:val="22"/>
        </w:rPr>
      </w:pPr>
      <w:r>
        <w:rPr>
          <w:b/>
          <w:sz w:val="22"/>
        </w:rPr>
        <w:t xml:space="preserve">Methods </w:t>
      </w:r>
    </w:p>
    <w:p w14:paraId="294450D9" w14:textId="56BD7A96" w:rsidR="007F2F83" w:rsidRDefault="007F2F83" w:rsidP="000E7C6F">
      <w:pPr>
        <w:jc w:val="both"/>
        <w:rPr>
          <w:rFonts w:eastAsiaTheme="minorHAnsi" w:cs="Arial"/>
          <w:szCs w:val="20"/>
          <w:lang w:val="en-AU"/>
        </w:rPr>
      </w:pPr>
      <w:r w:rsidRPr="00CC0C2A">
        <w:rPr>
          <w:rFonts w:cs="Arial"/>
          <w:szCs w:val="20"/>
        </w:rPr>
        <w:t xml:space="preserve">To evaluate </w:t>
      </w:r>
      <w:r w:rsidR="008F309C">
        <w:rPr>
          <w:rFonts w:cs="Arial"/>
          <w:szCs w:val="20"/>
        </w:rPr>
        <w:t>policy focus on I</w:t>
      </w:r>
      <w:r w:rsidRPr="00CC0C2A">
        <w:rPr>
          <w:rFonts w:cs="Arial"/>
          <w:szCs w:val="20"/>
        </w:rPr>
        <w:t xml:space="preserve">ntegrated TOD, we selected three </w:t>
      </w:r>
      <w:r w:rsidR="008F309C">
        <w:rPr>
          <w:rFonts w:cs="Arial"/>
          <w:szCs w:val="20"/>
        </w:rPr>
        <w:t>metropolitan areas with active TOD policies</w:t>
      </w:r>
      <w:r w:rsidRPr="00CC0C2A">
        <w:rPr>
          <w:rFonts w:cs="Arial"/>
          <w:szCs w:val="20"/>
        </w:rPr>
        <w:t>: Brisbane</w:t>
      </w:r>
      <w:r w:rsidR="008F309C">
        <w:rPr>
          <w:rFonts w:cs="Arial"/>
          <w:szCs w:val="20"/>
        </w:rPr>
        <w:t>, Melbourne</w:t>
      </w:r>
      <w:r w:rsidRPr="00CC0C2A">
        <w:rPr>
          <w:rFonts w:cs="Arial"/>
          <w:szCs w:val="20"/>
        </w:rPr>
        <w:t xml:space="preserve"> and Sydney. </w:t>
      </w:r>
      <w:r w:rsidR="008F309C">
        <w:rPr>
          <w:rFonts w:eastAsiaTheme="minorHAnsi" w:cs="Arial"/>
          <w:szCs w:val="20"/>
          <w:lang w:val="en-AU"/>
        </w:rPr>
        <w:t xml:space="preserve">Each has </w:t>
      </w:r>
      <w:r w:rsidRPr="00CC0C2A">
        <w:rPr>
          <w:rFonts w:eastAsiaTheme="minorHAnsi" w:cs="Arial"/>
          <w:szCs w:val="20"/>
          <w:lang w:val="en-AU"/>
        </w:rPr>
        <w:t>unique policy framework</w:t>
      </w:r>
      <w:r w:rsidR="008F309C">
        <w:rPr>
          <w:rFonts w:eastAsiaTheme="minorHAnsi" w:cs="Arial"/>
          <w:szCs w:val="20"/>
          <w:lang w:val="en-AU"/>
        </w:rPr>
        <w:t>s</w:t>
      </w:r>
      <w:r w:rsidRPr="00CC0C2A">
        <w:rPr>
          <w:rFonts w:eastAsiaTheme="minorHAnsi" w:cs="Arial"/>
          <w:szCs w:val="20"/>
          <w:lang w:val="en-AU"/>
        </w:rPr>
        <w:t xml:space="preserve"> </w:t>
      </w:r>
      <w:r w:rsidR="008F309C">
        <w:rPr>
          <w:rFonts w:eastAsiaTheme="minorHAnsi" w:cs="Arial"/>
          <w:szCs w:val="20"/>
          <w:lang w:val="en-AU"/>
        </w:rPr>
        <w:t xml:space="preserve">for </w:t>
      </w:r>
      <w:r w:rsidRPr="00CC0C2A">
        <w:rPr>
          <w:rFonts w:eastAsiaTheme="minorHAnsi" w:cs="Arial"/>
          <w:szCs w:val="20"/>
          <w:lang w:val="en-AU"/>
        </w:rPr>
        <w:t xml:space="preserve">TOD </w:t>
      </w:r>
      <w:r w:rsidR="008F309C">
        <w:rPr>
          <w:rFonts w:eastAsiaTheme="minorHAnsi" w:cs="Arial"/>
          <w:szCs w:val="20"/>
          <w:lang w:val="en-AU"/>
        </w:rPr>
        <w:t>provision</w:t>
      </w:r>
      <w:r w:rsidRPr="00CC0C2A">
        <w:rPr>
          <w:rFonts w:eastAsiaTheme="minorHAnsi" w:cs="Arial"/>
          <w:szCs w:val="20"/>
          <w:lang w:val="en-AU"/>
        </w:rPr>
        <w:t xml:space="preserve">. </w:t>
      </w:r>
      <w:r w:rsidR="008F309C">
        <w:rPr>
          <w:rFonts w:eastAsiaTheme="minorHAnsi" w:cs="Arial"/>
          <w:szCs w:val="20"/>
          <w:lang w:val="en-AU"/>
        </w:rPr>
        <w:t>We employed an</w:t>
      </w:r>
      <w:r w:rsidRPr="00CC0C2A">
        <w:rPr>
          <w:rFonts w:eastAsiaTheme="minorHAnsi" w:cs="Arial"/>
          <w:szCs w:val="20"/>
          <w:lang w:val="en-AU"/>
        </w:rPr>
        <w:t xml:space="preserve"> exploratory approach </w:t>
      </w:r>
      <w:r w:rsidR="008F309C">
        <w:rPr>
          <w:rFonts w:eastAsiaTheme="minorHAnsi" w:cs="Arial"/>
          <w:szCs w:val="20"/>
          <w:lang w:val="en-AU"/>
        </w:rPr>
        <w:t xml:space="preserve">based on </w:t>
      </w:r>
      <w:r w:rsidR="008F309C" w:rsidRPr="00CC0C2A">
        <w:rPr>
          <w:rFonts w:cs="Arial"/>
          <w:szCs w:val="20"/>
        </w:rPr>
        <w:t>policy content analysis</w:t>
      </w:r>
      <w:r w:rsidR="008F309C" w:rsidRPr="008F309C">
        <w:rPr>
          <w:rFonts w:cs="Arial"/>
          <w:szCs w:val="20"/>
        </w:rPr>
        <w:t xml:space="preserve"> </w:t>
      </w:r>
      <w:r w:rsidR="008F309C">
        <w:rPr>
          <w:rFonts w:cs="Arial"/>
          <w:szCs w:val="20"/>
        </w:rPr>
        <w:t>to measure</w:t>
      </w:r>
      <w:r w:rsidR="008F309C" w:rsidRPr="00CC0C2A">
        <w:rPr>
          <w:rFonts w:cs="Arial"/>
          <w:szCs w:val="20"/>
        </w:rPr>
        <w:t xml:space="preserve"> different attributes of plans </w:t>
      </w:r>
      <w:r w:rsidR="008F309C">
        <w:rPr>
          <w:rFonts w:cs="Arial"/>
          <w:szCs w:val="20"/>
        </w:rPr>
        <w:t xml:space="preserve">and evaluate </w:t>
      </w:r>
      <w:r w:rsidR="008F309C" w:rsidRPr="00CC0C2A">
        <w:rPr>
          <w:rFonts w:cs="Arial"/>
          <w:szCs w:val="20"/>
        </w:rPr>
        <w:t>vertical and horizontal coordination between multiple documents</w:t>
      </w:r>
      <w:r w:rsidR="001812DF">
        <w:rPr>
          <w:rFonts w:cs="Arial"/>
          <w:szCs w:val="20"/>
        </w:rPr>
        <w:t xml:space="preserve"> from 2007-2017</w:t>
      </w:r>
      <w:r w:rsidR="008F309C" w:rsidRPr="00CC0C2A">
        <w:rPr>
          <w:rFonts w:cs="Arial"/>
          <w:szCs w:val="20"/>
        </w:rPr>
        <w:t xml:space="preserve"> </w:t>
      </w:r>
      <w:r w:rsidR="008F309C">
        <w:rPr>
          <w:rFonts w:cs="Arial"/>
          <w:noProof/>
          <w:szCs w:val="20"/>
        </w:rPr>
        <w:t>(Norton, 2008; Tang et al., 2011; Young, 2002)</w:t>
      </w:r>
      <w:r w:rsidR="008F309C" w:rsidRPr="00CC0C2A">
        <w:rPr>
          <w:rFonts w:cs="Arial"/>
          <w:szCs w:val="20"/>
        </w:rPr>
        <w:t>.</w:t>
      </w:r>
      <w:r w:rsidR="008F309C">
        <w:rPr>
          <w:rFonts w:eastAsiaTheme="minorHAnsi" w:cs="Arial"/>
          <w:szCs w:val="20"/>
          <w:lang w:val="en-AU"/>
        </w:rPr>
        <w:t xml:space="preserve"> We identified the</w:t>
      </w:r>
      <w:r w:rsidRPr="00CC0C2A">
        <w:rPr>
          <w:rFonts w:eastAsiaTheme="minorHAnsi" w:cs="Arial"/>
          <w:szCs w:val="20"/>
          <w:lang w:val="en-AU"/>
        </w:rPr>
        <w:t xml:space="preserve"> key land-use,</w:t>
      </w:r>
      <w:r w:rsidR="00AC5229">
        <w:rPr>
          <w:rFonts w:eastAsiaTheme="minorHAnsi" w:cs="Arial"/>
          <w:szCs w:val="20"/>
          <w:lang w:val="en-AU"/>
        </w:rPr>
        <w:t xml:space="preserve"> infrastructure</w:t>
      </w:r>
      <w:r w:rsidRPr="00CC0C2A">
        <w:rPr>
          <w:rFonts w:eastAsiaTheme="minorHAnsi" w:cs="Arial"/>
          <w:szCs w:val="20"/>
          <w:lang w:val="en-AU"/>
        </w:rPr>
        <w:t xml:space="preserve"> and climate change-related policies and p</w:t>
      </w:r>
      <w:r w:rsidR="00AC5229">
        <w:rPr>
          <w:rFonts w:eastAsiaTheme="minorHAnsi" w:cs="Arial"/>
          <w:szCs w:val="20"/>
          <w:lang w:val="en-AU"/>
        </w:rPr>
        <w:t>lans at the state, metropolitan</w:t>
      </w:r>
      <w:r w:rsidRPr="00CC0C2A">
        <w:rPr>
          <w:rFonts w:eastAsiaTheme="minorHAnsi" w:cs="Arial"/>
          <w:szCs w:val="20"/>
          <w:lang w:val="en-AU"/>
        </w:rPr>
        <w:t xml:space="preserve"> and city level in each case study area. </w:t>
      </w:r>
      <w:r>
        <w:rPr>
          <w:rFonts w:eastAsiaTheme="minorHAnsi" w:cs="Arial"/>
          <w:szCs w:val="20"/>
          <w:lang w:val="en-AU"/>
        </w:rPr>
        <w:t>The aim was to evaluate the vertical consistency of the plans (in terms of a shared focus</w:t>
      </w:r>
      <w:r w:rsidR="00EA3612">
        <w:rPr>
          <w:rFonts w:eastAsiaTheme="minorHAnsi" w:cs="Arial"/>
          <w:szCs w:val="20"/>
          <w:lang w:val="en-AU"/>
        </w:rPr>
        <w:t xml:space="preserve"> and support</w:t>
      </w:r>
      <w:r>
        <w:rPr>
          <w:rFonts w:eastAsiaTheme="minorHAnsi" w:cs="Arial"/>
          <w:szCs w:val="20"/>
          <w:lang w:val="en-AU"/>
        </w:rPr>
        <w:t xml:space="preserve"> </w:t>
      </w:r>
      <w:r w:rsidR="00EA3612">
        <w:rPr>
          <w:rFonts w:eastAsiaTheme="minorHAnsi" w:cs="Arial"/>
          <w:szCs w:val="20"/>
          <w:lang w:val="en-AU"/>
        </w:rPr>
        <w:t>for</w:t>
      </w:r>
      <w:r>
        <w:rPr>
          <w:rFonts w:eastAsiaTheme="minorHAnsi" w:cs="Arial"/>
          <w:szCs w:val="20"/>
          <w:lang w:val="en-AU"/>
        </w:rPr>
        <w:t xml:space="preserve"> TODs at different levels) and their horizontal consistency (in terms of support for TOD at each level by different types of documents and the level of coordination between policies). </w:t>
      </w:r>
      <w:r w:rsidRPr="00CC0C2A">
        <w:rPr>
          <w:rFonts w:eastAsiaTheme="minorHAnsi" w:cs="Arial"/>
          <w:szCs w:val="20"/>
          <w:lang w:val="en-AU"/>
        </w:rPr>
        <w:t>We focus</w:t>
      </w:r>
      <w:r w:rsidR="008F309C">
        <w:rPr>
          <w:rFonts w:eastAsiaTheme="minorHAnsi" w:cs="Arial"/>
          <w:szCs w:val="20"/>
          <w:lang w:val="en-AU"/>
        </w:rPr>
        <w:t>ed</w:t>
      </w:r>
      <w:r w:rsidRPr="00CC0C2A">
        <w:rPr>
          <w:rFonts w:eastAsiaTheme="minorHAnsi" w:cs="Arial"/>
          <w:szCs w:val="20"/>
          <w:lang w:val="en-AU"/>
        </w:rPr>
        <w:t xml:space="preserve"> policies introduced in the last decade (2007-2017). </w:t>
      </w:r>
      <w:r>
        <w:rPr>
          <w:rFonts w:eastAsiaTheme="minorHAnsi" w:cs="Arial"/>
          <w:szCs w:val="20"/>
          <w:lang w:val="en-AU"/>
        </w:rPr>
        <w:t>We first searched the documents for specific mention of “transit oriented development” or “transport oriented development” and then expanded our analysis to include any notions of TOD principles</w:t>
      </w:r>
      <w:r w:rsidR="008F309C">
        <w:rPr>
          <w:rFonts w:eastAsiaTheme="minorHAnsi" w:cs="Arial"/>
          <w:szCs w:val="20"/>
          <w:lang w:val="en-AU"/>
        </w:rPr>
        <w:t>,</w:t>
      </w:r>
      <w:r>
        <w:rPr>
          <w:rFonts w:eastAsiaTheme="minorHAnsi" w:cs="Arial"/>
          <w:szCs w:val="20"/>
          <w:lang w:val="en-AU"/>
        </w:rPr>
        <w:t xml:space="preserve"> e.g. integr</w:t>
      </w:r>
      <w:r w:rsidR="008F309C">
        <w:rPr>
          <w:rFonts w:eastAsiaTheme="minorHAnsi" w:cs="Arial"/>
          <w:szCs w:val="20"/>
          <w:lang w:val="en-AU"/>
        </w:rPr>
        <w:t>ation of land use and transport</w:t>
      </w:r>
      <w:r>
        <w:rPr>
          <w:rFonts w:eastAsiaTheme="minorHAnsi" w:cs="Arial"/>
          <w:szCs w:val="20"/>
          <w:lang w:val="en-AU"/>
        </w:rPr>
        <w:t xml:space="preserve">. </w:t>
      </w:r>
      <w:r w:rsidRPr="00CC0C2A">
        <w:rPr>
          <w:rFonts w:eastAsiaTheme="minorHAnsi" w:cs="Arial"/>
          <w:szCs w:val="20"/>
          <w:lang w:val="en-AU"/>
        </w:rPr>
        <w:t xml:space="preserve">We systematically categorised </w:t>
      </w:r>
      <w:r>
        <w:rPr>
          <w:rFonts w:eastAsiaTheme="minorHAnsi" w:cs="Arial"/>
          <w:szCs w:val="20"/>
          <w:lang w:val="en-AU"/>
        </w:rPr>
        <w:t xml:space="preserve">the </w:t>
      </w:r>
      <w:r w:rsidRPr="00CC0C2A">
        <w:rPr>
          <w:rFonts w:eastAsiaTheme="minorHAnsi" w:cs="Arial"/>
          <w:szCs w:val="20"/>
          <w:lang w:val="en-AU"/>
        </w:rPr>
        <w:t>policy expressions regarding Integrated TOD and evaluated their focus on planning and design outcomes, environmental outcomes, and social outcomes. Each document</w:t>
      </w:r>
      <w:r w:rsidR="00AC5229">
        <w:rPr>
          <w:rFonts w:eastAsiaTheme="minorHAnsi" w:cs="Arial"/>
          <w:szCs w:val="20"/>
          <w:lang w:val="en-AU"/>
        </w:rPr>
        <w:t xml:space="preserve"> was then evaluated against an I</w:t>
      </w:r>
      <w:r w:rsidRPr="00CC0C2A">
        <w:rPr>
          <w:rFonts w:eastAsiaTheme="minorHAnsi" w:cs="Arial"/>
          <w:szCs w:val="20"/>
          <w:lang w:val="en-AU"/>
        </w:rPr>
        <w:t>ntegrated TOD policy protocol</w:t>
      </w:r>
      <w:r>
        <w:rPr>
          <w:rFonts w:eastAsiaTheme="minorHAnsi" w:cs="Arial"/>
          <w:szCs w:val="20"/>
          <w:lang w:val="en-AU"/>
        </w:rPr>
        <w:t xml:space="preserve"> consisting of the scores</w:t>
      </w:r>
      <w:r w:rsidRPr="00CC0C2A">
        <w:rPr>
          <w:rFonts w:eastAsiaTheme="minorHAnsi" w:cs="Arial"/>
          <w:szCs w:val="20"/>
          <w:lang w:val="en-AU"/>
        </w:rPr>
        <w:t xml:space="preserve">: </w:t>
      </w:r>
      <w:r w:rsidR="00EA3612">
        <w:rPr>
          <w:rFonts w:eastAsiaTheme="minorHAnsi" w:cs="Arial"/>
          <w:szCs w:val="20"/>
          <w:lang w:val="en-AU"/>
        </w:rPr>
        <w:t>0</w:t>
      </w:r>
      <w:r>
        <w:rPr>
          <w:rFonts w:eastAsiaTheme="minorHAnsi" w:cs="Arial"/>
          <w:szCs w:val="20"/>
          <w:lang w:val="en-AU"/>
        </w:rPr>
        <w:t xml:space="preserve"> (</w:t>
      </w:r>
      <w:r w:rsidRPr="00CC0C2A">
        <w:rPr>
          <w:rFonts w:eastAsiaTheme="minorHAnsi" w:cs="Arial"/>
          <w:szCs w:val="20"/>
          <w:lang w:val="en-AU"/>
        </w:rPr>
        <w:t>no mention of TOD or land-use</w:t>
      </w:r>
      <w:r w:rsidR="00EA3612">
        <w:rPr>
          <w:rFonts w:eastAsiaTheme="minorHAnsi" w:cs="Arial"/>
          <w:szCs w:val="20"/>
          <w:lang w:val="en-AU"/>
        </w:rPr>
        <w:t>/transport integration)</w:t>
      </w:r>
      <w:r w:rsidR="008F309C">
        <w:rPr>
          <w:rFonts w:eastAsiaTheme="minorHAnsi" w:cs="Arial"/>
          <w:szCs w:val="20"/>
          <w:lang w:val="en-AU"/>
        </w:rPr>
        <w:t>;</w:t>
      </w:r>
      <w:r w:rsidRPr="00CC0C2A">
        <w:rPr>
          <w:rFonts w:eastAsiaTheme="minorHAnsi" w:cs="Arial"/>
          <w:szCs w:val="20"/>
          <w:lang w:val="en-AU"/>
        </w:rPr>
        <w:t xml:space="preserve"> </w:t>
      </w:r>
      <w:r w:rsidR="00EA3612">
        <w:rPr>
          <w:rFonts w:eastAsiaTheme="minorHAnsi" w:cs="Arial"/>
          <w:szCs w:val="20"/>
          <w:lang w:val="en-AU"/>
        </w:rPr>
        <w:t>1 (</w:t>
      </w:r>
      <w:r w:rsidRPr="00CC0C2A">
        <w:rPr>
          <w:rFonts w:eastAsiaTheme="minorHAnsi" w:cs="Arial"/>
          <w:szCs w:val="20"/>
          <w:lang w:val="en-AU"/>
        </w:rPr>
        <w:t>focus on land use/transport integration</w:t>
      </w:r>
      <w:r>
        <w:rPr>
          <w:rFonts w:eastAsiaTheme="minorHAnsi" w:cs="Arial"/>
          <w:szCs w:val="20"/>
          <w:lang w:val="en-AU"/>
        </w:rPr>
        <w:t xml:space="preserve"> without promoting TOD)</w:t>
      </w:r>
      <w:r w:rsidR="008F309C">
        <w:rPr>
          <w:rFonts w:eastAsiaTheme="minorHAnsi" w:cs="Arial"/>
          <w:szCs w:val="20"/>
          <w:lang w:val="en-AU"/>
        </w:rPr>
        <w:t>;</w:t>
      </w:r>
      <w:r w:rsidRPr="00CC0C2A">
        <w:rPr>
          <w:rFonts w:eastAsiaTheme="minorHAnsi" w:cs="Arial"/>
          <w:szCs w:val="20"/>
          <w:lang w:val="en-AU"/>
        </w:rPr>
        <w:t xml:space="preserve"> </w:t>
      </w:r>
      <w:r>
        <w:rPr>
          <w:rFonts w:eastAsiaTheme="minorHAnsi" w:cs="Arial"/>
          <w:szCs w:val="20"/>
          <w:lang w:val="en-AU"/>
        </w:rPr>
        <w:t>2 (</w:t>
      </w:r>
      <w:r w:rsidRPr="00CC0C2A">
        <w:rPr>
          <w:rFonts w:eastAsiaTheme="minorHAnsi" w:cs="Arial"/>
          <w:szCs w:val="20"/>
          <w:lang w:val="en-AU"/>
        </w:rPr>
        <w:t xml:space="preserve">promoting only planning </w:t>
      </w:r>
      <w:r>
        <w:rPr>
          <w:rFonts w:eastAsiaTheme="minorHAnsi" w:cs="Arial"/>
          <w:szCs w:val="20"/>
          <w:lang w:val="en-AU"/>
        </w:rPr>
        <w:t xml:space="preserve">and design </w:t>
      </w:r>
      <w:r w:rsidRPr="00CC0C2A">
        <w:rPr>
          <w:rFonts w:eastAsiaTheme="minorHAnsi" w:cs="Arial"/>
          <w:szCs w:val="20"/>
          <w:lang w:val="en-AU"/>
        </w:rPr>
        <w:t>outcomes of TOD</w:t>
      </w:r>
      <w:r>
        <w:rPr>
          <w:rFonts w:eastAsiaTheme="minorHAnsi" w:cs="Arial"/>
          <w:szCs w:val="20"/>
          <w:lang w:val="en-AU"/>
        </w:rPr>
        <w:t>)</w:t>
      </w:r>
      <w:r w:rsidR="008F309C">
        <w:rPr>
          <w:rFonts w:eastAsiaTheme="minorHAnsi" w:cs="Arial"/>
          <w:szCs w:val="20"/>
          <w:lang w:val="en-AU"/>
        </w:rPr>
        <w:t>;</w:t>
      </w:r>
      <w:r w:rsidRPr="00CC0C2A">
        <w:rPr>
          <w:rFonts w:eastAsiaTheme="minorHAnsi" w:cs="Arial"/>
          <w:szCs w:val="20"/>
          <w:lang w:val="en-AU"/>
        </w:rPr>
        <w:t xml:space="preserve"> </w:t>
      </w:r>
      <w:r>
        <w:rPr>
          <w:rFonts w:eastAsiaTheme="minorHAnsi" w:cs="Arial"/>
          <w:szCs w:val="20"/>
          <w:lang w:val="en-AU"/>
        </w:rPr>
        <w:t>3 (</w:t>
      </w:r>
      <w:r w:rsidRPr="00CC0C2A">
        <w:rPr>
          <w:rFonts w:eastAsiaTheme="minorHAnsi" w:cs="Arial"/>
          <w:szCs w:val="20"/>
          <w:lang w:val="en-AU"/>
        </w:rPr>
        <w:t xml:space="preserve">promoting planning outcomes as well as environmental or </w:t>
      </w:r>
      <w:r>
        <w:rPr>
          <w:rFonts w:eastAsiaTheme="minorHAnsi" w:cs="Arial"/>
          <w:szCs w:val="20"/>
          <w:lang w:val="en-AU"/>
        </w:rPr>
        <w:t>social outcomes of TOD)</w:t>
      </w:r>
      <w:r w:rsidR="008F309C">
        <w:rPr>
          <w:rFonts w:eastAsiaTheme="minorHAnsi" w:cs="Arial"/>
          <w:szCs w:val="20"/>
          <w:lang w:val="en-AU"/>
        </w:rPr>
        <w:t>;</w:t>
      </w:r>
      <w:r w:rsidRPr="00CC0C2A">
        <w:rPr>
          <w:rFonts w:eastAsiaTheme="minorHAnsi" w:cs="Arial"/>
          <w:szCs w:val="20"/>
          <w:lang w:val="en-AU"/>
        </w:rPr>
        <w:t xml:space="preserve"> </w:t>
      </w:r>
      <w:r>
        <w:rPr>
          <w:rFonts w:eastAsiaTheme="minorHAnsi" w:cs="Arial"/>
          <w:szCs w:val="20"/>
          <w:lang w:val="en-AU"/>
        </w:rPr>
        <w:t>4 (</w:t>
      </w:r>
      <w:r w:rsidRPr="00CC0C2A">
        <w:rPr>
          <w:rFonts w:eastAsiaTheme="minorHAnsi" w:cs="Arial"/>
          <w:szCs w:val="20"/>
          <w:lang w:val="en-AU"/>
        </w:rPr>
        <w:t>promoting all three out</w:t>
      </w:r>
      <w:r>
        <w:rPr>
          <w:rFonts w:eastAsiaTheme="minorHAnsi" w:cs="Arial"/>
          <w:szCs w:val="20"/>
          <w:lang w:val="en-AU"/>
        </w:rPr>
        <w:t>comes of integrated TOD</w:t>
      </w:r>
      <w:r w:rsidRPr="00CC0C2A">
        <w:rPr>
          <w:rFonts w:eastAsiaTheme="minorHAnsi" w:cs="Arial"/>
          <w:szCs w:val="20"/>
          <w:lang w:val="en-AU"/>
        </w:rPr>
        <w:t xml:space="preserve">). As the total number of policies reviewed </w:t>
      </w:r>
      <w:r>
        <w:rPr>
          <w:rFonts w:eastAsiaTheme="minorHAnsi" w:cs="Arial"/>
          <w:szCs w:val="20"/>
          <w:lang w:val="en-AU"/>
        </w:rPr>
        <w:t xml:space="preserve">for each case </w:t>
      </w:r>
      <w:r w:rsidRPr="00CC0C2A">
        <w:rPr>
          <w:rFonts w:eastAsiaTheme="minorHAnsi" w:cs="Arial"/>
          <w:szCs w:val="20"/>
          <w:lang w:val="en-AU"/>
        </w:rPr>
        <w:t xml:space="preserve">was not </w:t>
      </w:r>
      <w:r>
        <w:rPr>
          <w:rFonts w:eastAsiaTheme="minorHAnsi" w:cs="Arial"/>
          <w:szCs w:val="20"/>
          <w:lang w:val="en-AU"/>
        </w:rPr>
        <w:t>equal</w:t>
      </w:r>
      <w:r w:rsidRPr="00CC0C2A">
        <w:rPr>
          <w:rFonts w:eastAsiaTheme="minorHAnsi" w:cs="Arial"/>
          <w:szCs w:val="20"/>
          <w:lang w:val="en-AU"/>
        </w:rPr>
        <w:t xml:space="preserve">, we calculated the collective performance of policies and presented the results in percentage, based on a possible maximum total score.   </w:t>
      </w:r>
    </w:p>
    <w:p w14:paraId="424ABAC0" w14:textId="77777777" w:rsidR="008413EC" w:rsidRDefault="008413EC" w:rsidP="000E7C6F"/>
    <w:p w14:paraId="378987A0" w14:textId="4D4F47EA" w:rsidR="007F2F83" w:rsidRDefault="007F2F83" w:rsidP="000E7C6F">
      <w:pPr>
        <w:rPr>
          <w:b/>
          <w:sz w:val="22"/>
        </w:rPr>
      </w:pPr>
      <w:r w:rsidRPr="00C64F20">
        <w:rPr>
          <w:b/>
          <w:sz w:val="22"/>
        </w:rPr>
        <w:t xml:space="preserve">Transit-Oriented Development </w:t>
      </w:r>
      <w:r w:rsidR="002B30CF">
        <w:rPr>
          <w:b/>
          <w:sz w:val="22"/>
        </w:rPr>
        <w:t>policies</w:t>
      </w:r>
      <w:r w:rsidR="002B30CF" w:rsidRPr="00C64F20">
        <w:rPr>
          <w:b/>
          <w:sz w:val="22"/>
        </w:rPr>
        <w:t xml:space="preserve"> </w:t>
      </w:r>
      <w:r w:rsidRPr="00C64F20">
        <w:rPr>
          <w:b/>
          <w:sz w:val="22"/>
        </w:rPr>
        <w:t xml:space="preserve">in </w:t>
      </w:r>
      <w:r>
        <w:rPr>
          <w:b/>
          <w:sz w:val="22"/>
        </w:rPr>
        <w:t xml:space="preserve">Brisbane, Melbourne </w:t>
      </w:r>
      <w:r w:rsidR="002B30CF">
        <w:rPr>
          <w:b/>
          <w:sz w:val="22"/>
        </w:rPr>
        <w:t>and Sydney</w:t>
      </w:r>
    </w:p>
    <w:p w14:paraId="3224D034" w14:textId="77777777" w:rsidR="007F2F83" w:rsidRDefault="007F2F83" w:rsidP="000E7C6F">
      <w:pPr>
        <w:rPr>
          <w:b/>
          <w:sz w:val="22"/>
        </w:rPr>
      </w:pPr>
    </w:p>
    <w:p w14:paraId="2226E9FF" w14:textId="77777777" w:rsidR="005828BE" w:rsidRPr="005828BE" w:rsidRDefault="005828BE" w:rsidP="00A949B8">
      <w:pPr>
        <w:pStyle w:val="Body"/>
        <w:spacing w:after="0" w:line="240" w:lineRule="auto"/>
        <w:jc w:val="both"/>
        <w:rPr>
          <w:rFonts w:ascii="Arial" w:hAnsi="Arial" w:cs="Arial"/>
          <w:sz w:val="20"/>
          <w:szCs w:val="20"/>
        </w:rPr>
      </w:pPr>
      <w:r w:rsidRPr="005828BE">
        <w:rPr>
          <w:rFonts w:ascii="Arial" w:hAnsi="Arial" w:cs="Arial"/>
          <w:sz w:val="20"/>
          <w:szCs w:val="20"/>
        </w:rPr>
        <w:t xml:space="preserve">Brisbane is Australia’s third largest city. It is the capital city of Queensland and is located in the South East Queensland (SEQ) metro-region. </w:t>
      </w:r>
      <w:r w:rsidRPr="00CE0702">
        <w:rPr>
          <w:rFonts w:ascii="Arial" w:hAnsi="Arial" w:cs="Arial"/>
          <w:sz w:val="20"/>
          <w:szCs w:val="20"/>
        </w:rPr>
        <w:t>The population of Brisbane is 1,184,200, accounting for around one third of the total population of 3,462,000 i</w:t>
      </w:r>
      <w:r w:rsidRPr="005828BE">
        <w:rPr>
          <w:rFonts w:ascii="Arial" w:hAnsi="Arial" w:cs="Arial"/>
          <w:sz w:val="20"/>
          <w:szCs w:val="20"/>
        </w:rPr>
        <w:t xml:space="preserve">n SEQ (DILGP, 2017, p. 34). The </w:t>
      </w:r>
      <w:r w:rsidRPr="005828BE">
        <w:rPr>
          <w:rFonts w:ascii="Arial" w:hAnsi="Arial" w:cs="Arial"/>
          <w:i/>
          <w:iCs/>
          <w:sz w:val="20"/>
          <w:szCs w:val="20"/>
        </w:rPr>
        <w:t xml:space="preserve">Brisbane City Plan 2014 </w:t>
      </w:r>
      <w:r w:rsidRPr="005828BE">
        <w:rPr>
          <w:rFonts w:ascii="Arial" w:hAnsi="Arial" w:cs="Arial"/>
          <w:sz w:val="20"/>
          <w:szCs w:val="20"/>
        </w:rPr>
        <w:t>is the preeminent planning document in Brisbane. It seeks to advance state and regional planning policies and regulates local planning. The</w:t>
      </w:r>
      <w:r w:rsidRPr="005828BE">
        <w:rPr>
          <w:rFonts w:ascii="Arial" w:hAnsi="Arial" w:cs="Arial"/>
          <w:i/>
          <w:iCs/>
          <w:sz w:val="20"/>
          <w:szCs w:val="20"/>
        </w:rPr>
        <w:t xml:space="preserve"> Brisbane City Plan 2014</w:t>
      </w:r>
      <w:r w:rsidRPr="005828BE">
        <w:rPr>
          <w:rFonts w:ascii="Arial" w:hAnsi="Arial" w:cs="Arial"/>
          <w:sz w:val="20"/>
          <w:szCs w:val="20"/>
        </w:rPr>
        <w:t xml:space="preserve"> incorporates provisions set down at the regional scale by the statutory </w:t>
      </w:r>
      <w:r w:rsidRPr="005828BE">
        <w:rPr>
          <w:rFonts w:ascii="Arial" w:hAnsi="Arial" w:cs="Arial"/>
          <w:i/>
          <w:iCs/>
          <w:sz w:val="20"/>
          <w:szCs w:val="20"/>
        </w:rPr>
        <w:t>South East Queensland Regional Plan 2009-2031</w:t>
      </w:r>
      <w:r w:rsidRPr="005828BE">
        <w:rPr>
          <w:rFonts w:ascii="Arial" w:hAnsi="Arial" w:cs="Arial"/>
          <w:iCs/>
          <w:sz w:val="20"/>
          <w:szCs w:val="20"/>
        </w:rPr>
        <w:t xml:space="preserve"> (now superseded by the </w:t>
      </w:r>
      <w:r w:rsidRPr="005828BE">
        <w:rPr>
          <w:rFonts w:ascii="Arial" w:hAnsi="Arial" w:cs="Arial"/>
          <w:i/>
          <w:iCs/>
          <w:sz w:val="20"/>
          <w:szCs w:val="20"/>
        </w:rPr>
        <w:t>South East Queensland Regional Plan 2017</w:t>
      </w:r>
      <w:r w:rsidRPr="005828BE">
        <w:rPr>
          <w:rFonts w:ascii="Arial" w:hAnsi="Arial" w:cs="Arial"/>
          <w:iCs/>
          <w:sz w:val="20"/>
          <w:szCs w:val="20"/>
        </w:rPr>
        <w:t>)</w:t>
      </w:r>
      <w:r w:rsidRPr="005828BE">
        <w:rPr>
          <w:rFonts w:ascii="Arial" w:hAnsi="Arial" w:cs="Arial"/>
          <w:sz w:val="20"/>
          <w:szCs w:val="20"/>
        </w:rPr>
        <w:t xml:space="preserve">. Brisbane is the only capital city in </w:t>
      </w:r>
      <w:r w:rsidRPr="005828BE">
        <w:rPr>
          <w:rFonts w:ascii="Arial" w:hAnsi="Arial" w:cs="Arial"/>
          <w:sz w:val="20"/>
          <w:szCs w:val="20"/>
        </w:rPr>
        <w:lastRenderedPageBreak/>
        <w:t xml:space="preserve">Australia governed by a single local government. The city follows a decentralized, low-density urban form and does not share the tradition of higher density living seen in Sydney and Melbourne </w:t>
      </w:r>
      <w:r w:rsidRPr="00A949B8">
        <w:rPr>
          <w:rFonts w:ascii="Arial" w:hAnsi="Arial" w:cs="Arial"/>
          <w:sz w:val="20"/>
          <w:szCs w:val="20"/>
        </w:rPr>
        <w:fldChar w:fldCharType="begin"/>
      </w:r>
      <w:r w:rsidRPr="005828BE">
        <w:rPr>
          <w:rFonts w:ascii="Arial" w:hAnsi="Arial" w:cs="Arial"/>
          <w:sz w:val="20"/>
          <w:szCs w:val="20"/>
        </w:rPr>
        <w:instrText xml:space="preserve"> ADDIN EN.CITE &lt;EndNote&gt;&lt;Cite&gt;&lt;Author&gt;Searle&lt;/Author&gt;&lt;Year&gt;2010&lt;/Year&gt;&lt;RecNum&gt;208&lt;/RecNum&gt;&lt;DisplayText&gt;(Mees, 2009; Searle, 2010)&lt;/DisplayText&gt;&lt;record&gt;&lt;rec-number&gt;208&lt;/rec-number&gt;&lt;foreign-keys&gt;&lt;key app="EN" db-id="zesdsaeewvz525e9rs9xxsthtfed55rt0zf0" timestamp="1391489513"&gt;208&lt;/key&gt;&lt;key app="ENWeb" db-id=""&gt;0&lt;/key&gt;&lt;/foreign-keys&gt;&lt;ref-type name="Journal Article"&gt;17&lt;/ref-type&gt;&lt;contributors&gt;&lt;authors&gt;&lt;author&gt;Glen Searle&lt;/author&gt;&lt;/authors&gt;&lt;/contributors&gt;&lt;titles&gt;&lt;title&gt;Too concentrated? The planned distribution of residential density in SEQ&lt;/title&gt;&lt;secondary-title&gt;Australian Planner&lt;/secondary-title&gt;&lt;/titles&gt;&lt;periodical&gt;&lt;full-title&gt;Australian Planner&lt;/full-title&gt;&lt;/periodical&gt;&lt;pages&gt;135-141&lt;/pages&gt;&lt;volume&gt;47&lt;/volume&gt;&lt;number&gt;3&lt;/number&gt;&lt;dates&gt;&lt;year&gt;2010&lt;/year&gt;&lt;/dates&gt;&lt;urls&gt;&lt;/urls&gt;&lt;/record&gt;&lt;/Cite&gt;&lt;Cite&gt;&lt;Author&gt;Mees&lt;/Author&gt;&lt;Year&gt;2009&lt;/Year&gt;&lt;RecNum&gt;334&lt;/RecNum&gt;&lt;record&gt;&lt;rec-number&gt;334&lt;/rec-number&gt;&lt;foreign-keys&gt;&lt;key app="EN" db-id="zesdsaeewvz525e9rs9xxsthtfed55rt0zf0" timestamp="1396219713"&gt;334&lt;/key&gt;&lt;/foreign-keys&gt;&lt;ref-type name="Journal Article"&gt;17&lt;/ref-type&gt;&lt;contributors&gt;&lt;authors&gt;&lt;author&gt;Paul Mees&lt;/author&gt;&lt;/authors&gt;&lt;/contributors&gt;&lt;titles&gt;&lt;title&gt;How Dense Are We? Another Look at Urban Density and Transport Patterns in Australia, Canada and the USA&lt;/title&gt;&lt;secondary-title&gt;Road &amp;amp; Transport Research: A Journal of Australian and New Zealand Research and Practice&lt;/secondary-title&gt;&lt;/titles&gt;&lt;periodical&gt;&lt;full-title&gt;Road &amp;amp; Transport Research: A Journal of Australian and New Zealand Research and Practice&lt;/full-title&gt;&lt;/periodical&gt;&lt;pages&gt;58-67&lt;/pages&gt;&lt;volume&gt;18&lt;/volume&gt;&lt;number&gt;4&lt;/number&gt;&lt;dates&gt;&lt;year&gt;2009&lt;/year&gt;&lt;/dates&gt;&lt;urls&gt;&lt;/urls&gt;&lt;/record&gt;&lt;/Cite&gt;&lt;/EndNote&gt;</w:instrText>
      </w:r>
      <w:r w:rsidRPr="00A949B8">
        <w:rPr>
          <w:rFonts w:ascii="Arial" w:hAnsi="Arial" w:cs="Arial"/>
          <w:sz w:val="20"/>
          <w:szCs w:val="20"/>
        </w:rPr>
        <w:fldChar w:fldCharType="separate"/>
      </w:r>
      <w:r w:rsidRPr="005828BE">
        <w:rPr>
          <w:rFonts w:ascii="Arial" w:hAnsi="Arial" w:cs="Arial"/>
          <w:sz w:val="20"/>
          <w:szCs w:val="20"/>
        </w:rPr>
        <w:t>(Mees, 2009)</w:t>
      </w:r>
      <w:r w:rsidRPr="00A949B8">
        <w:rPr>
          <w:rFonts w:ascii="Arial" w:hAnsi="Arial" w:cs="Arial"/>
          <w:sz w:val="20"/>
          <w:szCs w:val="20"/>
        </w:rPr>
        <w:fldChar w:fldCharType="end"/>
      </w:r>
      <w:r w:rsidRPr="005828BE">
        <w:rPr>
          <w:rFonts w:ascii="Arial" w:hAnsi="Arial" w:cs="Arial"/>
          <w:sz w:val="20"/>
          <w:szCs w:val="20"/>
        </w:rPr>
        <w:t>. Brisbane’s population and population density are both rising, following a long-established trend also seen in Sydney and Melbourne (Coffee, Lange and Baker, 2016).</w:t>
      </w:r>
    </w:p>
    <w:p w14:paraId="49EB9D20" w14:textId="77777777" w:rsidR="005828BE" w:rsidRPr="005828BE" w:rsidRDefault="005828BE" w:rsidP="00A949B8">
      <w:pPr>
        <w:jc w:val="both"/>
        <w:rPr>
          <w:rFonts w:cs="Arial"/>
          <w:szCs w:val="20"/>
        </w:rPr>
      </w:pPr>
    </w:p>
    <w:p w14:paraId="6EF7A505" w14:textId="77777777" w:rsidR="005828BE" w:rsidRPr="005828BE" w:rsidRDefault="005828BE" w:rsidP="00A949B8">
      <w:pPr>
        <w:jc w:val="both"/>
        <w:rPr>
          <w:rFonts w:cs="Arial"/>
          <w:szCs w:val="20"/>
        </w:rPr>
      </w:pPr>
      <w:r w:rsidRPr="005828BE">
        <w:rPr>
          <w:rFonts w:cs="Arial"/>
          <w:szCs w:val="20"/>
        </w:rPr>
        <w:t>Melbourne city, Australia’s second largest, sits within the Greater Melbourne conurbation, which is governed by 31 local governments and home to a population of 4.5 million residents (</w:t>
      </w:r>
      <w:r w:rsidRPr="005828BE">
        <w:rPr>
          <w:rStyle w:val="A2"/>
          <w:rFonts w:cs="Arial"/>
          <w:sz w:val="20"/>
          <w:szCs w:val="20"/>
        </w:rPr>
        <w:t>The State of Victoria Department of Environment, Land, Water and Planning</w:t>
      </w:r>
      <w:r w:rsidRPr="005828BE">
        <w:rPr>
          <w:rFonts w:cs="Arial"/>
          <w:szCs w:val="20"/>
        </w:rPr>
        <w:t>, 2016). Melbourne is highly suburban and predominately low-density. However, high</w:t>
      </w:r>
      <w:r w:rsidRPr="00CE0702">
        <w:rPr>
          <w:rFonts w:cs="Arial"/>
          <w:szCs w:val="20"/>
        </w:rPr>
        <w:t>-density, inner-city residential redevelopment</w:t>
      </w:r>
      <w:r w:rsidRPr="00FB6B55">
        <w:rPr>
          <w:rFonts w:cs="Arial"/>
          <w:szCs w:val="20"/>
        </w:rPr>
        <w:t>s have increased inner city populations in recent years. Planning policies and priorities for Melbourne are set down at the metropolitan, city and scales based on partnerships between the Victorian State govern</w:t>
      </w:r>
      <w:r w:rsidRPr="005828BE">
        <w:rPr>
          <w:rFonts w:cs="Arial"/>
          <w:szCs w:val="20"/>
        </w:rPr>
        <w:t>ment and the 31 local governments within the Greater Melbourne conurbation (</w:t>
      </w:r>
      <w:r w:rsidRPr="005828BE">
        <w:rPr>
          <w:rStyle w:val="A2"/>
          <w:rFonts w:cs="Arial"/>
          <w:sz w:val="20"/>
          <w:szCs w:val="20"/>
        </w:rPr>
        <w:t>The State of Victoria Department of Environment, Land, Water and Planning</w:t>
      </w:r>
      <w:r w:rsidRPr="005828BE">
        <w:rPr>
          <w:rFonts w:cs="Arial"/>
          <w:szCs w:val="20"/>
        </w:rPr>
        <w:t>, 2016).</w:t>
      </w:r>
    </w:p>
    <w:p w14:paraId="2D82AD33" w14:textId="77777777" w:rsidR="005828BE" w:rsidRPr="005828BE" w:rsidRDefault="005828BE" w:rsidP="00A949B8">
      <w:pPr>
        <w:jc w:val="both"/>
        <w:rPr>
          <w:rFonts w:cs="Arial"/>
          <w:szCs w:val="20"/>
        </w:rPr>
      </w:pPr>
    </w:p>
    <w:p w14:paraId="093B4516" w14:textId="77777777" w:rsidR="005828BE" w:rsidRPr="005828BE" w:rsidRDefault="005828BE" w:rsidP="00A949B8">
      <w:pPr>
        <w:widowControl w:val="0"/>
        <w:autoSpaceDE w:val="0"/>
        <w:autoSpaceDN w:val="0"/>
        <w:adjustRightInd w:val="0"/>
        <w:jc w:val="both"/>
        <w:rPr>
          <w:rFonts w:cs="Arial"/>
          <w:szCs w:val="20"/>
          <w:lang w:val="en-US"/>
        </w:rPr>
      </w:pPr>
      <w:r w:rsidRPr="005828BE">
        <w:rPr>
          <w:rFonts w:cs="Arial"/>
          <w:szCs w:val="20"/>
        </w:rPr>
        <w:t xml:space="preserve">The City of Sydney </w:t>
      </w:r>
      <w:r w:rsidRPr="00CE0702">
        <w:rPr>
          <w:rFonts w:cs="Arial"/>
          <w:szCs w:val="20"/>
        </w:rPr>
        <w:t xml:space="preserve">is Australia’s largest city. It sits within the Greater Sydney conurbation, which extends north and south along Australia’s eastern seaboard and inland through Western Sydney. The current population of Greater Sydney is approximately 4.8 million. Like Brisbane and </w:t>
      </w:r>
      <w:r w:rsidRPr="005828BE">
        <w:rPr>
          <w:rFonts w:cs="Arial"/>
          <w:szCs w:val="20"/>
        </w:rPr>
        <w:t xml:space="preserve">Melbourne, Sydney is highly suburban and predominately low-density, though it has small but strong tradition of high-density living </w:t>
      </w:r>
      <w:r w:rsidRPr="005828BE">
        <w:rPr>
          <w:rFonts w:cs="Arial"/>
          <w:szCs w:val="20"/>
        </w:rPr>
        <w:fldChar w:fldCharType="begin"/>
      </w:r>
      <w:r w:rsidRPr="005828BE">
        <w:rPr>
          <w:rFonts w:cs="Arial"/>
          <w:szCs w:val="20"/>
        </w:rPr>
        <w:instrText xml:space="preserve"> ADDIN EN.CITE &lt;EndNote&gt;&lt;Cite&gt;&lt;Author&gt;Searle&lt;/Author&gt;&lt;Year&gt;2010&lt;/Year&gt;&lt;RecNum&gt;208&lt;/RecNum&gt;&lt;DisplayText&gt;(Mees, 2009; Searle, 2010)&lt;/DisplayText&gt;&lt;record&gt;&lt;rec-number&gt;208&lt;/rec-number&gt;&lt;foreign-keys&gt;&lt;key app="EN" db-id="zesdsaeewvz525e9rs9xxsthtfed55rt0zf0" timestamp="1391489513"&gt;208&lt;/key&gt;&lt;key app="ENWeb" db-id=""&gt;0&lt;/key&gt;&lt;/foreign-keys&gt;&lt;ref-type name="Journal Article"&gt;17&lt;/ref-type&gt;&lt;contributors&gt;&lt;authors&gt;&lt;author&gt;Glen Searle&lt;/author&gt;&lt;/authors&gt;&lt;/contributors&gt;&lt;titles&gt;&lt;title&gt;Too concentrated? The planned distribution of residential density in SEQ&lt;/title&gt;&lt;secondary-title&gt;Australian Planner&lt;/secondary-title&gt;&lt;/titles&gt;&lt;periodical&gt;&lt;full-title&gt;Australian Planner&lt;/full-title&gt;&lt;/periodical&gt;&lt;pages&gt;135-141&lt;/pages&gt;&lt;volume&gt;47&lt;/volume&gt;&lt;number&gt;3&lt;/number&gt;&lt;dates&gt;&lt;year&gt;2010&lt;/year&gt;&lt;/dates&gt;&lt;urls&gt;&lt;/urls&gt;&lt;/record&gt;&lt;/Cite&gt;&lt;Cite&gt;&lt;Author&gt;Mees&lt;/Author&gt;&lt;Year&gt;2009&lt;/Year&gt;&lt;RecNum&gt;334&lt;/RecNum&gt;&lt;record&gt;&lt;rec-number&gt;334&lt;/rec-number&gt;&lt;foreign-keys&gt;&lt;key app="EN" db-id="zesdsaeewvz525e9rs9xxsthtfed55rt0zf0" timestamp="1396219713"&gt;334&lt;/key&gt;&lt;/foreign-keys&gt;&lt;ref-type name="Journal Article"&gt;17&lt;/ref-type&gt;&lt;contributors&gt;&lt;authors&gt;&lt;author&gt;Paul Mees&lt;/author&gt;&lt;/authors&gt;&lt;/contributors&gt;&lt;titles&gt;&lt;title&gt;How Dense Are We? Another Look at Urban Density and Transport Patterns in Australia, Canada and the USA&lt;/title&gt;&lt;secondary-title&gt;Road &amp;amp; Transport Research: A Journal of Australian and New Zealand Research and Practice&lt;/secondary-title&gt;&lt;/titles&gt;&lt;periodical&gt;&lt;full-title&gt;Road &amp;amp; Transport Research: A Journal of Australian and New Zealand Research and Practice&lt;/full-title&gt;&lt;/periodical&gt;&lt;pages&gt;58-67&lt;/pages&gt;&lt;volume&gt;18&lt;/volume&gt;&lt;number&gt;4&lt;/number&gt;&lt;dates&gt;&lt;year&gt;2009&lt;/year&gt;&lt;/dates&gt;&lt;urls&gt;&lt;/urls&gt;&lt;/record&gt;&lt;/Cite&gt;&lt;/EndNote&gt;</w:instrText>
      </w:r>
      <w:r w:rsidRPr="005828BE">
        <w:rPr>
          <w:rFonts w:cs="Arial"/>
          <w:szCs w:val="20"/>
        </w:rPr>
        <w:fldChar w:fldCharType="separate"/>
      </w:r>
      <w:r w:rsidRPr="005828BE">
        <w:rPr>
          <w:rFonts w:cs="Arial"/>
          <w:szCs w:val="20"/>
        </w:rPr>
        <w:t>(Mees, 2009)</w:t>
      </w:r>
      <w:r w:rsidRPr="005828BE">
        <w:rPr>
          <w:rFonts w:cs="Arial"/>
          <w:szCs w:val="20"/>
        </w:rPr>
        <w:fldChar w:fldCharType="end"/>
      </w:r>
      <w:r w:rsidRPr="005828BE">
        <w:rPr>
          <w:rFonts w:cs="Arial"/>
          <w:szCs w:val="20"/>
        </w:rPr>
        <w:t xml:space="preserve">. </w:t>
      </w:r>
      <w:r w:rsidRPr="005828BE">
        <w:rPr>
          <w:rFonts w:cs="Arial"/>
          <w:i/>
          <w:iCs/>
          <w:szCs w:val="20"/>
          <w:lang w:val="en-US"/>
        </w:rPr>
        <w:t xml:space="preserve">A Plan for Growing Sydney </w:t>
      </w:r>
      <w:r w:rsidRPr="005828BE">
        <w:rPr>
          <w:rFonts w:cs="Arial"/>
          <w:szCs w:val="20"/>
          <w:lang w:val="en-US"/>
        </w:rPr>
        <w:t xml:space="preserve">sets a strategic planning framework for the Sydney </w:t>
      </w:r>
      <w:r w:rsidRPr="00CE0702">
        <w:rPr>
          <w:rFonts w:cs="Arial"/>
          <w:szCs w:val="20"/>
          <w:lang w:val="en-US"/>
        </w:rPr>
        <w:t>Metropolitan Area, incorporating 41 Local Government Areas</w:t>
      </w:r>
      <w:r w:rsidRPr="00FB6B55">
        <w:rPr>
          <w:rFonts w:cs="Arial"/>
          <w:szCs w:val="20"/>
          <w:lang w:val="en-US"/>
        </w:rPr>
        <w:t xml:space="preserve">. The Plan provides </w:t>
      </w:r>
      <w:r w:rsidRPr="005828BE">
        <w:rPr>
          <w:rFonts w:cs="Arial"/>
          <w:szCs w:val="20"/>
          <w:lang w:val="en-US"/>
        </w:rPr>
        <w:t xml:space="preserve">a new approach to governance through the establishment of the Greater Sydney Commission, a dedicated agency with responsibility for delivering the aims of the Plan (NSW Planning and Environment, 2014). Plans created by local governments within the Sydney Metropolitan Area are expected to incorporate priorities set down in </w:t>
      </w:r>
      <w:r w:rsidRPr="005828BE">
        <w:rPr>
          <w:rFonts w:cs="Arial"/>
          <w:i/>
          <w:iCs/>
          <w:szCs w:val="20"/>
          <w:lang w:val="en-US"/>
        </w:rPr>
        <w:t>A Plan for Growing Sydney</w:t>
      </w:r>
      <w:r w:rsidRPr="005828BE">
        <w:rPr>
          <w:rFonts w:cs="Arial"/>
          <w:iCs/>
          <w:szCs w:val="20"/>
          <w:lang w:val="en-US"/>
        </w:rPr>
        <w:t>.</w:t>
      </w:r>
    </w:p>
    <w:p w14:paraId="41D62260" w14:textId="77777777" w:rsidR="005828BE" w:rsidRDefault="005828BE" w:rsidP="000E7C6F">
      <w:pPr>
        <w:rPr>
          <w:b/>
          <w:sz w:val="22"/>
        </w:rPr>
      </w:pPr>
    </w:p>
    <w:p w14:paraId="43815367" w14:textId="1A8E63E1" w:rsidR="001B394F" w:rsidRDefault="007F2F83" w:rsidP="00DA5091">
      <w:pPr>
        <w:jc w:val="both"/>
      </w:pPr>
      <w:r>
        <w:t>Table 1 presents the scores for each policy document and the percenta</w:t>
      </w:r>
      <w:r w:rsidR="001B394F">
        <w:t>ges of overall policy focus on I</w:t>
      </w:r>
      <w:r>
        <w:t>ntegrated TOD in each case</w:t>
      </w:r>
      <w:r w:rsidR="001812DF">
        <w:t xml:space="preserve"> study. The majority of the document</w:t>
      </w:r>
      <w:r>
        <w:t>s that promote TODs do not provide a balanced s</w:t>
      </w:r>
      <w:r w:rsidR="001B394F">
        <w:t>upport for all three outcomes and</w:t>
      </w:r>
      <w:r>
        <w:t xml:space="preserve"> mainly focus on planning and environmental objectives. Overall, only 3 documents focused on all three planning, environmental, and social outcomes. The findings also indicate significant differences between case studies in terms of how exte</w:t>
      </w:r>
      <w:r w:rsidR="001D43E9">
        <w:t>nsively their policies support I</w:t>
      </w:r>
      <w:r>
        <w:t>ntegrated TODs both vertically and horizontally. We found a hi</w:t>
      </w:r>
      <w:r w:rsidR="001D43E9">
        <w:t>gher level of consideration of I</w:t>
      </w:r>
      <w:r>
        <w:t>ntegrated TOD in Brisbane followed by Melbourne and Sydney.</w:t>
      </w:r>
    </w:p>
    <w:p w14:paraId="5369611F" w14:textId="77777777" w:rsidR="001B394F" w:rsidRDefault="001B394F" w:rsidP="000E7C6F"/>
    <w:p w14:paraId="79F65FAD" w14:textId="56E72355" w:rsidR="007F2F83" w:rsidRPr="001B394F" w:rsidRDefault="007F2F83" w:rsidP="001B394F">
      <w:pPr>
        <w:jc w:val="center"/>
        <w:rPr>
          <w:b/>
        </w:rPr>
      </w:pPr>
      <w:r w:rsidRPr="00D07F54">
        <w:rPr>
          <w:b/>
        </w:rPr>
        <w:t>Table 1. Integrated TOD Policy in Brisbane, Melbourne, and Sydney</w:t>
      </w:r>
    </w:p>
    <w:tbl>
      <w:tblPr>
        <w:tblStyle w:val="TableGrid"/>
        <w:tblW w:w="0" w:type="auto"/>
        <w:jc w:val="center"/>
        <w:tblLayout w:type="fixed"/>
        <w:tblLook w:val="04A0" w:firstRow="1" w:lastRow="0" w:firstColumn="1" w:lastColumn="0" w:noHBand="0" w:noVBand="1"/>
      </w:tblPr>
      <w:tblGrid>
        <w:gridCol w:w="421"/>
        <w:gridCol w:w="1822"/>
        <w:gridCol w:w="1354"/>
        <w:gridCol w:w="903"/>
        <w:gridCol w:w="452"/>
        <w:gridCol w:w="1354"/>
        <w:gridCol w:w="452"/>
        <w:gridCol w:w="903"/>
        <w:gridCol w:w="1356"/>
      </w:tblGrid>
      <w:tr w:rsidR="007F2F83" w14:paraId="507F104F" w14:textId="77777777" w:rsidTr="00EA3612">
        <w:trPr>
          <w:tblHeader/>
          <w:jc w:val="center"/>
        </w:trPr>
        <w:tc>
          <w:tcPr>
            <w:tcW w:w="2243" w:type="dxa"/>
            <w:gridSpan w:val="2"/>
            <w:vMerge w:val="restart"/>
            <w:tcBorders>
              <w:left w:val="nil"/>
            </w:tcBorders>
            <w:shd w:val="clear" w:color="auto" w:fill="F2F2F2" w:themeFill="background1" w:themeFillShade="F2"/>
            <w:vAlign w:val="center"/>
          </w:tcPr>
          <w:p w14:paraId="7BC17298" w14:textId="77777777" w:rsidR="007F2F83" w:rsidRDefault="007F2F83" w:rsidP="000E7C6F">
            <w:r w:rsidRPr="00F45389">
              <w:rPr>
                <w:b/>
              </w:rPr>
              <w:t>List of Policy</w:t>
            </w:r>
          </w:p>
        </w:tc>
        <w:tc>
          <w:tcPr>
            <w:tcW w:w="6774" w:type="dxa"/>
            <w:gridSpan w:val="7"/>
            <w:tcBorders>
              <w:right w:val="nil"/>
            </w:tcBorders>
            <w:shd w:val="clear" w:color="auto" w:fill="F2F2F2" w:themeFill="background1" w:themeFillShade="F2"/>
          </w:tcPr>
          <w:p w14:paraId="47563012" w14:textId="77777777" w:rsidR="007F2F83" w:rsidRPr="00552D58" w:rsidRDefault="007F2F83" w:rsidP="000E7C6F">
            <w:pPr>
              <w:jc w:val="center"/>
              <w:rPr>
                <w:b/>
              </w:rPr>
            </w:pPr>
            <w:r>
              <w:rPr>
                <w:b/>
              </w:rPr>
              <w:t xml:space="preserve">Integrated </w:t>
            </w:r>
            <w:r w:rsidRPr="00552D58">
              <w:rPr>
                <w:b/>
              </w:rPr>
              <w:t>TOD Policy Focus</w:t>
            </w:r>
          </w:p>
        </w:tc>
      </w:tr>
      <w:tr w:rsidR="007F2F83" w14:paraId="09725BEC" w14:textId="77777777" w:rsidTr="00EA3612">
        <w:trPr>
          <w:trHeight w:val="561"/>
          <w:tblHeader/>
          <w:jc w:val="center"/>
        </w:trPr>
        <w:tc>
          <w:tcPr>
            <w:tcW w:w="2243" w:type="dxa"/>
            <w:gridSpan w:val="2"/>
            <w:vMerge/>
            <w:tcBorders>
              <w:left w:val="nil"/>
              <w:bottom w:val="single" w:sz="12" w:space="0" w:color="auto"/>
            </w:tcBorders>
            <w:shd w:val="clear" w:color="auto" w:fill="F2F2F2" w:themeFill="background1" w:themeFillShade="F2"/>
            <w:vAlign w:val="center"/>
          </w:tcPr>
          <w:p w14:paraId="35A18483" w14:textId="77777777" w:rsidR="007F2F83" w:rsidRPr="00F45389" w:rsidRDefault="007F2F83" w:rsidP="000E7C6F">
            <w:pPr>
              <w:rPr>
                <w:b/>
              </w:rPr>
            </w:pPr>
          </w:p>
        </w:tc>
        <w:tc>
          <w:tcPr>
            <w:tcW w:w="2257" w:type="dxa"/>
            <w:gridSpan w:val="2"/>
            <w:tcBorders>
              <w:bottom w:val="single" w:sz="12" w:space="0" w:color="auto"/>
              <w:right w:val="dotted" w:sz="4" w:space="0" w:color="auto"/>
            </w:tcBorders>
            <w:shd w:val="clear" w:color="auto" w:fill="F2F2F2" w:themeFill="background1" w:themeFillShade="F2"/>
            <w:vAlign w:val="center"/>
          </w:tcPr>
          <w:p w14:paraId="106558F4" w14:textId="77777777" w:rsidR="007F2F83" w:rsidRPr="00552D58" w:rsidRDefault="007F2F83" w:rsidP="000E7C6F">
            <w:pPr>
              <w:jc w:val="center"/>
            </w:pPr>
            <w:r w:rsidRPr="00552D58">
              <w:t>Planning Outcomes</w:t>
            </w:r>
          </w:p>
        </w:tc>
        <w:tc>
          <w:tcPr>
            <w:tcW w:w="2258" w:type="dxa"/>
            <w:gridSpan w:val="3"/>
            <w:tcBorders>
              <w:left w:val="dotted" w:sz="4" w:space="0" w:color="auto"/>
              <w:bottom w:val="single" w:sz="12" w:space="0" w:color="auto"/>
              <w:right w:val="dotted" w:sz="4" w:space="0" w:color="auto"/>
            </w:tcBorders>
            <w:shd w:val="clear" w:color="auto" w:fill="F2F2F2" w:themeFill="background1" w:themeFillShade="F2"/>
            <w:vAlign w:val="center"/>
          </w:tcPr>
          <w:p w14:paraId="1B12476F" w14:textId="77777777" w:rsidR="007F2F83" w:rsidRPr="00552D58" w:rsidRDefault="007F2F83" w:rsidP="000E7C6F">
            <w:pPr>
              <w:jc w:val="center"/>
            </w:pPr>
            <w:r w:rsidRPr="00552D58">
              <w:t>Environmental Outcomes</w:t>
            </w:r>
          </w:p>
        </w:tc>
        <w:tc>
          <w:tcPr>
            <w:tcW w:w="2259" w:type="dxa"/>
            <w:gridSpan w:val="2"/>
            <w:tcBorders>
              <w:left w:val="dotted" w:sz="4" w:space="0" w:color="auto"/>
              <w:bottom w:val="single" w:sz="12" w:space="0" w:color="auto"/>
              <w:right w:val="nil"/>
            </w:tcBorders>
            <w:shd w:val="clear" w:color="auto" w:fill="F2F2F2" w:themeFill="background1" w:themeFillShade="F2"/>
            <w:vAlign w:val="center"/>
          </w:tcPr>
          <w:p w14:paraId="274B290B" w14:textId="77777777" w:rsidR="007F2F83" w:rsidRPr="00552D58" w:rsidRDefault="007F2F83" w:rsidP="000E7C6F">
            <w:pPr>
              <w:jc w:val="center"/>
            </w:pPr>
            <w:r w:rsidRPr="00552D58">
              <w:t>Social Outcomes</w:t>
            </w:r>
          </w:p>
        </w:tc>
      </w:tr>
      <w:tr w:rsidR="007F2F83" w14:paraId="62397B99" w14:textId="77777777" w:rsidTr="00EA3612">
        <w:trPr>
          <w:tblHeader/>
          <w:jc w:val="center"/>
        </w:trPr>
        <w:tc>
          <w:tcPr>
            <w:tcW w:w="2243" w:type="dxa"/>
            <w:gridSpan w:val="2"/>
            <w:vMerge w:val="restart"/>
            <w:tcBorders>
              <w:top w:val="single" w:sz="12" w:space="0" w:color="auto"/>
              <w:left w:val="nil"/>
            </w:tcBorders>
            <w:shd w:val="clear" w:color="auto" w:fill="F2F2F2" w:themeFill="background1" w:themeFillShade="F2"/>
            <w:vAlign w:val="center"/>
          </w:tcPr>
          <w:p w14:paraId="033D26CF" w14:textId="77777777" w:rsidR="007F2F83" w:rsidRPr="00F45389" w:rsidRDefault="007F2F83" w:rsidP="000E7C6F">
            <w:pPr>
              <w:rPr>
                <w:b/>
              </w:rPr>
            </w:pPr>
            <w:r w:rsidRPr="00F45389">
              <w:rPr>
                <w:b/>
              </w:rPr>
              <w:t>Scoring Scale</w:t>
            </w:r>
          </w:p>
          <w:p w14:paraId="5C067DE8" w14:textId="77777777" w:rsidR="007F2F83" w:rsidRPr="008A6CC6" w:rsidRDefault="007F2F83" w:rsidP="000E7C6F"/>
        </w:tc>
        <w:tc>
          <w:tcPr>
            <w:tcW w:w="1354" w:type="dxa"/>
            <w:tcBorders>
              <w:top w:val="single" w:sz="12" w:space="0" w:color="auto"/>
            </w:tcBorders>
            <w:shd w:val="clear" w:color="auto" w:fill="F2F2F2" w:themeFill="background1" w:themeFillShade="F2"/>
          </w:tcPr>
          <w:p w14:paraId="00191BA8" w14:textId="77777777" w:rsidR="007F2F83" w:rsidRPr="008A6CC6" w:rsidRDefault="007F2F83" w:rsidP="000E7C6F">
            <w:pPr>
              <w:rPr>
                <w:sz w:val="16"/>
              </w:rPr>
            </w:pPr>
            <w:r w:rsidRPr="008A6CC6">
              <w:rPr>
                <w:sz w:val="16"/>
              </w:rPr>
              <w:t>No Mention of TOD or Land use/Transport Integration</w:t>
            </w:r>
          </w:p>
        </w:tc>
        <w:tc>
          <w:tcPr>
            <w:tcW w:w="1355" w:type="dxa"/>
            <w:gridSpan w:val="2"/>
            <w:tcBorders>
              <w:top w:val="single" w:sz="12" w:space="0" w:color="auto"/>
            </w:tcBorders>
            <w:shd w:val="clear" w:color="auto" w:fill="F2F2F2" w:themeFill="background1" w:themeFillShade="F2"/>
          </w:tcPr>
          <w:p w14:paraId="5E46B580" w14:textId="77777777" w:rsidR="007F2F83" w:rsidRPr="008A6CC6" w:rsidRDefault="007F2F83" w:rsidP="000E7C6F">
            <w:pPr>
              <w:rPr>
                <w:sz w:val="16"/>
              </w:rPr>
            </w:pPr>
            <w:r w:rsidRPr="008A6CC6">
              <w:rPr>
                <w:sz w:val="16"/>
              </w:rPr>
              <w:t>Land use/Transport Integration, No mention of TOD</w:t>
            </w:r>
          </w:p>
        </w:tc>
        <w:tc>
          <w:tcPr>
            <w:tcW w:w="1354" w:type="dxa"/>
            <w:tcBorders>
              <w:top w:val="single" w:sz="12" w:space="0" w:color="auto"/>
            </w:tcBorders>
            <w:shd w:val="clear" w:color="auto" w:fill="F2F2F2" w:themeFill="background1" w:themeFillShade="F2"/>
          </w:tcPr>
          <w:p w14:paraId="59ADD58D" w14:textId="77777777" w:rsidR="007F2F83" w:rsidRPr="008A6CC6" w:rsidRDefault="007F2F83" w:rsidP="000E7C6F">
            <w:pPr>
              <w:rPr>
                <w:sz w:val="16"/>
              </w:rPr>
            </w:pPr>
            <w:r>
              <w:rPr>
                <w:sz w:val="16"/>
              </w:rPr>
              <w:t>O</w:t>
            </w:r>
            <w:r w:rsidRPr="008A6CC6">
              <w:rPr>
                <w:sz w:val="16"/>
              </w:rPr>
              <w:t>nly planning outcomes of TOD</w:t>
            </w:r>
          </w:p>
        </w:tc>
        <w:tc>
          <w:tcPr>
            <w:tcW w:w="1355" w:type="dxa"/>
            <w:gridSpan w:val="2"/>
            <w:shd w:val="clear" w:color="auto" w:fill="F2F2F2" w:themeFill="background1" w:themeFillShade="F2"/>
          </w:tcPr>
          <w:p w14:paraId="7CE678D5" w14:textId="77777777" w:rsidR="007F2F83" w:rsidRPr="008A6CC6" w:rsidRDefault="007F2F83" w:rsidP="000E7C6F">
            <w:pPr>
              <w:rPr>
                <w:sz w:val="16"/>
              </w:rPr>
            </w:pPr>
            <w:r>
              <w:rPr>
                <w:sz w:val="16"/>
              </w:rPr>
              <w:t>P</w:t>
            </w:r>
            <w:r w:rsidRPr="008A6CC6">
              <w:rPr>
                <w:sz w:val="16"/>
              </w:rPr>
              <w:t xml:space="preserve">lanning outcomes </w:t>
            </w:r>
            <w:r>
              <w:rPr>
                <w:sz w:val="16"/>
              </w:rPr>
              <w:t xml:space="preserve">&amp; </w:t>
            </w:r>
            <w:r w:rsidRPr="008A6CC6">
              <w:rPr>
                <w:sz w:val="16"/>
              </w:rPr>
              <w:t>environmental or social outcomes</w:t>
            </w:r>
          </w:p>
        </w:tc>
        <w:tc>
          <w:tcPr>
            <w:tcW w:w="1356" w:type="dxa"/>
            <w:tcBorders>
              <w:top w:val="single" w:sz="12" w:space="0" w:color="auto"/>
              <w:right w:val="nil"/>
            </w:tcBorders>
            <w:shd w:val="clear" w:color="auto" w:fill="F2F2F2" w:themeFill="background1" w:themeFillShade="F2"/>
          </w:tcPr>
          <w:p w14:paraId="30B671D3" w14:textId="77777777" w:rsidR="007F2F83" w:rsidRPr="008A6CC6" w:rsidRDefault="007F2F83" w:rsidP="000E7C6F">
            <w:pPr>
              <w:rPr>
                <w:sz w:val="16"/>
              </w:rPr>
            </w:pPr>
            <w:r>
              <w:rPr>
                <w:sz w:val="16"/>
              </w:rPr>
              <w:t>All</w:t>
            </w:r>
            <w:r w:rsidRPr="008A6CC6">
              <w:rPr>
                <w:sz w:val="16"/>
              </w:rPr>
              <w:t xml:space="preserve"> three outcomes of Integrated TOD</w:t>
            </w:r>
          </w:p>
        </w:tc>
      </w:tr>
      <w:tr w:rsidR="007F2F83" w14:paraId="500B42EF" w14:textId="77777777" w:rsidTr="00EA3612">
        <w:trPr>
          <w:tblHeader/>
          <w:jc w:val="center"/>
        </w:trPr>
        <w:tc>
          <w:tcPr>
            <w:tcW w:w="2243" w:type="dxa"/>
            <w:gridSpan w:val="2"/>
            <w:vMerge/>
            <w:tcBorders>
              <w:left w:val="nil"/>
            </w:tcBorders>
            <w:shd w:val="clear" w:color="auto" w:fill="F2F2F2" w:themeFill="background1" w:themeFillShade="F2"/>
          </w:tcPr>
          <w:p w14:paraId="52479584" w14:textId="77777777" w:rsidR="007F2F83" w:rsidRPr="008A6CC6" w:rsidRDefault="007F2F83" w:rsidP="000E7C6F"/>
        </w:tc>
        <w:tc>
          <w:tcPr>
            <w:tcW w:w="1354" w:type="dxa"/>
            <w:shd w:val="clear" w:color="auto" w:fill="F2F2F2" w:themeFill="background1" w:themeFillShade="F2"/>
          </w:tcPr>
          <w:p w14:paraId="1F3FC93D" w14:textId="77777777" w:rsidR="007F2F83" w:rsidRPr="00F45389" w:rsidRDefault="007F2F83" w:rsidP="000E7C6F">
            <w:pPr>
              <w:jc w:val="center"/>
              <w:rPr>
                <w:b/>
              </w:rPr>
            </w:pPr>
            <w:r>
              <w:rPr>
                <w:b/>
              </w:rPr>
              <w:t>0</w:t>
            </w:r>
          </w:p>
        </w:tc>
        <w:tc>
          <w:tcPr>
            <w:tcW w:w="1355" w:type="dxa"/>
            <w:gridSpan w:val="2"/>
            <w:shd w:val="clear" w:color="auto" w:fill="F2F2F2" w:themeFill="background1" w:themeFillShade="F2"/>
          </w:tcPr>
          <w:p w14:paraId="6D17EC4B" w14:textId="77777777" w:rsidR="007F2F83" w:rsidRPr="00F45389" w:rsidRDefault="007F2F83" w:rsidP="000E7C6F">
            <w:pPr>
              <w:jc w:val="center"/>
              <w:rPr>
                <w:b/>
              </w:rPr>
            </w:pPr>
            <w:r>
              <w:rPr>
                <w:b/>
              </w:rPr>
              <w:t>1</w:t>
            </w:r>
          </w:p>
        </w:tc>
        <w:tc>
          <w:tcPr>
            <w:tcW w:w="1354" w:type="dxa"/>
            <w:shd w:val="clear" w:color="auto" w:fill="F2F2F2" w:themeFill="background1" w:themeFillShade="F2"/>
          </w:tcPr>
          <w:p w14:paraId="49D0EFDB" w14:textId="77777777" w:rsidR="007F2F83" w:rsidRPr="00F45389" w:rsidRDefault="007F2F83" w:rsidP="000E7C6F">
            <w:pPr>
              <w:jc w:val="center"/>
              <w:rPr>
                <w:b/>
              </w:rPr>
            </w:pPr>
            <w:r>
              <w:rPr>
                <w:b/>
              </w:rPr>
              <w:t>2</w:t>
            </w:r>
          </w:p>
        </w:tc>
        <w:tc>
          <w:tcPr>
            <w:tcW w:w="1355" w:type="dxa"/>
            <w:gridSpan w:val="2"/>
            <w:shd w:val="clear" w:color="auto" w:fill="F2F2F2" w:themeFill="background1" w:themeFillShade="F2"/>
          </w:tcPr>
          <w:p w14:paraId="6F8E9313" w14:textId="77777777" w:rsidR="007F2F83" w:rsidRPr="00F45389" w:rsidRDefault="007F2F83" w:rsidP="000E7C6F">
            <w:pPr>
              <w:jc w:val="center"/>
              <w:rPr>
                <w:b/>
              </w:rPr>
            </w:pPr>
            <w:r>
              <w:rPr>
                <w:b/>
              </w:rPr>
              <w:t>3</w:t>
            </w:r>
          </w:p>
        </w:tc>
        <w:tc>
          <w:tcPr>
            <w:tcW w:w="1356" w:type="dxa"/>
            <w:tcBorders>
              <w:right w:val="nil"/>
            </w:tcBorders>
            <w:shd w:val="clear" w:color="auto" w:fill="F2F2F2" w:themeFill="background1" w:themeFillShade="F2"/>
          </w:tcPr>
          <w:p w14:paraId="4BAD3D08" w14:textId="77777777" w:rsidR="007F2F83" w:rsidRPr="00F45389" w:rsidRDefault="007F2F83" w:rsidP="000E7C6F">
            <w:pPr>
              <w:jc w:val="center"/>
              <w:rPr>
                <w:b/>
              </w:rPr>
            </w:pPr>
            <w:r>
              <w:rPr>
                <w:b/>
              </w:rPr>
              <w:t>4</w:t>
            </w:r>
          </w:p>
        </w:tc>
      </w:tr>
      <w:tr w:rsidR="007F2F83" w14:paraId="1A398F99" w14:textId="77777777" w:rsidTr="00EA3612">
        <w:trPr>
          <w:jc w:val="center"/>
        </w:trPr>
        <w:tc>
          <w:tcPr>
            <w:tcW w:w="9017" w:type="dxa"/>
            <w:gridSpan w:val="9"/>
            <w:tcBorders>
              <w:top w:val="single" w:sz="12" w:space="0" w:color="auto"/>
              <w:left w:val="nil"/>
              <w:right w:val="nil"/>
            </w:tcBorders>
            <w:shd w:val="clear" w:color="auto" w:fill="9CC2E5" w:themeFill="accent1" w:themeFillTint="99"/>
          </w:tcPr>
          <w:p w14:paraId="5B139B4C" w14:textId="77777777" w:rsidR="007F2F83" w:rsidRDefault="007F2F83" w:rsidP="000E7C6F">
            <w:r w:rsidRPr="001F7E45">
              <w:rPr>
                <w:b/>
              </w:rPr>
              <w:t>Queensland</w:t>
            </w:r>
          </w:p>
        </w:tc>
      </w:tr>
      <w:tr w:rsidR="007F2F83" w14:paraId="0A0F1994" w14:textId="77777777" w:rsidTr="00EA3612">
        <w:trPr>
          <w:jc w:val="center"/>
        </w:trPr>
        <w:tc>
          <w:tcPr>
            <w:tcW w:w="9017" w:type="dxa"/>
            <w:gridSpan w:val="9"/>
            <w:tcBorders>
              <w:left w:val="nil"/>
              <w:right w:val="nil"/>
            </w:tcBorders>
            <w:shd w:val="clear" w:color="auto" w:fill="D9D9D9" w:themeFill="background1" w:themeFillShade="D9"/>
          </w:tcPr>
          <w:p w14:paraId="2D46A405" w14:textId="77777777" w:rsidR="007F2F83" w:rsidRDefault="007F2F83" w:rsidP="000E7C6F">
            <w:r>
              <w:t>State Level</w:t>
            </w:r>
          </w:p>
        </w:tc>
      </w:tr>
      <w:tr w:rsidR="007F2F83" w14:paraId="42318063" w14:textId="77777777" w:rsidTr="00EA3612">
        <w:trPr>
          <w:jc w:val="center"/>
        </w:trPr>
        <w:tc>
          <w:tcPr>
            <w:tcW w:w="421" w:type="dxa"/>
            <w:tcBorders>
              <w:left w:val="nil"/>
              <w:bottom w:val="dotted" w:sz="4" w:space="0" w:color="auto"/>
            </w:tcBorders>
            <w:vAlign w:val="center"/>
          </w:tcPr>
          <w:p w14:paraId="0054FA5E" w14:textId="77777777" w:rsidR="007F2F83" w:rsidRPr="003F1C93" w:rsidRDefault="007F2F83" w:rsidP="000E7C6F">
            <w:pPr>
              <w:jc w:val="center"/>
              <w:rPr>
                <w:sz w:val="16"/>
              </w:rPr>
            </w:pPr>
            <w:r w:rsidRPr="003F1C93">
              <w:rPr>
                <w:sz w:val="16"/>
              </w:rPr>
              <w:t>1</w:t>
            </w:r>
          </w:p>
        </w:tc>
        <w:tc>
          <w:tcPr>
            <w:tcW w:w="1822" w:type="dxa"/>
            <w:tcBorders>
              <w:bottom w:val="dotted" w:sz="4" w:space="0" w:color="auto"/>
            </w:tcBorders>
          </w:tcPr>
          <w:p w14:paraId="57159315" w14:textId="77777777" w:rsidR="007F2F83" w:rsidRPr="00552D58" w:rsidRDefault="007F2F83" w:rsidP="000E7C6F">
            <w:pPr>
              <w:rPr>
                <w:i/>
                <w:sz w:val="16"/>
              </w:rPr>
            </w:pPr>
            <w:r w:rsidRPr="00552D58">
              <w:rPr>
                <w:i/>
                <w:sz w:val="16"/>
              </w:rPr>
              <w:t>State Planning Policy 2016</w:t>
            </w:r>
          </w:p>
        </w:tc>
        <w:tc>
          <w:tcPr>
            <w:tcW w:w="1354" w:type="dxa"/>
            <w:tcBorders>
              <w:bottom w:val="dotted" w:sz="4" w:space="0" w:color="auto"/>
            </w:tcBorders>
            <w:vAlign w:val="center"/>
          </w:tcPr>
          <w:p w14:paraId="71B8698A" w14:textId="77777777" w:rsidR="007F2F83" w:rsidRPr="00984401" w:rsidRDefault="007F2F83" w:rsidP="000E7C6F">
            <w:pPr>
              <w:jc w:val="center"/>
            </w:pPr>
          </w:p>
        </w:tc>
        <w:tc>
          <w:tcPr>
            <w:tcW w:w="1355" w:type="dxa"/>
            <w:gridSpan w:val="2"/>
            <w:tcBorders>
              <w:bottom w:val="dotted" w:sz="4" w:space="0" w:color="auto"/>
            </w:tcBorders>
            <w:vAlign w:val="center"/>
          </w:tcPr>
          <w:p w14:paraId="4AB5C459" w14:textId="77777777" w:rsidR="007F2F83" w:rsidRPr="00984401" w:rsidRDefault="007F2F83" w:rsidP="000E7C6F">
            <w:pPr>
              <w:jc w:val="center"/>
            </w:pPr>
            <w:r>
              <w:sym w:font="Wingdings" w:char="F0FC"/>
            </w:r>
          </w:p>
        </w:tc>
        <w:tc>
          <w:tcPr>
            <w:tcW w:w="1354" w:type="dxa"/>
            <w:tcBorders>
              <w:bottom w:val="dotted" w:sz="4" w:space="0" w:color="auto"/>
            </w:tcBorders>
            <w:vAlign w:val="center"/>
          </w:tcPr>
          <w:p w14:paraId="3A3A75DB" w14:textId="77777777" w:rsidR="007F2F83" w:rsidRPr="00984401" w:rsidRDefault="007F2F83" w:rsidP="000E7C6F">
            <w:pPr>
              <w:jc w:val="center"/>
            </w:pPr>
          </w:p>
        </w:tc>
        <w:tc>
          <w:tcPr>
            <w:tcW w:w="1355" w:type="dxa"/>
            <w:gridSpan w:val="2"/>
            <w:tcBorders>
              <w:bottom w:val="dotted" w:sz="4" w:space="0" w:color="auto"/>
            </w:tcBorders>
            <w:vAlign w:val="center"/>
          </w:tcPr>
          <w:p w14:paraId="6FC81F22" w14:textId="77777777" w:rsidR="007F2F83" w:rsidRPr="00984401" w:rsidRDefault="007F2F83" w:rsidP="000E7C6F">
            <w:pPr>
              <w:jc w:val="center"/>
            </w:pPr>
          </w:p>
        </w:tc>
        <w:tc>
          <w:tcPr>
            <w:tcW w:w="1356" w:type="dxa"/>
            <w:tcBorders>
              <w:bottom w:val="dotted" w:sz="4" w:space="0" w:color="auto"/>
              <w:right w:val="nil"/>
            </w:tcBorders>
            <w:vAlign w:val="center"/>
          </w:tcPr>
          <w:p w14:paraId="6B5F4D9D" w14:textId="77777777" w:rsidR="007F2F83" w:rsidRPr="00984401" w:rsidRDefault="007F2F83" w:rsidP="000E7C6F">
            <w:pPr>
              <w:jc w:val="center"/>
            </w:pPr>
          </w:p>
        </w:tc>
      </w:tr>
      <w:tr w:rsidR="007F2F83" w14:paraId="1E8C9A42" w14:textId="77777777" w:rsidTr="00EA3612">
        <w:trPr>
          <w:jc w:val="center"/>
        </w:trPr>
        <w:tc>
          <w:tcPr>
            <w:tcW w:w="421" w:type="dxa"/>
            <w:tcBorders>
              <w:top w:val="dotted" w:sz="4" w:space="0" w:color="auto"/>
              <w:left w:val="nil"/>
              <w:bottom w:val="dotted" w:sz="4" w:space="0" w:color="auto"/>
            </w:tcBorders>
            <w:vAlign w:val="center"/>
          </w:tcPr>
          <w:p w14:paraId="001735A7" w14:textId="77777777" w:rsidR="007F2F83" w:rsidRPr="003F1C93" w:rsidRDefault="007F2F83" w:rsidP="000E7C6F">
            <w:pPr>
              <w:jc w:val="center"/>
              <w:rPr>
                <w:sz w:val="16"/>
              </w:rPr>
            </w:pPr>
            <w:r>
              <w:rPr>
                <w:sz w:val="16"/>
              </w:rPr>
              <w:t>2</w:t>
            </w:r>
          </w:p>
        </w:tc>
        <w:tc>
          <w:tcPr>
            <w:tcW w:w="1822" w:type="dxa"/>
            <w:tcBorders>
              <w:top w:val="dotted" w:sz="4" w:space="0" w:color="auto"/>
              <w:bottom w:val="dotted" w:sz="4" w:space="0" w:color="auto"/>
            </w:tcBorders>
          </w:tcPr>
          <w:p w14:paraId="1571F96C" w14:textId="77777777" w:rsidR="007F2F83" w:rsidRPr="00552D58" w:rsidRDefault="007F2F83" w:rsidP="000E7C6F">
            <w:pPr>
              <w:rPr>
                <w:i/>
                <w:sz w:val="16"/>
              </w:rPr>
            </w:pPr>
            <w:r w:rsidRPr="00984401">
              <w:rPr>
                <w:i/>
                <w:sz w:val="16"/>
              </w:rPr>
              <w:t>State Planning Policy—state interest guideline State transport infrastructure 2016</w:t>
            </w:r>
          </w:p>
        </w:tc>
        <w:tc>
          <w:tcPr>
            <w:tcW w:w="1354" w:type="dxa"/>
            <w:tcBorders>
              <w:top w:val="dotted" w:sz="4" w:space="0" w:color="auto"/>
              <w:bottom w:val="dotted" w:sz="4" w:space="0" w:color="auto"/>
            </w:tcBorders>
            <w:vAlign w:val="center"/>
          </w:tcPr>
          <w:p w14:paraId="507A6F17"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04049819" w14:textId="77777777" w:rsidR="007F2F83" w:rsidRPr="00984401" w:rsidRDefault="007F2F83" w:rsidP="000E7C6F">
            <w:pPr>
              <w:jc w:val="center"/>
            </w:pPr>
            <w:r>
              <w:sym w:font="Wingdings" w:char="F0FC"/>
            </w:r>
          </w:p>
        </w:tc>
        <w:tc>
          <w:tcPr>
            <w:tcW w:w="1354" w:type="dxa"/>
            <w:tcBorders>
              <w:top w:val="dotted" w:sz="4" w:space="0" w:color="auto"/>
              <w:bottom w:val="dotted" w:sz="4" w:space="0" w:color="auto"/>
            </w:tcBorders>
            <w:vAlign w:val="center"/>
          </w:tcPr>
          <w:p w14:paraId="3F4BB712"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56BB0C06"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60C91DE4" w14:textId="77777777" w:rsidR="007F2F83" w:rsidRPr="00984401" w:rsidRDefault="007F2F83" w:rsidP="000E7C6F">
            <w:pPr>
              <w:jc w:val="center"/>
            </w:pPr>
          </w:p>
        </w:tc>
      </w:tr>
      <w:tr w:rsidR="007F2F83" w14:paraId="2E61F301" w14:textId="77777777" w:rsidTr="00EA3612">
        <w:trPr>
          <w:jc w:val="center"/>
        </w:trPr>
        <w:tc>
          <w:tcPr>
            <w:tcW w:w="421" w:type="dxa"/>
            <w:tcBorders>
              <w:top w:val="dotted" w:sz="4" w:space="0" w:color="auto"/>
              <w:left w:val="nil"/>
              <w:bottom w:val="dotted" w:sz="4" w:space="0" w:color="auto"/>
            </w:tcBorders>
            <w:vAlign w:val="center"/>
          </w:tcPr>
          <w:p w14:paraId="13069512" w14:textId="77777777" w:rsidR="007F2F83" w:rsidRPr="003F1C93" w:rsidRDefault="007F2F83" w:rsidP="000E7C6F">
            <w:pPr>
              <w:jc w:val="center"/>
              <w:rPr>
                <w:sz w:val="16"/>
              </w:rPr>
            </w:pPr>
            <w:r>
              <w:rPr>
                <w:sz w:val="16"/>
              </w:rPr>
              <w:t>3</w:t>
            </w:r>
          </w:p>
        </w:tc>
        <w:tc>
          <w:tcPr>
            <w:tcW w:w="1822" w:type="dxa"/>
            <w:tcBorders>
              <w:top w:val="dotted" w:sz="4" w:space="0" w:color="auto"/>
              <w:bottom w:val="dotted" w:sz="4" w:space="0" w:color="auto"/>
            </w:tcBorders>
          </w:tcPr>
          <w:p w14:paraId="7E9184C3" w14:textId="77777777" w:rsidR="007F2F83" w:rsidRPr="00552D58" w:rsidRDefault="007F2F83" w:rsidP="000E7C6F">
            <w:pPr>
              <w:rPr>
                <w:i/>
                <w:sz w:val="16"/>
              </w:rPr>
            </w:pPr>
            <w:r w:rsidRPr="00552D58">
              <w:rPr>
                <w:i/>
                <w:sz w:val="16"/>
              </w:rPr>
              <w:t>The State Infrastructure Plan (SIP 2016)</w:t>
            </w:r>
          </w:p>
        </w:tc>
        <w:tc>
          <w:tcPr>
            <w:tcW w:w="1354" w:type="dxa"/>
            <w:tcBorders>
              <w:top w:val="dotted" w:sz="4" w:space="0" w:color="auto"/>
              <w:bottom w:val="dotted" w:sz="4" w:space="0" w:color="auto"/>
            </w:tcBorders>
            <w:vAlign w:val="center"/>
          </w:tcPr>
          <w:p w14:paraId="2F9F3A02"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0A811A4C" w14:textId="77777777" w:rsidR="007F2F83" w:rsidRPr="00984401" w:rsidRDefault="007F2F83" w:rsidP="000E7C6F">
            <w:pPr>
              <w:jc w:val="center"/>
            </w:pPr>
            <w:r>
              <w:sym w:font="Wingdings" w:char="F0FC"/>
            </w:r>
          </w:p>
        </w:tc>
        <w:tc>
          <w:tcPr>
            <w:tcW w:w="1354" w:type="dxa"/>
            <w:tcBorders>
              <w:top w:val="dotted" w:sz="4" w:space="0" w:color="auto"/>
              <w:bottom w:val="dotted" w:sz="4" w:space="0" w:color="auto"/>
            </w:tcBorders>
            <w:vAlign w:val="center"/>
          </w:tcPr>
          <w:p w14:paraId="15DA9899"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7E1CE7E4"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35F90C84" w14:textId="77777777" w:rsidR="007F2F83" w:rsidRPr="00984401" w:rsidRDefault="007F2F83" w:rsidP="000E7C6F">
            <w:pPr>
              <w:jc w:val="center"/>
            </w:pPr>
          </w:p>
        </w:tc>
      </w:tr>
      <w:tr w:rsidR="007F2F83" w14:paraId="2C86A91D" w14:textId="77777777" w:rsidTr="00EA3612">
        <w:trPr>
          <w:jc w:val="center"/>
        </w:trPr>
        <w:tc>
          <w:tcPr>
            <w:tcW w:w="421" w:type="dxa"/>
            <w:tcBorders>
              <w:top w:val="dotted" w:sz="4" w:space="0" w:color="auto"/>
              <w:left w:val="nil"/>
              <w:bottom w:val="dotted" w:sz="4" w:space="0" w:color="auto"/>
            </w:tcBorders>
            <w:vAlign w:val="center"/>
          </w:tcPr>
          <w:p w14:paraId="7EB4390A" w14:textId="77777777" w:rsidR="007F2F83" w:rsidRPr="003F1C93" w:rsidRDefault="007F2F83" w:rsidP="000E7C6F">
            <w:pPr>
              <w:jc w:val="center"/>
              <w:rPr>
                <w:sz w:val="16"/>
              </w:rPr>
            </w:pPr>
            <w:r>
              <w:rPr>
                <w:sz w:val="16"/>
              </w:rPr>
              <w:t>4</w:t>
            </w:r>
          </w:p>
        </w:tc>
        <w:tc>
          <w:tcPr>
            <w:tcW w:w="1822" w:type="dxa"/>
            <w:tcBorders>
              <w:top w:val="dotted" w:sz="4" w:space="0" w:color="auto"/>
              <w:bottom w:val="dotted" w:sz="4" w:space="0" w:color="auto"/>
            </w:tcBorders>
          </w:tcPr>
          <w:p w14:paraId="62FD2001" w14:textId="77777777" w:rsidR="007F2F83" w:rsidRPr="00552D58" w:rsidRDefault="007F2F83" w:rsidP="000E7C6F">
            <w:pPr>
              <w:rPr>
                <w:i/>
                <w:sz w:val="16"/>
              </w:rPr>
            </w:pPr>
            <w:r w:rsidRPr="00552D58">
              <w:rPr>
                <w:i/>
                <w:sz w:val="16"/>
              </w:rPr>
              <w:t>The Queensland Plan 2014</w:t>
            </w:r>
          </w:p>
        </w:tc>
        <w:tc>
          <w:tcPr>
            <w:tcW w:w="1354" w:type="dxa"/>
            <w:tcBorders>
              <w:top w:val="dotted" w:sz="4" w:space="0" w:color="auto"/>
              <w:bottom w:val="dotted" w:sz="4" w:space="0" w:color="auto"/>
            </w:tcBorders>
            <w:vAlign w:val="center"/>
          </w:tcPr>
          <w:p w14:paraId="23C1AB72" w14:textId="77777777" w:rsidR="007F2F83" w:rsidRPr="00984401"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57DAE92A" w14:textId="77777777" w:rsidR="007F2F83" w:rsidRPr="00984401" w:rsidRDefault="007F2F83" w:rsidP="000E7C6F">
            <w:pPr>
              <w:jc w:val="center"/>
            </w:pPr>
          </w:p>
        </w:tc>
        <w:tc>
          <w:tcPr>
            <w:tcW w:w="1354" w:type="dxa"/>
            <w:tcBorders>
              <w:top w:val="dotted" w:sz="4" w:space="0" w:color="auto"/>
              <w:bottom w:val="dotted" w:sz="4" w:space="0" w:color="auto"/>
            </w:tcBorders>
            <w:vAlign w:val="center"/>
          </w:tcPr>
          <w:p w14:paraId="042FC54E"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37B0FB08"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1B9B3681" w14:textId="77777777" w:rsidR="007F2F83" w:rsidRPr="00984401" w:rsidRDefault="007F2F83" w:rsidP="000E7C6F">
            <w:pPr>
              <w:jc w:val="center"/>
            </w:pPr>
          </w:p>
        </w:tc>
      </w:tr>
      <w:tr w:rsidR="007F2F83" w14:paraId="745FD706" w14:textId="77777777" w:rsidTr="00EA3612">
        <w:trPr>
          <w:jc w:val="center"/>
        </w:trPr>
        <w:tc>
          <w:tcPr>
            <w:tcW w:w="421" w:type="dxa"/>
            <w:tcBorders>
              <w:top w:val="dotted" w:sz="4" w:space="0" w:color="auto"/>
              <w:left w:val="nil"/>
              <w:bottom w:val="dotted" w:sz="4" w:space="0" w:color="auto"/>
            </w:tcBorders>
            <w:vAlign w:val="center"/>
          </w:tcPr>
          <w:p w14:paraId="4512847E" w14:textId="77777777" w:rsidR="007F2F83" w:rsidRPr="003F1C93" w:rsidRDefault="007F2F83" w:rsidP="000E7C6F">
            <w:pPr>
              <w:jc w:val="center"/>
              <w:rPr>
                <w:sz w:val="16"/>
              </w:rPr>
            </w:pPr>
            <w:r>
              <w:rPr>
                <w:sz w:val="16"/>
              </w:rPr>
              <w:t>5</w:t>
            </w:r>
          </w:p>
        </w:tc>
        <w:tc>
          <w:tcPr>
            <w:tcW w:w="1822" w:type="dxa"/>
            <w:tcBorders>
              <w:top w:val="dotted" w:sz="4" w:space="0" w:color="auto"/>
              <w:bottom w:val="dotted" w:sz="4" w:space="0" w:color="auto"/>
            </w:tcBorders>
          </w:tcPr>
          <w:p w14:paraId="7271B022" w14:textId="77777777" w:rsidR="007F2F83" w:rsidRPr="00552D58" w:rsidRDefault="007F2F83" w:rsidP="000E7C6F">
            <w:pPr>
              <w:rPr>
                <w:i/>
                <w:sz w:val="16"/>
              </w:rPr>
            </w:pPr>
            <w:r w:rsidRPr="00552D58">
              <w:rPr>
                <w:i/>
                <w:sz w:val="16"/>
              </w:rPr>
              <w:t>Statutory guideline 03/14 Local government infrastructure plans (2014)</w:t>
            </w:r>
          </w:p>
        </w:tc>
        <w:tc>
          <w:tcPr>
            <w:tcW w:w="1354" w:type="dxa"/>
            <w:tcBorders>
              <w:top w:val="dotted" w:sz="4" w:space="0" w:color="auto"/>
              <w:bottom w:val="dotted" w:sz="4" w:space="0" w:color="auto"/>
            </w:tcBorders>
            <w:vAlign w:val="center"/>
          </w:tcPr>
          <w:p w14:paraId="0E7F0ACE"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3ACE3D74" w14:textId="77777777" w:rsidR="007F2F83" w:rsidRPr="00984401" w:rsidRDefault="007F2F83" w:rsidP="000E7C6F">
            <w:pPr>
              <w:jc w:val="center"/>
            </w:pPr>
            <w:r>
              <w:sym w:font="Wingdings" w:char="F0FC"/>
            </w:r>
          </w:p>
        </w:tc>
        <w:tc>
          <w:tcPr>
            <w:tcW w:w="1354" w:type="dxa"/>
            <w:tcBorders>
              <w:top w:val="dotted" w:sz="4" w:space="0" w:color="auto"/>
              <w:bottom w:val="dotted" w:sz="4" w:space="0" w:color="auto"/>
            </w:tcBorders>
            <w:vAlign w:val="center"/>
          </w:tcPr>
          <w:p w14:paraId="151862F6"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63992658"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0560F9E7" w14:textId="77777777" w:rsidR="007F2F83" w:rsidRPr="00984401" w:rsidRDefault="007F2F83" w:rsidP="000E7C6F">
            <w:pPr>
              <w:jc w:val="center"/>
            </w:pPr>
          </w:p>
        </w:tc>
      </w:tr>
      <w:tr w:rsidR="007F2F83" w14:paraId="42580910" w14:textId="77777777" w:rsidTr="00EA3612">
        <w:trPr>
          <w:jc w:val="center"/>
        </w:trPr>
        <w:tc>
          <w:tcPr>
            <w:tcW w:w="421" w:type="dxa"/>
            <w:tcBorders>
              <w:top w:val="dotted" w:sz="4" w:space="0" w:color="auto"/>
              <w:left w:val="nil"/>
            </w:tcBorders>
            <w:vAlign w:val="center"/>
          </w:tcPr>
          <w:p w14:paraId="1BC905A8" w14:textId="77777777" w:rsidR="007F2F83" w:rsidRPr="003F1C93" w:rsidRDefault="007F2F83" w:rsidP="000E7C6F">
            <w:pPr>
              <w:jc w:val="center"/>
              <w:rPr>
                <w:sz w:val="16"/>
              </w:rPr>
            </w:pPr>
            <w:r>
              <w:rPr>
                <w:sz w:val="16"/>
              </w:rPr>
              <w:t>6</w:t>
            </w:r>
          </w:p>
        </w:tc>
        <w:tc>
          <w:tcPr>
            <w:tcW w:w="1822" w:type="dxa"/>
            <w:tcBorders>
              <w:top w:val="dotted" w:sz="4" w:space="0" w:color="auto"/>
            </w:tcBorders>
          </w:tcPr>
          <w:p w14:paraId="09EAB6E8" w14:textId="77777777" w:rsidR="007F2F83" w:rsidRPr="00552D58" w:rsidRDefault="007F2F83" w:rsidP="000E7C6F">
            <w:pPr>
              <w:rPr>
                <w:i/>
                <w:sz w:val="16"/>
              </w:rPr>
            </w:pPr>
            <w:r>
              <w:rPr>
                <w:i/>
                <w:sz w:val="16"/>
              </w:rPr>
              <w:t>Connecting Brisbane 2017</w:t>
            </w:r>
          </w:p>
        </w:tc>
        <w:tc>
          <w:tcPr>
            <w:tcW w:w="1354" w:type="dxa"/>
            <w:tcBorders>
              <w:top w:val="dotted" w:sz="4" w:space="0" w:color="auto"/>
            </w:tcBorders>
            <w:vAlign w:val="center"/>
          </w:tcPr>
          <w:p w14:paraId="0C779097" w14:textId="77777777" w:rsidR="007F2F83" w:rsidRPr="00984401" w:rsidRDefault="007F2F83" w:rsidP="000E7C6F">
            <w:pPr>
              <w:jc w:val="center"/>
            </w:pPr>
          </w:p>
        </w:tc>
        <w:tc>
          <w:tcPr>
            <w:tcW w:w="1355" w:type="dxa"/>
            <w:gridSpan w:val="2"/>
            <w:tcBorders>
              <w:top w:val="dotted" w:sz="4" w:space="0" w:color="auto"/>
            </w:tcBorders>
            <w:vAlign w:val="center"/>
          </w:tcPr>
          <w:p w14:paraId="61F2AE12" w14:textId="77777777" w:rsidR="007F2F83" w:rsidRPr="00984401" w:rsidRDefault="007F2F83" w:rsidP="000E7C6F">
            <w:pPr>
              <w:jc w:val="center"/>
            </w:pPr>
            <w:r>
              <w:sym w:font="Wingdings" w:char="F0FC"/>
            </w:r>
          </w:p>
        </w:tc>
        <w:tc>
          <w:tcPr>
            <w:tcW w:w="1354" w:type="dxa"/>
            <w:tcBorders>
              <w:top w:val="dotted" w:sz="4" w:space="0" w:color="auto"/>
            </w:tcBorders>
            <w:vAlign w:val="center"/>
          </w:tcPr>
          <w:p w14:paraId="360CD1BD" w14:textId="77777777" w:rsidR="007F2F83" w:rsidRPr="00984401" w:rsidRDefault="007F2F83" w:rsidP="000E7C6F">
            <w:pPr>
              <w:jc w:val="center"/>
            </w:pPr>
          </w:p>
        </w:tc>
        <w:tc>
          <w:tcPr>
            <w:tcW w:w="1355" w:type="dxa"/>
            <w:gridSpan w:val="2"/>
            <w:tcBorders>
              <w:top w:val="dotted" w:sz="4" w:space="0" w:color="auto"/>
            </w:tcBorders>
            <w:vAlign w:val="center"/>
          </w:tcPr>
          <w:p w14:paraId="24D71A66" w14:textId="77777777" w:rsidR="007F2F83" w:rsidRPr="00984401" w:rsidRDefault="007F2F83" w:rsidP="000E7C6F">
            <w:pPr>
              <w:jc w:val="center"/>
            </w:pPr>
          </w:p>
        </w:tc>
        <w:tc>
          <w:tcPr>
            <w:tcW w:w="1356" w:type="dxa"/>
            <w:tcBorders>
              <w:top w:val="dotted" w:sz="4" w:space="0" w:color="auto"/>
              <w:right w:val="nil"/>
            </w:tcBorders>
            <w:vAlign w:val="center"/>
          </w:tcPr>
          <w:p w14:paraId="6B1C939E" w14:textId="77777777" w:rsidR="007F2F83" w:rsidRPr="00984401" w:rsidRDefault="007F2F83" w:rsidP="000E7C6F">
            <w:pPr>
              <w:jc w:val="center"/>
            </w:pPr>
          </w:p>
        </w:tc>
      </w:tr>
      <w:tr w:rsidR="007F2F83" w14:paraId="7EBF987E" w14:textId="77777777" w:rsidTr="00EA3612">
        <w:trPr>
          <w:jc w:val="center"/>
        </w:trPr>
        <w:tc>
          <w:tcPr>
            <w:tcW w:w="9017" w:type="dxa"/>
            <w:gridSpan w:val="9"/>
            <w:tcBorders>
              <w:left w:val="nil"/>
              <w:right w:val="nil"/>
            </w:tcBorders>
            <w:shd w:val="clear" w:color="auto" w:fill="D9D9D9" w:themeFill="background1" w:themeFillShade="D9"/>
          </w:tcPr>
          <w:p w14:paraId="46607D9C" w14:textId="77777777" w:rsidR="007F2F83" w:rsidRDefault="007F2F83" w:rsidP="000E7C6F">
            <w:r>
              <w:t>Regional Level</w:t>
            </w:r>
          </w:p>
        </w:tc>
      </w:tr>
      <w:tr w:rsidR="007F2F83" w14:paraId="09CEEDD7" w14:textId="77777777" w:rsidTr="00EA3612">
        <w:trPr>
          <w:jc w:val="center"/>
        </w:trPr>
        <w:tc>
          <w:tcPr>
            <w:tcW w:w="421" w:type="dxa"/>
            <w:tcBorders>
              <w:left w:val="nil"/>
              <w:bottom w:val="dotted" w:sz="4" w:space="0" w:color="auto"/>
            </w:tcBorders>
            <w:vAlign w:val="center"/>
          </w:tcPr>
          <w:p w14:paraId="174A1D47" w14:textId="77777777" w:rsidR="007F2F83" w:rsidRPr="003F1C93" w:rsidRDefault="007F2F83" w:rsidP="000E7C6F">
            <w:pPr>
              <w:jc w:val="center"/>
              <w:rPr>
                <w:sz w:val="16"/>
              </w:rPr>
            </w:pPr>
            <w:r>
              <w:rPr>
                <w:sz w:val="16"/>
              </w:rPr>
              <w:t>7</w:t>
            </w:r>
          </w:p>
        </w:tc>
        <w:tc>
          <w:tcPr>
            <w:tcW w:w="1822" w:type="dxa"/>
            <w:tcBorders>
              <w:bottom w:val="dotted" w:sz="4" w:space="0" w:color="auto"/>
            </w:tcBorders>
          </w:tcPr>
          <w:p w14:paraId="1151D7E1" w14:textId="5C71A196" w:rsidR="007F2F83" w:rsidRPr="00552D58" w:rsidRDefault="007F2F83" w:rsidP="000E7C6F">
            <w:pPr>
              <w:rPr>
                <w:i/>
                <w:sz w:val="16"/>
              </w:rPr>
            </w:pPr>
            <w:r w:rsidRPr="001F7E45">
              <w:rPr>
                <w:i/>
                <w:sz w:val="16"/>
              </w:rPr>
              <w:t xml:space="preserve">South East Queensland Regional </w:t>
            </w:r>
            <w:r w:rsidRPr="001F7E45">
              <w:rPr>
                <w:i/>
                <w:sz w:val="16"/>
              </w:rPr>
              <w:lastRenderedPageBreak/>
              <w:t>Plan 2016</w:t>
            </w:r>
          </w:p>
        </w:tc>
        <w:tc>
          <w:tcPr>
            <w:tcW w:w="1354" w:type="dxa"/>
            <w:tcBorders>
              <w:bottom w:val="dotted" w:sz="4" w:space="0" w:color="auto"/>
            </w:tcBorders>
            <w:vAlign w:val="center"/>
          </w:tcPr>
          <w:p w14:paraId="0BD3973A" w14:textId="77777777" w:rsidR="007F2F83" w:rsidRPr="00984401" w:rsidRDefault="007F2F83" w:rsidP="000E7C6F">
            <w:pPr>
              <w:jc w:val="center"/>
            </w:pPr>
          </w:p>
        </w:tc>
        <w:tc>
          <w:tcPr>
            <w:tcW w:w="1355" w:type="dxa"/>
            <w:gridSpan w:val="2"/>
            <w:tcBorders>
              <w:bottom w:val="dotted" w:sz="4" w:space="0" w:color="auto"/>
            </w:tcBorders>
            <w:vAlign w:val="center"/>
          </w:tcPr>
          <w:p w14:paraId="4F5D404B" w14:textId="77777777" w:rsidR="007F2F83" w:rsidRPr="00984401" w:rsidRDefault="007F2F83" w:rsidP="000E7C6F">
            <w:pPr>
              <w:jc w:val="center"/>
            </w:pPr>
            <w:r>
              <w:sym w:font="Wingdings" w:char="F0FC"/>
            </w:r>
          </w:p>
        </w:tc>
        <w:tc>
          <w:tcPr>
            <w:tcW w:w="1354" w:type="dxa"/>
            <w:tcBorders>
              <w:bottom w:val="dotted" w:sz="4" w:space="0" w:color="auto"/>
            </w:tcBorders>
            <w:vAlign w:val="center"/>
          </w:tcPr>
          <w:p w14:paraId="47786E3D" w14:textId="77777777" w:rsidR="007F2F83" w:rsidRPr="00984401" w:rsidRDefault="007F2F83" w:rsidP="000E7C6F">
            <w:pPr>
              <w:jc w:val="center"/>
            </w:pPr>
          </w:p>
        </w:tc>
        <w:tc>
          <w:tcPr>
            <w:tcW w:w="1355" w:type="dxa"/>
            <w:gridSpan w:val="2"/>
            <w:tcBorders>
              <w:bottom w:val="dotted" w:sz="4" w:space="0" w:color="auto"/>
            </w:tcBorders>
            <w:vAlign w:val="center"/>
          </w:tcPr>
          <w:p w14:paraId="7229F0B3" w14:textId="77777777" w:rsidR="007F2F83" w:rsidRPr="00984401" w:rsidRDefault="007F2F83" w:rsidP="000E7C6F">
            <w:pPr>
              <w:jc w:val="center"/>
            </w:pPr>
          </w:p>
        </w:tc>
        <w:tc>
          <w:tcPr>
            <w:tcW w:w="1356" w:type="dxa"/>
            <w:tcBorders>
              <w:bottom w:val="dotted" w:sz="4" w:space="0" w:color="auto"/>
              <w:right w:val="nil"/>
            </w:tcBorders>
            <w:vAlign w:val="center"/>
          </w:tcPr>
          <w:p w14:paraId="4E03FB5D" w14:textId="77777777" w:rsidR="007F2F83" w:rsidRPr="00984401" w:rsidRDefault="007F2F83" w:rsidP="000E7C6F">
            <w:pPr>
              <w:jc w:val="center"/>
            </w:pPr>
          </w:p>
        </w:tc>
      </w:tr>
      <w:tr w:rsidR="007F2F83" w14:paraId="565ADE29" w14:textId="77777777" w:rsidTr="00EA3612">
        <w:trPr>
          <w:jc w:val="center"/>
        </w:trPr>
        <w:tc>
          <w:tcPr>
            <w:tcW w:w="421" w:type="dxa"/>
            <w:tcBorders>
              <w:top w:val="dotted" w:sz="4" w:space="0" w:color="auto"/>
              <w:left w:val="nil"/>
              <w:bottom w:val="dotted" w:sz="4" w:space="0" w:color="auto"/>
            </w:tcBorders>
            <w:vAlign w:val="center"/>
          </w:tcPr>
          <w:p w14:paraId="6286F66B" w14:textId="77777777" w:rsidR="007F2F83" w:rsidRPr="003F1C93" w:rsidRDefault="007F2F83" w:rsidP="000E7C6F">
            <w:pPr>
              <w:jc w:val="center"/>
              <w:rPr>
                <w:sz w:val="16"/>
              </w:rPr>
            </w:pPr>
            <w:r>
              <w:rPr>
                <w:sz w:val="16"/>
              </w:rPr>
              <w:lastRenderedPageBreak/>
              <w:t>8</w:t>
            </w:r>
          </w:p>
        </w:tc>
        <w:tc>
          <w:tcPr>
            <w:tcW w:w="1822" w:type="dxa"/>
            <w:tcBorders>
              <w:top w:val="dotted" w:sz="4" w:space="0" w:color="auto"/>
              <w:bottom w:val="dotted" w:sz="4" w:space="0" w:color="auto"/>
            </w:tcBorders>
          </w:tcPr>
          <w:p w14:paraId="6EA8523E" w14:textId="77777777" w:rsidR="007F2F83" w:rsidRPr="00552D58" w:rsidRDefault="007F2F83" w:rsidP="000E7C6F">
            <w:pPr>
              <w:rPr>
                <w:i/>
                <w:sz w:val="16"/>
              </w:rPr>
            </w:pPr>
            <w:r w:rsidRPr="001F7E45">
              <w:rPr>
                <w:i/>
                <w:sz w:val="16"/>
              </w:rPr>
              <w:t>SEQ Regional Plan 2009-2031</w:t>
            </w:r>
          </w:p>
        </w:tc>
        <w:tc>
          <w:tcPr>
            <w:tcW w:w="1354" w:type="dxa"/>
            <w:tcBorders>
              <w:top w:val="dotted" w:sz="4" w:space="0" w:color="auto"/>
              <w:bottom w:val="dotted" w:sz="4" w:space="0" w:color="auto"/>
            </w:tcBorders>
            <w:vAlign w:val="center"/>
          </w:tcPr>
          <w:p w14:paraId="4A67F987"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11DC8431" w14:textId="77777777" w:rsidR="007F2F83" w:rsidRPr="00984401" w:rsidRDefault="007F2F83" w:rsidP="000E7C6F">
            <w:pPr>
              <w:jc w:val="center"/>
            </w:pPr>
          </w:p>
        </w:tc>
        <w:tc>
          <w:tcPr>
            <w:tcW w:w="1354" w:type="dxa"/>
            <w:tcBorders>
              <w:top w:val="dotted" w:sz="4" w:space="0" w:color="auto"/>
              <w:bottom w:val="dotted" w:sz="4" w:space="0" w:color="auto"/>
            </w:tcBorders>
            <w:vAlign w:val="center"/>
          </w:tcPr>
          <w:p w14:paraId="53C7FE9A"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3A7F39A1"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3DD2AD9B" w14:textId="77777777" w:rsidR="007F2F83" w:rsidRPr="00984401" w:rsidRDefault="007F2F83" w:rsidP="000E7C6F">
            <w:pPr>
              <w:jc w:val="center"/>
            </w:pPr>
            <w:r>
              <w:sym w:font="Wingdings" w:char="F0FC"/>
            </w:r>
          </w:p>
        </w:tc>
      </w:tr>
      <w:tr w:rsidR="007F2F83" w14:paraId="415AB4AA" w14:textId="77777777" w:rsidTr="00EA3612">
        <w:trPr>
          <w:jc w:val="center"/>
        </w:trPr>
        <w:tc>
          <w:tcPr>
            <w:tcW w:w="421" w:type="dxa"/>
            <w:tcBorders>
              <w:top w:val="dotted" w:sz="4" w:space="0" w:color="auto"/>
              <w:left w:val="nil"/>
              <w:bottom w:val="dotted" w:sz="4" w:space="0" w:color="auto"/>
            </w:tcBorders>
            <w:vAlign w:val="center"/>
          </w:tcPr>
          <w:p w14:paraId="7709B657" w14:textId="77777777" w:rsidR="007F2F83" w:rsidRPr="003F1C93" w:rsidRDefault="007F2F83" w:rsidP="000E7C6F">
            <w:pPr>
              <w:jc w:val="center"/>
              <w:rPr>
                <w:sz w:val="16"/>
              </w:rPr>
            </w:pPr>
            <w:r>
              <w:rPr>
                <w:sz w:val="16"/>
              </w:rPr>
              <w:t>9</w:t>
            </w:r>
          </w:p>
        </w:tc>
        <w:tc>
          <w:tcPr>
            <w:tcW w:w="1822" w:type="dxa"/>
            <w:tcBorders>
              <w:top w:val="dotted" w:sz="4" w:space="0" w:color="auto"/>
              <w:bottom w:val="dotted" w:sz="4" w:space="0" w:color="auto"/>
            </w:tcBorders>
          </w:tcPr>
          <w:p w14:paraId="4AA51394" w14:textId="77777777" w:rsidR="007F2F83" w:rsidRPr="00552D58" w:rsidRDefault="007F2F83" w:rsidP="000E7C6F">
            <w:pPr>
              <w:rPr>
                <w:i/>
                <w:sz w:val="16"/>
              </w:rPr>
            </w:pPr>
            <w:r w:rsidRPr="001F7E45">
              <w:rPr>
                <w:i/>
                <w:sz w:val="16"/>
              </w:rPr>
              <w:t xml:space="preserve">Connecting SEQ 2031 Integrated Transport Plan 2011 </w:t>
            </w:r>
          </w:p>
        </w:tc>
        <w:tc>
          <w:tcPr>
            <w:tcW w:w="1354" w:type="dxa"/>
            <w:tcBorders>
              <w:top w:val="dotted" w:sz="4" w:space="0" w:color="auto"/>
              <w:bottom w:val="dotted" w:sz="4" w:space="0" w:color="auto"/>
            </w:tcBorders>
            <w:vAlign w:val="center"/>
          </w:tcPr>
          <w:p w14:paraId="39ECE4DD"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5014D2CB" w14:textId="77777777" w:rsidR="007F2F83" w:rsidRPr="00984401" w:rsidRDefault="007F2F83" w:rsidP="000E7C6F">
            <w:pPr>
              <w:jc w:val="center"/>
            </w:pPr>
          </w:p>
        </w:tc>
        <w:tc>
          <w:tcPr>
            <w:tcW w:w="1354" w:type="dxa"/>
            <w:tcBorders>
              <w:top w:val="dotted" w:sz="4" w:space="0" w:color="auto"/>
              <w:bottom w:val="dotted" w:sz="4" w:space="0" w:color="auto"/>
            </w:tcBorders>
            <w:vAlign w:val="center"/>
          </w:tcPr>
          <w:p w14:paraId="49E78DC9"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53374244" w14:textId="77777777" w:rsidR="007F2F83" w:rsidRPr="00984401" w:rsidRDefault="007F2F83" w:rsidP="000E7C6F">
            <w:pPr>
              <w:jc w:val="center"/>
            </w:pPr>
          </w:p>
        </w:tc>
        <w:tc>
          <w:tcPr>
            <w:tcW w:w="1356" w:type="dxa"/>
            <w:tcBorders>
              <w:top w:val="dotted" w:sz="4" w:space="0" w:color="auto"/>
              <w:bottom w:val="dotted" w:sz="4" w:space="0" w:color="auto"/>
              <w:right w:val="nil"/>
            </w:tcBorders>
            <w:vAlign w:val="center"/>
          </w:tcPr>
          <w:p w14:paraId="09F61A46" w14:textId="77777777" w:rsidR="007F2F83" w:rsidRPr="00984401" w:rsidRDefault="007F2F83" w:rsidP="000E7C6F">
            <w:pPr>
              <w:jc w:val="center"/>
            </w:pPr>
            <w:r>
              <w:sym w:font="Wingdings" w:char="F0FC"/>
            </w:r>
          </w:p>
        </w:tc>
      </w:tr>
      <w:tr w:rsidR="007F2F83" w14:paraId="4A27B66A" w14:textId="77777777" w:rsidTr="00EA3612">
        <w:trPr>
          <w:jc w:val="center"/>
        </w:trPr>
        <w:tc>
          <w:tcPr>
            <w:tcW w:w="421" w:type="dxa"/>
            <w:tcBorders>
              <w:top w:val="dotted" w:sz="4" w:space="0" w:color="auto"/>
              <w:left w:val="nil"/>
            </w:tcBorders>
            <w:vAlign w:val="center"/>
          </w:tcPr>
          <w:p w14:paraId="4FD1B14D" w14:textId="77777777" w:rsidR="007F2F83" w:rsidRPr="003F1C93" w:rsidRDefault="007F2F83" w:rsidP="000E7C6F">
            <w:pPr>
              <w:jc w:val="center"/>
              <w:rPr>
                <w:sz w:val="16"/>
              </w:rPr>
            </w:pPr>
            <w:r>
              <w:rPr>
                <w:sz w:val="16"/>
              </w:rPr>
              <w:t>10</w:t>
            </w:r>
          </w:p>
        </w:tc>
        <w:tc>
          <w:tcPr>
            <w:tcW w:w="1822" w:type="dxa"/>
            <w:tcBorders>
              <w:top w:val="dotted" w:sz="4" w:space="0" w:color="auto"/>
            </w:tcBorders>
          </w:tcPr>
          <w:p w14:paraId="3A8BC51E" w14:textId="77777777" w:rsidR="007F2F83" w:rsidRPr="00552D58" w:rsidRDefault="007F2F83" w:rsidP="000E7C6F">
            <w:pPr>
              <w:rPr>
                <w:i/>
                <w:sz w:val="16"/>
              </w:rPr>
            </w:pPr>
            <w:r w:rsidRPr="001F7E45">
              <w:rPr>
                <w:i/>
                <w:sz w:val="16"/>
              </w:rPr>
              <w:t>SEQ Infrastructure Plan and Program 2010-2031</w:t>
            </w:r>
          </w:p>
        </w:tc>
        <w:tc>
          <w:tcPr>
            <w:tcW w:w="1354" w:type="dxa"/>
            <w:tcBorders>
              <w:top w:val="dotted" w:sz="4" w:space="0" w:color="auto"/>
            </w:tcBorders>
            <w:vAlign w:val="center"/>
          </w:tcPr>
          <w:p w14:paraId="1F15EA30" w14:textId="77777777" w:rsidR="007F2F83" w:rsidRPr="00984401" w:rsidRDefault="007F2F83" w:rsidP="000E7C6F">
            <w:pPr>
              <w:jc w:val="center"/>
            </w:pPr>
          </w:p>
        </w:tc>
        <w:tc>
          <w:tcPr>
            <w:tcW w:w="1355" w:type="dxa"/>
            <w:gridSpan w:val="2"/>
            <w:tcBorders>
              <w:top w:val="dotted" w:sz="4" w:space="0" w:color="auto"/>
            </w:tcBorders>
            <w:vAlign w:val="center"/>
          </w:tcPr>
          <w:p w14:paraId="26C6088F" w14:textId="77777777" w:rsidR="007F2F83" w:rsidRPr="00984401" w:rsidRDefault="007F2F83" w:rsidP="000E7C6F">
            <w:pPr>
              <w:jc w:val="center"/>
            </w:pPr>
          </w:p>
        </w:tc>
        <w:tc>
          <w:tcPr>
            <w:tcW w:w="1354" w:type="dxa"/>
            <w:tcBorders>
              <w:top w:val="dotted" w:sz="4" w:space="0" w:color="auto"/>
            </w:tcBorders>
            <w:vAlign w:val="center"/>
          </w:tcPr>
          <w:p w14:paraId="1643169D" w14:textId="77777777" w:rsidR="007F2F83" w:rsidRPr="00984401" w:rsidRDefault="007F2F83" w:rsidP="000E7C6F">
            <w:pPr>
              <w:jc w:val="center"/>
            </w:pPr>
            <w:r>
              <w:sym w:font="Wingdings" w:char="F0FC"/>
            </w:r>
          </w:p>
        </w:tc>
        <w:tc>
          <w:tcPr>
            <w:tcW w:w="1355" w:type="dxa"/>
            <w:gridSpan w:val="2"/>
            <w:tcBorders>
              <w:top w:val="dotted" w:sz="4" w:space="0" w:color="auto"/>
            </w:tcBorders>
            <w:vAlign w:val="center"/>
          </w:tcPr>
          <w:p w14:paraId="26C75583" w14:textId="77777777" w:rsidR="007F2F83" w:rsidRPr="00984401" w:rsidRDefault="007F2F83" w:rsidP="000E7C6F">
            <w:pPr>
              <w:jc w:val="center"/>
            </w:pPr>
          </w:p>
        </w:tc>
        <w:tc>
          <w:tcPr>
            <w:tcW w:w="1356" w:type="dxa"/>
            <w:tcBorders>
              <w:top w:val="dotted" w:sz="4" w:space="0" w:color="auto"/>
              <w:right w:val="nil"/>
            </w:tcBorders>
            <w:vAlign w:val="center"/>
          </w:tcPr>
          <w:p w14:paraId="48283936" w14:textId="77777777" w:rsidR="007F2F83" w:rsidRPr="00984401" w:rsidRDefault="007F2F83" w:rsidP="000E7C6F">
            <w:pPr>
              <w:jc w:val="center"/>
            </w:pPr>
          </w:p>
        </w:tc>
      </w:tr>
      <w:tr w:rsidR="007F2F83" w14:paraId="0FBBBA74" w14:textId="77777777" w:rsidTr="00EA3612">
        <w:trPr>
          <w:jc w:val="center"/>
        </w:trPr>
        <w:tc>
          <w:tcPr>
            <w:tcW w:w="9017" w:type="dxa"/>
            <w:gridSpan w:val="9"/>
            <w:tcBorders>
              <w:left w:val="nil"/>
              <w:right w:val="nil"/>
            </w:tcBorders>
            <w:shd w:val="clear" w:color="auto" w:fill="D9D9D9" w:themeFill="background1" w:themeFillShade="D9"/>
            <w:vAlign w:val="center"/>
          </w:tcPr>
          <w:p w14:paraId="708DECA0" w14:textId="77777777" w:rsidR="007F2F83" w:rsidRDefault="007F2F83" w:rsidP="000E7C6F">
            <w:r>
              <w:t>City Level</w:t>
            </w:r>
          </w:p>
        </w:tc>
      </w:tr>
      <w:tr w:rsidR="007F2F83" w14:paraId="163807FB" w14:textId="77777777" w:rsidTr="00EA3612">
        <w:trPr>
          <w:jc w:val="center"/>
        </w:trPr>
        <w:tc>
          <w:tcPr>
            <w:tcW w:w="421" w:type="dxa"/>
            <w:tcBorders>
              <w:left w:val="nil"/>
              <w:bottom w:val="dotted" w:sz="4" w:space="0" w:color="auto"/>
            </w:tcBorders>
            <w:vAlign w:val="center"/>
          </w:tcPr>
          <w:p w14:paraId="2FEC9F3A" w14:textId="77777777" w:rsidR="007F2F83" w:rsidRPr="003F1C93" w:rsidRDefault="007F2F83" w:rsidP="000E7C6F">
            <w:pPr>
              <w:jc w:val="center"/>
              <w:rPr>
                <w:sz w:val="16"/>
              </w:rPr>
            </w:pPr>
            <w:r>
              <w:rPr>
                <w:sz w:val="16"/>
              </w:rPr>
              <w:t>11</w:t>
            </w:r>
          </w:p>
        </w:tc>
        <w:tc>
          <w:tcPr>
            <w:tcW w:w="1822" w:type="dxa"/>
            <w:tcBorders>
              <w:bottom w:val="dotted" w:sz="4" w:space="0" w:color="auto"/>
            </w:tcBorders>
          </w:tcPr>
          <w:p w14:paraId="23A5388F" w14:textId="77777777" w:rsidR="007F2F83" w:rsidRPr="00552D58" w:rsidRDefault="007F2F83" w:rsidP="000E7C6F">
            <w:pPr>
              <w:rPr>
                <w:i/>
                <w:sz w:val="16"/>
              </w:rPr>
            </w:pPr>
            <w:r w:rsidRPr="004A0DF6">
              <w:rPr>
                <w:i/>
                <w:sz w:val="16"/>
              </w:rPr>
              <w:t>Brisbane City Plan 2014</w:t>
            </w:r>
          </w:p>
        </w:tc>
        <w:tc>
          <w:tcPr>
            <w:tcW w:w="1354" w:type="dxa"/>
            <w:tcBorders>
              <w:bottom w:val="dotted" w:sz="4" w:space="0" w:color="auto"/>
            </w:tcBorders>
            <w:vAlign w:val="center"/>
          </w:tcPr>
          <w:p w14:paraId="14777A2D" w14:textId="77777777" w:rsidR="007F2F83" w:rsidRPr="00984401" w:rsidRDefault="007F2F83" w:rsidP="000E7C6F">
            <w:pPr>
              <w:jc w:val="center"/>
            </w:pPr>
          </w:p>
        </w:tc>
        <w:tc>
          <w:tcPr>
            <w:tcW w:w="1355" w:type="dxa"/>
            <w:gridSpan w:val="2"/>
            <w:tcBorders>
              <w:bottom w:val="dotted" w:sz="4" w:space="0" w:color="auto"/>
            </w:tcBorders>
            <w:vAlign w:val="center"/>
          </w:tcPr>
          <w:p w14:paraId="4696DAFA" w14:textId="77777777" w:rsidR="007F2F83" w:rsidRPr="00984401" w:rsidRDefault="007F2F83" w:rsidP="000E7C6F">
            <w:pPr>
              <w:jc w:val="center"/>
            </w:pPr>
          </w:p>
        </w:tc>
        <w:tc>
          <w:tcPr>
            <w:tcW w:w="1354" w:type="dxa"/>
            <w:tcBorders>
              <w:bottom w:val="dotted" w:sz="4" w:space="0" w:color="auto"/>
            </w:tcBorders>
            <w:vAlign w:val="center"/>
          </w:tcPr>
          <w:p w14:paraId="245B7F5D" w14:textId="77777777" w:rsidR="007F2F83" w:rsidRPr="00984401" w:rsidRDefault="007F2F83" w:rsidP="000E7C6F">
            <w:pPr>
              <w:jc w:val="center"/>
            </w:pPr>
          </w:p>
        </w:tc>
        <w:tc>
          <w:tcPr>
            <w:tcW w:w="1355" w:type="dxa"/>
            <w:gridSpan w:val="2"/>
            <w:tcBorders>
              <w:bottom w:val="dotted" w:sz="4" w:space="0" w:color="auto"/>
            </w:tcBorders>
            <w:vAlign w:val="center"/>
          </w:tcPr>
          <w:p w14:paraId="6531E4C1" w14:textId="77777777" w:rsidR="007F2F83" w:rsidRPr="00984401" w:rsidRDefault="007F2F83" w:rsidP="000E7C6F">
            <w:pPr>
              <w:jc w:val="center"/>
            </w:pPr>
            <w:r>
              <w:sym w:font="Wingdings" w:char="F0FC"/>
            </w:r>
          </w:p>
        </w:tc>
        <w:tc>
          <w:tcPr>
            <w:tcW w:w="1356" w:type="dxa"/>
            <w:tcBorders>
              <w:bottom w:val="dotted" w:sz="4" w:space="0" w:color="auto"/>
              <w:right w:val="nil"/>
            </w:tcBorders>
            <w:vAlign w:val="center"/>
          </w:tcPr>
          <w:p w14:paraId="4621B560" w14:textId="77777777" w:rsidR="007F2F83" w:rsidRPr="00984401" w:rsidRDefault="007F2F83" w:rsidP="000E7C6F">
            <w:pPr>
              <w:jc w:val="center"/>
            </w:pPr>
          </w:p>
        </w:tc>
      </w:tr>
      <w:tr w:rsidR="007F2F83" w14:paraId="16B26390" w14:textId="77777777" w:rsidTr="00EA3612">
        <w:trPr>
          <w:jc w:val="center"/>
        </w:trPr>
        <w:tc>
          <w:tcPr>
            <w:tcW w:w="421" w:type="dxa"/>
            <w:tcBorders>
              <w:top w:val="dotted" w:sz="4" w:space="0" w:color="auto"/>
              <w:left w:val="nil"/>
              <w:bottom w:val="dotted" w:sz="4" w:space="0" w:color="auto"/>
            </w:tcBorders>
            <w:vAlign w:val="center"/>
          </w:tcPr>
          <w:p w14:paraId="7E96F56E" w14:textId="77777777" w:rsidR="007F2F83" w:rsidRPr="003F1C93" w:rsidRDefault="007F2F83" w:rsidP="000E7C6F">
            <w:pPr>
              <w:jc w:val="center"/>
              <w:rPr>
                <w:sz w:val="16"/>
              </w:rPr>
            </w:pPr>
            <w:r>
              <w:rPr>
                <w:sz w:val="16"/>
              </w:rPr>
              <w:t>12</w:t>
            </w:r>
          </w:p>
        </w:tc>
        <w:tc>
          <w:tcPr>
            <w:tcW w:w="1822" w:type="dxa"/>
            <w:tcBorders>
              <w:top w:val="dotted" w:sz="4" w:space="0" w:color="auto"/>
              <w:bottom w:val="dotted" w:sz="4" w:space="0" w:color="auto"/>
            </w:tcBorders>
          </w:tcPr>
          <w:p w14:paraId="00528795" w14:textId="77777777" w:rsidR="007F2F83" w:rsidRPr="004A0DF6" w:rsidRDefault="007F2F83" w:rsidP="000E7C6F">
            <w:pPr>
              <w:rPr>
                <w:i/>
                <w:sz w:val="16"/>
              </w:rPr>
            </w:pPr>
            <w:r w:rsidRPr="004A0DF6">
              <w:rPr>
                <w:i/>
                <w:sz w:val="16"/>
              </w:rPr>
              <w:t>Brisbane Long Term Infrastructural Plan 2012-2031</w:t>
            </w:r>
          </w:p>
        </w:tc>
        <w:tc>
          <w:tcPr>
            <w:tcW w:w="1354" w:type="dxa"/>
            <w:tcBorders>
              <w:top w:val="dotted" w:sz="4" w:space="0" w:color="auto"/>
              <w:bottom w:val="dotted" w:sz="4" w:space="0" w:color="auto"/>
            </w:tcBorders>
            <w:vAlign w:val="center"/>
          </w:tcPr>
          <w:p w14:paraId="7928141A"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11981366" w14:textId="77777777" w:rsidR="007F2F83" w:rsidRPr="00984401" w:rsidRDefault="007F2F83" w:rsidP="000E7C6F">
            <w:pPr>
              <w:jc w:val="center"/>
            </w:pPr>
          </w:p>
        </w:tc>
        <w:tc>
          <w:tcPr>
            <w:tcW w:w="1354" w:type="dxa"/>
            <w:tcBorders>
              <w:top w:val="dotted" w:sz="4" w:space="0" w:color="auto"/>
              <w:bottom w:val="dotted" w:sz="4" w:space="0" w:color="auto"/>
            </w:tcBorders>
            <w:vAlign w:val="center"/>
          </w:tcPr>
          <w:p w14:paraId="122CEBC7"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605DDBDA" w14:textId="77777777" w:rsidR="007F2F83" w:rsidRPr="00984401" w:rsidRDefault="007F2F83" w:rsidP="000E7C6F">
            <w:pPr>
              <w:jc w:val="center"/>
            </w:pPr>
            <w:r>
              <w:sym w:font="Wingdings" w:char="F0FC"/>
            </w:r>
          </w:p>
        </w:tc>
        <w:tc>
          <w:tcPr>
            <w:tcW w:w="1356" w:type="dxa"/>
            <w:tcBorders>
              <w:top w:val="dotted" w:sz="4" w:space="0" w:color="auto"/>
              <w:bottom w:val="dotted" w:sz="4" w:space="0" w:color="auto"/>
              <w:right w:val="nil"/>
            </w:tcBorders>
            <w:vAlign w:val="center"/>
          </w:tcPr>
          <w:p w14:paraId="0BC81AA2" w14:textId="77777777" w:rsidR="007F2F83" w:rsidRPr="00984401" w:rsidRDefault="007F2F83" w:rsidP="000E7C6F">
            <w:pPr>
              <w:jc w:val="center"/>
            </w:pPr>
          </w:p>
        </w:tc>
      </w:tr>
      <w:tr w:rsidR="007F2F83" w14:paraId="55946A0E" w14:textId="77777777" w:rsidTr="00EA3612">
        <w:trPr>
          <w:jc w:val="center"/>
        </w:trPr>
        <w:tc>
          <w:tcPr>
            <w:tcW w:w="421" w:type="dxa"/>
            <w:tcBorders>
              <w:top w:val="dotted" w:sz="4" w:space="0" w:color="auto"/>
              <w:left w:val="nil"/>
              <w:bottom w:val="dotted" w:sz="4" w:space="0" w:color="auto"/>
            </w:tcBorders>
            <w:vAlign w:val="center"/>
          </w:tcPr>
          <w:p w14:paraId="54A25351" w14:textId="77777777" w:rsidR="007F2F83" w:rsidRPr="003F1C93" w:rsidRDefault="007F2F83" w:rsidP="000E7C6F">
            <w:pPr>
              <w:jc w:val="center"/>
              <w:rPr>
                <w:sz w:val="16"/>
              </w:rPr>
            </w:pPr>
            <w:r>
              <w:rPr>
                <w:sz w:val="16"/>
              </w:rPr>
              <w:t>13</w:t>
            </w:r>
          </w:p>
        </w:tc>
        <w:tc>
          <w:tcPr>
            <w:tcW w:w="1822" w:type="dxa"/>
            <w:tcBorders>
              <w:top w:val="dotted" w:sz="4" w:space="0" w:color="auto"/>
              <w:bottom w:val="dotted" w:sz="4" w:space="0" w:color="auto"/>
            </w:tcBorders>
          </w:tcPr>
          <w:p w14:paraId="7263399E" w14:textId="77777777" w:rsidR="007F2F83" w:rsidRPr="004A0DF6" w:rsidRDefault="007F2F83" w:rsidP="000E7C6F">
            <w:pPr>
              <w:rPr>
                <w:i/>
                <w:sz w:val="16"/>
              </w:rPr>
            </w:pPr>
            <w:r w:rsidRPr="004A0DF6">
              <w:rPr>
                <w:i/>
                <w:sz w:val="16"/>
              </w:rPr>
              <w:t>Transport Plan for Brisbane 2008-2026</w:t>
            </w:r>
          </w:p>
        </w:tc>
        <w:tc>
          <w:tcPr>
            <w:tcW w:w="1354" w:type="dxa"/>
            <w:tcBorders>
              <w:top w:val="dotted" w:sz="4" w:space="0" w:color="auto"/>
              <w:bottom w:val="dotted" w:sz="4" w:space="0" w:color="auto"/>
            </w:tcBorders>
            <w:vAlign w:val="center"/>
          </w:tcPr>
          <w:p w14:paraId="63A65184"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7E921D2D" w14:textId="77777777" w:rsidR="007F2F83" w:rsidRPr="00984401" w:rsidRDefault="007F2F83" w:rsidP="000E7C6F">
            <w:pPr>
              <w:jc w:val="center"/>
            </w:pPr>
          </w:p>
        </w:tc>
        <w:tc>
          <w:tcPr>
            <w:tcW w:w="1354" w:type="dxa"/>
            <w:tcBorders>
              <w:top w:val="dotted" w:sz="4" w:space="0" w:color="auto"/>
              <w:bottom w:val="dotted" w:sz="4" w:space="0" w:color="auto"/>
            </w:tcBorders>
            <w:vAlign w:val="center"/>
          </w:tcPr>
          <w:p w14:paraId="46763A96" w14:textId="77777777" w:rsidR="007F2F83" w:rsidRPr="00984401" w:rsidRDefault="007F2F83" w:rsidP="000E7C6F">
            <w:pPr>
              <w:jc w:val="center"/>
            </w:pPr>
          </w:p>
        </w:tc>
        <w:tc>
          <w:tcPr>
            <w:tcW w:w="1355" w:type="dxa"/>
            <w:gridSpan w:val="2"/>
            <w:tcBorders>
              <w:top w:val="dotted" w:sz="4" w:space="0" w:color="auto"/>
              <w:bottom w:val="dotted" w:sz="4" w:space="0" w:color="auto"/>
            </w:tcBorders>
            <w:vAlign w:val="center"/>
          </w:tcPr>
          <w:p w14:paraId="40B2746B" w14:textId="77777777" w:rsidR="007F2F83" w:rsidRPr="00984401" w:rsidRDefault="007F2F83" w:rsidP="000E7C6F">
            <w:pPr>
              <w:jc w:val="center"/>
            </w:pPr>
            <w:r>
              <w:sym w:font="Wingdings" w:char="F0FC"/>
            </w:r>
          </w:p>
        </w:tc>
        <w:tc>
          <w:tcPr>
            <w:tcW w:w="1356" w:type="dxa"/>
            <w:tcBorders>
              <w:top w:val="dotted" w:sz="4" w:space="0" w:color="auto"/>
              <w:bottom w:val="dotted" w:sz="4" w:space="0" w:color="auto"/>
              <w:right w:val="nil"/>
            </w:tcBorders>
            <w:vAlign w:val="center"/>
          </w:tcPr>
          <w:p w14:paraId="1929043D" w14:textId="77777777" w:rsidR="007F2F83" w:rsidRPr="00984401" w:rsidRDefault="007F2F83" w:rsidP="000E7C6F">
            <w:pPr>
              <w:jc w:val="center"/>
            </w:pPr>
          </w:p>
        </w:tc>
      </w:tr>
      <w:tr w:rsidR="007F2F83" w14:paraId="0C1F4FDC" w14:textId="77777777" w:rsidTr="00EA3612">
        <w:trPr>
          <w:jc w:val="center"/>
        </w:trPr>
        <w:tc>
          <w:tcPr>
            <w:tcW w:w="421" w:type="dxa"/>
            <w:tcBorders>
              <w:top w:val="dotted" w:sz="4" w:space="0" w:color="auto"/>
              <w:left w:val="nil"/>
            </w:tcBorders>
            <w:vAlign w:val="center"/>
          </w:tcPr>
          <w:p w14:paraId="39B58962" w14:textId="77777777" w:rsidR="007F2F83" w:rsidRPr="003F1C93" w:rsidRDefault="007F2F83" w:rsidP="000E7C6F">
            <w:pPr>
              <w:jc w:val="center"/>
              <w:rPr>
                <w:sz w:val="16"/>
              </w:rPr>
            </w:pPr>
            <w:r>
              <w:rPr>
                <w:sz w:val="16"/>
              </w:rPr>
              <w:t>14</w:t>
            </w:r>
          </w:p>
        </w:tc>
        <w:tc>
          <w:tcPr>
            <w:tcW w:w="1822" w:type="dxa"/>
            <w:tcBorders>
              <w:top w:val="dotted" w:sz="4" w:space="0" w:color="auto"/>
            </w:tcBorders>
          </w:tcPr>
          <w:p w14:paraId="04643678" w14:textId="77777777" w:rsidR="007F2F83" w:rsidRPr="004A0DF6" w:rsidRDefault="007F2F83" w:rsidP="000E7C6F">
            <w:pPr>
              <w:rPr>
                <w:i/>
                <w:sz w:val="16"/>
              </w:rPr>
            </w:pPr>
            <w:r w:rsidRPr="004A0DF6">
              <w:rPr>
                <w:i/>
                <w:sz w:val="16"/>
              </w:rPr>
              <w:t>Brisbane’s Plan for Action on Climate Change and Energy 2007</w:t>
            </w:r>
          </w:p>
        </w:tc>
        <w:tc>
          <w:tcPr>
            <w:tcW w:w="1354" w:type="dxa"/>
            <w:tcBorders>
              <w:top w:val="dotted" w:sz="4" w:space="0" w:color="auto"/>
            </w:tcBorders>
            <w:vAlign w:val="center"/>
          </w:tcPr>
          <w:p w14:paraId="138A401C" w14:textId="77777777" w:rsidR="007F2F83" w:rsidRPr="00984401" w:rsidRDefault="007F2F83" w:rsidP="000E7C6F">
            <w:pPr>
              <w:jc w:val="center"/>
            </w:pPr>
          </w:p>
        </w:tc>
        <w:tc>
          <w:tcPr>
            <w:tcW w:w="1355" w:type="dxa"/>
            <w:gridSpan w:val="2"/>
            <w:tcBorders>
              <w:top w:val="dotted" w:sz="4" w:space="0" w:color="auto"/>
            </w:tcBorders>
            <w:vAlign w:val="center"/>
          </w:tcPr>
          <w:p w14:paraId="39CA3396" w14:textId="77777777" w:rsidR="007F2F83" w:rsidRPr="00984401" w:rsidRDefault="007F2F83" w:rsidP="000E7C6F">
            <w:pPr>
              <w:jc w:val="center"/>
            </w:pPr>
          </w:p>
        </w:tc>
        <w:tc>
          <w:tcPr>
            <w:tcW w:w="1354" w:type="dxa"/>
            <w:tcBorders>
              <w:top w:val="dotted" w:sz="4" w:space="0" w:color="auto"/>
            </w:tcBorders>
            <w:vAlign w:val="center"/>
          </w:tcPr>
          <w:p w14:paraId="1D29CAED" w14:textId="77777777" w:rsidR="007F2F83" w:rsidRPr="00984401" w:rsidRDefault="007F2F83" w:rsidP="000E7C6F">
            <w:pPr>
              <w:jc w:val="center"/>
            </w:pPr>
          </w:p>
        </w:tc>
        <w:tc>
          <w:tcPr>
            <w:tcW w:w="1355" w:type="dxa"/>
            <w:gridSpan w:val="2"/>
            <w:tcBorders>
              <w:top w:val="dotted" w:sz="4" w:space="0" w:color="auto"/>
            </w:tcBorders>
            <w:vAlign w:val="center"/>
          </w:tcPr>
          <w:p w14:paraId="675A99DF" w14:textId="77777777" w:rsidR="007F2F83" w:rsidRPr="00984401" w:rsidRDefault="007F2F83" w:rsidP="000E7C6F">
            <w:pPr>
              <w:jc w:val="center"/>
            </w:pPr>
            <w:r>
              <w:sym w:font="Wingdings" w:char="F0FC"/>
            </w:r>
          </w:p>
        </w:tc>
        <w:tc>
          <w:tcPr>
            <w:tcW w:w="1356" w:type="dxa"/>
            <w:tcBorders>
              <w:top w:val="dotted" w:sz="4" w:space="0" w:color="auto"/>
              <w:right w:val="nil"/>
            </w:tcBorders>
            <w:vAlign w:val="center"/>
          </w:tcPr>
          <w:p w14:paraId="19CDED8F" w14:textId="77777777" w:rsidR="007F2F83" w:rsidRPr="00984401" w:rsidRDefault="007F2F83" w:rsidP="000E7C6F">
            <w:pPr>
              <w:jc w:val="center"/>
            </w:pPr>
          </w:p>
        </w:tc>
      </w:tr>
      <w:tr w:rsidR="007F2F83" w14:paraId="70D1353E" w14:textId="77777777" w:rsidTr="00EA3612">
        <w:trPr>
          <w:trHeight w:val="462"/>
          <w:jc w:val="center"/>
        </w:trPr>
        <w:tc>
          <w:tcPr>
            <w:tcW w:w="2243" w:type="dxa"/>
            <w:gridSpan w:val="2"/>
            <w:tcBorders>
              <w:left w:val="nil"/>
            </w:tcBorders>
            <w:vAlign w:val="center"/>
          </w:tcPr>
          <w:p w14:paraId="28475449" w14:textId="77777777" w:rsidR="007F2F83" w:rsidRPr="000B01F2" w:rsidRDefault="007F2F83" w:rsidP="000E7C6F">
            <w:pPr>
              <w:jc w:val="right"/>
              <w:rPr>
                <w:b/>
              </w:rPr>
            </w:pPr>
            <w:r w:rsidRPr="000B01F2">
              <w:rPr>
                <w:b/>
                <w:sz w:val="18"/>
              </w:rPr>
              <w:t xml:space="preserve">Overall </w:t>
            </w:r>
            <w:r>
              <w:rPr>
                <w:b/>
                <w:sz w:val="18"/>
              </w:rPr>
              <w:t xml:space="preserve">Score: </w:t>
            </w:r>
            <w:r w:rsidRPr="000B01F2">
              <w:rPr>
                <w:b/>
                <w:sz w:val="18"/>
              </w:rPr>
              <w:t>28/56 (50%)</w:t>
            </w:r>
          </w:p>
        </w:tc>
        <w:tc>
          <w:tcPr>
            <w:tcW w:w="1354" w:type="dxa"/>
            <w:vAlign w:val="center"/>
          </w:tcPr>
          <w:p w14:paraId="5379322F" w14:textId="77777777" w:rsidR="007F2F83" w:rsidRDefault="005F2CB6" w:rsidP="000E7C6F">
            <w:pPr>
              <w:jc w:val="center"/>
            </w:pPr>
            <w:r>
              <w:t>0</w:t>
            </w:r>
          </w:p>
        </w:tc>
        <w:tc>
          <w:tcPr>
            <w:tcW w:w="1355" w:type="dxa"/>
            <w:gridSpan w:val="2"/>
            <w:vAlign w:val="center"/>
          </w:tcPr>
          <w:p w14:paraId="6B8721B8" w14:textId="77777777" w:rsidR="007F2F83" w:rsidRDefault="007F2F83" w:rsidP="000E7C6F">
            <w:pPr>
              <w:jc w:val="center"/>
            </w:pPr>
            <w:r>
              <w:t>6</w:t>
            </w:r>
          </w:p>
        </w:tc>
        <w:tc>
          <w:tcPr>
            <w:tcW w:w="1354" w:type="dxa"/>
            <w:vAlign w:val="center"/>
          </w:tcPr>
          <w:p w14:paraId="3A257838" w14:textId="77777777" w:rsidR="007F2F83" w:rsidRDefault="007F2F83" w:rsidP="000E7C6F">
            <w:pPr>
              <w:jc w:val="center"/>
            </w:pPr>
            <w:r>
              <w:t>2</w:t>
            </w:r>
          </w:p>
        </w:tc>
        <w:tc>
          <w:tcPr>
            <w:tcW w:w="1355" w:type="dxa"/>
            <w:gridSpan w:val="2"/>
            <w:vAlign w:val="center"/>
          </w:tcPr>
          <w:p w14:paraId="4A81D73B" w14:textId="77777777" w:rsidR="007F2F83" w:rsidRDefault="007F2F83" w:rsidP="000E7C6F">
            <w:pPr>
              <w:jc w:val="center"/>
            </w:pPr>
            <w:r>
              <w:t>12</w:t>
            </w:r>
          </w:p>
        </w:tc>
        <w:tc>
          <w:tcPr>
            <w:tcW w:w="1356" w:type="dxa"/>
            <w:tcBorders>
              <w:right w:val="nil"/>
            </w:tcBorders>
            <w:vAlign w:val="center"/>
          </w:tcPr>
          <w:p w14:paraId="722AD8EF" w14:textId="77777777" w:rsidR="007F2F83" w:rsidRDefault="007F2F83" w:rsidP="000E7C6F">
            <w:pPr>
              <w:jc w:val="center"/>
            </w:pPr>
            <w:r>
              <w:t>8</w:t>
            </w:r>
          </w:p>
        </w:tc>
      </w:tr>
      <w:tr w:rsidR="007F2F83" w:rsidRPr="001F7E45" w14:paraId="53AFBB2E" w14:textId="77777777" w:rsidTr="00EA3612">
        <w:trPr>
          <w:jc w:val="center"/>
        </w:trPr>
        <w:tc>
          <w:tcPr>
            <w:tcW w:w="9017" w:type="dxa"/>
            <w:gridSpan w:val="9"/>
            <w:tcBorders>
              <w:left w:val="nil"/>
              <w:right w:val="nil"/>
            </w:tcBorders>
            <w:shd w:val="clear" w:color="auto" w:fill="F7CAAC" w:themeFill="accent2" w:themeFillTint="66"/>
          </w:tcPr>
          <w:p w14:paraId="24F4856F" w14:textId="77777777" w:rsidR="007F2F83" w:rsidRPr="001F7E45" w:rsidRDefault="007F2F83" w:rsidP="000E7C6F">
            <w:pPr>
              <w:rPr>
                <w:b/>
              </w:rPr>
            </w:pPr>
            <w:r w:rsidRPr="001F7E45">
              <w:rPr>
                <w:b/>
              </w:rPr>
              <w:t>Victoria</w:t>
            </w:r>
          </w:p>
        </w:tc>
      </w:tr>
      <w:tr w:rsidR="007F2F83" w14:paraId="57A75F17" w14:textId="77777777" w:rsidTr="00EA3612">
        <w:trPr>
          <w:jc w:val="center"/>
        </w:trPr>
        <w:tc>
          <w:tcPr>
            <w:tcW w:w="9017" w:type="dxa"/>
            <w:gridSpan w:val="9"/>
            <w:tcBorders>
              <w:left w:val="nil"/>
              <w:right w:val="nil"/>
            </w:tcBorders>
            <w:shd w:val="clear" w:color="auto" w:fill="D9D9D9" w:themeFill="background1" w:themeFillShade="D9"/>
          </w:tcPr>
          <w:p w14:paraId="17ACB4F8" w14:textId="77777777" w:rsidR="007F2F83" w:rsidRDefault="007F2F83" w:rsidP="000E7C6F">
            <w:r>
              <w:t>State Level</w:t>
            </w:r>
          </w:p>
        </w:tc>
      </w:tr>
      <w:tr w:rsidR="007F2F83" w14:paraId="2649DDBE" w14:textId="77777777" w:rsidTr="00EA3612">
        <w:trPr>
          <w:jc w:val="center"/>
        </w:trPr>
        <w:tc>
          <w:tcPr>
            <w:tcW w:w="421" w:type="dxa"/>
            <w:tcBorders>
              <w:left w:val="nil"/>
              <w:bottom w:val="dotted" w:sz="4" w:space="0" w:color="auto"/>
            </w:tcBorders>
            <w:vAlign w:val="center"/>
          </w:tcPr>
          <w:p w14:paraId="4AF7DCC2" w14:textId="77777777" w:rsidR="007F2F83" w:rsidRPr="00AB05B9" w:rsidRDefault="007F2F83" w:rsidP="000E7C6F">
            <w:pPr>
              <w:rPr>
                <w:sz w:val="16"/>
              </w:rPr>
            </w:pPr>
            <w:r w:rsidRPr="00AB05B9">
              <w:rPr>
                <w:sz w:val="16"/>
              </w:rPr>
              <w:t>1</w:t>
            </w:r>
          </w:p>
        </w:tc>
        <w:tc>
          <w:tcPr>
            <w:tcW w:w="1822" w:type="dxa"/>
            <w:tcBorders>
              <w:bottom w:val="dotted" w:sz="4" w:space="0" w:color="auto"/>
            </w:tcBorders>
          </w:tcPr>
          <w:p w14:paraId="21DCCB6E" w14:textId="77777777" w:rsidR="007F2F83" w:rsidRPr="00552D58" w:rsidRDefault="007F2F83" w:rsidP="000E7C6F">
            <w:pPr>
              <w:rPr>
                <w:i/>
                <w:sz w:val="16"/>
              </w:rPr>
            </w:pPr>
            <w:r w:rsidRPr="007725FD">
              <w:rPr>
                <w:i/>
                <w:sz w:val="16"/>
              </w:rPr>
              <w:t>Victoria Planning Provisions (update May 2017)</w:t>
            </w:r>
          </w:p>
        </w:tc>
        <w:tc>
          <w:tcPr>
            <w:tcW w:w="1354" w:type="dxa"/>
            <w:tcBorders>
              <w:bottom w:val="dotted" w:sz="4" w:space="0" w:color="auto"/>
            </w:tcBorders>
            <w:vAlign w:val="center"/>
          </w:tcPr>
          <w:p w14:paraId="2E750358" w14:textId="77777777" w:rsidR="007F2F83" w:rsidRDefault="007F2F83" w:rsidP="000E7C6F">
            <w:pPr>
              <w:jc w:val="center"/>
            </w:pPr>
          </w:p>
        </w:tc>
        <w:tc>
          <w:tcPr>
            <w:tcW w:w="1355" w:type="dxa"/>
            <w:gridSpan w:val="2"/>
            <w:tcBorders>
              <w:bottom w:val="dotted" w:sz="4" w:space="0" w:color="auto"/>
            </w:tcBorders>
            <w:vAlign w:val="center"/>
          </w:tcPr>
          <w:p w14:paraId="5A0E0C47" w14:textId="77777777" w:rsidR="007F2F83" w:rsidRDefault="007F2F83" w:rsidP="000E7C6F">
            <w:pPr>
              <w:jc w:val="center"/>
            </w:pPr>
          </w:p>
        </w:tc>
        <w:tc>
          <w:tcPr>
            <w:tcW w:w="1354" w:type="dxa"/>
            <w:tcBorders>
              <w:bottom w:val="dotted" w:sz="4" w:space="0" w:color="auto"/>
            </w:tcBorders>
            <w:vAlign w:val="center"/>
          </w:tcPr>
          <w:p w14:paraId="67F9DA4E" w14:textId="77777777" w:rsidR="007F2F83" w:rsidRDefault="007F2F83" w:rsidP="000E7C6F">
            <w:pPr>
              <w:jc w:val="center"/>
            </w:pPr>
            <w:r>
              <w:sym w:font="Wingdings" w:char="F0FC"/>
            </w:r>
          </w:p>
        </w:tc>
        <w:tc>
          <w:tcPr>
            <w:tcW w:w="1355" w:type="dxa"/>
            <w:gridSpan w:val="2"/>
            <w:tcBorders>
              <w:bottom w:val="dotted" w:sz="4" w:space="0" w:color="auto"/>
            </w:tcBorders>
            <w:vAlign w:val="center"/>
          </w:tcPr>
          <w:p w14:paraId="7738CC5B" w14:textId="77777777" w:rsidR="007F2F83" w:rsidRDefault="007F2F83" w:rsidP="000E7C6F">
            <w:pPr>
              <w:jc w:val="center"/>
            </w:pPr>
          </w:p>
        </w:tc>
        <w:tc>
          <w:tcPr>
            <w:tcW w:w="1356" w:type="dxa"/>
            <w:tcBorders>
              <w:bottom w:val="dotted" w:sz="4" w:space="0" w:color="auto"/>
              <w:right w:val="nil"/>
            </w:tcBorders>
            <w:vAlign w:val="center"/>
          </w:tcPr>
          <w:p w14:paraId="5904C015" w14:textId="77777777" w:rsidR="007F2F83" w:rsidRDefault="007F2F83" w:rsidP="000E7C6F">
            <w:pPr>
              <w:jc w:val="center"/>
            </w:pPr>
          </w:p>
        </w:tc>
      </w:tr>
      <w:tr w:rsidR="007F2F83" w14:paraId="7DF8C202" w14:textId="77777777" w:rsidTr="00EA3612">
        <w:trPr>
          <w:jc w:val="center"/>
        </w:trPr>
        <w:tc>
          <w:tcPr>
            <w:tcW w:w="421" w:type="dxa"/>
            <w:tcBorders>
              <w:top w:val="dotted" w:sz="4" w:space="0" w:color="auto"/>
              <w:left w:val="nil"/>
              <w:bottom w:val="dotted" w:sz="4" w:space="0" w:color="auto"/>
            </w:tcBorders>
            <w:vAlign w:val="center"/>
          </w:tcPr>
          <w:p w14:paraId="7ACC7C04" w14:textId="77777777" w:rsidR="007F2F83" w:rsidRPr="00AB05B9" w:rsidRDefault="007F2F83" w:rsidP="000E7C6F">
            <w:pPr>
              <w:rPr>
                <w:sz w:val="16"/>
              </w:rPr>
            </w:pPr>
            <w:r w:rsidRPr="00AB05B9">
              <w:rPr>
                <w:sz w:val="16"/>
              </w:rPr>
              <w:t>2</w:t>
            </w:r>
          </w:p>
        </w:tc>
        <w:tc>
          <w:tcPr>
            <w:tcW w:w="1822" w:type="dxa"/>
            <w:tcBorders>
              <w:top w:val="dotted" w:sz="4" w:space="0" w:color="auto"/>
              <w:bottom w:val="dotted" w:sz="4" w:space="0" w:color="auto"/>
            </w:tcBorders>
          </w:tcPr>
          <w:p w14:paraId="11BE95EC" w14:textId="77777777" w:rsidR="007F2F83" w:rsidRPr="00552D58" w:rsidRDefault="007F2F83" w:rsidP="000E7C6F">
            <w:pPr>
              <w:rPr>
                <w:i/>
                <w:sz w:val="16"/>
              </w:rPr>
            </w:pPr>
            <w:r w:rsidRPr="007725FD">
              <w:rPr>
                <w:i/>
                <w:sz w:val="16"/>
              </w:rPr>
              <w:t>Infrastructure Victoria 30-year Infrastructure Strategy</w:t>
            </w:r>
            <w:r>
              <w:rPr>
                <w:i/>
                <w:sz w:val="16"/>
              </w:rPr>
              <w:t xml:space="preserve"> </w:t>
            </w:r>
            <w:r w:rsidRPr="007725FD">
              <w:rPr>
                <w:i/>
                <w:sz w:val="16"/>
              </w:rPr>
              <w:t>(2016)</w:t>
            </w:r>
          </w:p>
        </w:tc>
        <w:tc>
          <w:tcPr>
            <w:tcW w:w="1354" w:type="dxa"/>
            <w:tcBorders>
              <w:top w:val="dotted" w:sz="4" w:space="0" w:color="auto"/>
              <w:bottom w:val="dotted" w:sz="4" w:space="0" w:color="auto"/>
            </w:tcBorders>
            <w:vAlign w:val="center"/>
          </w:tcPr>
          <w:p w14:paraId="578A4AEF"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6F69A89C" w14:textId="77777777" w:rsidR="007F2F83" w:rsidRDefault="007F2F83" w:rsidP="000E7C6F">
            <w:pPr>
              <w:jc w:val="center"/>
            </w:pPr>
            <w:r>
              <w:sym w:font="Wingdings" w:char="F0FC"/>
            </w:r>
          </w:p>
        </w:tc>
        <w:tc>
          <w:tcPr>
            <w:tcW w:w="1354" w:type="dxa"/>
            <w:tcBorders>
              <w:top w:val="dotted" w:sz="4" w:space="0" w:color="auto"/>
              <w:bottom w:val="dotted" w:sz="4" w:space="0" w:color="auto"/>
            </w:tcBorders>
            <w:vAlign w:val="center"/>
          </w:tcPr>
          <w:p w14:paraId="43765731"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2DFBC9A5"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2F73866D" w14:textId="77777777" w:rsidR="007F2F83" w:rsidRDefault="007F2F83" w:rsidP="000E7C6F">
            <w:pPr>
              <w:jc w:val="center"/>
            </w:pPr>
          </w:p>
        </w:tc>
      </w:tr>
      <w:tr w:rsidR="007F2F83" w14:paraId="5983FDDB" w14:textId="77777777" w:rsidTr="00EA3612">
        <w:trPr>
          <w:jc w:val="center"/>
        </w:trPr>
        <w:tc>
          <w:tcPr>
            <w:tcW w:w="421" w:type="dxa"/>
            <w:tcBorders>
              <w:top w:val="dotted" w:sz="4" w:space="0" w:color="auto"/>
              <w:left w:val="nil"/>
              <w:bottom w:val="dotted" w:sz="4" w:space="0" w:color="auto"/>
            </w:tcBorders>
            <w:vAlign w:val="center"/>
          </w:tcPr>
          <w:p w14:paraId="4B37D2B1" w14:textId="77777777" w:rsidR="007F2F83" w:rsidRPr="00AB05B9" w:rsidRDefault="007F2F83" w:rsidP="000E7C6F">
            <w:pPr>
              <w:rPr>
                <w:sz w:val="16"/>
              </w:rPr>
            </w:pPr>
            <w:r w:rsidRPr="00AB05B9">
              <w:rPr>
                <w:sz w:val="16"/>
              </w:rPr>
              <w:t>3</w:t>
            </w:r>
          </w:p>
        </w:tc>
        <w:tc>
          <w:tcPr>
            <w:tcW w:w="1822" w:type="dxa"/>
            <w:tcBorders>
              <w:top w:val="dotted" w:sz="4" w:space="0" w:color="auto"/>
              <w:bottom w:val="dotted" w:sz="4" w:space="0" w:color="auto"/>
            </w:tcBorders>
          </w:tcPr>
          <w:p w14:paraId="379AB5D4" w14:textId="77777777" w:rsidR="007F2F83" w:rsidRPr="00552D58" w:rsidRDefault="007F2F83" w:rsidP="000E7C6F">
            <w:pPr>
              <w:rPr>
                <w:i/>
                <w:sz w:val="16"/>
              </w:rPr>
            </w:pPr>
            <w:r w:rsidRPr="007725FD">
              <w:rPr>
                <w:i/>
                <w:sz w:val="16"/>
              </w:rPr>
              <w:t>Victoria’s Climate Change Framework 2016 (2050)</w:t>
            </w:r>
          </w:p>
        </w:tc>
        <w:tc>
          <w:tcPr>
            <w:tcW w:w="1354" w:type="dxa"/>
            <w:tcBorders>
              <w:top w:val="dotted" w:sz="4" w:space="0" w:color="auto"/>
              <w:bottom w:val="dotted" w:sz="4" w:space="0" w:color="auto"/>
            </w:tcBorders>
            <w:vAlign w:val="center"/>
          </w:tcPr>
          <w:p w14:paraId="453E6493"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05A53E16" w14:textId="77777777" w:rsidR="007F2F83" w:rsidRDefault="007F2F83" w:rsidP="000E7C6F">
            <w:pPr>
              <w:jc w:val="center"/>
            </w:pPr>
            <w:r>
              <w:sym w:font="Wingdings" w:char="F0FC"/>
            </w:r>
          </w:p>
        </w:tc>
        <w:tc>
          <w:tcPr>
            <w:tcW w:w="1354" w:type="dxa"/>
            <w:tcBorders>
              <w:top w:val="dotted" w:sz="4" w:space="0" w:color="auto"/>
              <w:bottom w:val="dotted" w:sz="4" w:space="0" w:color="auto"/>
            </w:tcBorders>
            <w:vAlign w:val="center"/>
          </w:tcPr>
          <w:p w14:paraId="2F4B8DF0"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0090EFA8"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5346ADBD" w14:textId="77777777" w:rsidR="007F2F83" w:rsidRDefault="007F2F83" w:rsidP="000E7C6F">
            <w:pPr>
              <w:jc w:val="center"/>
            </w:pPr>
          </w:p>
        </w:tc>
      </w:tr>
      <w:tr w:rsidR="007F2F83" w14:paraId="2F9103C8" w14:textId="77777777" w:rsidTr="00EA3612">
        <w:trPr>
          <w:jc w:val="center"/>
        </w:trPr>
        <w:tc>
          <w:tcPr>
            <w:tcW w:w="421" w:type="dxa"/>
            <w:tcBorders>
              <w:top w:val="dotted" w:sz="4" w:space="0" w:color="auto"/>
              <w:left w:val="nil"/>
              <w:bottom w:val="dotted" w:sz="4" w:space="0" w:color="auto"/>
            </w:tcBorders>
            <w:vAlign w:val="center"/>
          </w:tcPr>
          <w:p w14:paraId="37AEA9D4" w14:textId="77777777" w:rsidR="007F2F83" w:rsidRPr="00AB05B9" w:rsidRDefault="007F2F83" w:rsidP="000E7C6F">
            <w:pPr>
              <w:rPr>
                <w:sz w:val="16"/>
              </w:rPr>
            </w:pPr>
            <w:r>
              <w:rPr>
                <w:sz w:val="16"/>
              </w:rPr>
              <w:t>4</w:t>
            </w:r>
          </w:p>
        </w:tc>
        <w:tc>
          <w:tcPr>
            <w:tcW w:w="1822" w:type="dxa"/>
            <w:tcBorders>
              <w:top w:val="dotted" w:sz="4" w:space="0" w:color="auto"/>
              <w:bottom w:val="dotted" w:sz="4" w:space="0" w:color="auto"/>
            </w:tcBorders>
          </w:tcPr>
          <w:p w14:paraId="42B5F9BD" w14:textId="77777777" w:rsidR="007F2F83" w:rsidRPr="007725FD" w:rsidRDefault="007F2F83" w:rsidP="000E7C6F">
            <w:pPr>
              <w:rPr>
                <w:i/>
                <w:sz w:val="16"/>
              </w:rPr>
            </w:pPr>
            <w:r>
              <w:rPr>
                <w:i/>
                <w:sz w:val="16"/>
              </w:rPr>
              <w:t>Public Transport Guidelines for Land Use Development (2008)</w:t>
            </w:r>
          </w:p>
        </w:tc>
        <w:tc>
          <w:tcPr>
            <w:tcW w:w="1354" w:type="dxa"/>
            <w:tcBorders>
              <w:top w:val="dotted" w:sz="4" w:space="0" w:color="auto"/>
              <w:bottom w:val="dotted" w:sz="4" w:space="0" w:color="auto"/>
            </w:tcBorders>
            <w:vAlign w:val="center"/>
          </w:tcPr>
          <w:p w14:paraId="5A3AABB0"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17D96B96" w14:textId="77777777" w:rsidR="007F2F83" w:rsidRDefault="007F2F83" w:rsidP="000E7C6F">
            <w:pPr>
              <w:jc w:val="center"/>
            </w:pPr>
            <w:r>
              <w:sym w:font="Wingdings" w:char="F0FC"/>
            </w:r>
          </w:p>
        </w:tc>
        <w:tc>
          <w:tcPr>
            <w:tcW w:w="1354" w:type="dxa"/>
            <w:tcBorders>
              <w:top w:val="dotted" w:sz="4" w:space="0" w:color="auto"/>
              <w:bottom w:val="dotted" w:sz="4" w:space="0" w:color="auto"/>
            </w:tcBorders>
            <w:vAlign w:val="center"/>
          </w:tcPr>
          <w:p w14:paraId="0B011B82"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488FEAD"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569F1261" w14:textId="77777777" w:rsidR="007F2F83" w:rsidRDefault="007F2F83" w:rsidP="000E7C6F">
            <w:pPr>
              <w:jc w:val="center"/>
            </w:pPr>
          </w:p>
        </w:tc>
      </w:tr>
      <w:tr w:rsidR="007F2F83" w14:paraId="54C1921D" w14:textId="77777777" w:rsidTr="00EA3612">
        <w:trPr>
          <w:jc w:val="center"/>
        </w:trPr>
        <w:tc>
          <w:tcPr>
            <w:tcW w:w="421" w:type="dxa"/>
            <w:tcBorders>
              <w:top w:val="dotted" w:sz="4" w:space="0" w:color="auto"/>
              <w:left w:val="nil"/>
            </w:tcBorders>
            <w:vAlign w:val="center"/>
          </w:tcPr>
          <w:p w14:paraId="694AE2C0" w14:textId="77777777" w:rsidR="007F2F83" w:rsidRPr="00AB05B9" w:rsidRDefault="007F2F83" w:rsidP="000E7C6F">
            <w:pPr>
              <w:rPr>
                <w:sz w:val="16"/>
              </w:rPr>
            </w:pPr>
            <w:r>
              <w:rPr>
                <w:sz w:val="16"/>
              </w:rPr>
              <w:t>5</w:t>
            </w:r>
          </w:p>
        </w:tc>
        <w:tc>
          <w:tcPr>
            <w:tcW w:w="1822" w:type="dxa"/>
            <w:tcBorders>
              <w:top w:val="dotted" w:sz="4" w:space="0" w:color="auto"/>
            </w:tcBorders>
          </w:tcPr>
          <w:p w14:paraId="78E9CA72" w14:textId="77777777" w:rsidR="007F2F83" w:rsidRDefault="007F2F83" w:rsidP="000E7C6F">
            <w:pPr>
              <w:rPr>
                <w:i/>
                <w:sz w:val="16"/>
              </w:rPr>
            </w:pPr>
            <w:r>
              <w:rPr>
                <w:i/>
                <w:sz w:val="16"/>
              </w:rPr>
              <w:t>Cycling into the Future 2013-20123</w:t>
            </w:r>
          </w:p>
        </w:tc>
        <w:tc>
          <w:tcPr>
            <w:tcW w:w="1354" w:type="dxa"/>
            <w:tcBorders>
              <w:top w:val="dotted" w:sz="4" w:space="0" w:color="auto"/>
            </w:tcBorders>
            <w:vAlign w:val="center"/>
          </w:tcPr>
          <w:p w14:paraId="3C086A6E" w14:textId="77777777" w:rsidR="007F2F83" w:rsidRDefault="007F2F83" w:rsidP="000E7C6F">
            <w:pPr>
              <w:jc w:val="center"/>
            </w:pPr>
          </w:p>
        </w:tc>
        <w:tc>
          <w:tcPr>
            <w:tcW w:w="1355" w:type="dxa"/>
            <w:gridSpan w:val="2"/>
            <w:tcBorders>
              <w:top w:val="dotted" w:sz="4" w:space="0" w:color="auto"/>
            </w:tcBorders>
            <w:vAlign w:val="center"/>
          </w:tcPr>
          <w:p w14:paraId="29E7D0E9" w14:textId="77777777" w:rsidR="007F2F83" w:rsidRDefault="007F2F83" w:rsidP="000E7C6F">
            <w:pPr>
              <w:jc w:val="center"/>
            </w:pPr>
            <w:r>
              <w:sym w:font="Wingdings" w:char="F0FC"/>
            </w:r>
          </w:p>
        </w:tc>
        <w:tc>
          <w:tcPr>
            <w:tcW w:w="1354" w:type="dxa"/>
            <w:tcBorders>
              <w:top w:val="dotted" w:sz="4" w:space="0" w:color="auto"/>
            </w:tcBorders>
            <w:vAlign w:val="center"/>
          </w:tcPr>
          <w:p w14:paraId="3D46310B" w14:textId="77777777" w:rsidR="007F2F83" w:rsidRDefault="007F2F83" w:rsidP="000E7C6F">
            <w:pPr>
              <w:jc w:val="center"/>
            </w:pPr>
          </w:p>
        </w:tc>
        <w:tc>
          <w:tcPr>
            <w:tcW w:w="1355" w:type="dxa"/>
            <w:gridSpan w:val="2"/>
            <w:tcBorders>
              <w:top w:val="dotted" w:sz="4" w:space="0" w:color="auto"/>
            </w:tcBorders>
            <w:vAlign w:val="center"/>
          </w:tcPr>
          <w:p w14:paraId="48D447E4" w14:textId="77777777" w:rsidR="007F2F83" w:rsidRDefault="007F2F83" w:rsidP="000E7C6F">
            <w:pPr>
              <w:jc w:val="center"/>
            </w:pPr>
          </w:p>
        </w:tc>
        <w:tc>
          <w:tcPr>
            <w:tcW w:w="1356" w:type="dxa"/>
            <w:tcBorders>
              <w:top w:val="dotted" w:sz="4" w:space="0" w:color="auto"/>
              <w:right w:val="nil"/>
            </w:tcBorders>
            <w:vAlign w:val="center"/>
          </w:tcPr>
          <w:p w14:paraId="12D6C7F4" w14:textId="77777777" w:rsidR="007F2F83" w:rsidRDefault="007F2F83" w:rsidP="000E7C6F">
            <w:pPr>
              <w:jc w:val="center"/>
            </w:pPr>
          </w:p>
        </w:tc>
      </w:tr>
      <w:tr w:rsidR="007F2F83" w14:paraId="60D99D0E" w14:textId="77777777" w:rsidTr="00EA3612">
        <w:trPr>
          <w:jc w:val="center"/>
        </w:trPr>
        <w:tc>
          <w:tcPr>
            <w:tcW w:w="9017" w:type="dxa"/>
            <w:gridSpan w:val="9"/>
            <w:tcBorders>
              <w:top w:val="single" w:sz="4" w:space="0" w:color="auto"/>
              <w:left w:val="nil"/>
              <w:right w:val="nil"/>
            </w:tcBorders>
            <w:shd w:val="clear" w:color="auto" w:fill="D9D9D9" w:themeFill="background1" w:themeFillShade="D9"/>
            <w:vAlign w:val="center"/>
          </w:tcPr>
          <w:p w14:paraId="210F3E66" w14:textId="77777777" w:rsidR="007F2F83" w:rsidRDefault="007F2F83" w:rsidP="000E7C6F">
            <w:r>
              <w:t>Metropolitan Level</w:t>
            </w:r>
          </w:p>
        </w:tc>
      </w:tr>
      <w:tr w:rsidR="007F2F83" w14:paraId="73F80F1F" w14:textId="77777777" w:rsidTr="00EA3612">
        <w:trPr>
          <w:jc w:val="center"/>
        </w:trPr>
        <w:tc>
          <w:tcPr>
            <w:tcW w:w="421" w:type="dxa"/>
            <w:tcBorders>
              <w:left w:val="nil"/>
            </w:tcBorders>
            <w:vAlign w:val="center"/>
          </w:tcPr>
          <w:p w14:paraId="176AFF4D" w14:textId="77777777" w:rsidR="007F2F83" w:rsidRPr="00AB05B9" w:rsidRDefault="007F2F83" w:rsidP="000E7C6F">
            <w:pPr>
              <w:rPr>
                <w:sz w:val="16"/>
              </w:rPr>
            </w:pPr>
            <w:r>
              <w:rPr>
                <w:sz w:val="16"/>
              </w:rPr>
              <w:t>6</w:t>
            </w:r>
          </w:p>
        </w:tc>
        <w:tc>
          <w:tcPr>
            <w:tcW w:w="1822" w:type="dxa"/>
          </w:tcPr>
          <w:p w14:paraId="7ED0DEF2" w14:textId="77777777" w:rsidR="007F2F83" w:rsidRPr="00552D58" w:rsidRDefault="007F2F83" w:rsidP="000E7C6F">
            <w:pPr>
              <w:rPr>
                <w:i/>
                <w:sz w:val="16"/>
              </w:rPr>
            </w:pPr>
            <w:r w:rsidRPr="007725FD">
              <w:rPr>
                <w:i/>
                <w:sz w:val="16"/>
              </w:rPr>
              <w:t>Plan Melbourne 2017-2050</w:t>
            </w:r>
          </w:p>
        </w:tc>
        <w:tc>
          <w:tcPr>
            <w:tcW w:w="1354" w:type="dxa"/>
            <w:vAlign w:val="center"/>
          </w:tcPr>
          <w:p w14:paraId="2E05F00A" w14:textId="77777777" w:rsidR="007F2F83" w:rsidRDefault="007F2F83" w:rsidP="000E7C6F">
            <w:pPr>
              <w:jc w:val="center"/>
            </w:pPr>
          </w:p>
        </w:tc>
        <w:tc>
          <w:tcPr>
            <w:tcW w:w="1355" w:type="dxa"/>
            <w:gridSpan w:val="2"/>
            <w:vAlign w:val="center"/>
          </w:tcPr>
          <w:p w14:paraId="34D66881" w14:textId="77777777" w:rsidR="007F2F83" w:rsidRDefault="007F2F83" w:rsidP="000E7C6F">
            <w:pPr>
              <w:jc w:val="center"/>
            </w:pPr>
          </w:p>
        </w:tc>
        <w:tc>
          <w:tcPr>
            <w:tcW w:w="1354" w:type="dxa"/>
            <w:vAlign w:val="center"/>
          </w:tcPr>
          <w:p w14:paraId="2073F189" w14:textId="77777777" w:rsidR="007F2F83" w:rsidRDefault="007F2F83" w:rsidP="000E7C6F">
            <w:pPr>
              <w:jc w:val="center"/>
            </w:pPr>
          </w:p>
        </w:tc>
        <w:tc>
          <w:tcPr>
            <w:tcW w:w="1355" w:type="dxa"/>
            <w:gridSpan w:val="2"/>
            <w:vAlign w:val="center"/>
          </w:tcPr>
          <w:p w14:paraId="1B05D1FD" w14:textId="77777777" w:rsidR="007F2F83" w:rsidRDefault="007F2F83" w:rsidP="000E7C6F">
            <w:pPr>
              <w:jc w:val="center"/>
            </w:pPr>
          </w:p>
        </w:tc>
        <w:tc>
          <w:tcPr>
            <w:tcW w:w="1356" w:type="dxa"/>
            <w:tcBorders>
              <w:right w:val="nil"/>
            </w:tcBorders>
            <w:vAlign w:val="center"/>
          </w:tcPr>
          <w:p w14:paraId="495599BF" w14:textId="77777777" w:rsidR="007F2F83" w:rsidRDefault="007F2F83" w:rsidP="000E7C6F">
            <w:pPr>
              <w:jc w:val="center"/>
            </w:pPr>
            <w:r>
              <w:sym w:font="Wingdings" w:char="F0FC"/>
            </w:r>
          </w:p>
        </w:tc>
      </w:tr>
      <w:tr w:rsidR="007F2F83" w14:paraId="70AB8140" w14:textId="77777777" w:rsidTr="00EA3612">
        <w:trPr>
          <w:jc w:val="center"/>
        </w:trPr>
        <w:tc>
          <w:tcPr>
            <w:tcW w:w="9017" w:type="dxa"/>
            <w:gridSpan w:val="9"/>
            <w:tcBorders>
              <w:left w:val="nil"/>
              <w:bottom w:val="dotted" w:sz="4" w:space="0" w:color="auto"/>
              <w:right w:val="nil"/>
            </w:tcBorders>
            <w:shd w:val="clear" w:color="auto" w:fill="D9D9D9" w:themeFill="background1" w:themeFillShade="D9"/>
            <w:vAlign w:val="center"/>
          </w:tcPr>
          <w:p w14:paraId="0E691732" w14:textId="77777777" w:rsidR="007F2F83" w:rsidRDefault="007F2F83" w:rsidP="000E7C6F">
            <w:r>
              <w:t>City Level</w:t>
            </w:r>
          </w:p>
        </w:tc>
      </w:tr>
      <w:tr w:rsidR="007F2F83" w14:paraId="1103E983" w14:textId="77777777" w:rsidTr="00EA3612">
        <w:trPr>
          <w:jc w:val="center"/>
        </w:trPr>
        <w:tc>
          <w:tcPr>
            <w:tcW w:w="421" w:type="dxa"/>
            <w:tcBorders>
              <w:left w:val="nil"/>
              <w:bottom w:val="dotted" w:sz="4" w:space="0" w:color="auto"/>
            </w:tcBorders>
            <w:vAlign w:val="center"/>
          </w:tcPr>
          <w:p w14:paraId="7E8A54E7" w14:textId="77777777" w:rsidR="007F2F83" w:rsidRPr="00AB05B9" w:rsidRDefault="007F2F83" w:rsidP="000E7C6F">
            <w:pPr>
              <w:rPr>
                <w:sz w:val="16"/>
              </w:rPr>
            </w:pPr>
            <w:r>
              <w:rPr>
                <w:sz w:val="16"/>
              </w:rPr>
              <w:t>7</w:t>
            </w:r>
          </w:p>
        </w:tc>
        <w:tc>
          <w:tcPr>
            <w:tcW w:w="1822" w:type="dxa"/>
            <w:tcBorders>
              <w:bottom w:val="dotted" w:sz="4" w:space="0" w:color="auto"/>
            </w:tcBorders>
          </w:tcPr>
          <w:p w14:paraId="1BE82E69" w14:textId="77777777" w:rsidR="007F2F83" w:rsidRPr="00552D58" w:rsidRDefault="007F2F83" w:rsidP="000E7C6F">
            <w:pPr>
              <w:rPr>
                <w:i/>
                <w:sz w:val="16"/>
              </w:rPr>
            </w:pPr>
            <w:r w:rsidRPr="007725FD">
              <w:rPr>
                <w:i/>
                <w:sz w:val="16"/>
              </w:rPr>
              <w:t>Melbourne Planning Scheme 2017</w:t>
            </w:r>
          </w:p>
        </w:tc>
        <w:tc>
          <w:tcPr>
            <w:tcW w:w="1354" w:type="dxa"/>
            <w:tcBorders>
              <w:bottom w:val="dotted" w:sz="4" w:space="0" w:color="auto"/>
            </w:tcBorders>
            <w:vAlign w:val="center"/>
          </w:tcPr>
          <w:p w14:paraId="35493BCD" w14:textId="77777777" w:rsidR="007F2F83" w:rsidRDefault="007F2F83" w:rsidP="000E7C6F">
            <w:pPr>
              <w:jc w:val="center"/>
            </w:pPr>
          </w:p>
        </w:tc>
        <w:tc>
          <w:tcPr>
            <w:tcW w:w="1355" w:type="dxa"/>
            <w:gridSpan w:val="2"/>
            <w:tcBorders>
              <w:bottom w:val="dotted" w:sz="4" w:space="0" w:color="auto"/>
            </w:tcBorders>
            <w:vAlign w:val="center"/>
          </w:tcPr>
          <w:p w14:paraId="5587F027" w14:textId="77777777" w:rsidR="007F2F83" w:rsidRDefault="007F2F83" w:rsidP="000E7C6F">
            <w:pPr>
              <w:jc w:val="center"/>
            </w:pPr>
          </w:p>
        </w:tc>
        <w:tc>
          <w:tcPr>
            <w:tcW w:w="1354" w:type="dxa"/>
            <w:tcBorders>
              <w:bottom w:val="dotted" w:sz="4" w:space="0" w:color="auto"/>
            </w:tcBorders>
            <w:vAlign w:val="center"/>
          </w:tcPr>
          <w:p w14:paraId="5B14E959" w14:textId="77777777" w:rsidR="007F2F83" w:rsidRDefault="007F2F83" w:rsidP="000E7C6F">
            <w:pPr>
              <w:jc w:val="center"/>
            </w:pPr>
            <w:r>
              <w:sym w:font="Wingdings" w:char="F0FC"/>
            </w:r>
          </w:p>
        </w:tc>
        <w:tc>
          <w:tcPr>
            <w:tcW w:w="1355" w:type="dxa"/>
            <w:gridSpan w:val="2"/>
            <w:tcBorders>
              <w:bottom w:val="dotted" w:sz="4" w:space="0" w:color="auto"/>
            </w:tcBorders>
            <w:vAlign w:val="center"/>
          </w:tcPr>
          <w:p w14:paraId="4C48EBB9" w14:textId="77777777" w:rsidR="007F2F83" w:rsidRDefault="007F2F83" w:rsidP="000E7C6F">
            <w:pPr>
              <w:jc w:val="center"/>
            </w:pPr>
          </w:p>
        </w:tc>
        <w:tc>
          <w:tcPr>
            <w:tcW w:w="1356" w:type="dxa"/>
            <w:tcBorders>
              <w:bottom w:val="dotted" w:sz="4" w:space="0" w:color="auto"/>
              <w:right w:val="nil"/>
            </w:tcBorders>
            <w:vAlign w:val="center"/>
          </w:tcPr>
          <w:p w14:paraId="248803BB" w14:textId="77777777" w:rsidR="007F2F83" w:rsidRDefault="007F2F83" w:rsidP="000E7C6F">
            <w:pPr>
              <w:jc w:val="center"/>
            </w:pPr>
          </w:p>
        </w:tc>
      </w:tr>
      <w:tr w:rsidR="007F2F83" w14:paraId="665B24CE" w14:textId="77777777" w:rsidTr="00EA3612">
        <w:trPr>
          <w:jc w:val="center"/>
        </w:trPr>
        <w:tc>
          <w:tcPr>
            <w:tcW w:w="421" w:type="dxa"/>
            <w:tcBorders>
              <w:top w:val="dotted" w:sz="4" w:space="0" w:color="auto"/>
              <w:left w:val="nil"/>
              <w:bottom w:val="dotted" w:sz="4" w:space="0" w:color="auto"/>
            </w:tcBorders>
            <w:vAlign w:val="center"/>
          </w:tcPr>
          <w:p w14:paraId="5E22127E" w14:textId="77777777" w:rsidR="007F2F83" w:rsidRPr="00AB05B9" w:rsidRDefault="007F2F83" w:rsidP="000E7C6F">
            <w:pPr>
              <w:rPr>
                <w:sz w:val="16"/>
              </w:rPr>
            </w:pPr>
            <w:r>
              <w:rPr>
                <w:sz w:val="16"/>
              </w:rPr>
              <w:t>8</w:t>
            </w:r>
          </w:p>
        </w:tc>
        <w:tc>
          <w:tcPr>
            <w:tcW w:w="1822" w:type="dxa"/>
            <w:tcBorders>
              <w:top w:val="dotted" w:sz="4" w:space="0" w:color="auto"/>
              <w:bottom w:val="dotted" w:sz="4" w:space="0" w:color="auto"/>
            </w:tcBorders>
          </w:tcPr>
          <w:p w14:paraId="5C2C45B0" w14:textId="77777777" w:rsidR="007F2F83" w:rsidRPr="007725FD" w:rsidRDefault="007F2F83" w:rsidP="000E7C6F">
            <w:pPr>
              <w:rPr>
                <w:i/>
                <w:sz w:val="16"/>
              </w:rPr>
            </w:pPr>
            <w:r w:rsidRPr="007725FD">
              <w:rPr>
                <w:i/>
                <w:sz w:val="16"/>
              </w:rPr>
              <w:t>Future Melbourne 2008-2026 (updated in 2015)</w:t>
            </w:r>
          </w:p>
        </w:tc>
        <w:tc>
          <w:tcPr>
            <w:tcW w:w="1354" w:type="dxa"/>
            <w:tcBorders>
              <w:top w:val="dotted" w:sz="4" w:space="0" w:color="auto"/>
              <w:bottom w:val="dotted" w:sz="4" w:space="0" w:color="auto"/>
            </w:tcBorders>
            <w:vAlign w:val="center"/>
          </w:tcPr>
          <w:p w14:paraId="297A4994"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53658808" w14:textId="77777777" w:rsidR="007F2F83" w:rsidRDefault="007F2F83" w:rsidP="000E7C6F">
            <w:pPr>
              <w:jc w:val="center"/>
            </w:pPr>
          </w:p>
        </w:tc>
        <w:tc>
          <w:tcPr>
            <w:tcW w:w="1354" w:type="dxa"/>
            <w:tcBorders>
              <w:top w:val="dotted" w:sz="4" w:space="0" w:color="auto"/>
              <w:bottom w:val="dotted" w:sz="4" w:space="0" w:color="auto"/>
            </w:tcBorders>
            <w:vAlign w:val="center"/>
          </w:tcPr>
          <w:p w14:paraId="79208FDE"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713C263D"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2B93F643" w14:textId="77777777" w:rsidR="007F2F83" w:rsidRDefault="007F2F83" w:rsidP="000E7C6F">
            <w:pPr>
              <w:jc w:val="center"/>
            </w:pPr>
          </w:p>
        </w:tc>
      </w:tr>
      <w:tr w:rsidR="007F2F83" w14:paraId="6F940641" w14:textId="77777777" w:rsidTr="00EA3612">
        <w:trPr>
          <w:jc w:val="center"/>
        </w:trPr>
        <w:tc>
          <w:tcPr>
            <w:tcW w:w="421" w:type="dxa"/>
            <w:tcBorders>
              <w:top w:val="dotted" w:sz="4" w:space="0" w:color="auto"/>
              <w:left w:val="nil"/>
              <w:bottom w:val="dotted" w:sz="4" w:space="0" w:color="auto"/>
            </w:tcBorders>
            <w:vAlign w:val="center"/>
          </w:tcPr>
          <w:p w14:paraId="519FE314" w14:textId="77777777" w:rsidR="007F2F83" w:rsidRDefault="007F2F83" w:rsidP="000E7C6F">
            <w:pPr>
              <w:rPr>
                <w:sz w:val="16"/>
              </w:rPr>
            </w:pPr>
            <w:r>
              <w:rPr>
                <w:sz w:val="16"/>
              </w:rPr>
              <w:t>9</w:t>
            </w:r>
          </w:p>
        </w:tc>
        <w:tc>
          <w:tcPr>
            <w:tcW w:w="1822" w:type="dxa"/>
            <w:tcBorders>
              <w:top w:val="dotted" w:sz="4" w:space="0" w:color="auto"/>
              <w:bottom w:val="dotted" w:sz="4" w:space="0" w:color="auto"/>
            </w:tcBorders>
          </w:tcPr>
          <w:p w14:paraId="7DD753D9" w14:textId="77777777" w:rsidR="007F2F83" w:rsidRPr="007725FD" w:rsidRDefault="007F2F83" w:rsidP="000E7C6F">
            <w:pPr>
              <w:rPr>
                <w:i/>
                <w:sz w:val="16"/>
              </w:rPr>
            </w:pPr>
            <w:r>
              <w:rPr>
                <w:i/>
                <w:sz w:val="16"/>
              </w:rPr>
              <w:t>Zero Net Emissions 2002 (update 2014)</w:t>
            </w:r>
          </w:p>
        </w:tc>
        <w:tc>
          <w:tcPr>
            <w:tcW w:w="1354" w:type="dxa"/>
            <w:tcBorders>
              <w:top w:val="dotted" w:sz="4" w:space="0" w:color="auto"/>
              <w:bottom w:val="dotted" w:sz="4" w:space="0" w:color="auto"/>
            </w:tcBorders>
            <w:vAlign w:val="center"/>
          </w:tcPr>
          <w:p w14:paraId="48B8A704"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6EEC0F9B" w14:textId="77777777" w:rsidR="007F2F83" w:rsidRDefault="007F2F83" w:rsidP="000E7C6F">
            <w:pPr>
              <w:jc w:val="center"/>
            </w:pPr>
          </w:p>
        </w:tc>
        <w:tc>
          <w:tcPr>
            <w:tcW w:w="1354" w:type="dxa"/>
            <w:tcBorders>
              <w:top w:val="dotted" w:sz="4" w:space="0" w:color="auto"/>
              <w:bottom w:val="dotted" w:sz="4" w:space="0" w:color="auto"/>
            </w:tcBorders>
            <w:vAlign w:val="center"/>
          </w:tcPr>
          <w:p w14:paraId="711F8E43"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62A1A257"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6DDDC323" w14:textId="77777777" w:rsidR="007F2F83" w:rsidRDefault="007F2F83" w:rsidP="000E7C6F">
            <w:pPr>
              <w:jc w:val="center"/>
            </w:pPr>
          </w:p>
        </w:tc>
      </w:tr>
      <w:tr w:rsidR="007F2F83" w14:paraId="5106A3AC" w14:textId="77777777" w:rsidTr="00EA3612">
        <w:trPr>
          <w:jc w:val="center"/>
        </w:trPr>
        <w:tc>
          <w:tcPr>
            <w:tcW w:w="421" w:type="dxa"/>
            <w:tcBorders>
              <w:top w:val="dotted" w:sz="4" w:space="0" w:color="auto"/>
              <w:left w:val="nil"/>
              <w:bottom w:val="dotted" w:sz="4" w:space="0" w:color="auto"/>
            </w:tcBorders>
            <w:vAlign w:val="center"/>
          </w:tcPr>
          <w:p w14:paraId="1CC0E539" w14:textId="77777777" w:rsidR="007F2F83" w:rsidRPr="00AB05B9" w:rsidRDefault="007F2F83" w:rsidP="000E7C6F">
            <w:pPr>
              <w:rPr>
                <w:sz w:val="16"/>
              </w:rPr>
            </w:pPr>
            <w:r>
              <w:rPr>
                <w:sz w:val="16"/>
              </w:rPr>
              <w:t>10</w:t>
            </w:r>
          </w:p>
        </w:tc>
        <w:tc>
          <w:tcPr>
            <w:tcW w:w="1822" w:type="dxa"/>
            <w:tcBorders>
              <w:top w:val="dotted" w:sz="4" w:space="0" w:color="auto"/>
              <w:bottom w:val="dotted" w:sz="4" w:space="0" w:color="auto"/>
            </w:tcBorders>
          </w:tcPr>
          <w:p w14:paraId="2F268E0E" w14:textId="77777777" w:rsidR="007F2F83" w:rsidRPr="007725FD" w:rsidRDefault="007F2F83" w:rsidP="000E7C6F">
            <w:pPr>
              <w:rPr>
                <w:i/>
                <w:sz w:val="16"/>
              </w:rPr>
            </w:pPr>
            <w:r w:rsidRPr="007725FD">
              <w:rPr>
                <w:i/>
                <w:sz w:val="16"/>
              </w:rPr>
              <w:t>Climate Change Adaptation Strategy Refresh (2017)</w:t>
            </w:r>
          </w:p>
        </w:tc>
        <w:tc>
          <w:tcPr>
            <w:tcW w:w="1354" w:type="dxa"/>
            <w:tcBorders>
              <w:top w:val="dotted" w:sz="4" w:space="0" w:color="auto"/>
              <w:bottom w:val="dotted" w:sz="4" w:space="0" w:color="auto"/>
            </w:tcBorders>
            <w:vAlign w:val="center"/>
          </w:tcPr>
          <w:p w14:paraId="75247A76"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137AF6BC" w14:textId="77777777" w:rsidR="007F2F83" w:rsidRDefault="007F2F83" w:rsidP="000E7C6F">
            <w:pPr>
              <w:jc w:val="center"/>
            </w:pPr>
          </w:p>
        </w:tc>
        <w:tc>
          <w:tcPr>
            <w:tcW w:w="1354" w:type="dxa"/>
            <w:tcBorders>
              <w:top w:val="dotted" w:sz="4" w:space="0" w:color="auto"/>
              <w:bottom w:val="dotted" w:sz="4" w:space="0" w:color="auto"/>
            </w:tcBorders>
            <w:vAlign w:val="center"/>
          </w:tcPr>
          <w:p w14:paraId="6F583321"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25AE78F8"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31637EDD" w14:textId="77777777" w:rsidR="007F2F83" w:rsidRDefault="007F2F83" w:rsidP="000E7C6F">
            <w:pPr>
              <w:jc w:val="center"/>
            </w:pPr>
          </w:p>
        </w:tc>
      </w:tr>
      <w:tr w:rsidR="007F2F83" w14:paraId="74BA77EA" w14:textId="77777777" w:rsidTr="00EA3612">
        <w:trPr>
          <w:jc w:val="center"/>
        </w:trPr>
        <w:tc>
          <w:tcPr>
            <w:tcW w:w="421" w:type="dxa"/>
            <w:tcBorders>
              <w:top w:val="dotted" w:sz="4" w:space="0" w:color="auto"/>
              <w:left w:val="nil"/>
              <w:bottom w:val="dotted" w:sz="4" w:space="0" w:color="auto"/>
            </w:tcBorders>
            <w:vAlign w:val="center"/>
          </w:tcPr>
          <w:p w14:paraId="06C1F0F4" w14:textId="77777777" w:rsidR="007F2F83" w:rsidRPr="00AB05B9" w:rsidRDefault="007F2F83" w:rsidP="000E7C6F">
            <w:pPr>
              <w:rPr>
                <w:sz w:val="16"/>
              </w:rPr>
            </w:pPr>
            <w:r>
              <w:rPr>
                <w:sz w:val="16"/>
              </w:rPr>
              <w:t>11</w:t>
            </w:r>
          </w:p>
        </w:tc>
        <w:tc>
          <w:tcPr>
            <w:tcW w:w="1822" w:type="dxa"/>
            <w:tcBorders>
              <w:top w:val="dotted" w:sz="4" w:space="0" w:color="auto"/>
              <w:bottom w:val="dotted" w:sz="4" w:space="0" w:color="auto"/>
            </w:tcBorders>
          </w:tcPr>
          <w:p w14:paraId="59457098" w14:textId="77777777" w:rsidR="007F2F83" w:rsidRPr="007725FD" w:rsidRDefault="007F2F83" w:rsidP="000E7C6F">
            <w:pPr>
              <w:rPr>
                <w:i/>
                <w:sz w:val="16"/>
              </w:rPr>
            </w:pPr>
            <w:r w:rsidRPr="007725FD">
              <w:rPr>
                <w:i/>
                <w:sz w:val="16"/>
              </w:rPr>
              <w:t>Transport Strategy 2012</w:t>
            </w:r>
            <w:r>
              <w:rPr>
                <w:i/>
                <w:sz w:val="16"/>
              </w:rPr>
              <w:t xml:space="preserve"> </w:t>
            </w:r>
          </w:p>
        </w:tc>
        <w:tc>
          <w:tcPr>
            <w:tcW w:w="1354" w:type="dxa"/>
            <w:tcBorders>
              <w:top w:val="dotted" w:sz="4" w:space="0" w:color="auto"/>
              <w:bottom w:val="dotted" w:sz="4" w:space="0" w:color="auto"/>
            </w:tcBorders>
            <w:vAlign w:val="center"/>
          </w:tcPr>
          <w:p w14:paraId="57FD5AA6"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2D8B6D92" w14:textId="77777777" w:rsidR="007F2F83" w:rsidRDefault="007F2F83" w:rsidP="000E7C6F">
            <w:pPr>
              <w:jc w:val="center"/>
            </w:pPr>
          </w:p>
        </w:tc>
        <w:tc>
          <w:tcPr>
            <w:tcW w:w="1354" w:type="dxa"/>
            <w:tcBorders>
              <w:top w:val="dotted" w:sz="4" w:space="0" w:color="auto"/>
              <w:bottom w:val="dotted" w:sz="4" w:space="0" w:color="auto"/>
            </w:tcBorders>
            <w:vAlign w:val="center"/>
          </w:tcPr>
          <w:p w14:paraId="58F736A8"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1EF8A2D9"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438C342D" w14:textId="77777777" w:rsidR="007F2F83" w:rsidRDefault="007F2F83" w:rsidP="000E7C6F">
            <w:pPr>
              <w:jc w:val="center"/>
            </w:pPr>
          </w:p>
        </w:tc>
      </w:tr>
      <w:tr w:rsidR="007F2F83" w14:paraId="3B30F44A" w14:textId="77777777" w:rsidTr="00EA3612">
        <w:trPr>
          <w:jc w:val="center"/>
        </w:trPr>
        <w:tc>
          <w:tcPr>
            <w:tcW w:w="421" w:type="dxa"/>
            <w:tcBorders>
              <w:top w:val="dotted" w:sz="4" w:space="0" w:color="auto"/>
              <w:left w:val="nil"/>
              <w:bottom w:val="dotted" w:sz="4" w:space="0" w:color="auto"/>
            </w:tcBorders>
            <w:vAlign w:val="center"/>
          </w:tcPr>
          <w:p w14:paraId="3097367B" w14:textId="77777777" w:rsidR="007F2F83" w:rsidRPr="00AB05B9" w:rsidRDefault="007F2F83" w:rsidP="000E7C6F">
            <w:pPr>
              <w:rPr>
                <w:sz w:val="16"/>
              </w:rPr>
            </w:pPr>
            <w:r>
              <w:rPr>
                <w:sz w:val="16"/>
              </w:rPr>
              <w:t>12</w:t>
            </w:r>
          </w:p>
        </w:tc>
        <w:tc>
          <w:tcPr>
            <w:tcW w:w="1822" w:type="dxa"/>
            <w:tcBorders>
              <w:top w:val="dotted" w:sz="4" w:space="0" w:color="auto"/>
              <w:bottom w:val="dotted" w:sz="4" w:space="0" w:color="auto"/>
            </w:tcBorders>
          </w:tcPr>
          <w:p w14:paraId="3411EADF" w14:textId="77777777" w:rsidR="007F2F83" w:rsidRPr="007725FD" w:rsidRDefault="007F2F83" w:rsidP="000E7C6F">
            <w:pPr>
              <w:rPr>
                <w:i/>
                <w:sz w:val="16"/>
              </w:rPr>
            </w:pPr>
            <w:r w:rsidRPr="007725FD">
              <w:rPr>
                <w:i/>
                <w:sz w:val="16"/>
              </w:rPr>
              <w:t>City of Melbourne Bicycle Plan 2016-2020</w:t>
            </w:r>
          </w:p>
        </w:tc>
        <w:tc>
          <w:tcPr>
            <w:tcW w:w="1354" w:type="dxa"/>
            <w:tcBorders>
              <w:top w:val="dotted" w:sz="4" w:space="0" w:color="auto"/>
              <w:bottom w:val="dotted" w:sz="4" w:space="0" w:color="auto"/>
            </w:tcBorders>
            <w:vAlign w:val="center"/>
          </w:tcPr>
          <w:p w14:paraId="2E6C2CDA"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070177BF" w14:textId="77777777" w:rsidR="007F2F83" w:rsidRDefault="007F2F83" w:rsidP="000E7C6F">
            <w:pPr>
              <w:jc w:val="center"/>
            </w:pPr>
          </w:p>
        </w:tc>
        <w:tc>
          <w:tcPr>
            <w:tcW w:w="1354" w:type="dxa"/>
            <w:tcBorders>
              <w:top w:val="dotted" w:sz="4" w:space="0" w:color="auto"/>
              <w:bottom w:val="dotted" w:sz="4" w:space="0" w:color="auto"/>
            </w:tcBorders>
            <w:vAlign w:val="center"/>
          </w:tcPr>
          <w:p w14:paraId="5E5B97FA"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7AE2377F"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5377EFA2" w14:textId="77777777" w:rsidR="007F2F83" w:rsidRDefault="007F2F83" w:rsidP="000E7C6F">
            <w:pPr>
              <w:jc w:val="center"/>
            </w:pPr>
          </w:p>
        </w:tc>
      </w:tr>
      <w:tr w:rsidR="007F2F83" w14:paraId="63339D11" w14:textId="77777777" w:rsidTr="00EA3612">
        <w:trPr>
          <w:jc w:val="center"/>
        </w:trPr>
        <w:tc>
          <w:tcPr>
            <w:tcW w:w="421" w:type="dxa"/>
            <w:tcBorders>
              <w:top w:val="dotted" w:sz="4" w:space="0" w:color="auto"/>
              <w:left w:val="nil"/>
            </w:tcBorders>
            <w:vAlign w:val="center"/>
          </w:tcPr>
          <w:p w14:paraId="60189DF0" w14:textId="77777777" w:rsidR="007F2F83" w:rsidRPr="00AB05B9" w:rsidRDefault="007F2F83" w:rsidP="000E7C6F">
            <w:pPr>
              <w:rPr>
                <w:sz w:val="16"/>
              </w:rPr>
            </w:pPr>
            <w:r>
              <w:rPr>
                <w:sz w:val="16"/>
              </w:rPr>
              <w:t>13</w:t>
            </w:r>
          </w:p>
        </w:tc>
        <w:tc>
          <w:tcPr>
            <w:tcW w:w="1822" w:type="dxa"/>
            <w:tcBorders>
              <w:top w:val="dotted" w:sz="4" w:space="0" w:color="auto"/>
            </w:tcBorders>
          </w:tcPr>
          <w:p w14:paraId="2B6FDEF9" w14:textId="77777777" w:rsidR="007F2F83" w:rsidRPr="007725FD" w:rsidRDefault="007F2F83" w:rsidP="000E7C6F">
            <w:pPr>
              <w:rPr>
                <w:i/>
                <w:sz w:val="16"/>
              </w:rPr>
            </w:pPr>
            <w:r w:rsidRPr="007725FD">
              <w:rPr>
                <w:i/>
                <w:sz w:val="16"/>
              </w:rPr>
              <w:t>Walking Plan 2014-2017</w:t>
            </w:r>
          </w:p>
        </w:tc>
        <w:tc>
          <w:tcPr>
            <w:tcW w:w="1354" w:type="dxa"/>
            <w:tcBorders>
              <w:top w:val="dotted" w:sz="4" w:space="0" w:color="auto"/>
            </w:tcBorders>
            <w:vAlign w:val="center"/>
          </w:tcPr>
          <w:p w14:paraId="7DC9C7AD" w14:textId="77777777" w:rsidR="007F2F83" w:rsidRDefault="007F2F83" w:rsidP="000E7C6F">
            <w:pPr>
              <w:jc w:val="center"/>
            </w:pPr>
            <w:r>
              <w:sym w:font="Wingdings" w:char="F0FC"/>
            </w:r>
          </w:p>
        </w:tc>
        <w:tc>
          <w:tcPr>
            <w:tcW w:w="1355" w:type="dxa"/>
            <w:gridSpan w:val="2"/>
            <w:tcBorders>
              <w:top w:val="dotted" w:sz="4" w:space="0" w:color="auto"/>
            </w:tcBorders>
            <w:vAlign w:val="center"/>
          </w:tcPr>
          <w:p w14:paraId="40FE3427" w14:textId="77777777" w:rsidR="007F2F83" w:rsidRDefault="007F2F83" w:rsidP="000E7C6F">
            <w:pPr>
              <w:jc w:val="center"/>
            </w:pPr>
          </w:p>
        </w:tc>
        <w:tc>
          <w:tcPr>
            <w:tcW w:w="1354" w:type="dxa"/>
            <w:tcBorders>
              <w:top w:val="dotted" w:sz="4" w:space="0" w:color="auto"/>
            </w:tcBorders>
            <w:vAlign w:val="center"/>
          </w:tcPr>
          <w:p w14:paraId="7323A331" w14:textId="77777777" w:rsidR="007F2F83" w:rsidRDefault="007F2F83" w:rsidP="000E7C6F">
            <w:pPr>
              <w:jc w:val="center"/>
            </w:pPr>
          </w:p>
        </w:tc>
        <w:tc>
          <w:tcPr>
            <w:tcW w:w="1355" w:type="dxa"/>
            <w:gridSpan w:val="2"/>
            <w:tcBorders>
              <w:top w:val="dotted" w:sz="4" w:space="0" w:color="auto"/>
            </w:tcBorders>
            <w:vAlign w:val="center"/>
          </w:tcPr>
          <w:p w14:paraId="393885A3" w14:textId="77777777" w:rsidR="007F2F83" w:rsidRDefault="007F2F83" w:rsidP="000E7C6F">
            <w:pPr>
              <w:jc w:val="center"/>
            </w:pPr>
          </w:p>
        </w:tc>
        <w:tc>
          <w:tcPr>
            <w:tcW w:w="1356" w:type="dxa"/>
            <w:tcBorders>
              <w:top w:val="dotted" w:sz="4" w:space="0" w:color="auto"/>
              <w:right w:val="nil"/>
            </w:tcBorders>
            <w:vAlign w:val="center"/>
          </w:tcPr>
          <w:p w14:paraId="486B9B5A" w14:textId="77777777" w:rsidR="007F2F83" w:rsidRDefault="007F2F83" w:rsidP="000E7C6F">
            <w:pPr>
              <w:jc w:val="center"/>
            </w:pPr>
          </w:p>
        </w:tc>
      </w:tr>
      <w:tr w:rsidR="007F2F83" w14:paraId="00D6B456" w14:textId="77777777" w:rsidTr="00EA3612">
        <w:trPr>
          <w:jc w:val="center"/>
        </w:trPr>
        <w:tc>
          <w:tcPr>
            <w:tcW w:w="2243" w:type="dxa"/>
            <w:gridSpan w:val="2"/>
            <w:tcBorders>
              <w:left w:val="nil"/>
            </w:tcBorders>
          </w:tcPr>
          <w:p w14:paraId="4E1D790E" w14:textId="77777777" w:rsidR="007F2F83" w:rsidRPr="00D47900" w:rsidRDefault="007F2F83" w:rsidP="000E7C6F">
            <w:pPr>
              <w:jc w:val="right"/>
              <w:rPr>
                <w:sz w:val="16"/>
              </w:rPr>
            </w:pPr>
            <w:r w:rsidRPr="000B01F2">
              <w:rPr>
                <w:b/>
                <w:sz w:val="18"/>
              </w:rPr>
              <w:t xml:space="preserve">Overall </w:t>
            </w:r>
            <w:r>
              <w:rPr>
                <w:b/>
                <w:sz w:val="18"/>
              </w:rPr>
              <w:t>Score: 14</w:t>
            </w:r>
            <w:r w:rsidRPr="000B01F2">
              <w:rPr>
                <w:b/>
                <w:sz w:val="18"/>
              </w:rPr>
              <w:t>/</w:t>
            </w:r>
            <w:r>
              <w:rPr>
                <w:b/>
                <w:sz w:val="18"/>
              </w:rPr>
              <w:t>52</w:t>
            </w:r>
            <w:r w:rsidRPr="000B01F2">
              <w:rPr>
                <w:b/>
                <w:sz w:val="18"/>
              </w:rPr>
              <w:t xml:space="preserve"> (</w:t>
            </w:r>
            <w:r>
              <w:rPr>
                <w:b/>
                <w:sz w:val="18"/>
              </w:rPr>
              <w:t>27</w:t>
            </w:r>
            <w:r w:rsidRPr="000B01F2">
              <w:rPr>
                <w:b/>
                <w:sz w:val="18"/>
              </w:rPr>
              <w:t>%)</w:t>
            </w:r>
          </w:p>
        </w:tc>
        <w:tc>
          <w:tcPr>
            <w:tcW w:w="1354" w:type="dxa"/>
            <w:vAlign w:val="center"/>
          </w:tcPr>
          <w:p w14:paraId="5BB9ECCB" w14:textId="77777777" w:rsidR="007F2F83" w:rsidRDefault="007F2F83" w:rsidP="000E7C6F">
            <w:pPr>
              <w:jc w:val="center"/>
            </w:pPr>
            <w:r>
              <w:t>0</w:t>
            </w:r>
          </w:p>
        </w:tc>
        <w:tc>
          <w:tcPr>
            <w:tcW w:w="1355" w:type="dxa"/>
            <w:gridSpan w:val="2"/>
            <w:vAlign w:val="center"/>
          </w:tcPr>
          <w:p w14:paraId="06BE185E" w14:textId="77777777" w:rsidR="007F2F83" w:rsidRDefault="007F2F83" w:rsidP="000E7C6F">
            <w:pPr>
              <w:jc w:val="center"/>
            </w:pPr>
            <w:r>
              <w:t>4</w:t>
            </w:r>
          </w:p>
        </w:tc>
        <w:tc>
          <w:tcPr>
            <w:tcW w:w="1354" w:type="dxa"/>
            <w:vAlign w:val="center"/>
          </w:tcPr>
          <w:p w14:paraId="45B981D9" w14:textId="77777777" w:rsidR="007F2F83" w:rsidRDefault="007F2F83" w:rsidP="000E7C6F">
            <w:pPr>
              <w:jc w:val="center"/>
            </w:pPr>
            <w:r>
              <w:t>6</w:t>
            </w:r>
          </w:p>
        </w:tc>
        <w:tc>
          <w:tcPr>
            <w:tcW w:w="1355" w:type="dxa"/>
            <w:gridSpan w:val="2"/>
            <w:vAlign w:val="center"/>
          </w:tcPr>
          <w:p w14:paraId="78B74868" w14:textId="77777777" w:rsidR="007F2F83" w:rsidRDefault="007F2F83" w:rsidP="000E7C6F">
            <w:pPr>
              <w:jc w:val="center"/>
            </w:pPr>
            <w:r>
              <w:t>0</w:t>
            </w:r>
          </w:p>
        </w:tc>
        <w:tc>
          <w:tcPr>
            <w:tcW w:w="1356" w:type="dxa"/>
            <w:tcBorders>
              <w:right w:val="nil"/>
            </w:tcBorders>
            <w:vAlign w:val="center"/>
          </w:tcPr>
          <w:p w14:paraId="2A61B12C" w14:textId="77777777" w:rsidR="007F2F83" w:rsidRDefault="007F2F83" w:rsidP="000E7C6F">
            <w:pPr>
              <w:jc w:val="center"/>
            </w:pPr>
            <w:r>
              <w:t>4</w:t>
            </w:r>
          </w:p>
        </w:tc>
      </w:tr>
      <w:tr w:rsidR="007F2F83" w14:paraId="393D3EDA" w14:textId="77777777" w:rsidTr="00EA3612">
        <w:trPr>
          <w:jc w:val="center"/>
        </w:trPr>
        <w:tc>
          <w:tcPr>
            <w:tcW w:w="9017" w:type="dxa"/>
            <w:gridSpan w:val="9"/>
            <w:tcBorders>
              <w:left w:val="nil"/>
              <w:right w:val="nil"/>
            </w:tcBorders>
            <w:shd w:val="clear" w:color="auto" w:fill="A8D08D" w:themeFill="accent6" w:themeFillTint="99"/>
          </w:tcPr>
          <w:p w14:paraId="47D1086E" w14:textId="77777777" w:rsidR="007F2F83" w:rsidRPr="001F7E45" w:rsidRDefault="007F2F83" w:rsidP="000E7C6F">
            <w:pPr>
              <w:rPr>
                <w:b/>
              </w:rPr>
            </w:pPr>
            <w:r w:rsidRPr="001F7E45">
              <w:rPr>
                <w:b/>
              </w:rPr>
              <w:t>New South Wales</w:t>
            </w:r>
          </w:p>
        </w:tc>
      </w:tr>
      <w:tr w:rsidR="007F2F83" w14:paraId="240F0284" w14:textId="77777777" w:rsidTr="00EA3612">
        <w:trPr>
          <w:jc w:val="center"/>
        </w:trPr>
        <w:tc>
          <w:tcPr>
            <w:tcW w:w="9017" w:type="dxa"/>
            <w:gridSpan w:val="9"/>
            <w:tcBorders>
              <w:left w:val="nil"/>
              <w:right w:val="nil"/>
            </w:tcBorders>
            <w:shd w:val="clear" w:color="auto" w:fill="D9D9D9" w:themeFill="background1" w:themeFillShade="D9"/>
          </w:tcPr>
          <w:p w14:paraId="7DA0FCCB" w14:textId="77777777" w:rsidR="007F2F83" w:rsidRDefault="007F2F83" w:rsidP="000E7C6F">
            <w:r>
              <w:lastRenderedPageBreak/>
              <w:t>State Level</w:t>
            </w:r>
          </w:p>
        </w:tc>
      </w:tr>
      <w:tr w:rsidR="007F2F83" w14:paraId="47623D72" w14:textId="77777777" w:rsidTr="00EA3612">
        <w:trPr>
          <w:jc w:val="center"/>
        </w:trPr>
        <w:tc>
          <w:tcPr>
            <w:tcW w:w="421" w:type="dxa"/>
            <w:tcBorders>
              <w:left w:val="nil"/>
              <w:bottom w:val="dotted" w:sz="4" w:space="0" w:color="auto"/>
            </w:tcBorders>
            <w:vAlign w:val="center"/>
          </w:tcPr>
          <w:p w14:paraId="6EE044B6" w14:textId="77777777" w:rsidR="007F2F83" w:rsidRPr="00AB05B9" w:rsidRDefault="007F2F83" w:rsidP="000E7C6F">
            <w:pPr>
              <w:rPr>
                <w:sz w:val="16"/>
              </w:rPr>
            </w:pPr>
            <w:r w:rsidRPr="00AB05B9">
              <w:rPr>
                <w:sz w:val="16"/>
              </w:rPr>
              <w:t>1</w:t>
            </w:r>
          </w:p>
        </w:tc>
        <w:tc>
          <w:tcPr>
            <w:tcW w:w="1822" w:type="dxa"/>
            <w:tcBorders>
              <w:bottom w:val="dotted" w:sz="4" w:space="0" w:color="auto"/>
            </w:tcBorders>
          </w:tcPr>
          <w:p w14:paraId="2CB8F440" w14:textId="77777777" w:rsidR="007F2F83" w:rsidRPr="00552D58" w:rsidRDefault="007F2F83" w:rsidP="000E7C6F">
            <w:pPr>
              <w:rPr>
                <w:i/>
                <w:sz w:val="16"/>
              </w:rPr>
            </w:pPr>
            <w:r w:rsidRPr="007E0025">
              <w:rPr>
                <w:i/>
                <w:sz w:val="16"/>
              </w:rPr>
              <w:t>State Environm</w:t>
            </w:r>
            <w:r>
              <w:rPr>
                <w:i/>
                <w:sz w:val="16"/>
              </w:rPr>
              <w:t>ental Planning Policies (SEPPs)</w:t>
            </w:r>
          </w:p>
        </w:tc>
        <w:tc>
          <w:tcPr>
            <w:tcW w:w="1354" w:type="dxa"/>
            <w:tcBorders>
              <w:bottom w:val="dotted" w:sz="4" w:space="0" w:color="auto"/>
            </w:tcBorders>
            <w:vAlign w:val="center"/>
          </w:tcPr>
          <w:p w14:paraId="4E7F1816" w14:textId="77777777" w:rsidR="007F2F83" w:rsidRDefault="007F2F83" w:rsidP="000E7C6F">
            <w:pPr>
              <w:jc w:val="center"/>
            </w:pPr>
          </w:p>
        </w:tc>
        <w:tc>
          <w:tcPr>
            <w:tcW w:w="1355" w:type="dxa"/>
            <w:gridSpan w:val="2"/>
            <w:tcBorders>
              <w:bottom w:val="dotted" w:sz="4" w:space="0" w:color="auto"/>
            </w:tcBorders>
            <w:vAlign w:val="center"/>
          </w:tcPr>
          <w:p w14:paraId="7CCBDFDA" w14:textId="77777777" w:rsidR="007F2F83" w:rsidRDefault="007F2F83" w:rsidP="000E7C6F">
            <w:pPr>
              <w:jc w:val="center"/>
            </w:pPr>
            <w:r>
              <w:sym w:font="Wingdings" w:char="F0FC"/>
            </w:r>
          </w:p>
        </w:tc>
        <w:tc>
          <w:tcPr>
            <w:tcW w:w="1354" w:type="dxa"/>
            <w:tcBorders>
              <w:bottom w:val="dotted" w:sz="4" w:space="0" w:color="auto"/>
            </w:tcBorders>
            <w:vAlign w:val="center"/>
          </w:tcPr>
          <w:p w14:paraId="3457A28F" w14:textId="77777777" w:rsidR="007F2F83" w:rsidRDefault="007F2F83" w:rsidP="000E7C6F">
            <w:pPr>
              <w:jc w:val="center"/>
            </w:pPr>
          </w:p>
        </w:tc>
        <w:tc>
          <w:tcPr>
            <w:tcW w:w="1355" w:type="dxa"/>
            <w:gridSpan w:val="2"/>
            <w:tcBorders>
              <w:bottom w:val="dotted" w:sz="4" w:space="0" w:color="auto"/>
            </w:tcBorders>
            <w:vAlign w:val="center"/>
          </w:tcPr>
          <w:p w14:paraId="2104253D" w14:textId="77777777" w:rsidR="007F2F83" w:rsidRDefault="007F2F83" w:rsidP="000E7C6F">
            <w:pPr>
              <w:jc w:val="center"/>
            </w:pPr>
          </w:p>
        </w:tc>
        <w:tc>
          <w:tcPr>
            <w:tcW w:w="1356" w:type="dxa"/>
            <w:tcBorders>
              <w:bottom w:val="dotted" w:sz="4" w:space="0" w:color="auto"/>
              <w:right w:val="nil"/>
            </w:tcBorders>
            <w:vAlign w:val="center"/>
          </w:tcPr>
          <w:p w14:paraId="37154E1B" w14:textId="77777777" w:rsidR="007F2F83" w:rsidRDefault="007F2F83" w:rsidP="000E7C6F">
            <w:pPr>
              <w:jc w:val="center"/>
            </w:pPr>
          </w:p>
        </w:tc>
      </w:tr>
      <w:tr w:rsidR="007F2F83" w14:paraId="5491E2F8" w14:textId="77777777" w:rsidTr="00EA3612">
        <w:trPr>
          <w:jc w:val="center"/>
        </w:trPr>
        <w:tc>
          <w:tcPr>
            <w:tcW w:w="421" w:type="dxa"/>
            <w:tcBorders>
              <w:top w:val="dotted" w:sz="4" w:space="0" w:color="auto"/>
              <w:left w:val="nil"/>
              <w:bottom w:val="dotted" w:sz="4" w:space="0" w:color="auto"/>
            </w:tcBorders>
            <w:vAlign w:val="center"/>
          </w:tcPr>
          <w:p w14:paraId="1EDC1DE0" w14:textId="77777777" w:rsidR="007F2F83" w:rsidRPr="00AB05B9" w:rsidRDefault="007F2F83" w:rsidP="000E7C6F">
            <w:pPr>
              <w:rPr>
                <w:sz w:val="16"/>
              </w:rPr>
            </w:pPr>
            <w:r w:rsidRPr="00AB05B9">
              <w:rPr>
                <w:sz w:val="16"/>
              </w:rPr>
              <w:t>2</w:t>
            </w:r>
          </w:p>
        </w:tc>
        <w:tc>
          <w:tcPr>
            <w:tcW w:w="1822" w:type="dxa"/>
            <w:tcBorders>
              <w:top w:val="dotted" w:sz="4" w:space="0" w:color="auto"/>
              <w:bottom w:val="dotted" w:sz="4" w:space="0" w:color="auto"/>
            </w:tcBorders>
          </w:tcPr>
          <w:p w14:paraId="7D72DD95" w14:textId="77777777" w:rsidR="007F2F83" w:rsidRPr="00552D58" w:rsidRDefault="007F2F83" w:rsidP="000E7C6F">
            <w:pPr>
              <w:rPr>
                <w:i/>
                <w:sz w:val="16"/>
              </w:rPr>
            </w:pPr>
            <w:r w:rsidRPr="007E0025">
              <w:rPr>
                <w:i/>
                <w:sz w:val="16"/>
              </w:rPr>
              <w:t>NSW Climate Change Policy Framework (2016)</w:t>
            </w:r>
          </w:p>
        </w:tc>
        <w:tc>
          <w:tcPr>
            <w:tcW w:w="1354" w:type="dxa"/>
            <w:tcBorders>
              <w:top w:val="dotted" w:sz="4" w:space="0" w:color="auto"/>
              <w:bottom w:val="dotted" w:sz="4" w:space="0" w:color="auto"/>
            </w:tcBorders>
            <w:vAlign w:val="center"/>
          </w:tcPr>
          <w:p w14:paraId="3AAB9AB6"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645AFC13" w14:textId="77777777" w:rsidR="007F2F83" w:rsidRDefault="007F2F83" w:rsidP="000E7C6F">
            <w:pPr>
              <w:jc w:val="center"/>
            </w:pPr>
          </w:p>
        </w:tc>
        <w:tc>
          <w:tcPr>
            <w:tcW w:w="1354" w:type="dxa"/>
            <w:tcBorders>
              <w:top w:val="dotted" w:sz="4" w:space="0" w:color="auto"/>
              <w:bottom w:val="dotted" w:sz="4" w:space="0" w:color="auto"/>
            </w:tcBorders>
            <w:vAlign w:val="center"/>
          </w:tcPr>
          <w:p w14:paraId="11855B71"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411BF2A"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77DF822D" w14:textId="77777777" w:rsidR="007F2F83" w:rsidRDefault="007F2F83" w:rsidP="000E7C6F">
            <w:pPr>
              <w:jc w:val="center"/>
            </w:pPr>
          </w:p>
        </w:tc>
      </w:tr>
      <w:tr w:rsidR="007F2F83" w14:paraId="36EDBA10" w14:textId="77777777" w:rsidTr="00EA3612">
        <w:trPr>
          <w:jc w:val="center"/>
        </w:trPr>
        <w:tc>
          <w:tcPr>
            <w:tcW w:w="421" w:type="dxa"/>
            <w:tcBorders>
              <w:top w:val="dotted" w:sz="4" w:space="0" w:color="auto"/>
              <w:left w:val="nil"/>
              <w:bottom w:val="dotted" w:sz="4" w:space="0" w:color="auto"/>
            </w:tcBorders>
            <w:vAlign w:val="center"/>
          </w:tcPr>
          <w:p w14:paraId="7BBD3036" w14:textId="77777777" w:rsidR="007F2F83" w:rsidRPr="00AB05B9" w:rsidRDefault="007F2F83" w:rsidP="000E7C6F">
            <w:pPr>
              <w:rPr>
                <w:sz w:val="16"/>
              </w:rPr>
            </w:pPr>
            <w:r w:rsidRPr="00AB05B9">
              <w:rPr>
                <w:sz w:val="16"/>
              </w:rPr>
              <w:t>3</w:t>
            </w:r>
          </w:p>
        </w:tc>
        <w:tc>
          <w:tcPr>
            <w:tcW w:w="1822" w:type="dxa"/>
            <w:tcBorders>
              <w:top w:val="dotted" w:sz="4" w:space="0" w:color="auto"/>
              <w:bottom w:val="dotted" w:sz="4" w:space="0" w:color="auto"/>
            </w:tcBorders>
          </w:tcPr>
          <w:p w14:paraId="23EF8BF1" w14:textId="77777777" w:rsidR="007F2F83" w:rsidRPr="007E0025" w:rsidRDefault="007F2F83" w:rsidP="000E7C6F">
            <w:pPr>
              <w:rPr>
                <w:i/>
                <w:sz w:val="16"/>
              </w:rPr>
            </w:pPr>
            <w:r w:rsidRPr="000A6D8E">
              <w:rPr>
                <w:i/>
                <w:sz w:val="16"/>
              </w:rPr>
              <w:t>The State Infrastructure Strategy 2012 – 2032</w:t>
            </w:r>
            <w:r>
              <w:t xml:space="preserve"> </w:t>
            </w:r>
          </w:p>
        </w:tc>
        <w:tc>
          <w:tcPr>
            <w:tcW w:w="1354" w:type="dxa"/>
            <w:tcBorders>
              <w:top w:val="dotted" w:sz="4" w:space="0" w:color="auto"/>
              <w:bottom w:val="dotted" w:sz="4" w:space="0" w:color="auto"/>
            </w:tcBorders>
            <w:vAlign w:val="center"/>
          </w:tcPr>
          <w:p w14:paraId="37D86E00"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0500BA7D" w14:textId="77777777" w:rsidR="007F2F83" w:rsidRDefault="007F2F83" w:rsidP="000E7C6F">
            <w:pPr>
              <w:jc w:val="center"/>
            </w:pPr>
            <w:r>
              <w:sym w:font="Wingdings" w:char="F0FC"/>
            </w:r>
          </w:p>
        </w:tc>
        <w:tc>
          <w:tcPr>
            <w:tcW w:w="1354" w:type="dxa"/>
            <w:tcBorders>
              <w:top w:val="dotted" w:sz="4" w:space="0" w:color="auto"/>
              <w:bottom w:val="dotted" w:sz="4" w:space="0" w:color="auto"/>
            </w:tcBorders>
            <w:vAlign w:val="center"/>
          </w:tcPr>
          <w:p w14:paraId="07FF01A4"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5CEE94D8"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47D0F903" w14:textId="77777777" w:rsidR="007F2F83" w:rsidRDefault="007F2F83" w:rsidP="000E7C6F">
            <w:pPr>
              <w:jc w:val="center"/>
            </w:pPr>
          </w:p>
        </w:tc>
      </w:tr>
      <w:tr w:rsidR="007F2F83" w14:paraId="431CB439" w14:textId="77777777" w:rsidTr="00EA3612">
        <w:trPr>
          <w:jc w:val="center"/>
        </w:trPr>
        <w:tc>
          <w:tcPr>
            <w:tcW w:w="421" w:type="dxa"/>
            <w:tcBorders>
              <w:top w:val="dotted" w:sz="4" w:space="0" w:color="auto"/>
              <w:left w:val="nil"/>
              <w:bottom w:val="dotted" w:sz="4" w:space="0" w:color="auto"/>
            </w:tcBorders>
            <w:vAlign w:val="center"/>
          </w:tcPr>
          <w:p w14:paraId="5907C6B6" w14:textId="77777777" w:rsidR="007F2F83" w:rsidRPr="00AB05B9" w:rsidRDefault="007F2F83" w:rsidP="000E7C6F">
            <w:pPr>
              <w:rPr>
                <w:sz w:val="16"/>
              </w:rPr>
            </w:pPr>
            <w:r w:rsidRPr="00AB05B9">
              <w:rPr>
                <w:sz w:val="16"/>
              </w:rPr>
              <w:t>4</w:t>
            </w:r>
          </w:p>
        </w:tc>
        <w:tc>
          <w:tcPr>
            <w:tcW w:w="1822" w:type="dxa"/>
            <w:tcBorders>
              <w:top w:val="dotted" w:sz="4" w:space="0" w:color="auto"/>
              <w:bottom w:val="dotted" w:sz="4" w:space="0" w:color="auto"/>
            </w:tcBorders>
          </w:tcPr>
          <w:p w14:paraId="1A5F1839" w14:textId="77777777" w:rsidR="007F2F83" w:rsidRPr="000A6D8E" w:rsidRDefault="007F2F83" w:rsidP="000E7C6F">
            <w:pPr>
              <w:rPr>
                <w:i/>
                <w:sz w:val="16"/>
              </w:rPr>
            </w:pPr>
            <w:r>
              <w:rPr>
                <w:i/>
                <w:sz w:val="16"/>
              </w:rPr>
              <w:t>The State Infrastructure Strategy Update 2014</w:t>
            </w:r>
          </w:p>
        </w:tc>
        <w:tc>
          <w:tcPr>
            <w:tcW w:w="1354" w:type="dxa"/>
            <w:tcBorders>
              <w:top w:val="dotted" w:sz="4" w:space="0" w:color="auto"/>
              <w:bottom w:val="dotted" w:sz="4" w:space="0" w:color="auto"/>
            </w:tcBorders>
            <w:vAlign w:val="center"/>
          </w:tcPr>
          <w:p w14:paraId="4D310FF5"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6E3E0E41" w14:textId="77777777" w:rsidR="007F2F83" w:rsidRDefault="007F2F83" w:rsidP="000E7C6F">
            <w:pPr>
              <w:jc w:val="center"/>
            </w:pPr>
          </w:p>
        </w:tc>
        <w:tc>
          <w:tcPr>
            <w:tcW w:w="1354" w:type="dxa"/>
            <w:tcBorders>
              <w:top w:val="dotted" w:sz="4" w:space="0" w:color="auto"/>
              <w:bottom w:val="dotted" w:sz="4" w:space="0" w:color="auto"/>
            </w:tcBorders>
            <w:vAlign w:val="center"/>
          </w:tcPr>
          <w:p w14:paraId="5DB5D52A"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23BF8859" w14:textId="77777777" w:rsidR="007F2F83" w:rsidRDefault="007F2F83" w:rsidP="000E7C6F">
            <w:pPr>
              <w:jc w:val="center"/>
            </w:pPr>
            <w:r>
              <w:sym w:font="Wingdings" w:char="F0FC"/>
            </w:r>
          </w:p>
        </w:tc>
        <w:tc>
          <w:tcPr>
            <w:tcW w:w="1356" w:type="dxa"/>
            <w:tcBorders>
              <w:top w:val="dotted" w:sz="4" w:space="0" w:color="auto"/>
              <w:bottom w:val="dotted" w:sz="4" w:space="0" w:color="auto"/>
              <w:right w:val="nil"/>
            </w:tcBorders>
            <w:vAlign w:val="center"/>
          </w:tcPr>
          <w:p w14:paraId="05DE7AE1" w14:textId="77777777" w:rsidR="007F2F83" w:rsidRDefault="007F2F83" w:rsidP="000E7C6F">
            <w:pPr>
              <w:jc w:val="center"/>
            </w:pPr>
          </w:p>
        </w:tc>
      </w:tr>
      <w:tr w:rsidR="007F2F83" w14:paraId="68577446" w14:textId="77777777" w:rsidTr="00EA3612">
        <w:trPr>
          <w:jc w:val="center"/>
        </w:trPr>
        <w:tc>
          <w:tcPr>
            <w:tcW w:w="421" w:type="dxa"/>
            <w:tcBorders>
              <w:top w:val="dotted" w:sz="4" w:space="0" w:color="auto"/>
              <w:left w:val="nil"/>
            </w:tcBorders>
            <w:vAlign w:val="center"/>
          </w:tcPr>
          <w:p w14:paraId="3F3AC82C" w14:textId="77777777" w:rsidR="007F2F83" w:rsidRPr="00AB05B9" w:rsidRDefault="007F2F83" w:rsidP="000E7C6F">
            <w:pPr>
              <w:rPr>
                <w:sz w:val="16"/>
              </w:rPr>
            </w:pPr>
            <w:r w:rsidRPr="00AB05B9">
              <w:rPr>
                <w:sz w:val="16"/>
              </w:rPr>
              <w:t>5</w:t>
            </w:r>
          </w:p>
        </w:tc>
        <w:tc>
          <w:tcPr>
            <w:tcW w:w="1822" w:type="dxa"/>
            <w:tcBorders>
              <w:top w:val="dotted" w:sz="4" w:space="0" w:color="auto"/>
            </w:tcBorders>
          </w:tcPr>
          <w:p w14:paraId="4D1E152D" w14:textId="77777777" w:rsidR="007F2F83" w:rsidRPr="000A6D8E" w:rsidRDefault="007F2F83" w:rsidP="000E7C6F">
            <w:pPr>
              <w:rPr>
                <w:i/>
                <w:sz w:val="16"/>
              </w:rPr>
            </w:pPr>
            <w:r>
              <w:rPr>
                <w:i/>
                <w:sz w:val="16"/>
              </w:rPr>
              <w:t>NSW</w:t>
            </w:r>
            <w:r w:rsidRPr="000A6D8E">
              <w:rPr>
                <w:i/>
                <w:sz w:val="16"/>
              </w:rPr>
              <w:t xml:space="preserve"> Long Term Transport Master Plan</w:t>
            </w:r>
            <w:r>
              <w:rPr>
                <w:i/>
                <w:sz w:val="16"/>
              </w:rPr>
              <w:t xml:space="preserve"> 2012</w:t>
            </w:r>
          </w:p>
        </w:tc>
        <w:tc>
          <w:tcPr>
            <w:tcW w:w="1354" w:type="dxa"/>
            <w:tcBorders>
              <w:top w:val="dotted" w:sz="4" w:space="0" w:color="auto"/>
            </w:tcBorders>
            <w:vAlign w:val="center"/>
          </w:tcPr>
          <w:p w14:paraId="161F4D58" w14:textId="77777777" w:rsidR="007F2F83" w:rsidRDefault="007F2F83" w:rsidP="000E7C6F">
            <w:pPr>
              <w:jc w:val="center"/>
            </w:pPr>
          </w:p>
        </w:tc>
        <w:tc>
          <w:tcPr>
            <w:tcW w:w="1355" w:type="dxa"/>
            <w:gridSpan w:val="2"/>
            <w:tcBorders>
              <w:top w:val="dotted" w:sz="4" w:space="0" w:color="auto"/>
            </w:tcBorders>
            <w:vAlign w:val="center"/>
          </w:tcPr>
          <w:p w14:paraId="49E6F552" w14:textId="77777777" w:rsidR="007F2F83" w:rsidRDefault="007F2F83" w:rsidP="000E7C6F">
            <w:pPr>
              <w:jc w:val="center"/>
            </w:pPr>
          </w:p>
        </w:tc>
        <w:tc>
          <w:tcPr>
            <w:tcW w:w="1354" w:type="dxa"/>
            <w:tcBorders>
              <w:top w:val="dotted" w:sz="4" w:space="0" w:color="auto"/>
            </w:tcBorders>
            <w:vAlign w:val="center"/>
          </w:tcPr>
          <w:p w14:paraId="3C5E2826" w14:textId="77777777" w:rsidR="007F2F83" w:rsidRDefault="007F2F83" w:rsidP="000E7C6F">
            <w:pPr>
              <w:jc w:val="center"/>
            </w:pPr>
          </w:p>
        </w:tc>
        <w:tc>
          <w:tcPr>
            <w:tcW w:w="1355" w:type="dxa"/>
            <w:gridSpan w:val="2"/>
            <w:tcBorders>
              <w:top w:val="dotted" w:sz="4" w:space="0" w:color="auto"/>
            </w:tcBorders>
            <w:vAlign w:val="center"/>
          </w:tcPr>
          <w:p w14:paraId="03372016" w14:textId="77777777" w:rsidR="007F2F83" w:rsidRDefault="007F2F83" w:rsidP="000E7C6F">
            <w:pPr>
              <w:jc w:val="center"/>
            </w:pPr>
            <w:r>
              <w:sym w:font="Wingdings" w:char="F0FC"/>
            </w:r>
          </w:p>
        </w:tc>
        <w:tc>
          <w:tcPr>
            <w:tcW w:w="1356" w:type="dxa"/>
            <w:tcBorders>
              <w:top w:val="dotted" w:sz="4" w:space="0" w:color="auto"/>
              <w:right w:val="nil"/>
            </w:tcBorders>
            <w:vAlign w:val="center"/>
          </w:tcPr>
          <w:p w14:paraId="74D69D24" w14:textId="77777777" w:rsidR="007F2F83" w:rsidRDefault="007F2F83" w:rsidP="000E7C6F">
            <w:pPr>
              <w:jc w:val="center"/>
            </w:pPr>
          </w:p>
        </w:tc>
      </w:tr>
      <w:tr w:rsidR="007F2F83" w14:paraId="7810DAF4" w14:textId="77777777" w:rsidTr="00EA3612">
        <w:trPr>
          <w:jc w:val="center"/>
        </w:trPr>
        <w:tc>
          <w:tcPr>
            <w:tcW w:w="9017" w:type="dxa"/>
            <w:gridSpan w:val="9"/>
            <w:tcBorders>
              <w:left w:val="nil"/>
              <w:right w:val="nil"/>
            </w:tcBorders>
            <w:shd w:val="clear" w:color="auto" w:fill="D9D9D9" w:themeFill="background1" w:themeFillShade="D9"/>
            <w:vAlign w:val="center"/>
          </w:tcPr>
          <w:p w14:paraId="7E149E7B" w14:textId="77777777" w:rsidR="007F2F83" w:rsidRDefault="007F2F83" w:rsidP="000E7C6F">
            <w:r>
              <w:t>Metropolitan Level</w:t>
            </w:r>
          </w:p>
        </w:tc>
      </w:tr>
      <w:tr w:rsidR="007F2F83" w14:paraId="57F0F52B" w14:textId="77777777" w:rsidTr="00EA3612">
        <w:trPr>
          <w:jc w:val="center"/>
        </w:trPr>
        <w:tc>
          <w:tcPr>
            <w:tcW w:w="421" w:type="dxa"/>
            <w:tcBorders>
              <w:left w:val="nil"/>
            </w:tcBorders>
            <w:vAlign w:val="center"/>
          </w:tcPr>
          <w:p w14:paraId="39ACAFA9" w14:textId="77777777" w:rsidR="007F2F83" w:rsidRDefault="007F2F83" w:rsidP="000E7C6F">
            <w:r w:rsidRPr="00AB05B9">
              <w:rPr>
                <w:sz w:val="16"/>
              </w:rPr>
              <w:t>6</w:t>
            </w:r>
          </w:p>
        </w:tc>
        <w:tc>
          <w:tcPr>
            <w:tcW w:w="1822" w:type="dxa"/>
          </w:tcPr>
          <w:p w14:paraId="30DBCB53" w14:textId="77777777" w:rsidR="007F2F83" w:rsidRPr="00552D58" w:rsidRDefault="007F2F83" w:rsidP="000E7C6F">
            <w:pPr>
              <w:rPr>
                <w:i/>
                <w:sz w:val="16"/>
              </w:rPr>
            </w:pPr>
            <w:r w:rsidRPr="000A6D8E">
              <w:rPr>
                <w:i/>
                <w:sz w:val="16"/>
              </w:rPr>
              <w:t>A Plan for Growing Sydney 2014</w:t>
            </w:r>
          </w:p>
        </w:tc>
        <w:tc>
          <w:tcPr>
            <w:tcW w:w="1354" w:type="dxa"/>
            <w:vAlign w:val="center"/>
          </w:tcPr>
          <w:p w14:paraId="7B13FC53" w14:textId="77777777" w:rsidR="007F2F83" w:rsidRDefault="007F2F83" w:rsidP="000E7C6F">
            <w:pPr>
              <w:jc w:val="center"/>
            </w:pPr>
          </w:p>
        </w:tc>
        <w:tc>
          <w:tcPr>
            <w:tcW w:w="1355" w:type="dxa"/>
            <w:gridSpan w:val="2"/>
            <w:vAlign w:val="center"/>
          </w:tcPr>
          <w:p w14:paraId="48C3FFCD" w14:textId="77777777" w:rsidR="007F2F83" w:rsidRDefault="007F2F83" w:rsidP="000E7C6F">
            <w:pPr>
              <w:jc w:val="center"/>
            </w:pPr>
            <w:r>
              <w:sym w:font="Wingdings" w:char="F0FC"/>
            </w:r>
          </w:p>
        </w:tc>
        <w:tc>
          <w:tcPr>
            <w:tcW w:w="1354" w:type="dxa"/>
            <w:vAlign w:val="center"/>
          </w:tcPr>
          <w:p w14:paraId="22393ADC" w14:textId="77777777" w:rsidR="007F2F83" w:rsidRDefault="007F2F83" w:rsidP="000E7C6F">
            <w:pPr>
              <w:jc w:val="center"/>
            </w:pPr>
          </w:p>
        </w:tc>
        <w:tc>
          <w:tcPr>
            <w:tcW w:w="1355" w:type="dxa"/>
            <w:gridSpan w:val="2"/>
            <w:vAlign w:val="center"/>
          </w:tcPr>
          <w:p w14:paraId="0893C62B" w14:textId="77777777" w:rsidR="007F2F83" w:rsidRDefault="007F2F83" w:rsidP="000E7C6F">
            <w:pPr>
              <w:jc w:val="center"/>
            </w:pPr>
          </w:p>
        </w:tc>
        <w:tc>
          <w:tcPr>
            <w:tcW w:w="1356" w:type="dxa"/>
            <w:tcBorders>
              <w:right w:val="nil"/>
            </w:tcBorders>
            <w:vAlign w:val="center"/>
          </w:tcPr>
          <w:p w14:paraId="28261499" w14:textId="77777777" w:rsidR="007F2F83" w:rsidRDefault="007F2F83" w:rsidP="000E7C6F">
            <w:pPr>
              <w:jc w:val="center"/>
            </w:pPr>
          </w:p>
        </w:tc>
      </w:tr>
      <w:tr w:rsidR="007F2F83" w14:paraId="09686726" w14:textId="77777777" w:rsidTr="00EA3612">
        <w:trPr>
          <w:jc w:val="center"/>
        </w:trPr>
        <w:tc>
          <w:tcPr>
            <w:tcW w:w="9017" w:type="dxa"/>
            <w:gridSpan w:val="9"/>
            <w:tcBorders>
              <w:left w:val="nil"/>
              <w:right w:val="nil"/>
            </w:tcBorders>
            <w:shd w:val="clear" w:color="auto" w:fill="D9D9D9" w:themeFill="background1" w:themeFillShade="D9"/>
            <w:vAlign w:val="center"/>
          </w:tcPr>
          <w:p w14:paraId="51FA4651" w14:textId="77777777" w:rsidR="007F2F83" w:rsidRDefault="007F2F83" w:rsidP="000E7C6F">
            <w:r>
              <w:t>City Level</w:t>
            </w:r>
          </w:p>
        </w:tc>
      </w:tr>
      <w:tr w:rsidR="007F2F83" w14:paraId="47D362E2" w14:textId="77777777" w:rsidTr="00EA3612">
        <w:trPr>
          <w:jc w:val="center"/>
        </w:trPr>
        <w:tc>
          <w:tcPr>
            <w:tcW w:w="421" w:type="dxa"/>
            <w:tcBorders>
              <w:left w:val="nil"/>
              <w:bottom w:val="dotted" w:sz="4" w:space="0" w:color="auto"/>
            </w:tcBorders>
            <w:vAlign w:val="center"/>
          </w:tcPr>
          <w:p w14:paraId="0549C87E" w14:textId="77777777" w:rsidR="007F2F83" w:rsidRPr="00AB05B9" w:rsidRDefault="007F2F83" w:rsidP="000E7C6F">
            <w:pPr>
              <w:rPr>
                <w:sz w:val="16"/>
              </w:rPr>
            </w:pPr>
            <w:r w:rsidRPr="00AB05B9">
              <w:rPr>
                <w:sz w:val="16"/>
              </w:rPr>
              <w:t>7</w:t>
            </w:r>
          </w:p>
        </w:tc>
        <w:tc>
          <w:tcPr>
            <w:tcW w:w="1822" w:type="dxa"/>
            <w:tcBorders>
              <w:bottom w:val="dotted" w:sz="4" w:space="0" w:color="auto"/>
            </w:tcBorders>
          </w:tcPr>
          <w:p w14:paraId="7A9D3946" w14:textId="77777777" w:rsidR="007F2F83" w:rsidRPr="00552D58" w:rsidRDefault="007F2F83" w:rsidP="000E7C6F">
            <w:pPr>
              <w:rPr>
                <w:i/>
                <w:sz w:val="16"/>
              </w:rPr>
            </w:pPr>
            <w:r w:rsidRPr="000A6D8E">
              <w:rPr>
                <w:i/>
                <w:sz w:val="16"/>
              </w:rPr>
              <w:t>Sydney Local Environmental Plan 2012</w:t>
            </w:r>
          </w:p>
        </w:tc>
        <w:tc>
          <w:tcPr>
            <w:tcW w:w="1354" w:type="dxa"/>
            <w:tcBorders>
              <w:bottom w:val="dotted" w:sz="4" w:space="0" w:color="auto"/>
            </w:tcBorders>
            <w:vAlign w:val="center"/>
          </w:tcPr>
          <w:p w14:paraId="7CAB38C6" w14:textId="77777777" w:rsidR="007F2F83" w:rsidRDefault="007F2F83" w:rsidP="000E7C6F">
            <w:pPr>
              <w:jc w:val="center"/>
            </w:pPr>
          </w:p>
        </w:tc>
        <w:tc>
          <w:tcPr>
            <w:tcW w:w="1355" w:type="dxa"/>
            <w:gridSpan w:val="2"/>
            <w:tcBorders>
              <w:bottom w:val="dotted" w:sz="4" w:space="0" w:color="auto"/>
            </w:tcBorders>
            <w:vAlign w:val="center"/>
          </w:tcPr>
          <w:p w14:paraId="4FADF7FE" w14:textId="77777777" w:rsidR="007F2F83" w:rsidRDefault="007F2F83" w:rsidP="000E7C6F">
            <w:pPr>
              <w:jc w:val="center"/>
            </w:pPr>
            <w:r>
              <w:sym w:font="Wingdings" w:char="F0FC"/>
            </w:r>
          </w:p>
        </w:tc>
        <w:tc>
          <w:tcPr>
            <w:tcW w:w="1354" w:type="dxa"/>
            <w:tcBorders>
              <w:bottom w:val="dotted" w:sz="4" w:space="0" w:color="auto"/>
            </w:tcBorders>
            <w:vAlign w:val="center"/>
          </w:tcPr>
          <w:p w14:paraId="600FB30C" w14:textId="77777777" w:rsidR="007F2F83" w:rsidRDefault="007F2F83" w:rsidP="000E7C6F">
            <w:pPr>
              <w:jc w:val="center"/>
            </w:pPr>
          </w:p>
        </w:tc>
        <w:tc>
          <w:tcPr>
            <w:tcW w:w="1355" w:type="dxa"/>
            <w:gridSpan w:val="2"/>
            <w:tcBorders>
              <w:bottom w:val="dotted" w:sz="4" w:space="0" w:color="auto"/>
            </w:tcBorders>
            <w:vAlign w:val="center"/>
          </w:tcPr>
          <w:p w14:paraId="5554C327" w14:textId="77777777" w:rsidR="007F2F83" w:rsidRDefault="007F2F83" w:rsidP="000E7C6F">
            <w:pPr>
              <w:jc w:val="center"/>
            </w:pPr>
          </w:p>
        </w:tc>
        <w:tc>
          <w:tcPr>
            <w:tcW w:w="1356" w:type="dxa"/>
            <w:tcBorders>
              <w:bottom w:val="dotted" w:sz="4" w:space="0" w:color="auto"/>
              <w:right w:val="nil"/>
            </w:tcBorders>
            <w:vAlign w:val="center"/>
          </w:tcPr>
          <w:p w14:paraId="2FCF894F" w14:textId="77777777" w:rsidR="007F2F83" w:rsidRDefault="007F2F83" w:rsidP="000E7C6F">
            <w:pPr>
              <w:jc w:val="center"/>
            </w:pPr>
          </w:p>
        </w:tc>
      </w:tr>
      <w:tr w:rsidR="007F2F83" w14:paraId="6C7373EC" w14:textId="77777777" w:rsidTr="00EA3612">
        <w:trPr>
          <w:jc w:val="center"/>
        </w:trPr>
        <w:tc>
          <w:tcPr>
            <w:tcW w:w="421" w:type="dxa"/>
            <w:tcBorders>
              <w:top w:val="dotted" w:sz="4" w:space="0" w:color="auto"/>
              <w:left w:val="nil"/>
              <w:bottom w:val="dotted" w:sz="4" w:space="0" w:color="auto"/>
            </w:tcBorders>
            <w:vAlign w:val="center"/>
          </w:tcPr>
          <w:p w14:paraId="13854103" w14:textId="77777777" w:rsidR="007F2F83" w:rsidRPr="00AB05B9" w:rsidRDefault="007F2F83" w:rsidP="000E7C6F">
            <w:pPr>
              <w:rPr>
                <w:sz w:val="16"/>
              </w:rPr>
            </w:pPr>
            <w:r w:rsidRPr="00AB05B9">
              <w:rPr>
                <w:sz w:val="16"/>
              </w:rPr>
              <w:t>8</w:t>
            </w:r>
          </w:p>
        </w:tc>
        <w:tc>
          <w:tcPr>
            <w:tcW w:w="1822" w:type="dxa"/>
            <w:tcBorders>
              <w:top w:val="dotted" w:sz="4" w:space="0" w:color="auto"/>
              <w:bottom w:val="dotted" w:sz="4" w:space="0" w:color="auto"/>
            </w:tcBorders>
          </w:tcPr>
          <w:p w14:paraId="7A1BB972" w14:textId="77777777" w:rsidR="007F2F83" w:rsidRPr="00552D58" w:rsidRDefault="007F2F83" w:rsidP="000E7C6F">
            <w:pPr>
              <w:rPr>
                <w:i/>
                <w:sz w:val="16"/>
              </w:rPr>
            </w:pPr>
            <w:r w:rsidRPr="000A6D8E">
              <w:rPr>
                <w:i/>
                <w:sz w:val="16"/>
              </w:rPr>
              <w:t>Sydney Development Control Plan 2012</w:t>
            </w:r>
          </w:p>
        </w:tc>
        <w:tc>
          <w:tcPr>
            <w:tcW w:w="1354" w:type="dxa"/>
            <w:tcBorders>
              <w:top w:val="dotted" w:sz="4" w:space="0" w:color="auto"/>
              <w:bottom w:val="dotted" w:sz="4" w:space="0" w:color="auto"/>
            </w:tcBorders>
            <w:vAlign w:val="center"/>
          </w:tcPr>
          <w:p w14:paraId="14A654CF"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C104F8E" w14:textId="77777777" w:rsidR="007F2F83" w:rsidRDefault="007F2F83" w:rsidP="000E7C6F">
            <w:pPr>
              <w:jc w:val="center"/>
            </w:pPr>
          </w:p>
        </w:tc>
        <w:tc>
          <w:tcPr>
            <w:tcW w:w="1354" w:type="dxa"/>
            <w:tcBorders>
              <w:top w:val="dotted" w:sz="4" w:space="0" w:color="auto"/>
              <w:bottom w:val="dotted" w:sz="4" w:space="0" w:color="auto"/>
            </w:tcBorders>
            <w:vAlign w:val="center"/>
          </w:tcPr>
          <w:p w14:paraId="28C8E9EE"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3EC32627" w14:textId="77777777" w:rsidR="007F2F83" w:rsidRDefault="007F2F83" w:rsidP="000E7C6F">
            <w:pPr>
              <w:jc w:val="center"/>
            </w:pPr>
            <w:r>
              <w:sym w:font="Wingdings" w:char="F0FC"/>
            </w:r>
          </w:p>
        </w:tc>
        <w:tc>
          <w:tcPr>
            <w:tcW w:w="1356" w:type="dxa"/>
            <w:tcBorders>
              <w:top w:val="dotted" w:sz="4" w:space="0" w:color="auto"/>
              <w:bottom w:val="dotted" w:sz="4" w:space="0" w:color="auto"/>
              <w:right w:val="nil"/>
            </w:tcBorders>
            <w:vAlign w:val="center"/>
          </w:tcPr>
          <w:p w14:paraId="5F9B8613" w14:textId="77777777" w:rsidR="007F2F83" w:rsidRDefault="007F2F83" w:rsidP="000E7C6F">
            <w:pPr>
              <w:jc w:val="center"/>
            </w:pPr>
          </w:p>
        </w:tc>
      </w:tr>
      <w:tr w:rsidR="007F2F83" w14:paraId="735B1856" w14:textId="77777777" w:rsidTr="00EA3612">
        <w:trPr>
          <w:jc w:val="center"/>
        </w:trPr>
        <w:tc>
          <w:tcPr>
            <w:tcW w:w="421" w:type="dxa"/>
            <w:tcBorders>
              <w:top w:val="dotted" w:sz="4" w:space="0" w:color="auto"/>
              <w:left w:val="nil"/>
              <w:bottom w:val="dotted" w:sz="4" w:space="0" w:color="auto"/>
            </w:tcBorders>
            <w:vAlign w:val="center"/>
          </w:tcPr>
          <w:p w14:paraId="24330997" w14:textId="77777777" w:rsidR="007F2F83" w:rsidRPr="00AB05B9" w:rsidRDefault="007F2F83" w:rsidP="000E7C6F">
            <w:pPr>
              <w:rPr>
                <w:sz w:val="16"/>
              </w:rPr>
            </w:pPr>
            <w:r w:rsidRPr="00AB05B9">
              <w:rPr>
                <w:sz w:val="16"/>
              </w:rPr>
              <w:t>9</w:t>
            </w:r>
          </w:p>
        </w:tc>
        <w:tc>
          <w:tcPr>
            <w:tcW w:w="1822" w:type="dxa"/>
            <w:tcBorders>
              <w:top w:val="dotted" w:sz="4" w:space="0" w:color="auto"/>
              <w:bottom w:val="dotted" w:sz="4" w:space="0" w:color="auto"/>
            </w:tcBorders>
          </w:tcPr>
          <w:p w14:paraId="5503AC36" w14:textId="77777777" w:rsidR="007F2F83" w:rsidRPr="00552D58" w:rsidRDefault="007F2F83" w:rsidP="000E7C6F">
            <w:pPr>
              <w:rPr>
                <w:i/>
                <w:sz w:val="16"/>
              </w:rPr>
            </w:pPr>
            <w:r w:rsidRPr="000A6D8E">
              <w:rPr>
                <w:i/>
                <w:sz w:val="16"/>
              </w:rPr>
              <w:t>Sustainable Sydney 2030 Community Strategic Plan (2014)</w:t>
            </w:r>
          </w:p>
        </w:tc>
        <w:tc>
          <w:tcPr>
            <w:tcW w:w="1354" w:type="dxa"/>
            <w:tcBorders>
              <w:top w:val="dotted" w:sz="4" w:space="0" w:color="auto"/>
              <w:bottom w:val="dotted" w:sz="4" w:space="0" w:color="auto"/>
            </w:tcBorders>
            <w:vAlign w:val="center"/>
          </w:tcPr>
          <w:p w14:paraId="08F282F7"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5A96EE0F" w14:textId="77777777" w:rsidR="007F2F83" w:rsidRDefault="007F2F83" w:rsidP="000E7C6F">
            <w:pPr>
              <w:jc w:val="center"/>
            </w:pPr>
          </w:p>
        </w:tc>
        <w:tc>
          <w:tcPr>
            <w:tcW w:w="1354" w:type="dxa"/>
            <w:tcBorders>
              <w:top w:val="dotted" w:sz="4" w:space="0" w:color="auto"/>
              <w:bottom w:val="dotted" w:sz="4" w:space="0" w:color="auto"/>
            </w:tcBorders>
            <w:vAlign w:val="center"/>
          </w:tcPr>
          <w:p w14:paraId="6B37955B"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E69B114"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47BB3132" w14:textId="77777777" w:rsidR="007F2F83" w:rsidRDefault="007F2F83" w:rsidP="000E7C6F">
            <w:pPr>
              <w:jc w:val="center"/>
            </w:pPr>
          </w:p>
        </w:tc>
      </w:tr>
      <w:tr w:rsidR="007F2F83" w14:paraId="43AFEE60" w14:textId="77777777" w:rsidTr="00EA3612">
        <w:trPr>
          <w:jc w:val="center"/>
        </w:trPr>
        <w:tc>
          <w:tcPr>
            <w:tcW w:w="421" w:type="dxa"/>
            <w:tcBorders>
              <w:top w:val="dotted" w:sz="4" w:space="0" w:color="auto"/>
              <w:left w:val="nil"/>
              <w:bottom w:val="dotted" w:sz="4" w:space="0" w:color="auto"/>
            </w:tcBorders>
            <w:vAlign w:val="center"/>
          </w:tcPr>
          <w:p w14:paraId="08C19EE5" w14:textId="77777777" w:rsidR="007F2F83" w:rsidRPr="00AB05B9" w:rsidRDefault="007F2F83" w:rsidP="000E7C6F">
            <w:pPr>
              <w:rPr>
                <w:sz w:val="16"/>
              </w:rPr>
            </w:pPr>
            <w:r w:rsidRPr="00AB05B9">
              <w:rPr>
                <w:sz w:val="16"/>
              </w:rPr>
              <w:t>10</w:t>
            </w:r>
          </w:p>
        </w:tc>
        <w:tc>
          <w:tcPr>
            <w:tcW w:w="1822" w:type="dxa"/>
            <w:tcBorders>
              <w:top w:val="dotted" w:sz="4" w:space="0" w:color="auto"/>
              <w:bottom w:val="dotted" w:sz="4" w:space="0" w:color="auto"/>
            </w:tcBorders>
          </w:tcPr>
          <w:p w14:paraId="06F97037" w14:textId="77777777" w:rsidR="007F2F83" w:rsidRPr="00552D58" w:rsidRDefault="007F2F83" w:rsidP="000E7C6F">
            <w:pPr>
              <w:rPr>
                <w:i/>
                <w:sz w:val="16"/>
              </w:rPr>
            </w:pPr>
            <w:r w:rsidRPr="000A6D8E">
              <w:rPr>
                <w:i/>
                <w:sz w:val="16"/>
              </w:rPr>
              <w:t>Adapting for Climate Change: A long term strategy for the City of Sydney</w:t>
            </w:r>
            <w:r>
              <w:rPr>
                <w:i/>
                <w:sz w:val="16"/>
              </w:rPr>
              <w:t xml:space="preserve"> </w:t>
            </w:r>
            <w:r w:rsidRPr="000A6D8E">
              <w:rPr>
                <w:i/>
                <w:sz w:val="16"/>
              </w:rPr>
              <w:t>(2016)</w:t>
            </w:r>
          </w:p>
        </w:tc>
        <w:tc>
          <w:tcPr>
            <w:tcW w:w="1354" w:type="dxa"/>
            <w:tcBorders>
              <w:top w:val="dotted" w:sz="4" w:space="0" w:color="auto"/>
              <w:bottom w:val="dotted" w:sz="4" w:space="0" w:color="auto"/>
            </w:tcBorders>
            <w:vAlign w:val="center"/>
          </w:tcPr>
          <w:p w14:paraId="2A52AA39"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4059280C" w14:textId="77777777" w:rsidR="007F2F83" w:rsidRDefault="007F2F83" w:rsidP="000E7C6F">
            <w:pPr>
              <w:jc w:val="center"/>
            </w:pPr>
          </w:p>
        </w:tc>
        <w:tc>
          <w:tcPr>
            <w:tcW w:w="1354" w:type="dxa"/>
            <w:tcBorders>
              <w:top w:val="dotted" w:sz="4" w:space="0" w:color="auto"/>
              <w:bottom w:val="dotted" w:sz="4" w:space="0" w:color="auto"/>
            </w:tcBorders>
            <w:vAlign w:val="center"/>
          </w:tcPr>
          <w:p w14:paraId="376217F2"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93D729C"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5562A064" w14:textId="77777777" w:rsidR="007F2F83" w:rsidRDefault="007F2F83" w:rsidP="000E7C6F">
            <w:pPr>
              <w:jc w:val="center"/>
            </w:pPr>
          </w:p>
        </w:tc>
      </w:tr>
      <w:tr w:rsidR="007F2F83" w14:paraId="5B9E827E" w14:textId="77777777" w:rsidTr="00EA3612">
        <w:trPr>
          <w:jc w:val="center"/>
        </w:trPr>
        <w:tc>
          <w:tcPr>
            <w:tcW w:w="421" w:type="dxa"/>
            <w:tcBorders>
              <w:top w:val="dotted" w:sz="4" w:space="0" w:color="auto"/>
              <w:left w:val="nil"/>
              <w:bottom w:val="dotted" w:sz="4" w:space="0" w:color="auto"/>
            </w:tcBorders>
            <w:vAlign w:val="center"/>
          </w:tcPr>
          <w:p w14:paraId="4F58AEBE" w14:textId="77777777" w:rsidR="007F2F83" w:rsidRPr="00AB05B9" w:rsidRDefault="007F2F83" w:rsidP="000E7C6F">
            <w:pPr>
              <w:rPr>
                <w:sz w:val="16"/>
              </w:rPr>
            </w:pPr>
            <w:r w:rsidRPr="00AB05B9">
              <w:rPr>
                <w:sz w:val="16"/>
              </w:rPr>
              <w:t>11</w:t>
            </w:r>
          </w:p>
        </w:tc>
        <w:tc>
          <w:tcPr>
            <w:tcW w:w="1822" w:type="dxa"/>
            <w:tcBorders>
              <w:top w:val="dotted" w:sz="4" w:space="0" w:color="auto"/>
              <w:bottom w:val="dotted" w:sz="4" w:space="0" w:color="auto"/>
            </w:tcBorders>
          </w:tcPr>
          <w:p w14:paraId="18348F02" w14:textId="77777777" w:rsidR="007F2F83" w:rsidRPr="00552D58" w:rsidRDefault="007F2F83" w:rsidP="000E7C6F">
            <w:pPr>
              <w:rPr>
                <w:i/>
                <w:sz w:val="16"/>
              </w:rPr>
            </w:pPr>
            <w:r w:rsidRPr="000A6D8E">
              <w:rPr>
                <w:i/>
                <w:sz w:val="16"/>
              </w:rPr>
              <w:t>Environmental Action 2016-2021: Strategy and Action Plan</w:t>
            </w:r>
            <w:r>
              <w:rPr>
                <w:i/>
                <w:sz w:val="16"/>
              </w:rPr>
              <w:t xml:space="preserve"> </w:t>
            </w:r>
          </w:p>
        </w:tc>
        <w:tc>
          <w:tcPr>
            <w:tcW w:w="1354" w:type="dxa"/>
            <w:tcBorders>
              <w:top w:val="dotted" w:sz="4" w:space="0" w:color="auto"/>
              <w:bottom w:val="dotted" w:sz="4" w:space="0" w:color="auto"/>
            </w:tcBorders>
            <w:vAlign w:val="center"/>
          </w:tcPr>
          <w:p w14:paraId="335F0D5A"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6090166D" w14:textId="77777777" w:rsidR="007F2F83" w:rsidRDefault="007F2F83" w:rsidP="000E7C6F">
            <w:pPr>
              <w:jc w:val="center"/>
            </w:pPr>
          </w:p>
        </w:tc>
        <w:tc>
          <w:tcPr>
            <w:tcW w:w="1354" w:type="dxa"/>
            <w:tcBorders>
              <w:top w:val="dotted" w:sz="4" w:space="0" w:color="auto"/>
              <w:bottom w:val="dotted" w:sz="4" w:space="0" w:color="auto"/>
            </w:tcBorders>
            <w:vAlign w:val="center"/>
          </w:tcPr>
          <w:p w14:paraId="12B9408C"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67EDF261"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2E7863EF" w14:textId="77777777" w:rsidR="007F2F83" w:rsidRDefault="007F2F83" w:rsidP="000E7C6F">
            <w:pPr>
              <w:jc w:val="center"/>
            </w:pPr>
          </w:p>
        </w:tc>
      </w:tr>
      <w:tr w:rsidR="007F2F83" w14:paraId="4F072CC7" w14:textId="77777777" w:rsidTr="00EA3612">
        <w:trPr>
          <w:jc w:val="center"/>
        </w:trPr>
        <w:tc>
          <w:tcPr>
            <w:tcW w:w="421" w:type="dxa"/>
            <w:tcBorders>
              <w:top w:val="dotted" w:sz="4" w:space="0" w:color="auto"/>
              <w:left w:val="nil"/>
              <w:bottom w:val="dotted" w:sz="4" w:space="0" w:color="auto"/>
            </w:tcBorders>
            <w:vAlign w:val="center"/>
          </w:tcPr>
          <w:p w14:paraId="6B00FE3A" w14:textId="77777777" w:rsidR="007F2F83" w:rsidRPr="00AB05B9" w:rsidRDefault="007F2F83" w:rsidP="000E7C6F">
            <w:pPr>
              <w:rPr>
                <w:sz w:val="16"/>
              </w:rPr>
            </w:pPr>
            <w:r w:rsidRPr="00AB05B9">
              <w:rPr>
                <w:sz w:val="16"/>
              </w:rPr>
              <w:t>12</w:t>
            </w:r>
          </w:p>
        </w:tc>
        <w:tc>
          <w:tcPr>
            <w:tcW w:w="1822" w:type="dxa"/>
            <w:tcBorders>
              <w:top w:val="dotted" w:sz="4" w:space="0" w:color="auto"/>
              <w:bottom w:val="dotted" w:sz="4" w:space="0" w:color="auto"/>
            </w:tcBorders>
          </w:tcPr>
          <w:p w14:paraId="2025EAD6" w14:textId="77777777" w:rsidR="007F2F83" w:rsidRPr="00552D58" w:rsidRDefault="007F2F83" w:rsidP="000E7C6F">
            <w:pPr>
              <w:rPr>
                <w:i/>
                <w:sz w:val="16"/>
              </w:rPr>
            </w:pPr>
            <w:r w:rsidRPr="000A6D8E">
              <w:rPr>
                <w:i/>
                <w:sz w:val="16"/>
              </w:rPr>
              <w:t>Walking Strategy and Action Plan 2015-2030</w:t>
            </w:r>
          </w:p>
        </w:tc>
        <w:tc>
          <w:tcPr>
            <w:tcW w:w="1354" w:type="dxa"/>
            <w:tcBorders>
              <w:top w:val="dotted" w:sz="4" w:space="0" w:color="auto"/>
              <w:bottom w:val="dotted" w:sz="4" w:space="0" w:color="auto"/>
            </w:tcBorders>
            <w:vAlign w:val="center"/>
          </w:tcPr>
          <w:p w14:paraId="69AEDFA4"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74C696DA" w14:textId="77777777" w:rsidR="007F2F83" w:rsidRDefault="007F2F83" w:rsidP="000E7C6F">
            <w:pPr>
              <w:jc w:val="center"/>
            </w:pPr>
          </w:p>
        </w:tc>
        <w:tc>
          <w:tcPr>
            <w:tcW w:w="1354" w:type="dxa"/>
            <w:tcBorders>
              <w:top w:val="dotted" w:sz="4" w:space="0" w:color="auto"/>
              <w:bottom w:val="dotted" w:sz="4" w:space="0" w:color="auto"/>
            </w:tcBorders>
            <w:vAlign w:val="center"/>
          </w:tcPr>
          <w:p w14:paraId="01962834"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789101DE"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6E019D94" w14:textId="77777777" w:rsidR="007F2F83" w:rsidRDefault="007F2F83" w:rsidP="000E7C6F">
            <w:pPr>
              <w:jc w:val="center"/>
            </w:pPr>
          </w:p>
        </w:tc>
      </w:tr>
      <w:tr w:rsidR="007F2F83" w14:paraId="3C84062E" w14:textId="77777777" w:rsidTr="00EA3612">
        <w:trPr>
          <w:jc w:val="center"/>
        </w:trPr>
        <w:tc>
          <w:tcPr>
            <w:tcW w:w="421" w:type="dxa"/>
            <w:tcBorders>
              <w:top w:val="dotted" w:sz="4" w:space="0" w:color="auto"/>
              <w:left w:val="nil"/>
              <w:bottom w:val="dotted" w:sz="4" w:space="0" w:color="auto"/>
            </w:tcBorders>
            <w:vAlign w:val="center"/>
          </w:tcPr>
          <w:p w14:paraId="614DAB6D" w14:textId="77777777" w:rsidR="007F2F83" w:rsidRPr="00AB05B9" w:rsidRDefault="007F2F83" w:rsidP="000E7C6F">
            <w:pPr>
              <w:rPr>
                <w:sz w:val="16"/>
              </w:rPr>
            </w:pPr>
            <w:r w:rsidRPr="00AB05B9">
              <w:rPr>
                <w:sz w:val="16"/>
              </w:rPr>
              <w:t>13</w:t>
            </w:r>
          </w:p>
        </w:tc>
        <w:tc>
          <w:tcPr>
            <w:tcW w:w="1822" w:type="dxa"/>
            <w:tcBorders>
              <w:top w:val="dotted" w:sz="4" w:space="0" w:color="auto"/>
              <w:bottom w:val="dotted" w:sz="4" w:space="0" w:color="auto"/>
            </w:tcBorders>
          </w:tcPr>
          <w:p w14:paraId="7BB66C54" w14:textId="77777777" w:rsidR="007F2F83" w:rsidRPr="000A6D8E" w:rsidRDefault="007F2F83" w:rsidP="000E7C6F">
            <w:pPr>
              <w:rPr>
                <w:i/>
                <w:sz w:val="16"/>
              </w:rPr>
            </w:pPr>
            <w:r w:rsidRPr="000A6D8E">
              <w:rPr>
                <w:i/>
                <w:sz w:val="16"/>
              </w:rPr>
              <w:t>Cycle Strategy and Action Plan 2007-2017</w:t>
            </w:r>
          </w:p>
        </w:tc>
        <w:tc>
          <w:tcPr>
            <w:tcW w:w="1354" w:type="dxa"/>
            <w:tcBorders>
              <w:top w:val="dotted" w:sz="4" w:space="0" w:color="auto"/>
              <w:bottom w:val="dotted" w:sz="4" w:space="0" w:color="auto"/>
            </w:tcBorders>
            <w:vAlign w:val="center"/>
          </w:tcPr>
          <w:p w14:paraId="2066DCC3" w14:textId="77777777" w:rsidR="007F2F83" w:rsidRDefault="007F2F83" w:rsidP="000E7C6F">
            <w:pPr>
              <w:jc w:val="center"/>
            </w:pPr>
            <w:r>
              <w:sym w:font="Wingdings" w:char="F0FC"/>
            </w:r>
          </w:p>
        </w:tc>
        <w:tc>
          <w:tcPr>
            <w:tcW w:w="1355" w:type="dxa"/>
            <w:gridSpan w:val="2"/>
            <w:tcBorders>
              <w:top w:val="dotted" w:sz="4" w:space="0" w:color="auto"/>
              <w:bottom w:val="dotted" w:sz="4" w:space="0" w:color="auto"/>
            </w:tcBorders>
            <w:vAlign w:val="center"/>
          </w:tcPr>
          <w:p w14:paraId="252FDD43" w14:textId="77777777" w:rsidR="007F2F83" w:rsidRDefault="007F2F83" w:rsidP="000E7C6F">
            <w:pPr>
              <w:jc w:val="center"/>
            </w:pPr>
          </w:p>
        </w:tc>
        <w:tc>
          <w:tcPr>
            <w:tcW w:w="1354" w:type="dxa"/>
            <w:tcBorders>
              <w:top w:val="dotted" w:sz="4" w:space="0" w:color="auto"/>
              <w:bottom w:val="dotted" w:sz="4" w:space="0" w:color="auto"/>
            </w:tcBorders>
            <w:vAlign w:val="center"/>
          </w:tcPr>
          <w:p w14:paraId="38482490"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42AF7E41"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618B6A90" w14:textId="77777777" w:rsidR="007F2F83" w:rsidRDefault="007F2F83" w:rsidP="000E7C6F">
            <w:pPr>
              <w:jc w:val="center"/>
            </w:pPr>
          </w:p>
        </w:tc>
      </w:tr>
      <w:tr w:rsidR="007F2F83" w14:paraId="00E49DAB" w14:textId="77777777" w:rsidTr="00EA3612">
        <w:trPr>
          <w:jc w:val="center"/>
        </w:trPr>
        <w:tc>
          <w:tcPr>
            <w:tcW w:w="421" w:type="dxa"/>
            <w:tcBorders>
              <w:top w:val="dotted" w:sz="4" w:space="0" w:color="auto"/>
              <w:left w:val="nil"/>
              <w:bottom w:val="dotted" w:sz="4" w:space="0" w:color="auto"/>
            </w:tcBorders>
            <w:vAlign w:val="center"/>
          </w:tcPr>
          <w:p w14:paraId="2FEDF3D2" w14:textId="77777777" w:rsidR="007F2F83" w:rsidRPr="00AB05B9" w:rsidRDefault="007F2F83" w:rsidP="000E7C6F">
            <w:pPr>
              <w:rPr>
                <w:sz w:val="16"/>
              </w:rPr>
            </w:pPr>
            <w:r w:rsidRPr="00AB05B9">
              <w:rPr>
                <w:sz w:val="16"/>
              </w:rPr>
              <w:t>14</w:t>
            </w:r>
          </w:p>
        </w:tc>
        <w:tc>
          <w:tcPr>
            <w:tcW w:w="1822" w:type="dxa"/>
            <w:tcBorders>
              <w:top w:val="dotted" w:sz="4" w:space="0" w:color="auto"/>
              <w:bottom w:val="dotted" w:sz="4" w:space="0" w:color="auto"/>
            </w:tcBorders>
          </w:tcPr>
          <w:p w14:paraId="56AF8259" w14:textId="77777777" w:rsidR="007F2F83" w:rsidRPr="000A6D8E" w:rsidRDefault="007F2F83" w:rsidP="000E7C6F">
            <w:pPr>
              <w:rPr>
                <w:i/>
                <w:sz w:val="16"/>
              </w:rPr>
            </w:pPr>
            <w:r w:rsidRPr="000A6D8E">
              <w:rPr>
                <w:i/>
                <w:sz w:val="16"/>
              </w:rPr>
              <w:t>Connecting Our City 2012 (Transport Strategies and Actions)</w:t>
            </w:r>
          </w:p>
        </w:tc>
        <w:tc>
          <w:tcPr>
            <w:tcW w:w="1354" w:type="dxa"/>
            <w:tcBorders>
              <w:top w:val="dotted" w:sz="4" w:space="0" w:color="auto"/>
              <w:bottom w:val="dotted" w:sz="4" w:space="0" w:color="auto"/>
            </w:tcBorders>
            <w:vAlign w:val="center"/>
          </w:tcPr>
          <w:p w14:paraId="26287FFA"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7AC26605" w14:textId="77777777" w:rsidR="007F2F83" w:rsidRDefault="007F2F83" w:rsidP="000E7C6F">
            <w:pPr>
              <w:jc w:val="center"/>
            </w:pPr>
            <w:r>
              <w:sym w:font="Wingdings" w:char="F0FC"/>
            </w:r>
          </w:p>
        </w:tc>
        <w:tc>
          <w:tcPr>
            <w:tcW w:w="1354" w:type="dxa"/>
            <w:tcBorders>
              <w:top w:val="dotted" w:sz="4" w:space="0" w:color="auto"/>
              <w:bottom w:val="dotted" w:sz="4" w:space="0" w:color="auto"/>
            </w:tcBorders>
            <w:vAlign w:val="center"/>
          </w:tcPr>
          <w:p w14:paraId="0ED0C39B" w14:textId="77777777" w:rsidR="007F2F83" w:rsidRDefault="007F2F83" w:rsidP="000E7C6F">
            <w:pPr>
              <w:jc w:val="center"/>
            </w:pPr>
          </w:p>
        </w:tc>
        <w:tc>
          <w:tcPr>
            <w:tcW w:w="1355" w:type="dxa"/>
            <w:gridSpan w:val="2"/>
            <w:tcBorders>
              <w:top w:val="dotted" w:sz="4" w:space="0" w:color="auto"/>
              <w:bottom w:val="dotted" w:sz="4" w:space="0" w:color="auto"/>
            </w:tcBorders>
            <w:vAlign w:val="center"/>
          </w:tcPr>
          <w:p w14:paraId="79ECD976" w14:textId="77777777" w:rsidR="007F2F83" w:rsidRDefault="007F2F83" w:rsidP="000E7C6F">
            <w:pPr>
              <w:jc w:val="center"/>
            </w:pPr>
          </w:p>
        </w:tc>
        <w:tc>
          <w:tcPr>
            <w:tcW w:w="1356" w:type="dxa"/>
            <w:tcBorders>
              <w:top w:val="dotted" w:sz="4" w:space="0" w:color="auto"/>
              <w:bottom w:val="dotted" w:sz="4" w:space="0" w:color="auto"/>
              <w:right w:val="nil"/>
            </w:tcBorders>
            <w:vAlign w:val="center"/>
          </w:tcPr>
          <w:p w14:paraId="0E5F8100" w14:textId="77777777" w:rsidR="007F2F83" w:rsidRDefault="007F2F83" w:rsidP="000E7C6F">
            <w:pPr>
              <w:jc w:val="center"/>
            </w:pPr>
          </w:p>
        </w:tc>
      </w:tr>
      <w:tr w:rsidR="007F2F83" w14:paraId="5D168A41" w14:textId="77777777" w:rsidTr="00EA3612">
        <w:trPr>
          <w:jc w:val="center"/>
        </w:trPr>
        <w:tc>
          <w:tcPr>
            <w:tcW w:w="421" w:type="dxa"/>
            <w:tcBorders>
              <w:top w:val="dotted" w:sz="4" w:space="0" w:color="auto"/>
              <w:left w:val="nil"/>
            </w:tcBorders>
            <w:vAlign w:val="center"/>
          </w:tcPr>
          <w:p w14:paraId="5D81533B" w14:textId="77777777" w:rsidR="007F2F83" w:rsidRPr="00AB05B9" w:rsidRDefault="007F2F83" w:rsidP="000E7C6F">
            <w:pPr>
              <w:rPr>
                <w:sz w:val="16"/>
              </w:rPr>
            </w:pPr>
            <w:r w:rsidRPr="00AB05B9">
              <w:rPr>
                <w:sz w:val="16"/>
              </w:rPr>
              <w:t>15</w:t>
            </w:r>
          </w:p>
        </w:tc>
        <w:tc>
          <w:tcPr>
            <w:tcW w:w="1822" w:type="dxa"/>
            <w:tcBorders>
              <w:top w:val="dotted" w:sz="4" w:space="0" w:color="auto"/>
            </w:tcBorders>
          </w:tcPr>
          <w:p w14:paraId="4562DB6C" w14:textId="77777777" w:rsidR="007F2F83" w:rsidRPr="000A6D8E" w:rsidRDefault="007F2F83" w:rsidP="000E7C6F">
            <w:pPr>
              <w:rPr>
                <w:i/>
                <w:sz w:val="16"/>
              </w:rPr>
            </w:pPr>
            <w:r>
              <w:rPr>
                <w:i/>
                <w:sz w:val="16"/>
              </w:rPr>
              <w:t>City of Sydney E</w:t>
            </w:r>
            <w:r w:rsidRPr="000A6D8E">
              <w:rPr>
                <w:i/>
                <w:sz w:val="16"/>
              </w:rPr>
              <w:t>nergy Efficiency Master Plan (2015-2030)</w:t>
            </w:r>
          </w:p>
        </w:tc>
        <w:tc>
          <w:tcPr>
            <w:tcW w:w="1354" w:type="dxa"/>
            <w:tcBorders>
              <w:top w:val="dotted" w:sz="4" w:space="0" w:color="auto"/>
            </w:tcBorders>
            <w:vAlign w:val="center"/>
          </w:tcPr>
          <w:p w14:paraId="7C888D21" w14:textId="77777777" w:rsidR="007F2F83" w:rsidRDefault="007F2F83" w:rsidP="000E7C6F">
            <w:pPr>
              <w:jc w:val="center"/>
            </w:pPr>
            <w:r>
              <w:sym w:font="Wingdings" w:char="F0FC"/>
            </w:r>
          </w:p>
        </w:tc>
        <w:tc>
          <w:tcPr>
            <w:tcW w:w="1355" w:type="dxa"/>
            <w:gridSpan w:val="2"/>
            <w:tcBorders>
              <w:top w:val="dotted" w:sz="4" w:space="0" w:color="auto"/>
            </w:tcBorders>
            <w:vAlign w:val="center"/>
          </w:tcPr>
          <w:p w14:paraId="1D9B3575" w14:textId="77777777" w:rsidR="007F2F83" w:rsidRDefault="007F2F83" w:rsidP="000E7C6F">
            <w:pPr>
              <w:jc w:val="center"/>
            </w:pPr>
          </w:p>
        </w:tc>
        <w:tc>
          <w:tcPr>
            <w:tcW w:w="1354" w:type="dxa"/>
            <w:tcBorders>
              <w:top w:val="dotted" w:sz="4" w:space="0" w:color="auto"/>
            </w:tcBorders>
            <w:vAlign w:val="center"/>
          </w:tcPr>
          <w:p w14:paraId="665E96C1" w14:textId="77777777" w:rsidR="007F2F83" w:rsidRDefault="007F2F83" w:rsidP="000E7C6F">
            <w:pPr>
              <w:jc w:val="center"/>
            </w:pPr>
          </w:p>
        </w:tc>
        <w:tc>
          <w:tcPr>
            <w:tcW w:w="1355" w:type="dxa"/>
            <w:gridSpan w:val="2"/>
            <w:tcBorders>
              <w:top w:val="dotted" w:sz="4" w:space="0" w:color="auto"/>
            </w:tcBorders>
            <w:vAlign w:val="center"/>
          </w:tcPr>
          <w:p w14:paraId="55CA4E5E" w14:textId="77777777" w:rsidR="007F2F83" w:rsidRDefault="007F2F83" w:rsidP="000E7C6F">
            <w:pPr>
              <w:jc w:val="center"/>
            </w:pPr>
          </w:p>
        </w:tc>
        <w:tc>
          <w:tcPr>
            <w:tcW w:w="1356" w:type="dxa"/>
            <w:tcBorders>
              <w:top w:val="dotted" w:sz="4" w:space="0" w:color="auto"/>
              <w:right w:val="nil"/>
            </w:tcBorders>
            <w:vAlign w:val="center"/>
          </w:tcPr>
          <w:p w14:paraId="4D2D4756" w14:textId="77777777" w:rsidR="007F2F83" w:rsidRDefault="007F2F83" w:rsidP="000E7C6F">
            <w:pPr>
              <w:jc w:val="center"/>
            </w:pPr>
          </w:p>
        </w:tc>
      </w:tr>
      <w:tr w:rsidR="007F2F83" w14:paraId="5C5AB91A" w14:textId="77777777" w:rsidTr="00EA3612">
        <w:trPr>
          <w:trHeight w:val="411"/>
          <w:jc w:val="center"/>
        </w:trPr>
        <w:tc>
          <w:tcPr>
            <w:tcW w:w="2243" w:type="dxa"/>
            <w:gridSpan w:val="2"/>
            <w:tcBorders>
              <w:left w:val="nil"/>
            </w:tcBorders>
          </w:tcPr>
          <w:p w14:paraId="44C2BB8D" w14:textId="77777777" w:rsidR="007F2F83" w:rsidRPr="00D842A2" w:rsidRDefault="007F2F83" w:rsidP="000E7C6F">
            <w:pPr>
              <w:jc w:val="right"/>
              <w:rPr>
                <w:sz w:val="16"/>
              </w:rPr>
            </w:pPr>
            <w:r w:rsidRPr="000B01F2">
              <w:rPr>
                <w:b/>
                <w:sz w:val="18"/>
              </w:rPr>
              <w:t xml:space="preserve">Overall </w:t>
            </w:r>
            <w:r>
              <w:rPr>
                <w:b/>
                <w:sz w:val="18"/>
              </w:rPr>
              <w:t>Score: 14</w:t>
            </w:r>
            <w:r w:rsidRPr="000B01F2">
              <w:rPr>
                <w:b/>
                <w:sz w:val="18"/>
              </w:rPr>
              <w:t>/</w:t>
            </w:r>
            <w:r>
              <w:rPr>
                <w:b/>
                <w:sz w:val="18"/>
              </w:rPr>
              <w:t>60</w:t>
            </w:r>
            <w:r w:rsidRPr="000B01F2">
              <w:rPr>
                <w:b/>
                <w:sz w:val="18"/>
              </w:rPr>
              <w:t xml:space="preserve"> (</w:t>
            </w:r>
            <w:r>
              <w:rPr>
                <w:b/>
                <w:sz w:val="18"/>
              </w:rPr>
              <w:t>23.3</w:t>
            </w:r>
            <w:r w:rsidRPr="000B01F2">
              <w:rPr>
                <w:b/>
                <w:sz w:val="18"/>
              </w:rPr>
              <w:t>%)</w:t>
            </w:r>
          </w:p>
        </w:tc>
        <w:tc>
          <w:tcPr>
            <w:tcW w:w="1354" w:type="dxa"/>
            <w:vAlign w:val="center"/>
          </w:tcPr>
          <w:p w14:paraId="7DA1E530" w14:textId="77777777" w:rsidR="007F2F83" w:rsidRPr="00D842A2" w:rsidRDefault="007F2F83" w:rsidP="000E7C6F">
            <w:pPr>
              <w:jc w:val="center"/>
            </w:pPr>
            <w:r>
              <w:t>0</w:t>
            </w:r>
          </w:p>
        </w:tc>
        <w:tc>
          <w:tcPr>
            <w:tcW w:w="1355" w:type="dxa"/>
            <w:gridSpan w:val="2"/>
            <w:vAlign w:val="center"/>
          </w:tcPr>
          <w:p w14:paraId="46E261E4" w14:textId="77777777" w:rsidR="007F2F83" w:rsidRPr="00D842A2" w:rsidRDefault="007F2F83" w:rsidP="000E7C6F">
            <w:pPr>
              <w:jc w:val="center"/>
            </w:pPr>
            <w:r>
              <w:t>5</w:t>
            </w:r>
          </w:p>
        </w:tc>
        <w:tc>
          <w:tcPr>
            <w:tcW w:w="1354" w:type="dxa"/>
            <w:vAlign w:val="center"/>
          </w:tcPr>
          <w:p w14:paraId="75D2409D" w14:textId="77777777" w:rsidR="007F2F83" w:rsidRPr="00D842A2" w:rsidRDefault="007F2F83" w:rsidP="000E7C6F">
            <w:pPr>
              <w:jc w:val="center"/>
            </w:pPr>
            <w:r>
              <w:t>0</w:t>
            </w:r>
          </w:p>
        </w:tc>
        <w:tc>
          <w:tcPr>
            <w:tcW w:w="1355" w:type="dxa"/>
            <w:gridSpan w:val="2"/>
            <w:vAlign w:val="center"/>
          </w:tcPr>
          <w:p w14:paraId="1E05D09B" w14:textId="77777777" w:rsidR="007F2F83" w:rsidRPr="00D842A2" w:rsidRDefault="007F2F83" w:rsidP="000E7C6F">
            <w:pPr>
              <w:jc w:val="center"/>
            </w:pPr>
            <w:r>
              <w:t>9</w:t>
            </w:r>
          </w:p>
        </w:tc>
        <w:tc>
          <w:tcPr>
            <w:tcW w:w="1356" w:type="dxa"/>
            <w:tcBorders>
              <w:right w:val="nil"/>
            </w:tcBorders>
            <w:vAlign w:val="center"/>
          </w:tcPr>
          <w:p w14:paraId="602090AA" w14:textId="77777777" w:rsidR="007F2F83" w:rsidRPr="00D842A2" w:rsidRDefault="007F2F83" w:rsidP="000E7C6F">
            <w:pPr>
              <w:jc w:val="center"/>
            </w:pPr>
            <w:r>
              <w:t>0</w:t>
            </w:r>
          </w:p>
        </w:tc>
      </w:tr>
    </w:tbl>
    <w:p w14:paraId="70DEAB9F" w14:textId="77777777" w:rsidR="007F2F83" w:rsidRDefault="007F2F83" w:rsidP="000E7C6F">
      <w:pPr>
        <w:rPr>
          <w:sz w:val="24"/>
        </w:rPr>
      </w:pPr>
    </w:p>
    <w:p w14:paraId="296ADFC9" w14:textId="193972CF" w:rsidR="007F2F83" w:rsidRPr="003913C6" w:rsidRDefault="001D43E9" w:rsidP="000E7C6F">
      <w:pPr>
        <w:jc w:val="both"/>
      </w:pPr>
      <w:r>
        <w:t>Based on our scoring system, 50%</w:t>
      </w:r>
      <w:r w:rsidR="004913D7">
        <w:t xml:space="preserve"> of policies </w:t>
      </w:r>
      <w:r w:rsidR="00BD1859">
        <w:t xml:space="preserve">between 2007 and 2017 </w:t>
      </w:r>
      <w:r w:rsidR="004913D7">
        <w:t>promoted I</w:t>
      </w:r>
      <w:r w:rsidR="007F2F83">
        <w:t>ntegrated TOD</w:t>
      </w:r>
      <w:r w:rsidRPr="001D43E9">
        <w:t xml:space="preserve"> </w:t>
      </w:r>
      <w:r>
        <w:t xml:space="preserve">provision in Brisbane. </w:t>
      </w:r>
      <w:r w:rsidR="00B43756">
        <w:t>At state level</w:t>
      </w:r>
      <w:r w:rsidR="004913D7">
        <w:t>,</w:t>
      </w:r>
      <w:r w:rsidR="00B43756">
        <w:t xml:space="preserve"> previous policies such as </w:t>
      </w:r>
      <w:r w:rsidR="00B43756" w:rsidRPr="00556353">
        <w:rPr>
          <w:i/>
        </w:rPr>
        <w:t>Climate Q (2009)</w:t>
      </w:r>
      <w:r w:rsidR="00B43756">
        <w:rPr>
          <w:i/>
        </w:rPr>
        <w:t xml:space="preserve"> </w:t>
      </w:r>
      <w:r w:rsidR="00B43756" w:rsidRPr="00556353">
        <w:t>considered</w:t>
      </w:r>
      <w:r w:rsidR="00B43756">
        <w:rPr>
          <w:i/>
        </w:rPr>
        <w:t xml:space="preserve"> </w:t>
      </w:r>
      <w:r w:rsidR="00B43756">
        <w:t xml:space="preserve">TOD as a design </w:t>
      </w:r>
      <w:r w:rsidR="004913D7">
        <w:t>response</w:t>
      </w:r>
      <w:r w:rsidR="00B43756">
        <w:t xml:space="preserve"> </w:t>
      </w:r>
      <w:r w:rsidR="004913D7">
        <w:t xml:space="preserve">to </w:t>
      </w:r>
      <w:r w:rsidR="00B43756">
        <w:t>cl</w:t>
      </w:r>
      <w:r w:rsidR="004913D7">
        <w:t>imate change. Conversely,</w:t>
      </w:r>
      <w:r w:rsidR="00B43756">
        <w:t xml:space="preserve"> current policies fail to focus on TODs despite having detailed focus on land-use/transport integration. At regional level, </w:t>
      </w:r>
      <w:r w:rsidR="007F2F83">
        <w:t xml:space="preserve">the </w:t>
      </w:r>
      <w:r w:rsidR="007F2F83" w:rsidRPr="00EC0B90">
        <w:rPr>
          <w:i/>
        </w:rPr>
        <w:t xml:space="preserve">SEQ </w:t>
      </w:r>
      <w:r w:rsidR="004913D7">
        <w:rPr>
          <w:i/>
        </w:rPr>
        <w:t>R</w:t>
      </w:r>
      <w:r w:rsidR="007F2F83" w:rsidRPr="00EC0B90">
        <w:rPr>
          <w:i/>
        </w:rPr>
        <w:t>egional Plan 2009</w:t>
      </w:r>
      <w:r w:rsidR="007F2F83">
        <w:t xml:space="preserve"> </w:t>
      </w:r>
      <w:r w:rsidR="007F2F83" w:rsidRPr="00EC0B90">
        <w:t>focus</w:t>
      </w:r>
      <w:r w:rsidR="007F2F83">
        <w:t>es</w:t>
      </w:r>
      <w:r w:rsidR="007F2F83" w:rsidRPr="00EC0B90">
        <w:t xml:space="preserve"> on social diversity and inclusion via</w:t>
      </w:r>
      <w:r w:rsidR="004913D7">
        <w:t xml:space="preserve"> TODs.</w:t>
      </w:r>
      <w:r w:rsidR="007F2F83" w:rsidRPr="00EC0B90">
        <w:t xml:space="preserve"> </w:t>
      </w:r>
      <w:r w:rsidR="004913D7">
        <w:t xml:space="preserve">Goals include </w:t>
      </w:r>
      <w:r w:rsidR="007F2F83" w:rsidRPr="00EC0B90">
        <w:t>housing mix</w:t>
      </w:r>
      <w:r w:rsidR="004913D7">
        <w:t>es</w:t>
      </w:r>
      <w:r w:rsidR="007F2F83" w:rsidRPr="00EC0B90">
        <w:t>, balanced and diverse employment opportunities and affordability.</w:t>
      </w:r>
      <w:r w:rsidR="007F2F83">
        <w:t xml:space="preserve"> </w:t>
      </w:r>
      <w:r w:rsidR="007F2F83" w:rsidRPr="00EC0B90">
        <w:t>Th</w:t>
      </w:r>
      <w:r w:rsidR="007F2F83">
        <w:t xml:space="preserve">e </w:t>
      </w:r>
      <w:r w:rsidR="004913D7" w:rsidRPr="004913D7">
        <w:rPr>
          <w:i/>
        </w:rPr>
        <w:t>SEQ R</w:t>
      </w:r>
      <w:r w:rsidR="007F2F83" w:rsidRPr="004913D7">
        <w:rPr>
          <w:i/>
        </w:rPr>
        <w:t xml:space="preserve">egional </w:t>
      </w:r>
      <w:r w:rsidR="004913D7" w:rsidRPr="004913D7">
        <w:rPr>
          <w:i/>
        </w:rPr>
        <w:t>P</w:t>
      </w:r>
      <w:r w:rsidR="007F2F83" w:rsidRPr="004913D7">
        <w:rPr>
          <w:i/>
        </w:rPr>
        <w:t>lan</w:t>
      </w:r>
      <w:r w:rsidR="004913D7" w:rsidRPr="004913D7">
        <w:rPr>
          <w:i/>
        </w:rPr>
        <w:t xml:space="preserve"> 2009</w:t>
      </w:r>
      <w:r w:rsidR="007F2F83" w:rsidRPr="00EC0B90">
        <w:t xml:space="preserve"> </w:t>
      </w:r>
      <w:r w:rsidR="007F2F83">
        <w:t>is</w:t>
      </w:r>
      <w:r w:rsidR="007F2F83" w:rsidRPr="00EC0B90">
        <w:t xml:space="preserve"> complemented by the </w:t>
      </w:r>
      <w:r w:rsidR="007F2F83" w:rsidRPr="00EC0B90">
        <w:rPr>
          <w:i/>
        </w:rPr>
        <w:t xml:space="preserve">SEQ Infrastructure Plan and Program </w:t>
      </w:r>
      <w:r w:rsidR="004913D7">
        <w:rPr>
          <w:i/>
        </w:rPr>
        <w:t xml:space="preserve">(SEQIPP) </w:t>
      </w:r>
      <w:r w:rsidR="007F2F83" w:rsidRPr="00EC0B90">
        <w:rPr>
          <w:i/>
        </w:rPr>
        <w:t>2009</w:t>
      </w:r>
      <w:r w:rsidR="007F2F83" w:rsidRPr="00EC0B90">
        <w:t>, which focuse</w:t>
      </w:r>
      <w:r w:rsidR="007F2F83">
        <w:t>d</w:t>
      </w:r>
      <w:r w:rsidR="007F2F83" w:rsidRPr="00EC0B90">
        <w:t xml:space="preserve"> on planning outcomes of TODs via activity centres and </w:t>
      </w:r>
      <w:r w:rsidR="004913D7">
        <w:t>TOD</w:t>
      </w:r>
      <w:r w:rsidR="007F2F83" w:rsidRPr="00EC0B90">
        <w:t xml:space="preserve"> </w:t>
      </w:r>
      <w:r w:rsidR="007F2F83">
        <w:t>guide</w:t>
      </w:r>
      <w:r w:rsidR="004913D7">
        <w:t>lines</w:t>
      </w:r>
      <w:r w:rsidR="007F2F83" w:rsidRPr="00EC0B90">
        <w:t>.</w:t>
      </w:r>
      <w:r w:rsidR="007F2F83" w:rsidRPr="00D805C6">
        <w:t xml:space="preserve"> </w:t>
      </w:r>
      <w:r w:rsidR="007F2F83" w:rsidRPr="00B24DBE">
        <w:t xml:space="preserve">With the update of </w:t>
      </w:r>
      <w:r w:rsidR="007F2F83" w:rsidRPr="004913D7">
        <w:rPr>
          <w:i/>
        </w:rPr>
        <w:t>SEQIPP</w:t>
      </w:r>
      <w:r w:rsidR="007F2F83" w:rsidRPr="00B24DBE">
        <w:t xml:space="preserve"> in 2010, the focus</w:t>
      </w:r>
      <w:r w:rsidR="004913D7">
        <w:t xml:space="preserve"> on I</w:t>
      </w:r>
      <w:r w:rsidR="007F2F83">
        <w:t>ntegrated TOD</w:t>
      </w:r>
      <w:r w:rsidR="007F2F83" w:rsidRPr="00B24DBE">
        <w:t xml:space="preserve"> was </w:t>
      </w:r>
      <w:r w:rsidR="004913D7" w:rsidRPr="00B24DBE">
        <w:t xml:space="preserve">considerably </w:t>
      </w:r>
      <w:r w:rsidR="007F2F83" w:rsidRPr="00B24DBE">
        <w:t>reduced to mainly planning outcomes</w:t>
      </w:r>
      <w:r w:rsidR="007F2F83">
        <w:t xml:space="preserve">. </w:t>
      </w:r>
      <w:r w:rsidR="00B43756">
        <w:t>However</w:t>
      </w:r>
      <w:r w:rsidR="004913D7">
        <w:t>,</w:t>
      </w:r>
      <w:r w:rsidR="00EA3612">
        <w:t xml:space="preserve"> </w:t>
      </w:r>
      <w:r w:rsidR="007F2F83" w:rsidRPr="003913C6">
        <w:rPr>
          <w:i/>
        </w:rPr>
        <w:t>Connecting SEQ 2031 Integrated Transport Plan</w:t>
      </w:r>
      <w:r w:rsidR="00EA3612">
        <w:t xml:space="preserve"> (2011)</w:t>
      </w:r>
      <w:r w:rsidR="007F2F83">
        <w:t xml:space="preserve"> </w:t>
      </w:r>
      <w:r w:rsidR="00EA3612">
        <w:t xml:space="preserve">continued to </w:t>
      </w:r>
      <w:r w:rsidR="004913D7">
        <w:t>focus on all three outcomes of I</w:t>
      </w:r>
      <w:r w:rsidR="00EA3612">
        <w:t>ntegrated TODs</w:t>
      </w:r>
      <w:r w:rsidR="007F2F83">
        <w:t xml:space="preserve">. </w:t>
      </w:r>
      <w:r w:rsidR="00EA3612">
        <w:t>It</w:t>
      </w:r>
      <w:r w:rsidR="007F2F83" w:rsidRPr="000A4584">
        <w:t xml:space="preserve"> refers to the </w:t>
      </w:r>
      <w:r w:rsidR="007F2F83" w:rsidRPr="00B25F0C">
        <w:rPr>
          <w:i/>
        </w:rPr>
        <w:t>Transit Oriented Development Guidelines</w:t>
      </w:r>
      <w:r w:rsidR="007F2F83" w:rsidRPr="000A4584">
        <w:t xml:space="preserve"> prepared by the Queensland Government in </w:t>
      </w:r>
      <w:r w:rsidR="007F2F83" w:rsidRPr="000A4584">
        <w:lastRenderedPageBreak/>
        <w:t xml:space="preserve">2012 to promote different TOD typologies based on the principles promoted in </w:t>
      </w:r>
      <w:r w:rsidR="007F2F83" w:rsidRPr="004913D7">
        <w:rPr>
          <w:i/>
        </w:rPr>
        <w:t>Regional Plan 2009</w:t>
      </w:r>
      <w:r w:rsidR="007F2F83" w:rsidRPr="000A4584">
        <w:t>.</w:t>
      </w:r>
      <w:r w:rsidR="007F2F83">
        <w:t xml:space="preserve"> </w:t>
      </w:r>
      <w:r w:rsidR="00B43756">
        <w:t xml:space="preserve">Unlike current regional plans, the </w:t>
      </w:r>
      <w:r w:rsidR="004913D7">
        <w:rPr>
          <w:i/>
        </w:rPr>
        <w:t>D</w:t>
      </w:r>
      <w:r w:rsidR="00B43756" w:rsidRPr="003A4018">
        <w:rPr>
          <w:i/>
        </w:rPr>
        <w:t>raft SEQ Regional Plan 2016</w:t>
      </w:r>
      <w:r w:rsidR="00B43756">
        <w:t xml:space="preserve"> (which will come into effect by the end of 2017) </w:t>
      </w:r>
      <w:r w:rsidR="004913D7">
        <w:t xml:space="preserve">only </w:t>
      </w:r>
      <w:r w:rsidR="00B43756">
        <w:t xml:space="preserve">mentions TOD twice and </w:t>
      </w:r>
      <w:r w:rsidR="004913D7">
        <w:t xml:space="preserve">instead </w:t>
      </w:r>
      <w:r w:rsidR="00B43756">
        <w:t xml:space="preserve">focuses more on land-use/transport integration via a compact urban form. </w:t>
      </w:r>
      <w:r w:rsidR="007F2F83">
        <w:t>In the light of current</w:t>
      </w:r>
      <w:r w:rsidR="00982BF6">
        <w:t xml:space="preserve"> </w:t>
      </w:r>
      <w:r w:rsidR="007F2F83">
        <w:t xml:space="preserve">regional policy directions, all city level plans in Brisbane are highly focused on promoting planning and environmental outcomes of TODs. At city level, </w:t>
      </w:r>
      <w:r w:rsidR="007F2F83" w:rsidRPr="005E1501">
        <w:rPr>
          <w:i/>
        </w:rPr>
        <w:t>Brisbane’s’ Plan for Climate Change and Energy 2007</w:t>
      </w:r>
      <w:r w:rsidR="007F2F83">
        <w:t xml:space="preserve"> further underpins the horizontal consistency by promoting land use transport integration and TOD as a solution to reducing emissions.   </w:t>
      </w:r>
      <w:r w:rsidR="007F2F83" w:rsidRPr="000A4584">
        <w:t xml:space="preserve"> </w:t>
      </w:r>
      <w:r w:rsidR="007F2F83">
        <w:t xml:space="preserve"> </w:t>
      </w:r>
    </w:p>
    <w:p w14:paraId="0417E097" w14:textId="77777777" w:rsidR="007F2F83" w:rsidRDefault="007F2F83" w:rsidP="000E7C6F"/>
    <w:p w14:paraId="230FA7AC" w14:textId="36339D3C" w:rsidR="007F2F83" w:rsidRDefault="007F2F83" w:rsidP="000E7C6F">
      <w:pPr>
        <w:jc w:val="both"/>
      </w:pPr>
      <w:r>
        <w:t xml:space="preserve">About 27% </w:t>
      </w:r>
      <w:r w:rsidR="00D33AF4">
        <w:t>of all land use, infrastructure</w:t>
      </w:r>
      <w:r>
        <w:t xml:space="preserve"> and climate change plans in Victoria </w:t>
      </w:r>
      <w:r w:rsidR="00BD1859">
        <w:t xml:space="preserve">provide policy support for </w:t>
      </w:r>
      <w:r w:rsidR="00D33AF4">
        <w:t>I</w:t>
      </w:r>
      <w:r>
        <w:t>ntegrated TOD</w:t>
      </w:r>
      <w:r w:rsidR="00D33AF4">
        <w:t xml:space="preserve"> provision for Melbourne. At state level,</w:t>
      </w:r>
      <w:r>
        <w:t xml:space="preserve"> the </w:t>
      </w:r>
      <w:r w:rsidRPr="00521B8A">
        <w:rPr>
          <w:i/>
        </w:rPr>
        <w:t>Victoria Planning Provisions</w:t>
      </w:r>
      <w:r>
        <w:t xml:space="preserve"> focus on transport and housing strategies to promote walking and cycling via integrated transport in new suburbs, urban renewal precinct</w:t>
      </w:r>
      <w:r w:rsidR="00D33AF4">
        <w:t>s, grey-field development areas</w:t>
      </w:r>
      <w:r>
        <w:t xml:space="preserve"> and TOD sites. Although there are provisions for affordability and social housing in areas with good public transport access, they are specifically not considered in the context of TODs. Other state policies including </w:t>
      </w:r>
      <w:r w:rsidRPr="00521B8A">
        <w:rPr>
          <w:i/>
        </w:rPr>
        <w:t>the 30-year Infrastructure Strategy</w:t>
      </w:r>
      <w:r>
        <w:rPr>
          <w:i/>
        </w:rPr>
        <w:t xml:space="preserve">, </w:t>
      </w:r>
      <w:r w:rsidRPr="009C7A66">
        <w:rPr>
          <w:i/>
        </w:rPr>
        <w:t>Victoria’</w:t>
      </w:r>
      <w:r>
        <w:rPr>
          <w:i/>
        </w:rPr>
        <w:t xml:space="preserve">s Climate Change Framework 2016, </w:t>
      </w:r>
      <w:r w:rsidRPr="009C7A66">
        <w:rPr>
          <w:i/>
        </w:rPr>
        <w:t>Public Transport Guidelines for Land Use Development (2008)</w:t>
      </w:r>
      <w:r>
        <w:rPr>
          <w:i/>
        </w:rPr>
        <w:t xml:space="preserve"> </w:t>
      </w:r>
      <w:r w:rsidRPr="009C7A66">
        <w:t>and</w:t>
      </w:r>
      <w:r>
        <w:rPr>
          <w:i/>
        </w:rPr>
        <w:t xml:space="preserve"> </w:t>
      </w:r>
      <w:r w:rsidRPr="009C7A66">
        <w:rPr>
          <w:i/>
        </w:rPr>
        <w:t>C</w:t>
      </w:r>
      <w:r w:rsidR="0058266A">
        <w:rPr>
          <w:i/>
        </w:rPr>
        <w:t>ycling into the Future 2013-201</w:t>
      </w:r>
      <w:r w:rsidRPr="009C7A66">
        <w:rPr>
          <w:i/>
        </w:rPr>
        <w:t>3</w:t>
      </w:r>
      <w:r>
        <w:rPr>
          <w:i/>
        </w:rPr>
        <w:t xml:space="preserve"> </w:t>
      </w:r>
      <w:r>
        <w:t>have a detailed focus on</w:t>
      </w:r>
      <w:r w:rsidR="0058266A">
        <w:t xml:space="preserve"> land-use/transport integration. H</w:t>
      </w:r>
      <w:r>
        <w:t xml:space="preserve">owever, they did not propose any policy provisions regarding </w:t>
      </w:r>
      <w:r w:rsidR="0058266A">
        <w:t xml:space="preserve">Integrated </w:t>
      </w:r>
      <w:r>
        <w:t xml:space="preserve">TODs. At metropolitan level, </w:t>
      </w:r>
      <w:r w:rsidRPr="00840976">
        <w:rPr>
          <w:i/>
        </w:rPr>
        <w:t>Plan Melbourne 201</w:t>
      </w:r>
      <w:r>
        <w:t xml:space="preserve">7 is highly focused on </w:t>
      </w:r>
      <w:r w:rsidR="0058266A">
        <w:t>I</w:t>
      </w:r>
      <w:r w:rsidR="00351CFF">
        <w:t xml:space="preserve">ntegrated </w:t>
      </w:r>
      <w:r>
        <w:t xml:space="preserve">TODs </w:t>
      </w:r>
      <w:r w:rsidR="00351CFF">
        <w:t xml:space="preserve">and promotes the </w:t>
      </w:r>
      <w:r w:rsidR="0058266A">
        <w:t>planning, environmental</w:t>
      </w:r>
      <w:r>
        <w:t xml:space="preserve"> and social </w:t>
      </w:r>
      <w:r w:rsidR="0058266A">
        <w:t xml:space="preserve">objectives </w:t>
      </w:r>
      <w:r w:rsidR="00351CFF">
        <w:t>to be considered</w:t>
      </w:r>
      <w:r>
        <w:t xml:space="preserve">. </w:t>
      </w:r>
      <w:r w:rsidR="0058266A">
        <w:t>The I</w:t>
      </w:r>
      <w:r w:rsidR="00351CFF">
        <w:t xml:space="preserve">ntegrated </w:t>
      </w:r>
      <w:r>
        <w:t>TOD policy directions of the metropolitan plan</w:t>
      </w:r>
      <w:r w:rsidR="0058266A">
        <w:t xml:space="preserve"> </w:t>
      </w:r>
      <w:r>
        <w:t xml:space="preserve">are not </w:t>
      </w:r>
      <w:r w:rsidR="0051707A">
        <w:t xml:space="preserve">fully </w:t>
      </w:r>
      <w:r w:rsidR="00351CFF">
        <w:t>reflected</w:t>
      </w:r>
      <w:r>
        <w:t xml:space="preserve"> in city level policies. In accordance with the </w:t>
      </w:r>
      <w:r w:rsidRPr="00521B8A">
        <w:rPr>
          <w:i/>
        </w:rPr>
        <w:t>Victoria Planning Provisions</w:t>
      </w:r>
      <w:r>
        <w:rPr>
          <w:i/>
        </w:rPr>
        <w:t xml:space="preserve">, </w:t>
      </w:r>
      <w:r>
        <w:t>city scale land use and transport plans only focus on promoting planning outcomes of TODs.</w:t>
      </w:r>
      <w:r w:rsidR="0058266A">
        <w:t xml:space="preserve"> These priorities are not compatible with the provision of Integrated TODs.</w:t>
      </w:r>
      <w:r>
        <w:t xml:space="preserve"> </w:t>
      </w:r>
      <w:r w:rsidR="0058266A">
        <w:t xml:space="preserve">None of the </w:t>
      </w:r>
      <w:r>
        <w:t>city</w:t>
      </w:r>
      <w:r w:rsidR="0058266A">
        <w:t>-scale</w:t>
      </w:r>
      <w:r>
        <w:t xml:space="preserve"> policies focus on </w:t>
      </w:r>
      <w:r w:rsidRPr="001B0E35">
        <w:t xml:space="preserve">the need for integration of land use and transport </w:t>
      </w:r>
      <w:r w:rsidR="0058266A">
        <w:t>via</w:t>
      </w:r>
      <w:r>
        <w:t xml:space="preserve"> TOD. </w:t>
      </w:r>
    </w:p>
    <w:p w14:paraId="05C4802E" w14:textId="77777777" w:rsidR="00DA5091" w:rsidRDefault="00DA5091" w:rsidP="000E7C6F">
      <w:pPr>
        <w:jc w:val="both"/>
      </w:pPr>
    </w:p>
    <w:p w14:paraId="5D3AFD17" w14:textId="2F5243C3" w:rsidR="007F2F83" w:rsidRPr="0062339A" w:rsidRDefault="00BD1859" w:rsidP="000E7C6F">
      <w:pPr>
        <w:jc w:val="both"/>
        <w:rPr>
          <w:rFonts w:cs="Arial"/>
          <w:szCs w:val="20"/>
        </w:rPr>
      </w:pPr>
      <w:r>
        <w:t>The policy focus on I</w:t>
      </w:r>
      <w:r w:rsidR="007F2F83">
        <w:t xml:space="preserve">ntegrated TOD is </w:t>
      </w:r>
      <w:r>
        <w:t xml:space="preserve">least </w:t>
      </w:r>
      <w:r w:rsidR="007F2F83">
        <w:t>emphasised in New South Wales (NSW) policies</w:t>
      </w:r>
      <w:r>
        <w:t xml:space="preserve"> at 23%. Notwithstanding,</w:t>
      </w:r>
      <w:r w:rsidR="007F2F83">
        <w:t xml:space="preserve"> state level infrastructure policies in NSW are more progressive than Victoria and Queensland state policies in integrating both planning and environmental outcomes of TODs. For </w:t>
      </w:r>
      <w:r>
        <w:t xml:space="preserve">example, </w:t>
      </w:r>
      <w:r w:rsidR="007F2F83">
        <w:t xml:space="preserve">the updated </w:t>
      </w:r>
      <w:r w:rsidR="007F2F83" w:rsidRPr="00B23CA7">
        <w:rPr>
          <w:i/>
        </w:rPr>
        <w:t>State Infrastructure Strategy</w:t>
      </w:r>
      <w:r>
        <w:rPr>
          <w:i/>
        </w:rPr>
        <w:t xml:space="preserve"> Update</w:t>
      </w:r>
      <w:r w:rsidR="007F2F83">
        <w:rPr>
          <w:i/>
        </w:rPr>
        <w:t xml:space="preserve"> </w:t>
      </w:r>
      <w:r w:rsidR="007F2F83" w:rsidRPr="00A941C7">
        <w:t>(2014)</w:t>
      </w:r>
      <w:r w:rsidR="007F2F83">
        <w:t xml:space="preserve"> focuses on transport connectivity across major employment centres to reduce congestion and promotes TODs as an option to delivering economic and social benefits. Similarly, the </w:t>
      </w:r>
      <w:r w:rsidR="007F2F83" w:rsidRPr="00A941C7">
        <w:rPr>
          <w:i/>
        </w:rPr>
        <w:t>NSW Long Term Transport Master Plan 2012</w:t>
      </w:r>
      <w:r w:rsidR="007F2F83">
        <w:t xml:space="preserve"> has a detailed </w:t>
      </w:r>
      <w:r w:rsidR="00564FE3">
        <w:t>focus on TOD with the plan’s 20-</w:t>
      </w:r>
      <w:r w:rsidR="007F2F83">
        <w:t xml:space="preserve">year vision suggesting </w:t>
      </w:r>
      <w:r>
        <w:t xml:space="preserve">TOD-led </w:t>
      </w:r>
      <w:r w:rsidR="007F2F83" w:rsidRPr="00AB0C90">
        <w:t xml:space="preserve">urban renewal </w:t>
      </w:r>
      <w:r w:rsidR="007F2F83">
        <w:t>as</w:t>
      </w:r>
      <w:r w:rsidR="007F2F83" w:rsidRPr="00AB0C90">
        <w:t xml:space="preserve"> a major feature of Sydney’s growth</w:t>
      </w:r>
      <w:r>
        <w:t>.</w:t>
      </w:r>
      <w:r w:rsidR="007F2F83">
        <w:t xml:space="preserve"> While the </w:t>
      </w:r>
      <w:r w:rsidR="007F2F83" w:rsidRPr="0006476B">
        <w:rPr>
          <w:i/>
        </w:rPr>
        <w:t>State Environmental Planning Policies</w:t>
      </w:r>
      <w:r w:rsidR="00564FE3">
        <w:t xml:space="preserve"> are</w:t>
      </w:r>
      <w:r w:rsidR="007F2F83">
        <w:t xml:space="preserve"> key </w:t>
      </w:r>
      <w:r w:rsidR="00564FE3">
        <w:t>to</w:t>
      </w:r>
      <w:r w:rsidR="007F2F83">
        <w:t xml:space="preserve"> guiding urban development at state level </w:t>
      </w:r>
      <w:r w:rsidR="00564FE3">
        <w:t xml:space="preserve">and </w:t>
      </w:r>
      <w:r w:rsidR="007F2F83">
        <w:t>promote land-use/transport integration</w:t>
      </w:r>
      <w:r w:rsidR="00564FE3">
        <w:t>,</w:t>
      </w:r>
      <w:r w:rsidR="007F2F83">
        <w:t xml:space="preserve"> they </w:t>
      </w:r>
      <w:r w:rsidR="00564FE3">
        <w:t>do</w:t>
      </w:r>
      <w:r w:rsidR="007F2F83">
        <w:t xml:space="preserve"> not focus on TODs as a solution. There is also no mention of land-use and transport integration or TOD in the </w:t>
      </w:r>
      <w:r w:rsidR="007F2F83" w:rsidRPr="0006476B">
        <w:rPr>
          <w:i/>
        </w:rPr>
        <w:t>NSW Climate Change Policy Framework 2016</w:t>
      </w:r>
      <w:r w:rsidR="007F2F83">
        <w:t xml:space="preserve">. At metropolitan scale, </w:t>
      </w:r>
      <w:r w:rsidR="007F2F83" w:rsidRPr="00432A2E">
        <w:rPr>
          <w:i/>
        </w:rPr>
        <w:t xml:space="preserve">A </w:t>
      </w:r>
      <w:r w:rsidR="00564FE3">
        <w:rPr>
          <w:i/>
        </w:rPr>
        <w:t>P</w:t>
      </w:r>
      <w:r w:rsidR="007F2F83" w:rsidRPr="00432A2E">
        <w:rPr>
          <w:i/>
        </w:rPr>
        <w:t>lan for Growing Sydney 2014</w:t>
      </w:r>
      <w:r w:rsidR="007F2F83">
        <w:t xml:space="preserve"> </w:t>
      </w:r>
      <w:r w:rsidR="007F2F83" w:rsidRPr="0062339A">
        <w:rPr>
          <w:rFonts w:cs="Arial"/>
          <w:szCs w:val="20"/>
        </w:rPr>
        <w:t xml:space="preserve">follows state policies including the </w:t>
      </w:r>
      <w:r w:rsidR="007F2F83" w:rsidRPr="0062339A">
        <w:rPr>
          <w:rFonts w:cs="Arial"/>
          <w:i/>
          <w:szCs w:val="20"/>
        </w:rPr>
        <w:t xml:space="preserve">State Infrastructure Strategy </w:t>
      </w:r>
      <w:r w:rsidR="007F2F83" w:rsidRPr="0062339A">
        <w:rPr>
          <w:rFonts w:cs="Arial"/>
          <w:szCs w:val="20"/>
        </w:rPr>
        <w:t xml:space="preserve">and the </w:t>
      </w:r>
      <w:r w:rsidR="007F2F83" w:rsidRPr="0062339A">
        <w:rPr>
          <w:rFonts w:cs="Arial"/>
          <w:i/>
          <w:szCs w:val="20"/>
        </w:rPr>
        <w:t>NSW Long Term Transport Master Plan</w:t>
      </w:r>
      <w:r w:rsidR="00564FE3">
        <w:rPr>
          <w:rFonts w:cs="Arial"/>
          <w:szCs w:val="20"/>
        </w:rPr>
        <w:t xml:space="preserve">, </w:t>
      </w:r>
      <w:r w:rsidR="007F2F83" w:rsidRPr="0062339A">
        <w:rPr>
          <w:rFonts w:cs="Arial"/>
          <w:szCs w:val="20"/>
        </w:rPr>
        <w:t>but unlike them</w:t>
      </w:r>
      <w:r w:rsidR="00564FE3">
        <w:rPr>
          <w:rFonts w:cs="Arial"/>
          <w:szCs w:val="20"/>
        </w:rPr>
        <w:t>,</w:t>
      </w:r>
      <w:r w:rsidR="007F2F83" w:rsidRPr="0062339A">
        <w:rPr>
          <w:rFonts w:cs="Arial"/>
          <w:szCs w:val="20"/>
        </w:rPr>
        <w:t xml:space="preserve"> fails to promote TOD. At city level TOD consideration </w:t>
      </w:r>
      <w:r w:rsidR="00564FE3">
        <w:rPr>
          <w:rFonts w:cs="Arial"/>
          <w:szCs w:val="20"/>
        </w:rPr>
        <w:t xml:space="preserve">is </w:t>
      </w:r>
      <w:r w:rsidR="007F2F83" w:rsidRPr="0062339A">
        <w:rPr>
          <w:rFonts w:cs="Arial"/>
          <w:szCs w:val="20"/>
        </w:rPr>
        <w:t xml:space="preserve">found only in the </w:t>
      </w:r>
      <w:r w:rsidR="007F2F83" w:rsidRPr="0062339A">
        <w:rPr>
          <w:rFonts w:cs="Arial"/>
          <w:i/>
          <w:szCs w:val="20"/>
        </w:rPr>
        <w:t>Sydney Development Control Plan 2012</w:t>
      </w:r>
      <w:r w:rsidR="00564FE3">
        <w:rPr>
          <w:rFonts w:cs="Arial"/>
          <w:i/>
          <w:szCs w:val="20"/>
        </w:rPr>
        <w:t xml:space="preserve">, </w:t>
      </w:r>
      <w:r w:rsidR="00564FE3">
        <w:rPr>
          <w:rFonts w:cs="Arial"/>
          <w:szCs w:val="20"/>
        </w:rPr>
        <w:t>which</w:t>
      </w:r>
      <w:r w:rsidR="007F2F83" w:rsidRPr="0062339A">
        <w:rPr>
          <w:rFonts w:cs="Arial"/>
          <w:szCs w:val="20"/>
        </w:rPr>
        <w:t xml:space="preserve"> aim</w:t>
      </w:r>
      <w:r w:rsidR="00564FE3">
        <w:rPr>
          <w:rFonts w:cs="Arial"/>
          <w:szCs w:val="20"/>
        </w:rPr>
        <w:t>s to minimise</w:t>
      </w:r>
      <w:r w:rsidR="007F2F83" w:rsidRPr="0062339A">
        <w:rPr>
          <w:rFonts w:cs="Arial"/>
          <w:szCs w:val="20"/>
        </w:rPr>
        <w:t xml:space="preserve"> greenhouse gas generation by promoting TOD principles in specific locations such as Green Square Town Centre and Harold Park. </w:t>
      </w:r>
      <w:r w:rsidR="00564FE3">
        <w:rPr>
          <w:rFonts w:cs="Arial"/>
          <w:szCs w:val="20"/>
        </w:rPr>
        <w:t>The</w:t>
      </w:r>
      <w:r w:rsidR="007F2F83" w:rsidRPr="0062339A">
        <w:rPr>
          <w:rFonts w:cs="Arial"/>
          <w:i/>
          <w:szCs w:val="20"/>
        </w:rPr>
        <w:t xml:space="preserve"> Sydney Local Environmental Plan 2012</w:t>
      </w:r>
      <w:r w:rsidR="007F2F83" w:rsidRPr="0062339A">
        <w:rPr>
          <w:rFonts w:cs="Arial"/>
          <w:szCs w:val="20"/>
        </w:rPr>
        <w:t xml:space="preserve"> and </w:t>
      </w:r>
      <w:r w:rsidR="007F2F83" w:rsidRPr="0062339A">
        <w:rPr>
          <w:rFonts w:cs="Arial"/>
          <w:i/>
          <w:szCs w:val="20"/>
        </w:rPr>
        <w:t>Connecting Our City 2012</w:t>
      </w:r>
      <w:r w:rsidR="007F2F83" w:rsidRPr="0062339A">
        <w:rPr>
          <w:rFonts w:cs="Arial"/>
          <w:szCs w:val="20"/>
        </w:rPr>
        <w:t xml:space="preserve"> </w:t>
      </w:r>
      <w:r w:rsidR="00564FE3">
        <w:rPr>
          <w:rFonts w:cs="Arial"/>
          <w:szCs w:val="20"/>
        </w:rPr>
        <w:t xml:space="preserve">both </w:t>
      </w:r>
      <w:r w:rsidR="007F2F83" w:rsidRPr="0062339A">
        <w:rPr>
          <w:rFonts w:cs="Arial"/>
          <w:szCs w:val="20"/>
        </w:rPr>
        <w:t xml:space="preserve">promote well-serviced integrated compact settlements with consideration of affordable housing in </w:t>
      </w:r>
      <w:r w:rsidR="00564FE3">
        <w:rPr>
          <w:rFonts w:cs="Arial"/>
          <w:szCs w:val="20"/>
        </w:rPr>
        <w:t>some Local Environmental Plans. However, they</w:t>
      </w:r>
      <w:r w:rsidR="007F2F83" w:rsidRPr="0062339A">
        <w:rPr>
          <w:rFonts w:cs="Arial"/>
          <w:szCs w:val="20"/>
        </w:rPr>
        <w:t xml:space="preserve"> do not focus on TODs</w:t>
      </w:r>
      <w:r w:rsidR="00564FE3">
        <w:rPr>
          <w:rFonts w:cs="Arial"/>
          <w:szCs w:val="20"/>
        </w:rPr>
        <w:t xml:space="preserve"> as a means of delivering these integrated communities</w:t>
      </w:r>
      <w:r w:rsidR="007F2F83" w:rsidRPr="0062339A">
        <w:rPr>
          <w:rFonts w:cs="Arial"/>
          <w:szCs w:val="20"/>
        </w:rPr>
        <w:t xml:space="preserve">. Other </w:t>
      </w:r>
      <w:r w:rsidR="00564FE3">
        <w:rPr>
          <w:rFonts w:cs="Arial"/>
          <w:szCs w:val="20"/>
        </w:rPr>
        <w:t xml:space="preserve">city level </w:t>
      </w:r>
      <w:r w:rsidR="007F2F83" w:rsidRPr="0062339A">
        <w:rPr>
          <w:rFonts w:cs="Arial"/>
          <w:szCs w:val="20"/>
        </w:rPr>
        <w:t>climate change and environmental plans focus on reducing greenhouse emission</w:t>
      </w:r>
      <w:r w:rsidR="00564FE3">
        <w:rPr>
          <w:rFonts w:cs="Arial"/>
          <w:szCs w:val="20"/>
        </w:rPr>
        <w:t xml:space="preserve"> through transport and promote</w:t>
      </w:r>
      <w:r w:rsidR="007F2F83" w:rsidRPr="0062339A">
        <w:rPr>
          <w:rFonts w:cs="Arial"/>
          <w:szCs w:val="20"/>
        </w:rPr>
        <w:t xml:space="preserve"> of walking and cycling, but fail to address the need for integration of land use and transport </w:t>
      </w:r>
      <w:r w:rsidR="00564FE3">
        <w:rPr>
          <w:rFonts w:cs="Arial"/>
          <w:szCs w:val="20"/>
        </w:rPr>
        <w:t>via Integrated</w:t>
      </w:r>
      <w:r w:rsidR="007F2F83" w:rsidRPr="0062339A">
        <w:rPr>
          <w:rFonts w:cs="Arial"/>
          <w:szCs w:val="20"/>
        </w:rPr>
        <w:t xml:space="preserve"> TOD</w:t>
      </w:r>
      <w:r w:rsidR="00564FE3">
        <w:rPr>
          <w:rFonts w:cs="Arial"/>
          <w:szCs w:val="20"/>
        </w:rPr>
        <w:t>s</w:t>
      </w:r>
      <w:r w:rsidR="007F2F83" w:rsidRPr="0062339A">
        <w:rPr>
          <w:rFonts w:cs="Arial"/>
          <w:szCs w:val="20"/>
        </w:rPr>
        <w:t>.</w:t>
      </w:r>
    </w:p>
    <w:p w14:paraId="5EA68DBB" w14:textId="77777777" w:rsidR="007F2F83" w:rsidRPr="0062339A" w:rsidRDefault="007F2F83" w:rsidP="000E7C6F">
      <w:pPr>
        <w:rPr>
          <w:rFonts w:cs="Arial"/>
          <w:szCs w:val="20"/>
        </w:rPr>
      </w:pPr>
    </w:p>
    <w:p w14:paraId="3EFE54C1" w14:textId="77777777" w:rsidR="005C1967" w:rsidRDefault="005C1967" w:rsidP="005C1967">
      <w:pPr>
        <w:rPr>
          <w:rFonts w:cs="Arial"/>
          <w:b/>
          <w:szCs w:val="20"/>
        </w:rPr>
      </w:pPr>
      <w:r w:rsidRPr="0062339A">
        <w:rPr>
          <w:rFonts w:cs="Arial"/>
          <w:b/>
          <w:szCs w:val="20"/>
        </w:rPr>
        <w:t xml:space="preserve">Does the Integrated TOD Policy </w:t>
      </w:r>
      <w:r>
        <w:rPr>
          <w:rFonts w:cs="Arial"/>
          <w:b/>
          <w:szCs w:val="20"/>
        </w:rPr>
        <w:t>m</w:t>
      </w:r>
      <w:r w:rsidRPr="0062339A">
        <w:rPr>
          <w:rFonts w:cs="Arial"/>
          <w:b/>
          <w:szCs w:val="20"/>
        </w:rPr>
        <w:t>atter?</w:t>
      </w:r>
    </w:p>
    <w:p w14:paraId="3E063ABE" w14:textId="77777777" w:rsidR="005C1967" w:rsidRDefault="005C1967" w:rsidP="005C1967">
      <w:pPr>
        <w:rPr>
          <w:rFonts w:cs="Arial"/>
          <w:b/>
          <w:szCs w:val="20"/>
        </w:rPr>
      </w:pPr>
    </w:p>
    <w:p w14:paraId="10086192" w14:textId="23750456" w:rsidR="005C1967" w:rsidRDefault="005C1967" w:rsidP="005C1967">
      <w:pPr>
        <w:jc w:val="both"/>
      </w:pPr>
      <w:r>
        <w:rPr>
          <w:szCs w:val="20"/>
        </w:rPr>
        <w:t xml:space="preserve">Overall, our findings suggest that the majority of policies pertaining to TODs over the last decade primarily conceptualise them as urban design interventions capable of delivering environmental benefits by reducing greenhouse gas emissions.  </w:t>
      </w:r>
      <w:r w:rsidR="008E3C49">
        <w:rPr>
          <w:szCs w:val="20"/>
        </w:rPr>
        <w:t>T</w:t>
      </w:r>
      <w:r>
        <w:rPr>
          <w:szCs w:val="20"/>
        </w:rPr>
        <w:t>here is a distinct lack of focus on social outcomes in each case study. The lack of focus on social outcomes of TODs is costly for Australian cities because consolidation strategies contain urban development, which generally raises land prices and challenges housing choice and affordability.</w:t>
      </w:r>
      <w:r w:rsidRPr="007C5CCA">
        <w:rPr>
          <w:szCs w:val="20"/>
        </w:rPr>
        <w:t xml:space="preserve"> </w:t>
      </w:r>
      <w:r>
        <w:rPr>
          <w:szCs w:val="20"/>
        </w:rPr>
        <w:t xml:space="preserve">Urban planning has been criticised for overlooking the issue of justice and fairness </w:t>
      </w:r>
      <w:r>
        <w:rPr>
          <w:noProof/>
          <w:szCs w:val="20"/>
        </w:rPr>
        <w:t>(Jarvie and Friend, 2016)</w:t>
      </w:r>
      <w:r>
        <w:rPr>
          <w:szCs w:val="20"/>
        </w:rPr>
        <w:t xml:space="preserve">. </w:t>
      </w:r>
      <w:r>
        <w:t>A</w:t>
      </w:r>
      <w:r w:rsidRPr="00FB4269">
        <w:t xml:space="preserve">ffordable housing with good access to transit and commercial uses can </w:t>
      </w:r>
      <w:r>
        <w:t xml:space="preserve">actually </w:t>
      </w:r>
      <w:r w:rsidRPr="00FB4269">
        <w:t xml:space="preserve">help with tackling </w:t>
      </w:r>
      <w:r>
        <w:t>road congestion and environmental pollution</w:t>
      </w:r>
      <w:r w:rsidRPr="00FB4269">
        <w:t xml:space="preserve"> </w:t>
      </w:r>
      <w:r w:rsidRPr="00FB4269">
        <w:rPr>
          <w:noProof/>
        </w:rPr>
        <w:t>(Payne</w:t>
      </w:r>
      <w:r>
        <w:rPr>
          <w:noProof/>
        </w:rPr>
        <w:t>,</w:t>
      </w:r>
      <w:r w:rsidRPr="00FB4269">
        <w:rPr>
          <w:noProof/>
        </w:rPr>
        <w:t xml:space="preserve"> 2017)</w:t>
      </w:r>
      <w:r>
        <w:t xml:space="preserve">. </w:t>
      </w:r>
      <w:r>
        <w:rPr>
          <w:szCs w:val="20"/>
        </w:rPr>
        <w:t>The general failure of Brisbane, Sydney and Melbourne to translate the multiple rationales of Integrated TODs into spatial realities is arguably a failure of process, justice and fairness.</w:t>
      </w:r>
      <w:r w:rsidRPr="00A83BC4">
        <w:t xml:space="preserve"> </w:t>
      </w:r>
    </w:p>
    <w:p w14:paraId="2C93C9A6" w14:textId="77777777" w:rsidR="005C1967" w:rsidRDefault="005C1967" w:rsidP="005C1967">
      <w:pPr>
        <w:rPr>
          <w:rFonts w:cs="Arial"/>
          <w:szCs w:val="20"/>
        </w:rPr>
      </w:pPr>
    </w:p>
    <w:p w14:paraId="3CABB434" w14:textId="77777777" w:rsidR="005C1967" w:rsidRDefault="005C1967" w:rsidP="005C1967">
      <w:pPr>
        <w:spacing w:line="259" w:lineRule="auto"/>
        <w:jc w:val="both"/>
        <w:rPr>
          <w:szCs w:val="20"/>
        </w:rPr>
      </w:pPr>
      <w:r>
        <w:rPr>
          <w:rFonts w:cs="Arial"/>
          <w:szCs w:val="20"/>
        </w:rPr>
        <w:t>The</w:t>
      </w:r>
      <w:r w:rsidRPr="0062339A">
        <w:rPr>
          <w:rFonts w:cs="Arial"/>
          <w:szCs w:val="20"/>
        </w:rPr>
        <w:t xml:space="preserve"> role of land use planning in strategic metropolitan </w:t>
      </w:r>
      <w:r>
        <w:rPr>
          <w:rFonts w:cs="Arial"/>
          <w:szCs w:val="20"/>
        </w:rPr>
        <w:t>decision-making</w:t>
      </w:r>
      <w:r w:rsidRPr="0062339A">
        <w:rPr>
          <w:rFonts w:cs="Arial"/>
          <w:szCs w:val="20"/>
        </w:rPr>
        <w:t xml:space="preserve"> has diminished since the mid-2000s </w:t>
      </w:r>
      <w:r>
        <w:rPr>
          <w:rFonts w:cs="Arial"/>
          <w:szCs w:val="20"/>
        </w:rPr>
        <w:t>because of a stronger focus on large-</w:t>
      </w:r>
      <w:r w:rsidRPr="0062339A">
        <w:rPr>
          <w:rFonts w:cs="Arial"/>
          <w:szCs w:val="20"/>
        </w:rPr>
        <w:t xml:space="preserve">scale infrastructure projects </w:t>
      </w:r>
      <w:r w:rsidRPr="0062339A">
        <w:rPr>
          <w:rFonts w:cs="Arial"/>
          <w:noProof/>
          <w:szCs w:val="20"/>
        </w:rPr>
        <w:t>(Dodson</w:t>
      </w:r>
      <w:r>
        <w:rPr>
          <w:rFonts w:cs="Arial"/>
          <w:noProof/>
          <w:szCs w:val="20"/>
        </w:rPr>
        <w:t>,</w:t>
      </w:r>
      <w:r w:rsidRPr="0062339A">
        <w:rPr>
          <w:rFonts w:cs="Arial"/>
          <w:noProof/>
          <w:szCs w:val="20"/>
        </w:rPr>
        <w:t xml:space="preserve"> 2009; Legacy </w:t>
      </w:r>
      <w:r>
        <w:rPr>
          <w:rFonts w:cs="Arial"/>
          <w:noProof/>
          <w:szCs w:val="20"/>
        </w:rPr>
        <w:t>et al.,</w:t>
      </w:r>
      <w:r w:rsidRPr="0062339A">
        <w:rPr>
          <w:rFonts w:cs="Arial"/>
          <w:noProof/>
          <w:szCs w:val="20"/>
        </w:rPr>
        <w:t xml:space="preserve"> 2017)</w:t>
      </w:r>
      <w:r>
        <w:rPr>
          <w:rFonts w:cs="Arial"/>
          <w:szCs w:val="20"/>
        </w:rPr>
        <w:t>. Moreover, p</w:t>
      </w:r>
      <w:r w:rsidRPr="0062339A">
        <w:rPr>
          <w:rFonts w:cs="Arial"/>
          <w:szCs w:val="20"/>
        </w:rPr>
        <w:t>ublic transport investment in major Australian cities ha</w:t>
      </w:r>
      <w:r>
        <w:rPr>
          <w:rFonts w:cs="Arial"/>
          <w:szCs w:val="20"/>
        </w:rPr>
        <w:t>s</w:t>
      </w:r>
      <w:r w:rsidRPr="0062339A">
        <w:rPr>
          <w:rFonts w:cs="Arial"/>
          <w:szCs w:val="20"/>
        </w:rPr>
        <w:t xml:space="preserve"> not kept with the rapid </w:t>
      </w:r>
      <w:r w:rsidRPr="0062339A">
        <w:rPr>
          <w:rFonts w:cs="Arial"/>
          <w:szCs w:val="20"/>
        </w:rPr>
        <w:lastRenderedPageBreak/>
        <w:t xml:space="preserve">growth in population </w:t>
      </w:r>
      <w:r w:rsidRPr="0062339A">
        <w:rPr>
          <w:rFonts w:cs="Arial"/>
          <w:noProof/>
          <w:color w:val="000000" w:themeColor="text1"/>
          <w:szCs w:val="20"/>
        </w:rPr>
        <w:t>(Legacy</w:t>
      </w:r>
      <w:r>
        <w:rPr>
          <w:rFonts w:cs="Arial"/>
          <w:noProof/>
          <w:color w:val="000000" w:themeColor="text1"/>
          <w:szCs w:val="20"/>
        </w:rPr>
        <w:t>,</w:t>
      </w:r>
      <w:r w:rsidRPr="0062339A">
        <w:rPr>
          <w:rFonts w:cs="Arial"/>
          <w:noProof/>
          <w:color w:val="000000" w:themeColor="text1"/>
          <w:szCs w:val="20"/>
        </w:rPr>
        <w:t xml:space="preserve"> 2016)</w:t>
      </w:r>
      <w:r w:rsidRPr="0062339A">
        <w:rPr>
          <w:rFonts w:cs="Arial"/>
          <w:color w:val="000000" w:themeColor="text1"/>
          <w:szCs w:val="20"/>
        </w:rPr>
        <w:t>.</w:t>
      </w:r>
      <w:r>
        <w:rPr>
          <w:rFonts w:cs="Arial"/>
          <w:color w:val="000000" w:themeColor="text1"/>
          <w:szCs w:val="20"/>
        </w:rPr>
        <w:t xml:space="preserve"> Delivery of TODs in major cities such as Brisbane, Melbourne and Sydney is principally attributed to </w:t>
      </w:r>
      <w:r w:rsidRPr="00565BAC">
        <w:rPr>
          <w:rFonts w:cs="Arial"/>
          <w:color w:val="000000" w:themeColor="text1"/>
          <w:szCs w:val="20"/>
        </w:rPr>
        <w:t>existence of special planning regulatory frameworks</w:t>
      </w:r>
      <w:r>
        <w:rPr>
          <w:rFonts w:cs="Arial"/>
          <w:color w:val="000000" w:themeColor="text1"/>
          <w:szCs w:val="20"/>
        </w:rPr>
        <w:t xml:space="preserve"> and government involvement through state development agencies </w:t>
      </w:r>
      <w:r>
        <w:rPr>
          <w:rFonts w:cs="Arial"/>
          <w:noProof/>
          <w:color w:val="000000" w:themeColor="text1"/>
          <w:szCs w:val="20"/>
        </w:rPr>
        <w:t>(Searle et al., 2014)</w:t>
      </w:r>
      <w:r>
        <w:rPr>
          <w:rFonts w:cs="Arial"/>
          <w:color w:val="000000" w:themeColor="text1"/>
          <w:szCs w:val="20"/>
        </w:rPr>
        <w:t xml:space="preserve">. </w:t>
      </w:r>
      <w:r>
        <w:rPr>
          <w:szCs w:val="20"/>
        </w:rPr>
        <w:t xml:space="preserve">The greater policy focus on Integrated TOD in Brisbane is likely a legacy of past </w:t>
      </w:r>
      <w:proofErr w:type="gramStart"/>
      <w:r>
        <w:rPr>
          <w:szCs w:val="20"/>
        </w:rPr>
        <w:t>policies,</w:t>
      </w:r>
      <w:proofErr w:type="gramEnd"/>
      <w:r>
        <w:rPr>
          <w:szCs w:val="20"/>
        </w:rPr>
        <w:t xml:space="preserve"> particularly the Southeast Queensland (SEQ) regional plans. The importance of the potential value in integrating land use and transport became understood very quickly in the SEQ region compared to the Melbourne and Sydney metropolitan regions </w:t>
      </w:r>
      <w:r>
        <w:rPr>
          <w:noProof/>
          <w:szCs w:val="20"/>
        </w:rPr>
        <w:t>(Dodson, 2009)</w:t>
      </w:r>
      <w:r>
        <w:rPr>
          <w:szCs w:val="20"/>
        </w:rPr>
        <w:t xml:space="preserve">. </w:t>
      </w:r>
    </w:p>
    <w:p w14:paraId="222D12FF" w14:textId="77777777" w:rsidR="005C1967" w:rsidRDefault="005C1967" w:rsidP="005C1967">
      <w:pPr>
        <w:spacing w:line="259" w:lineRule="auto"/>
        <w:jc w:val="both"/>
        <w:rPr>
          <w:szCs w:val="20"/>
        </w:rPr>
      </w:pPr>
    </w:p>
    <w:p w14:paraId="363E8DE4" w14:textId="48F0C227" w:rsidR="005C1967" w:rsidRPr="00291F34" w:rsidRDefault="005C1967" w:rsidP="005C1967">
      <w:pPr>
        <w:spacing w:line="259" w:lineRule="auto"/>
        <w:jc w:val="both"/>
        <w:rPr>
          <w:szCs w:val="20"/>
        </w:rPr>
      </w:pPr>
      <w:r>
        <w:rPr>
          <w:szCs w:val="20"/>
        </w:rPr>
        <w:t xml:space="preserve">A turning point in SEQ for strategic land-use and infrastructure planning was the </w:t>
      </w:r>
      <w:r w:rsidRPr="00062FC8">
        <w:rPr>
          <w:i/>
          <w:szCs w:val="20"/>
        </w:rPr>
        <w:t xml:space="preserve">SEQ Regional </w:t>
      </w:r>
      <w:r w:rsidRPr="00291F34">
        <w:rPr>
          <w:i/>
          <w:szCs w:val="20"/>
        </w:rPr>
        <w:t>Plan 2005</w:t>
      </w:r>
      <w:r>
        <w:rPr>
          <w:szCs w:val="20"/>
        </w:rPr>
        <w:t xml:space="preserve"> as the first statutory plan that focused substantially on the integration of land use and transport. The plan </w:t>
      </w:r>
      <w:r w:rsidRPr="00147294">
        <w:rPr>
          <w:szCs w:val="20"/>
        </w:rPr>
        <w:t>promoted TODs in larger regional activity centres and smaller transit-oriented communities</w:t>
      </w:r>
      <w:r>
        <w:rPr>
          <w:szCs w:val="20"/>
        </w:rPr>
        <w:t>.</w:t>
      </w:r>
      <w:r w:rsidR="008E3C49">
        <w:rPr>
          <w:szCs w:val="20"/>
        </w:rPr>
        <w:t xml:space="preserve"> The </w:t>
      </w:r>
      <w:r w:rsidR="008E3C49" w:rsidRPr="00062FC8">
        <w:rPr>
          <w:i/>
          <w:szCs w:val="20"/>
        </w:rPr>
        <w:t xml:space="preserve">SEQ Regional </w:t>
      </w:r>
      <w:r w:rsidR="008E3C49" w:rsidRPr="00291F34">
        <w:rPr>
          <w:i/>
          <w:szCs w:val="20"/>
        </w:rPr>
        <w:t>Plan 2005</w:t>
      </w:r>
      <w:r w:rsidR="008E3C49">
        <w:rPr>
          <w:szCs w:val="20"/>
        </w:rPr>
        <w:t xml:space="preserve"> also</w:t>
      </w:r>
      <w:r w:rsidR="008E3C49" w:rsidRPr="00147294">
        <w:rPr>
          <w:szCs w:val="20"/>
        </w:rPr>
        <w:t xml:space="preserve"> established a </w:t>
      </w:r>
      <w:r w:rsidR="008E3C49">
        <w:rPr>
          <w:szCs w:val="20"/>
        </w:rPr>
        <w:t>‘</w:t>
      </w:r>
      <w:r w:rsidR="008E3C49" w:rsidRPr="008E3C49">
        <w:rPr>
          <w:szCs w:val="20"/>
        </w:rPr>
        <w:t>Transit Oriented Development Taskforce</w:t>
      </w:r>
      <w:r w:rsidR="008E3C49">
        <w:rPr>
          <w:szCs w:val="20"/>
        </w:rPr>
        <w:t>’</w:t>
      </w:r>
      <w:r w:rsidR="008E3C49" w:rsidRPr="00640DCB">
        <w:rPr>
          <w:i/>
          <w:szCs w:val="20"/>
        </w:rPr>
        <w:t xml:space="preserve"> </w:t>
      </w:r>
      <w:r w:rsidR="008E3C49" w:rsidRPr="00147294">
        <w:rPr>
          <w:szCs w:val="20"/>
        </w:rPr>
        <w:t>to assist with delivery of TOD outcomes.</w:t>
      </w:r>
      <w:r w:rsidR="008E3C49">
        <w:rPr>
          <w:szCs w:val="20"/>
        </w:rPr>
        <w:t xml:space="preserve"> As a result of the relative power of Brisbane City Council in the process of plan formation, the SEQ </w:t>
      </w:r>
      <w:r w:rsidR="008E3C49">
        <w:rPr>
          <w:i/>
          <w:szCs w:val="20"/>
        </w:rPr>
        <w:t>Regional Plan 2005</w:t>
      </w:r>
      <w:r w:rsidR="008E3C49">
        <w:rPr>
          <w:szCs w:val="20"/>
        </w:rPr>
        <w:t xml:space="preserve"> was less prescriptive and more flexible compared to Melbourne and Sydney metropolitan strategies of the time – </w:t>
      </w:r>
      <w:r w:rsidR="008E3C49" w:rsidRPr="009075C1">
        <w:rPr>
          <w:i/>
          <w:szCs w:val="20"/>
        </w:rPr>
        <w:t>Melbourne 2030</w:t>
      </w:r>
      <w:r w:rsidR="008E3C49">
        <w:rPr>
          <w:szCs w:val="20"/>
        </w:rPr>
        <w:t xml:space="preserve"> and </w:t>
      </w:r>
      <w:r w:rsidR="008E3C49" w:rsidRPr="009075C1">
        <w:rPr>
          <w:i/>
          <w:szCs w:val="20"/>
        </w:rPr>
        <w:t>City of Cities 2005</w:t>
      </w:r>
      <w:r w:rsidR="008E3C49">
        <w:rPr>
          <w:szCs w:val="20"/>
        </w:rPr>
        <w:t xml:space="preserve"> </w:t>
      </w:r>
      <w:r w:rsidR="008E3C49">
        <w:rPr>
          <w:noProof/>
          <w:szCs w:val="20"/>
        </w:rPr>
        <w:t>(Bunker and Searle, 2009)</w:t>
      </w:r>
      <w:r w:rsidR="008E3C49">
        <w:rPr>
          <w:szCs w:val="20"/>
        </w:rPr>
        <w:t xml:space="preserve">. Policy priorities towards TOD provision remain in place under the current </w:t>
      </w:r>
      <w:r w:rsidR="008E3C49" w:rsidRPr="008E3C49">
        <w:rPr>
          <w:i/>
          <w:szCs w:val="20"/>
        </w:rPr>
        <w:t>SEQ Regional Plan 2009</w:t>
      </w:r>
      <w:r w:rsidR="008E3C49">
        <w:rPr>
          <w:szCs w:val="20"/>
        </w:rPr>
        <w:t xml:space="preserve"> but look like they may lose </w:t>
      </w:r>
      <w:r w:rsidR="0022798C">
        <w:rPr>
          <w:szCs w:val="20"/>
        </w:rPr>
        <w:t>traction</w:t>
      </w:r>
      <w:r w:rsidR="008E3C49">
        <w:rPr>
          <w:szCs w:val="20"/>
        </w:rPr>
        <w:t xml:space="preserve"> when the </w:t>
      </w:r>
      <w:r w:rsidR="008E3C49" w:rsidRPr="008E3C49">
        <w:rPr>
          <w:i/>
          <w:szCs w:val="20"/>
        </w:rPr>
        <w:t>SEQ Regional Plan 2016</w:t>
      </w:r>
      <w:r w:rsidR="008E3C49">
        <w:rPr>
          <w:szCs w:val="20"/>
        </w:rPr>
        <w:t xml:space="preserve"> takes precedence in late 2017.</w:t>
      </w:r>
      <w:r>
        <w:rPr>
          <w:szCs w:val="20"/>
        </w:rPr>
        <w:t xml:space="preserve"> </w:t>
      </w:r>
      <w:r>
        <w:rPr>
          <w:rFonts w:cs="Arial"/>
          <w:szCs w:val="20"/>
        </w:rPr>
        <w:t>In Melbourne and Sydney</w:t>
      </w:r>
      <w:r w:rsidRPr="00076BAE">
        <w:rPr>
          <w:rFonts w:cs="Arial"/>
          <w:szCs w:val="20"/>
        </w:rPr>
        <w:t>,</w:t>
      </w:r>
      <w:r>
        <w:rPr>
          <w:rFonts w:cs="Arial"/>
          <w:szCs w:val="20"/>
        </w:rPr>
        <w:t xml:space="preserve"> as opposed to SEQ,</w:t>
      </w:r>
      <w:r w:rsidRPr="00076BAE">
        <w:rPr>
          <w:rFonts w:cs="Arial"/>
          <w:szCs w:val="20"/>
        </w:rPr>
        <w:t xml:space="preserve"> </w:t>
      </w:r>
      <w:r>
        <w:rPr>
          <w:rFonts w:cs="Arial"/>
          <w:szCs w:val="20"/>
        </w:rPr>
        <w:t>the incorporation of infrastructure in land-use decisions stretche</w:t>
      </w:r>
      <w:r w:rsidR="0022798C">
        <w:rPr>
          <w:rFonts w:cs="Arial"/>
          <w:szCs w:val="20"/>
        </w:rPr>
        <w:t>d over a long period of time but</w:t>
      </w:r>
      <w:r>
        <w:rPr>
          <w:rFonts w:cs="Arial"/>
          <w:szCs w:val="20"/>
        </w:rPr>
        <w:t xml:space="preserve"> is less articulated </w:t>
      </w:r>
      <w:r>
        <w:rPr>
          <w:rFonts w:cs="Arial"/>
          <w:noProof/>
        </w:rPr>
        <w:t>(Dodson, 2009)</w:t>
      </w:r>
      <w:r>
        <w:rPr>
          <w:rFonts w:cs="Arial"/>
          <w:szCs w:val="20"/>
        </w:rPr>
        <w:t xml:space="preserve">. For example, metropolitan strategies for Melbourne, </w:t>
      </w:r>
      <w:r>
        <w:rPr>
          <w:rFonts w:cs="Arial"/>
        </w:rPr>
        <w:t xml:space="preserve">including </w:t>
      </w:r>
      <w:r w:rsidRPr="00EA09C7">
        <w:rPr>
          <w:rFonts w:cs="Arial"/>
          <w:i/>
        </w:rPr>
        <w:t>Melbourne @5 Million</w:t>
      </w:r>
      <w:r>
        <w:rPr>
          <w:rFonts w:cs="Arial"/>
        </w:rPr>
        <w:t xml:space="preserve"> and </w:t>
      </w:r>
      <w:r w:rsidRPr="00EA09C7">
        <w:rPr>
          <w:rFonts w:cs="Arial"/>
          <w:i/>
        </w:rPr>
        <w:t>Plan Melbourne 2014</w:t>
      </w:r>
      <w:r>
        <w:rPr>
          <w:rFonts w:cs="Arial"/>
        </w:rPr>
        <w:t>, now include policy considerations of TODs, but took far longer to do so than the SEQ equivalents.  Conversely, TOD has never been a metropolitan level strategic policy consideration in Sydney</w:t>
      </w:r>
      <w:r>
        <w:rPr>
          <w:rFonts w:cs="Arial"/>
          <w:szCs w:val="20"/>
        </w:rPr>
        <w:t xml:space="preserve"> (e.g. </w:t>
      </w:r>
      <w:r w:rsidRPr="000E7BC7">
        <w:rPr>
          <w:rFonts w:cs="Arial"/>
          <w:i/>
          <w:szCs w:val="20"/>
        </w:rPr>
        <w:t>City of Cities</w:t>
      </w:r>
      <w:r>
        <w:rPr>
          <w:rFonts w:cs="Arial"/>
          <w:szCs w:val="20"/>
        </w:rPr>
        <w:t>). The strength and long history of SEQ regional planning relative to Sydney and Melbourne may partly explain this divergence across the three capital cities.</w:t>
      </w:r>
    </w:p>
    <w:p w14:paraId="1AD32EAA" w14:textId="77777777" w:rsidR="007F2F83" w:rsidRDefault="007F2F83" w:rsidP="000E7C6F"/>
    <w:p w14:paraId="4EB38FA8" w14:textId="77777777" w:rsidR="001311A5" w:rsidRDefault="001311A5" w:rsidP="001311A5">
      <w:pPr>
        <w:rPr>
          <w:b/>
          <w:sz w:val="22"/>
          <w:szCs w:val="20"/>
        </w:rPr>
      </w:pPr>
      <w:r w:rsidRPr="00C64F20">
        <w:rPr>
          <w:b/>
          <w:sz w:val="22"/>
          <w:szCs w:val="20"/>
        </w:rPr>
        <w:t xml:space="preserve">Conclusions </w:t>
      </w:r>
    </w:p>
    <w:p w14:paraId="599AF659" w14:textId="77777777" w:rsidR="001311A5" w:rsidRDefault="001311A5" w:rsidP="001311A5">
      <w:pPr>
        <w:rPr>
          <w:szCs w:val="20"/>
        </w:rPr>
      </w:pPr>
    </w:p>
    <w:p w14:paraId="28E997C3" w14:textId="5BB23538" w:rsidR="001311A5" w:rsidRDefault="001311A5" w:rsidP="001311A5">
      <w:pPr>
        <w:jc w:val="both"/>
        <w:rPr>
          <w:szCs w:val="20"/>
        </w:rPr>
      </w:pPr>
      <w:r>
        <w:rPr>
          <w:szCs w:val="20"/>
        </w:rPr>
        <w:t xml:space="preserve">Transit Orientated Developments are an important planning tool </w:t>
      </w:r>
      <w:r w:rsidR="00794FAB">
        <w:rPr>
          <w:szCs w:val="20"/>
        </w:rPr>
        <w:t>with the ability to deliver low-</w:t>
      </w:r>
      <w:r>
        <w:rPr>
          <w:szCs w:val="20"/>
        </w:rPr>
        <w:t xml:space="preserve">carbon and socially just communities. Our conceptualisation of Integrated TODs expressly recognises the need for planning, environmental and social outcomes to be communally recognised and facilitated by policies designed to provide functional and successful TODs. The potential and full benefits of TODs have not been effectively realised in urban policy, with limited evidence of successful TODs across the world and particularly in Australia. The social elements of TODs, including affordable housing and mixed tenure, are neglected or absent in many cases. This paper examined how TODs have been conceptualised and integrated in planning and policy in Brisbane, Melbourne, and Sydney from 2007-2017. Our conceptual model of Integrated TOD was used to further refine policy analysis in each case study. Our findings indicate that the majority of TOD policies generally conceptualise these interventions as a form of urban design with improved environmental benefits. Our specific findings pointed to significant differences between the case studies, with Brisbane having a more integrated TOD policy focus than Melbourne or Sydney. This was principally a result of a systematic policy approach to promoting planning, environmental and social outcomes of TODs at the metropolitan level. </w:t>
      </w:r>
    </w:p>
    <w:p w14:paraId="246FEF1B" w14:textId="77777777" w:rsidR="001311A5" w:rsidRDefault="001311A5" w:rsidP="001311A5">
      <w:pPr>
        <w:jc w:val="both"/>
        <w:rPr>
          <w:szCs w:val="20"/>
        </w:rPr>
      </w:pPr>
    </w:p>
    <w:p w14:paraId="3FC447A4" w14:textId="29D236A9" w:rsidR="001311A5" w:rsidRDefault="001311A5" w:rsidP="001311A5">
      <w:pPr>
        <w:jc w:val="both"/>
        <w:rPr>
          <w:szCs w:val="20"/>
        </w:rPr>
      </w:pPr>
      <w:r>
        <w:rPr>
          <w:szCs w:val="20"/>
        </w:rPr>
        <w:t xml:space="preserve">Our findings call for a more integrated approach towards blending planning outcomes with environmental and social objectives in TOD policies. Integrated TODs offer a potentially useful way forward in this quest. </w:t>
      </w:r>
      <w:r>
        <w:t xml:space="preserve">However, more flexibility needs to be embedded at strategic levels to support this innovation in Australian planning. A first step towards achieving the goal of Integrated TOD is settling a unified definition and defining relevant principles to be incorporated in policies of different levels and types. Our conceptualisation of Integrated TOD can be further developed. Several steps are planned to follow this paper. The sample of policies studied for this paper was limited to the current land-use, transport and climate policies of the case studies. As such, future research will focus on longitudinal study of TOD policy progress over time to provide greater power to draw better conclusions about case studies. Other methodologies such as spatial analysis and interviews with the key stakeholders in TOD planning and policy-making will be undertaken. These should triangulate the findings to better understand the pathways and barriers to Integrated TOD policy formulation, as well as the success or failure factors likely to condition implementation. </w:t>
      </w:r>
      <w:r>
        <w:rPr>
          <w:szCs w:val="20"/>
        </w:rPr>
        <w:t xml:space="preserve">This future research will build on the </w:t>
      </w:r>
      <w:r w:rsidRPr="00726A92">
        <w:rPr>
          <w:rFonts w:cs="Arial"/>
          <w:szCs w:val="20"/>
        </w:rPr>
        <w:t xml:space="preserve">early insights </w:t>
      </w:r>
      <w:r>
        <w:rPr>
          <w:rFonts w:cs="Arial"/>
          <w:szCs w:val="20"/>
        </w:rPr>
        <w:t xml:space="preserve">documented in this paper and we anticipate the findings will </w:t>
      </w:r>
      <w:r>
        <w:rPr>
          <w:szCs w:val="20"/>
        </w:rPr>
        <w:t xml:space="preserve">have important implications for the delivery of in pursuit </w:t>
      </w:r>
      <w:r>
        <w:rPr>
          <w:rFonts w:cs="Arial"/>
          <w:szCs w:val="22"/>
          <w:lang w:eastAsia="en-AU"/>
        </w:rPr>
        <w:t xml:space="preserve">of </w:t>
      </w:r>
      <w:r w:rsidRPr="00A84460">
        <w:rPr>
          <w:rFonts w:cs="Arial"/>
          <w:szCs w:val="22"/>
          <w:lang w:eastAsia="en-AU"/>
        </w:rPr>
        <w:t xml:space="preserve">equitable </w:t>
      </w:r>
      <w:r w:rsidRPr="00A84460">
        <w:rPr>
          <w:rFonts w:cs="Arial"/>
          <w:iCs/>
          <w:szCs w:val="22"/>
          <w:lang w:val="en-US"/>
        </w:rPr>
        <w:t>low-carbon communities</w:t>
      </w:r>
      <w:r>
        <w:rPr>
          <w:szCs w:val="20"/>
        </w:rPr>
        <w:t xml:space="preserve"> in Australia and beyond.</w:t>
      </w:r>
    </w:p>
    <w:p w14:paraId="655BC119" w14:textId="77777777" w:rsidR="001311A5" w:rsidRDefault="001311A5" w:rsidP="001311A5">
      <w:pPr>
        <w:jc w:val="both"/>
        <w:rPr>
          <w:szCs w:val="20"/>
        </w:rPr>
      </w:pPr>
    </w:p>
    <w:p w14:paraId="6574587C" w14:textId="69B8570D" w:rsidR="007F2F83" w:rsidRPr="001311A5" w:rsidRDefault="001311A5" w:rsidP="000E7C6F">
      <w:pPr>
        <w:rPr>
          <w:b/>
          <w:sz w:val="22"/>
          <w:szCs w:val="20"/>
        </w:rPr>
      </w:pPr>
      <w:r>
        <w:rPr>
          <w:b/>
          <w:sz w:val="22"/>
          <w:szCs w:val="20"/>
        </w:rPr>
        <w:t>References</w:t>
      </w:r>
    </w:p>
    <w:p w14:paraId="332F6617" w14:textId="77777777" w:rsidR="0086206F" w:rsidRPr="00D051B7" w:rsidRDefault="0086206F" w:rsidP="0086206F">
      <w:pPr>
        <w:pStyle w:val="EndNoteBibliography"/>
        <w:ind w:left="720" w:hanging="720"/>
      </w:pPr>
      <w:r>
        <w:lastRenderedPageBreak/>
        <w:t>Atkinson-Palombo, C., and</w:t>
      </w:r>
      <w:r w:rsidRPr="00D051B7">
        <w:t xml:space="preserve"> Kuby, M.J. </w:t>
      </w:r>
      <w:r>
        <w:t>(2011)</w:t>
      </w:r>
      <w:r w:rsidRPr="00D051B7">
        <w:t xml:space="preserve"> The geography of advance transit-oriented development in metropolitan Phoenix, Arizona, 2000–2007. </w:t>
      </w:r>
      <w:r w:rsidRPr="00D051B7">
        <w:rPr>
          <w:i/>
        </w:rPr>
        <w:t xml:space="preserve">Journal of Transport Geography, 19 </w:t>
      </w:r>
      <w:r w:rsidRPr="00D051B7">
        <w:t xml:space="preserve">(2), 189-199. </w:t>
      </w:r>
    </w:p>
    <w:p w14:paraId="3B736BE8" w14:textId="60505466" w:rsidR="007F2F83" w:rsidRPr="00D051B7" w:rsidRDefault="003D1C28" w:rsidP="000E7C6F">
      <w:pPr>
        <w:pStyle w:val="EndNoteBibliography"/>
        <w:ind w:left="720" w:hanging="720"/>
      </w:pPr>
      <w:r>
        <w:t>Arrington</w:t>
      </w:r>
      <w:r w:rsidR="00E03726">
        <w:t>, G.B., and</w:t>
      </w:r>
      <w:r w:rsidR="007F2F83" w:rsidRPr="00D051B7">
        <w:t xml:space="preserve"> Cervero, R. </w:t>
      </w:r>
      <w:r w:rsidR="00E03726">
        <w:t>(2008)</w:t>
      </w:r>
      <w:r w:rsidR="007F2F83" w:rsidRPr="00D051B7">
        <w:t xml:space="preserve"> Effects of TOD on Housing, Parking, and Travel, Report 128. Washington D. C.</w:t>
      </w:r>
    </w:p>
    <w:p w14:paraId="69E900BE" w14:textId="77777777" w:rsidR="00DF0D5E" w:rsidRDefault="00DF0D5E" w:rsidP="000E7C6F">
      <w:pPr>
        <w:pStyle w:val="EndNoteBibliography"/>
        <w:ind w:left="720" w:hanging="720"/>
      </w:pPr>
      <w:r>
        <w:t>Batt, H.W. (2001)</w:t>
      </w:r>
      <w:r w:rsidR="007F2F83" w:rsidRPr="00D051B7">
        <w:t xml:space="preserve"> Value Capture as a Policy Tool in Transportation Economics: An Exploration in Public Finance in the Tradition of Henry George. </w:t>
      </w:r>
      <w:r w:rsidR="007F2F83" w:rsidRPr="00D051B7">
        <w:rPr>
          <w:i/>
        </w:rPr>
        <w:t xml:space="preserve">American Journal of Economics and Sociology, 60 </w:t>
      </w:r>
      <w:r w:rsidR="007F2F83" w:rsidRPr="00D051B7">
        <w:t xml:space="preserve">(1), 195-228. </w:t>
      </w:r>
    </w:p>
    <w:p w14:paraId="1D7BB4B8" w14:textId="3D83EB06" w:rsidR="007E33DE" w:rsidRDefault="007E33DE" w:rsidP="007E33DE">
      <w:pPr>
        <w:pStyle w:val="EndNoteBibliography"/>
        <w:ind w:left="720" w:hanging="720"/>
      </w:pPr>
      <w:r>
        <w:t>Belzer, D., and</w:t>
      </w:r>
      <w:r w:rsidRPr="00D051B7">
        <w:t xml:space="preserve"> Autler, G. </w:t>
      </w:r>
      <w:r>
        <w:t>(2002)</w:t>
      </w:r>
      <w:r w:rsidRPr="00D051B7">
        <w:t xml:space="preserve"> </w:t>
      </w:r>
      <w:r w:rsidRPr="00D051B7">
        <w:rPr>
          <w:i/>
        </w:rPr>
        <w:t>Transit Oriented Development: Moving from Rhetoric to Reality</w:t>
      </w:r>
      <w:r w:rsidRPr="00D051B7">
        <w:t>. Washington, D.C.: The Brookings Institution Center on Urban and Metropolitan Policy and The Great American Station Foundation.</w:t>
      </w:r>
    </w:p>
    <w:p w14:paraId="4C138E81" w14:textId="77777777" w:rsidR="007F2F83" w:rsidRPr="00D051B7" w:rsidRDefault="00DF0D5E" w:rsidP="000E7C6F">
      <w:pPr>
        <w:pStyle w:val="EndNoteBibliography"/>
        <w:ind w:left="720" w:hanging="720"/>
      </w:pPr>
      <w:r>
        <w:t>Bertolini, L., Curtis, C., and</w:t>
      </w:r>
      <w:r w:rsidR="007F2F83" w:rsidRPr="00D051B7">
        <w:t xml:space="preserve"> Renne, J.L. </w:t>
      </w:r>
      <w:r>
        <w:t>(2009)</w:t>
      </w:r>
      <w:r w:rsidR="007F2F83" w:rsidRPr="00D051B7">
        <w:t xml:space="preserve"> Introduction. In C. Curtis, J. L. Renne &amp; L. Bertolini (Eds.), </w:t>
      </w:r>
      <w:r w:rsidR="007F2F83" w:rsidRPr="00D051B7">
        <w:rPr>
          <w:i/>
        </w:rPr>
        <w:t>Tranit Oriented Development - Making it Happen</w:t>
      </w:r>
      <w:r w:rsidR="007F2F83" w:rsidRPr="00D051B7">
        <w:t>. Surrey, UK: Ashgate Publishing Limited.</w:t>
      </w:r>
    </w:p>
    <w:p w14:paraId="254EC0A8" w14:textId="77777777" w:rsidR="007F2F83" w:rsidRPr="00D051B7" w:rsidRDefault="00DF0D5E" w:rsidP="000E7C6F">
      <w:pPr>
        <w:pStyle w:val="EndNoteBibliography"/>
        <w:ind w:left="720" w:hanging="720"/>
      </w:pPr>
      <w:r>
        <w:t>Brown, B.B., and</w:t>
      </w:r>
      <w:r w:rsidR="007F2F83" w:rsidRPr="00D051B7">
        <w:t xml:space="preserve"> Werner, C.M. </w:t>
      </w:r>
      <w:r>
        <w:t>(2007)</w:t>
      </w:r>
      <w:r w:rsidR="007F2F83" w:rsidRPr="00D051B7">
        <w:t xml:space="preserve"> A new rail stop: tracking moderate physical activity bouts and ridership. </w:t>
      </w:r>
      <w:r w:rsidR="007F2F83" w:rsidRPr="00D051B7">
        <w:rPr>
          <w:i/>
        </w:rPr>
        <w:t xml:space="preserve">American Journal of Preventive Medicine, 33 </w:t>
      </w:r>
      <w:r w:rsidR="007F2F83" w:rsidRPr="00D051B7">
        <w:t xml:space="preserve">(4), 306-309. </w:t>
      </w:r>
    </w:p>
    <w:p w14:paraId="5941C60B" w14:textId="77777777" w:rsidR="007F2F83" w:rsidRPr="00D051B7" w:rsidRDefault="00DF0D5E" w:rsidP="000E7C6F">
      <w:pPr>
        <w:pStyle w:val="EndNoteBibliography"/>
        <w:ind w:left="720" w:hanging="720"/>
      </w:pPr>
      <w:r>
        <w:t>Brown, B.B., and</w:t>
      </w:r>
      <w:r w:rsidR="007F2F83" w:rsidRPr="00D051B7">
        <w:t xml:space="preserve"> Werner, C.M. </w:t>
      </w:r>
      <w:r>
        <w:t>(2011)</w:t>
      </w:r>
      <w:r w:rsidR="007F2F83" w:rsidRPr="00D051B7">
        <w:t xml:space="preserve"> The Residents’ Benefits and Concerns Before and After a New Rail Stop. </w:t>
      </w:r>
      <w:r w:rsidR="007F2F83" w:rsidRPr="00D051B7">
        <w:rPr>
          <w:i/>
        </w:rPr>
        <w:t xml:space="preserve">Environment and Behavior, 43 </w:t>
      </w:r>
      <w:r w:rsidR="007F2F83" w:rsidRPr="00D051B7">
        <w:t xml:space="preserve">(6), 789-806. </w:t>
      </w:r>
    </w:p>
    <w:p w14:paraId="4B578C1B" w14:textId="77777777" w:rsidR="007F2F83" w:rsidRPr="00D051B7" w:rsidRDefault="00DF0D5E" w:rsidP="000E7C6F">
      <w:pPr>
        <w:pStyle w:val="EndNoteBibliography"/>
        <w:ind w:left="720" w:hanging="720"/>
      </w:pPr>
      <w:r>
        <w:t>Bunker, R., and</w:t>
      </w:r>
      <w:r w:rsidR="007F2F83" w:rsidRPr="00D051B7">
        <w:t xml:space="preserve"> Searle, G. </w:t>
      </w:r>
      <w:r>
        <w:t>(2009)</w:t>
      </w:r>
      <w:r w:rsidR="007F2F83" w:rsidRPr="00D051B7">
        <w:t xml:space="preserve"> Theory and Practice in Metropolitan Strategy: Situating Recent Australian Planning. </w:t>
      </w:r>
      <w:r w:rsidR="007F2F83" w:rsidRPr="00D051B7">
        <w:rPr>
          <w:i/>
        </w:rPr>
        <w:t xml:space="preserve">Urban Policy and Research, 27 </w:t>
      </w:r>
      <w:r w:rsidR="007F2F83" w:rsidRPr="00D051B7">
        <w:t xml:space="preserve">(2), 101-116. </w:t>
      </w:r>
    </w:p>
    <w:p w14:paraId="78A6C82A" w14:textId="77777777" w:rsidR="007F2F83" w:rsidRPr="00D051B7" w:rsidRDefault="007F2F83" w:rsidP="000E7C6F">
      <w:pPr>
        <w:pStyle w:val="EndNoteBibliography"/>
        <w:ind w:left="720" w:hanging="720"/>
      </w:pPr>
      <w:r w:rsidRPr="00D051B7">
        <w:t xml:space="preserve">Calthorpe, P. </w:t>
      </w:r>
      <w:r w:rsidR="00DF0D5E">
        <w:t>(1993)</w:t>
      </w:r>
      <w:r w:rsidRPr="00D051B7">
        <w:t xml:space="preserve"> </w:t>
      </w:r>
      <w:r w:rsidRPr="00D051B7">
        <w:rPr>
          <w:i/>
        </w:rPr>
        <w:t>The Next American Metropolis: Ecology, Community, and the American Dream</w:t>
      </w:r>
      <w:r w:rsidRPr="00D051B7">
        <w:t>. New York: Princeton University Press.</w:t>
      </w:r>
    </w:p>
    <w:p w14:paraId="3159E3BA" w14:textId="77777777" w:rsidR="007F2F83" w:rsidRPr="00D051B7" w:rsidRDefault="007F2F83" w:rsidP="000E7C6F">
      <w:pPr>
        <w:pStyle w:val="EndNoteBibliography"/>
        <w:ind w:left="720" w:hanging="720"/>
      </w:pPr>
      <w:r w:rsidRPr="00D051B7">
        <w:t xml:space="preserve">Carlton, I. </w:t>
      </w:r>
      <w:r w:rsidR="00DF0D5E">
        <w:t>(2009)</w:t>
      </w:r>
      <w:r w:rsidRPr="00D051B7">
        <w:t xml:space="preserve"> Histories of Transit-Oriented Development: Perspectives on the Development of the TOD Concept, Working Paper. Berkeley, CA: Institute of Urban and Regional Development.</w:t>
      </w:r>
    </w:p>
    <w:p w14:paraId="608222C5" w14:textId="77777777" w:rsidR="007F2F83" w:rsidRPr="00D051B7" w:rsidRDefault="007F2F83" w:rsidP="000E7C6F">
      <w:pPr>
        <w:pStyle w:val="EndNoteBibliography"/>
        <w:ind w:left="720" w:hanging="720"/>
      </w:pPr>
      <w:r w:rsidRPr="00D051B7">
        <w:t xml:space="preserve">Cervero, R. </w:t>
      </w:r>
      <w:r w:rsidR="00DF0D5E">
        <w:t>(2005)</w:t>
      </w:r>
      <w:r w:rsidRPr="00D051B7">
        <w:t xml:space="preserve"> Transit Oriented Development in America: Strategies, Issues, Policy Directions </w:t>
      </w:r>
      <w:r w:rsidRPr="00D051B7">
        <w:rPr>
          <w:i/>
        </w:rPr>
        <w:t xml:space="preserve">International Conference on Transit Oriented Development – Making It Happen </w:t>
      </w:r>
      <w:r w:rsidRPr="00D051B7">
        <w:t>Fremantle, Western Australia, 5-8 July 2005.</w:t>
      </w:r>
    </w:p>
    <w:p w14:paraId="7B7CD55A" w14:textId="77777777" w:rsidR="007F2F83" w:rsidRPr="00D051B7" w:rsidRDefault="007F2F83" w:rsidP="000E7C6F">
      <w:pPr>
        <w:pStyle w:val="EndNoteBibliography"/>
        <w:ind w:left="720" w:hanging="720"/>
      </w:pPr>
      <w:r w:rsidRPr="00D051B7">
        <w:t xml:space="preserve">Cervero, R. </w:t>
      </w:r>
      <w:r w:rsidR="00DF0D5E">
        <w:t>(2013)</w:t>
      </w:r>
      <w:r w:rsidRPr="00D051B7">
        <w:t xml:space="preserve"> Transport Infrastructure and the Environment: Sustainable Mobility and Urbanism. Berkeley.</w:t>
      </w:r>
    </w:p>
    <w:p w14:paraId="68D430D2" w14:textId="77777777" w:rsidR="00DF0D5E" w:rsidRDefault="007F2F83" w:rsidP="000E7C6F">
      <w:pPr>
        <w:pStyle w:val="EndNoteBibliography"/>
        <w:ind w:left="720" w:hanging="720"/>
      </w:pPr>
      <w:r w:rsidRPr="00D051B7">
        <w:t xml:space="preserve">Cervero, R., </w:t>
      </w:r>
      <w:r w:rsidR="00DF0D5E">
        <w:t>and</w:t>
      </w:r>
      <w:r w:rsidRPr="00D051B7">
        <w:t xml:space="preserve"> Day, J. </w:t>
      </w:r>
      <w:r w:rsidR="00DF0D5E">
        <w:t>(2008)</w:t>
      </w:r>
      <w:r w:rsidRPr="00D051B7">
        <w:t xml:space="preserve"> Suburbanization and transit-oriented development in China. </w:t>
      </w:r>
      <w:r w:rsidRPr="00D051B7">
        <w:rPr>
          <w:i/>
        </w:rPr>
        <w:t xml:space="preserve">Transport Policy, 15 </w:t>
      </w:r>
      <w:r w:rsidRPr="00D051B7">
        <w:t xml:space="preserve">(5), 315-323. </w:t>
      </w:r>
    </w:p>
    <w:p w14:paraId="2F61D636" w14:textId="77777777" w:rsidR="007F2F83" w:rsidRPr="00D051B7" w:rsidRDefault="00DF0D5E" w:rsidP="000E7C6F">
      <w:pPr>
        <w:pStyle w:val="EndNoteBibliography"/>
        <w:ind w:left="720" w:hanging="720"/>
      </w:pPr>
      <w:r>
        <w:t>Cervero, R., Ferrell, C., and</w:t>
      </w:r>
      <w:r w:rsidR="007F2F83" w:rsidRPr="00D051B7">
        <w:t xml:space="preserve"> Murphy, S. </w:t>
      </w:r>
      <w:r>
        <w:t>(2002)</w:t>
      </w:r>
      <w:r w:rsidR="007F2F83" w:rsidRPr="00D051B7">
        <w:t xml:space="preserve"> Transit Cooperative Research Program, Research Results Digest Number 52. Washington, D.C.: Transportation Research Board, National Research Council.</w:t>
      </w:r>
    </w:p>
    <w:p w14:paraId="57639B00" w14:textId="77777777" w:rsidR="007F2F83" w:rsidRPr="00D051B7" w:rsidRDefault="00DF0D5E" w:rsidP="000E7C6F">
      <w:pPr>
        <w:pStyle w:val="EndNoteBibliography"/>
        <w:ind w:left="720" w:hanging="720"/>
      </w:pPr>
      <w:r>
        <w:t>Cervero, R., and</w:t>
      </w:r>
      <w:r w:rsidR="007F2F83" w:rsidRPr="00D051B7">
        <w:t xml:space="preserve"> Kockelman, K. </w:t>
      </w:r>
      <w:r>
        <w:t>(1997)</w:t>
      </w:r>
      <w:r w:rsidR="007F2F83" w:rsidRPr="00D051B7">
        <w:t xml:space="preserve"> Travel demand and the 3Ds: Density, diversity, and design. </w:t>
      </w:r>
      <w:r w:rsidR="007F2F83" w:rsidRPr="00D051B7">
        <w:rPr>
          <w:i/>
        </w:rPr>
        <w:t xml:space="preserve">Transportation Research Part D: Transport and Environment, 2 </w:t>
      </w:r>
      <w:r w:rsidR="007F2F83" w:rsidRPr="00D051B7">
        <w:t xml:space="preserve">(3), 199-219. </w:t>
      </w:r>
    </w:p>
    <w:p w14:paraId="233E307C" w14:textId="77777777" w:rsidR="007F2F83" w:rsidRPr="00D051B7" w:rsidRDefault="00DF0D5E" w:rsidP="000E7C6F">
      <w:pPr>
        <w:pStyle w:val="EndNoteBibliography"/>
        <w:ind w:left="720" w:hanging="720"/>
      </w:pPr>
      <w:r>
        <w:t>Cervero, R., and</w:t>
      </w:r>
      <w:r w:rsidR="007F2F83" w:rsidRPr="00D051B7">
        <w:t xml:space="preserve"> Murakami, J. </w:t>
      </w:r>
      <w:r>
        <w:t>(2009)</w:t>
      </w:r>
      <w:r w:rsidR="007F2F83" w:rsidRPr="00D051B7">
        <w:t xml:space="preserve"> Rail and Property Development in Hong Kong: Experiences and Extensions. </w:t>
      </w:r>
      <w:r w:rsidR="007F2F83" w:rsidRPr="00D051B7">
        <w:rPr>
          <w:i/>
        </w:rPr>
        <w:t xml:space="preserve">Urban studies, 46 </w:t>
      </w:r>
      <w:r w:rsidR="007F2F83" w:rsidRPr="00D051B7">
        <w:t xml:space="preserve">(10), 2019-2043. </w:t>
      </w:r>
    </w:p>
    <w:p w14:paraId="23D6C497" w14:textId="77777777" w:rsidR="007F2F83" w:rsidRPr="00D051B7" w:rsidRDefault="007F2F83" w:rsidP="000E7C6F">
      <w:pPr>
        <w:pStyle w:val="EndNoteBibliography"/>
        <w:ind w:left="720" w:hanging="720"/>
      </w:pPr>
      <w:r w:rsidRPr="00D051B7">
        <w:t xml:space="preserve">Cervero, R., </w:t>
      </w:r>
      <w:r w:rsidR="000E7C6F">
        <w:t>et al.</w:t>
      </w:r>
      <w:r w:rsidRPr="00D051B7">
        <w:t xml:space="preserve"> </w:t>
      </w:r>
      <w:r w:rsidR="00DF0D5E">
        <w:t>(2004)</w:t>
      </w:r>
      <w:r w:rsidRPr="00D051B7">
        <w:t xml:space="preserve"> Transit-Oriented Development in the United States: Experiences, Challenges, and Prospects (pp. 61-82). Wahington, D. C.: Transportation Research Board.</w:t>
      </w:r>
    </w:p>
    <w:p w14:paraId="01408989" w14:textId="77777777" w:rsidR="007F2F83" w:rsidRPr="00D051B7" w:rsidRDefault="00DF0D5E" w:rsidP="000E7C6F">
      <w:pPr>
        <w:pStyle w:val="EndNoteBibliography"/>
        <w:ind w:left="720" w:hanging="720"/>
      </w:pPr>
      <w:r>
        <w:t>Cervero, R., and</w:t>
      </w:r>
      <w:r w:rsidR="007F2F83" w:rsidRPr="00D051B7">
        <w:t xml:space="preserve"> Sullivan, C. </w:t>
      </w:r>
      <w:r>
        <w:t>(2011)</w:t>
      </w:r>
      <w:r w:rsidR="007F2F83" w:rsidRPr="00D051B7">
        <w:t xml:space="preserve"> Green TODs: marrying transit-oriented development and green urbanism. </w:t>
      </w:r>
      <w:r w:rsidR="007F2F83" w:rsidRPr="00D051B7">
        <w:rPr>
          <w:i/>
        </w:rPr>
        <w:t xml:space="preserve">International Journal of Sustainable Development &amp; World Ecology, 18 </w:t>
      </w:r>
      <w:r w:rsidR="007F2F83" w:rsidRPr="00D051B7">
        <w:t xml:space="preserve">(3), 210-218. </w:t>
      </w:r>
    </w:p>
    <w:p w14:paraId="3AF7F6DD" w14:textId="77777777" w:rsidR="007F2F83" w:rsidRDefault="00DF0D5E" w:rsidP="000E7C6F">
      <w:pPr>
        <w:pStyle w:val="EndNoteBibliography"/>
        <w:ind w:left="720" w:hanging="720"/>
      </w:pPr>
      <w:r>
        <w:t>Chen, C., and</w:t>
      </w:r>
      <w:r w:rsidR="007F2F83" w:rsidRPr="00D051B7">
        <w:t xml:space="preserve"> McKnight, C.E. </w:t>
      </w:r>
      <w:r>
        <w:t>(2007)</w:t>
      </w:r>
      <w:r w:rsidR="007F2F83" w:rsidRPr="00D051B7">
        <w:t xml:space="preserve"> Does the built environment make a difference? Additional evidence from the daily activity and travel behavior of homemakers living in New York City and suburbs. </w:t>
      </w:r>
      <w:r w:rsidR="007F2F83" w:rsidRPr="00D051B7">
        <w:rPr>
          <w:i/>
        </w:rPr>
        <w:t xml:space="preserve">Journal of Transport Geography, 15 </w:t>
      </w:r>
      <w:r w:rsidR="007F2F83" w:rsidRPr="00D051B7">
        <w:t xml:space="preserve">(5), 380-395. </w:t>
      </w:r>
    </w:p>
    <w:p w14:paraId="2654EEF7" w14:textId="3BE119DB" w:rsidR="005828BE" w:rsidRPr="005828BE" w:rsidRDefault="005828BE" w:rsidP="00CE0702">
      <w:pPr>
        <w:widowControl w:val="0"/>
        <w:autoSpaceDE w:val="0"/>
        <w:autoSpaceDN w:val="0"/>
        <w:adjustRightInd w:val="0"/>
        <w:ind w:left="709" w:hanging="709"/>
        <w:rPr>
          <w:rFonts w:eastAsia="Arial Unicode MS" w:cs="Arial"/>
          <w:szCs w:val="20"/>
        </w:rPr>
      </w:pPr>
      <w:proofErr w:type="gramStart"/>
      <w:r w:rsidRPr="00A274EE">
        <w:rPr>
          <w:rFonts w:eastAsia="Arial Unicode MS" w:cs="Arial"/>
          <w:szCs w:val="20"/>
        </w:rPr>
        <w:t>Coffee, N. Lange, J. and Baker, E. (2016) Visualising 30 Years of Population Density Change in Australia’s Major Capital Cities.</w:t>
      </w:r>
      <w:proofErr w:type="gramEnd"/>
      <w:r w:rsidRPr="00A274EE">
        <w:rPr>
          <w:rFonts w:eastAsia="Arial Unicode MS" w:cs="Arial"/>
          <w:szCs w:val="20"/>
        </w:rPr>
        <w:t xml:space="preserve"> </w:t>
      </w:r>
      <w:proofErr w:type="gramStart"/>
      <w:r w:rsidRPr="00A274EE">
        <w:rPr>
          <w:rFonts w:eastAsia="Arial Unicode MS" w:cs="Arial"/>
          <w:i/>
          <w:szCs w:val="20"/>
        </w:rPr>
        <w:t>Australian Geographer</w:t>
      </w:r>
      <w:r w:rsidRPr="00A274EE">
        <w:rPr>
          <w:rFonts w:eastAsia="Arial Unicode MS" w:cs="Arial"/>
          <w:szCs w:val="20"/>
        </w:rPr>
        <w:t>, 47 (4), 511-525.</w:t>
      </w:r>
      <w:proofErr w:type="gramEnd"/>
      <w:r w:rsidRPr="00A274EE">
        <w:rPr>
          <w:rFonts w:eastAsia="Arial Unicode MS" w:cs="Arial"/>
          <w:szCs w:val="20"/>
        </w:rPr>
        <w:t xml:space="preserve"> </w:t>
      </w:r>
    </w:p>
    <w:p w14:paraId="4E99D47B" w14:textId="77777777" w:rsidR="007F2F83" w:rsidRPr="00D051B7" w:rsidRDefault="00DF0D5E" w:rsidP="000E7C6F">
      <w:pPr>
        <w:pStyle w:val="EndNoteBibliography"/>
        <w:ind w:left="720" w:hanging="720"/>
      </w:pPr>
      <w:r>
        <w:t>Creutzig, F., Mühlhoff, R., and</w:t>
      </w:r>
      <w:r w:rsidR="007F2F83" w:rsidRPr="00D051B7">
        <w:t xml:space="preserve"> Römer, J. </w:t>
      </w:r>
      <w:r>
        <w:t>(2012)</w:t>
      </w:r>
      <w:r w:rsidR="007F2F83" w:rsidRPr="00D051B7">
        <w:t xml:space="preserve"> Decarbonizing urban transport in European cities: four cases show possibly high co-benefits. </w:t>
      </w:r>
      <w:r w:rsidR="007F2F83" w:rsidRPr="00D051B7">
        <w:rPr>
          <w:i/>
        </w:rPr>
        <w:t xml:space="preserve">Environmental Research Letters, 7 </w:t>
      </w:r>
      <w:r w:rsidR="007F2F83" w:rsidRPr="00D051B7">
        <w:t xml:space="preserve">(4). </w:t>
      </w:r>
    </w:p>
    <w:p w14:paraId="7E794D32" w14:textId="77777777" w:rsidR="007F2F83" w:rsidRPr="00D051B7" w:rsidRDefault="00DF0D5E" w:rsidP="000E7C6F">
      <w:pPr>
        <w:pStyle w:val="EndNoteBibliography"/>
        <w:ind w:left="720" w:hanging="720"/>
      </w:pPr>
      <w:r>
        <w:t>Currie, G., and</w:t>
      </w:r>
      <w:r w:rsidR="007F2F83" w:rsidRPr="00D051B7">
        <w:t xml:space="preserve"> Stanley, J. </w:t>
      </w:r>
      <w:r>
        <w:t>(2008)</w:t>
      </w:r>
      <w:r w:rsidR="007F2F83" w:rsidRPr="00D051B7">
        <w:t xml:space="preserve"> Investigating links between social capital and public transport. </w:t>
      </w:r>
      <w:r w:rsidR="007F2F83" w:rsidRPr="00D051B7">
        <w:rPr>
          <w:i/>
        </w:rPr>
        <w:t xml:space="preserve">Transport Reviews, 28 </w:t>
      </w:r>
      <w:r w:rsidR="007F2F83" w:rsidRPr="00D051B7">
        <w:t xml:space="preserve">(4), 529-547. </w:t>
      </w:r>
    </w:p>
    <w:p w14:paraId="4704492D" w14:textId="77777777" w:rsidR="007F2F83" w:rsidRDefault="00DF0D5E" w:rsidP="000E7C6F">
      <w:pPr>
        <w:pStyle w:val="EndNoteBibliography"/>
        <w:ind w:left="720" w:hanging="720"/>
      </w:pPr>
      <w:r>
        <w:t>Curtis, C., Renne, J.L., and</w:t>
      </w:r>
      <w:r w:rsidR="007F2F83" w:rsidRPr="00D051B7">
        <w:t xml:space="preserve"> Bertolini, L. </w:t>
      </w:r>
      <w:r>
        <w:t>(2009)</w:t>
      </w:r>
      <w:r w:rsidR="007F2F83" w:rsidRPr="00D051B7">
        <w:t xml:space="preserve"> </w:t>
      </w:r>
      <w:r w:rsidR="007F2F83" w:rsidRPr="00D051B7">
        <w:rPr>
          <w:i/>
        </w:rPr>
        <w:t>Tranit Oriented Development - Making it Happen</w:t>
      </w:r>
      <w:r w:rsidR="007F2F83" w:rsidRPr="00D051B7">
        <w:t>. Surrey, UK: Ashgate Publishing Limited.</w:t>
      </w:r>
    </w:p>
    <w:p w14:paraId="1DD388E2" w14:textId="7402E992" w:rsidR="005828BE" w:rsidRPr="005828BE" w:rsidRDefault="005828BE" w:rsidP="00CE0702">
      <w:pPr>
        <w:pStyle w:val="Body"/>
        <w:spacing w:after="0" w:line="240" w:lineRule="auto"/>
        <w:ind w:left="709" w:hanging="709"/>
        <w:rPr>
          <w:rFonts w:ascii="Arial" w:hAnsi="Arial" w:cs="Arial"/>
          <w:sz w:val="20"/>
          <w:szCs w:val="20"/>
        </w:rPr>
      </w:pPr>
      <w:proofErr w:type="gramStart"/>
      <w:r w:rsidRPr="00A274EE">
        <w:rPr>
          <w:rFonts w:ascii="Arial" w:hAnsi="Arial" w:cs="Arial"/>
          <w:sz w:val="20"/>
          <w:szCs w:val="20"/>
        </w:rPr>
        <w:t xml:space="preserve">DILGP [Department of Infrastructure, Local Government and Planning] (2017) </w:t>
      </w:r>
      <w:r w:rsidRPr="00A274EE">
        <w:rPr>
          <w:rFonts w:ascii="Arial" w:hAnsi="Arial" w:cs="Arial"/>
          <w:i/>
          <w:iCs/>
          <w:sz w:val="20"/>
          <w:szCs w:val="20"/>
        </w:rPr>
        <w:t>South East Queensland Regional Plan 2017</w:t>
      </w:r>
      <w:r w:rsidRPr="00A274EE">
        <w:rPr>
          <w:rFonts w:ascii="Arial" w:hAnsi="Arial" w:cs="Arial"/>
          <w:sz w:val="20"/>
          <w:szCs w:val="20"/>
        </w:rPr>
        <w:t>.</w:t>
      </w:r>
      <w:proofErr w:type="gramEnd"/>
      <w:r w:rsidRPr="00A274EE">
        <w:rPr>
          <w:rFonts w:ascii="Arial" w:hAnsi="Arial" w:cs="Arial"/>
          <w:sz w:val="20"/>
          <w:szCs w:val="20"/>
        </w:rPr>
        <w:t xml:space="preserve"> Brisbane: Queensland Government.</w:t>
      </w:r>
    </w:p>
    <w:p w14:paraId="0A781BEB" w14:textId="77777777" w:rsidR="007F2F83" w:rsidRDefault="00DF0D5E" w:rsidP="000E7C6F">
      <w:pPr>
        <w:pStyle w:val="EndNoteBibliography"/>
        <w:ind w:left="720" w:hanging="720"/>
      </w:pPr>
      <w:r>
        <w:t>Dittmar, H., and</w:t>
      </w:r>
      <w:r w:rsidR="007F2F83" w:rsidRPr="00D051B7">
        <w:t xml:space="preserve"> Ohland, G. </w:t>
      </w:r>
      <w:r>
        <w:t>(2004)</w:t>
      </w:r>
      <w:r w:rsidR="007F2F83" w:rsidRPr="00D051B7">
        <w:t xml:space="preserve"> </w:t>
      </w:r>
      <w:r w:rsidR="007F2F83" w:rsidRPr="00D051B7">
        <w:rPr>
          <w:i/>
        </w:rPr>
        <w:t>The new transit town: Best practices in transit-oriented development</w:t>
      </w:r>
      <w:r w:rsidR="007F2F83" w:rsidRPr="00D051B7">
        <w:t>. Washington D. C.: Island Press.</w:t>
      </w:r>
    </w:p>
    <w:p w14:paraId="0028CE49" w14:textId="6623C86E" w:rsidR="007E33DE" w:rsidRPr="00D051B7" w:rsidRDefault="007E33DE" w:rsidP="007E33DE">
      <w:pPr>
        <w:pStyle w:val="EndNoteBibliography"/>
        <w:ind w:left="720" w:hanging="720"/>
      </w:pPr>
      <w:r>
        <w:t>Dittmar, H., and</w:t>
      </w:r>
      <w:r w:rsidRPr="00D051B7">
        <w:t xml:space="preserve"> Poticha, S. </w:t>
      </w:r>
      <w:r>
        <w:t>(2004)</w:t>
      </w:r>
      <w:r w:rsidRPr="00D051B7">
        <w:t xml:space="preserve"> </w:t>
      </w:r>
      <w:r w:rsidRPr="00D051B7">
        <w:rPr>
          <w:i/>
        </w:rPr>
        <w:t>The New Transit Town: Best Practices in Tranist-Oriented Development</w:t>
      </w:r>
      <w:r w:rsidRPr="00D051B7">
        <w:t>. Washington, Covelo, and London: Island Press.</w:t>
      </w:r>
    </w:p>
    <w:p w14:paraId="1FD2DF6C" w14:textId="77777777" w:rsidR="007F2F83" w:rsidRPr="00D051B7" w:rsidRDefault="007F2F83" w:rsidP="000E7C6F">
      <w:pPr>
        <w:pStyle w:val="EndNoteBibliography"/>
        <w:ind w:left="720" w:hanging="720"/>
      </w:pPr>
      <w:r w:rsidRPr="00D051B7">
        <w:t xml:space="preserve">Dodson, J. </w:t>
      </w:r>
      <w:r w:rsidR="00DF0D5E">
        <w:t>(2009)</w:t>
      </w:r>
      <w:r w:rsidRPr="00D051B7">
        <w:t xml:space="preserve"> The ‘Infrastructure Turn’ in Australian Metropolitan Spatial Planning. </w:t>
      </w:r>
      <w:r w:rsidRPr="00D051B7">
        <w:rPr>
          <w:i/>
        </w:rPr>
        <w:t xml:space="preserve">International Planning Studies, 14 </w:t>
      </w:r>
      <w:r w:rsidRPr="00D051B7">
        <w:t xml:space="preserve">(2), 109-123. </w:t>
      </w:r>
    </w:p>
    <w:p w14:paraId="77D1FA16" w14:textId="77777777" w:rsidR="007F2F83" w:rsidRPr="00D051B7" w:rsidRDefault="007F2F83" w:rsidP="000E7C6F">
      <w:pPr>
        <w:pStyle w:val="EndNoteBibliography"/>
        <w:ind w:left="720" w:hanging="720"/>
      </w:pPr>
      <w:r w:rsidRPr="00D051B7">
        <w:lastRenderedPageBreak/>
        <w:t xml:space="preserve">Duncan, M. </w:t>
      </w:r>
      <w:r w:rsidR="00DF0D5E">
        <w:t>(2010)</w:t>
      </w:r>
      <w:r w:rsidRPr="00D051B7">
        <w:t xml:space="preserve"> The impact of transit-oriented development on housing prices in San Diego, CA. </w:t>
      </w:r>
      <w:r w:rsidRPr="00D051B7">
        <w:rPr>
          <w:i/>
        </w:rPr>
        <w:t xml:space="preserve">Urban studies, 48 </w:t>
      </w:r>
      <w:r w:rsidR="00DF0D5E">
        <w:t>(1), 101-</w:t>
      </w:r>
      <w:r w:rsidRPr="00D051B7">
        <w:t xml:space="preserve">127. </w:t>
      </w:r>
    </w:p>
    <w:p w14:paraId="4D74259D" w14:textId="77777777" w:rsidR="007F2F83" w:rsidRPr="00D051B7" w:rsidRDefault="00DF0D5E" w:rsidP="000E7C6F">
      <w:pPr>
        <w:pStyle w:val="EndNoteBibliography"/>
        <w:ind w:left="720" w:hanging="720"/>
      </w:pPr>
      <w:r>
        <w:t>Dur, F., and</w:t>
      </w:r>
      <w:r w:rsidR="007F2F83" w:rsidRPr="00D051B7">
        <w:t xml:space="preserve"> Yigitcanlar, T. </w:t>
      </w:r>
      <w:r>
        <w:t>(2015)</w:t>
      </w:r>
      <w:r w:rsidR="007F2F83" w:rsidRPr="00D051B7">
        <w:t xml:space="preserve"> Assessing land-use and transport integration via a spatial composite indexing model. </w:t>
      </w:r>
      <w:r w:rsidR="007F2F83" w:rsidRPr="00D051B7">
        <w:rPr>
          <w:i/>
        </w:rPr>
        <w:t xml:space="preserve">International Journal of Environmental Science and Technology, 12 </w:t>
      </w:r>
      <w:r w:rsidR="007F2F83" w:rsidRPr="00D051B7">
        <w:t xml:space="preserve">(3), 803-816. </w:t>
      </w:r>
    </w:p>
    <w:p w14:paraId="7BD3C92E" w14:textId="77777777" w:rsidR="007F2F83" w:rsidRPr="00D051B7" w:rsidRDefault="00DF0D5E" w:rsidP="000E7C6F">
      <w:pPr>
        <w:pStyle w:val="EndNoteBibliography"/>
        <w:ind w:left="720" w:hanging="720"/>
      </w:pPr>
      <w:r>
        <w:t>Estupiñán, N., and</w:t>
      </w:r>
      <w:r w:rsidR="007F2F83" w:rsidRPr="00D051B7">
        <w:t xml:space="preserve"> Rodríguez, D.A. </w:t>
      </w:r>
      <w:r>
        <w:t>(2008)</w:t>
      </w:r>
      <w:r w:rsidR="007F2F83" w:rsidRPr="00D051B7">
        <w:t xml:space="preserve"> The relationship between urban form and station boardings for Bogota’s BRT. </w:t>
      </w:r>
      <w:r w:rsidR="007F2F83" w:rsidRPr="00D051B7">
        <w:rPr>
          <w:i/>
        </w:rPr>
        <w:t xml:space="preserve">Transportation Research Part A: Policy and Practice, 42 </w:t>
      </w:r>
      <w:r w:rsidR="007F2F83" w:rsidRPr="00D051B7">
        <w:t xml:space="preserve">(2), 296-306. </w:t>
      </w:r>
    </w:p>
    <w:p w14:paraId="06D9DF0D" w14:textId="77777777" w:rsidR="007F2F83" w:rsidRPr="00D051B7" w:rsidRDefault="007F2F83" w:rsidP="000E7C6F">
      <w:pPr>
        <w:pStyle w:val="EndNoteBibliography"/>
        <w:ind w:left="720" w:hanging="720"/>
      </w:pPr>
      <w:r w:rsidRPr="00D051B7">
        <w:t>Ewing, R.</w:t>
      </w:r>
      <w:r w:rsidR="00DF0D5E">
        <w:t>, and</w:t>
      </w:r>
      <w:r w:rsidRPr="00D051B7">
        <w:t xml:space="preserve"> Cervero, R. </w:t>
      </w:r>
      <w:r w:rsidR="00DF0D5E">
        <w:t>(2010)</w:t>
      </w:r>
      <w:r w:rsidRPr="00D051B7">
        <w:t xml:space="preserve"> Travel and the Built Environment. </w:t>
      </w:r>
      <w:r w:rsidRPr="00D051B7">
        <w:rPr>
          <w:i/>
        </w:rPr>
        <w:t xml:space="preserve">Journal of the American Planning Association, 76 </w:t>
      </w:r>
      <w:r w:rsidRPr="00D051B7">
        <w:t xml:space="preserve">(3), 265-294. </w:t>
      </w:r>
    </w:p>
    <w:p w14:paraId="3A58BD32" w14:textId="77777777" w:rsidR="007F2F83" w:rsidRPr="00D051B7" w:rsidRDefault="007F2F83" w:rsidP="000E7C6F">
      <w:pPr>
        <w:pStyle w:val="EndNoteBibliography"/>
        <w:ind w:left="720" w:hanging="720"/>
      </w:pPr>
      <w:r w:rsidRPr="00D051B7">
        <w:t xml:space="preserve">FasTracks. </w:t>
      </w:r>
      <w:r w:rsidR="00DF0D5E">
        <w:t>(2006)</w:t>
      </w:r>
      <w:r w:rsidRPr="00D051B7">
        <w:t xml:space="preserve"> Strategic Plan for Transit Oriented Development, Regional Transportation District. Denver, Colorado: FasTracks Regional Transportation District of Denver.</w:t>
      </w:r>
    </w:p>
    <w:p w14:paraId="44650FA9" w14:textId="77777777" w:rsidR="007F2F83" w:rsidRPr="00D051B7" w:rsidRDefault="00DF0D5E" w:rsidP="000E7C6F">
      <w:pPr>
        <w:pStyle w:val="EndNoteBibliography"/>
        <w:ind w:left="720" w:hanging="720"/>
      </w:pPr>
      <w:r>
        <w:t>Grube-Cavers, A., and</w:t>
      </w:r>
      <w:r w:rsidR="007F2F83" w:rsidRPr="00D051B7">
        <w:t xml:space="preserve"> Patterson, Z. </w:t>
      </w:r>
      <w:r>
        <w:t>(2014)</w:t>
      </w:r>
      <w:r w:rsidR="007F2F83" w:rsidRPr="00D051B7">
        <w:t xml:space="preserve"> Urban rapid rail transit and gentrification in Canadian urban centres: A survival analysis approach. </w:t>
      </w:r>
      <w:r w:rsidR="007F2F83" w:rsidRPr="00D051B7">
        <w:rPr>
          <w:i/>
        </w:rPr>
        <w:t xml:space="preserve">Urban studies, 52 </w:t>
      </w:r>
      <w:r w:rsidR="007F2F83" w:rsidRPr="00D051B7">
        <w:t xml:space="preserve">(1), 178-194. </w:t>
      </w:r>
    </w:p>
    <w:p w14:paraId="7416A494" w14:textId="77777777" w:rsidR="007F2F83" w:rsidRPr="00D051B7" w:rsidRDefault="007F2F83" w:rsidP="000E7C6F">
      <w:pPr>
        <w:pStyle w:val="EndNoteBibliography"/>
        <w:ind w:left="720" w:hanging="720"/>
      </w:pPr>
      <w:r w:rsidRPr="00D051B7">
        <w:t xml:space="preserve">Guerra, E. </w:t>
      </w:r>
      <w:r w:rsidR="00DF0D5E">
        <w:t>(2011)</w:t>
      </w:r>
      <w:r w:rsidRPr="00D051B7">
        <w:t xml:space="preserve"> Valuing Rail Transit, Comparing Capital and Operating Costs with Consumer Benefits. </w:t>
      </w:r>
      <w:r w:rsidRPr="00D051B7">
        <w:rPr>
          <w:i/>
        </w:rPr>
        <w:t>Transportation Research Record: Journal of the Transportation Research Board, 2219</w:t>
      </w:r>
      <w:r w:rsidRPr="00D051B7">
        <w:t xml:space="preserve">, 50-58. </w:t>
      </w:r>
    </w:p>
    <w:p w14:paraId="23B4A7F8" w14:textId="77777777" w:rsidR="007F2F83" w:rsidRPr="00D051B7" w:rsidRDefault="00DF0D5E" w:rsidP="000E7C6F">
      <w:pPr>
        <w:pStyle w:val="EndNoteBibliography"/>
        <w:ind w:left="720" w:hanging="720"/>
      </w:pPr>
      <w:r>
        <w:t>Guthrie, A., and</w:t>
      </w:r>
      <w:r w:rsidR="007F2F83" w:rsidRPr="00D051B7">
        <w:t xml:space="preserve"> Fan, Y. </w:t>
      </w:r>
      <w:r>
        <w:t>(2016)</w:t>
      </w:r>
      <w:r w:rsidR="007F2F83" w:rsidRPr="00D051B7">
        <w:t xml:space="preserve"> Developers' perspectives on transit-oriented development. </w:t>
      </w:r>
      <w:r w:rsidR="007F2F83" w:rsidRPr="00D051B7">
        <w:rPr>
          <w:i/>
        </w:rPr>
        <w:t>Transport Policy, 51</w:t>
      </w:r>
      <w:r w:rsidR="007F2F83" w:rsidRPr="00D051B7">
        <w:t xml:space="preserve">, 103-114. </w:t>
      </w:r>
    </w:p>
    <w:p w14:paraId="649CA5A4" w14:textId="77777777" w:rsidR="007F2F83" w:rsidRPr="00D051B7" w:rsidRDefault="00DF0D5E" w:rsidP="000E7C6F">
      <w:pPr>
        <w:pStyle w:val="EndNoteBibliography"/>
        <w:ind w:left="720" w:hanging="720"/>
      </w:pPr>
      <w:r>
        <w:t>Haughey, R., and</w:t>
      </w:r>
      <w:r w:rsidR="007F2F83" w:rsidRPr="00D051B7">
        <w:t xml:space="preserve"> Sherriff, R. </w:t>
      </w:r>
      <w:r>
        <w:t>(2010)</w:t>
      </w:r>
      <w:r w:rsidR="007F2F83" w:rsidRPr="00D051B7">
        <w:t xml:space="preserve"> Challenges and Policy Options for Creating and Preserving Affordable Housing near Transit and in Other LocationEfficient Areas. Darby, PA: Diane Publishing.</w:t>
      </w:r>
    </w:p>
    <w:p w14:paraId="47360F15" w14:textId="77777777" w:rsidR="007F2F83" w:rsidRPr="00D051B7" w:rsidRDefault="007F2F83" w:rsidP="000E7C6F">
      <w:pPr>
        <w:pStyle w:val="EndNoteBibliography"/>
        <w:ind w:left="720" w:hanging="720"/>
      </w:pPr>
      <w:r w:rsidRPr="00D051B7">
        <w:t>Intergovernmenta</w:t>
      </w:r>
      <w:r w:rsidR="00DF0D5E">
        <w:t>l Panel on Climate Change</w:t>
      </w:r>
      <w:r w:rsidRPr="00D051B7">
        <w:t xml:space="preserve">. </w:t>
      </w:r>
      <w:r w:rsidR="00DF0D5E">
        <w:t>(2014)</w:t>
      </w:r>
      <w:r w:rsidRPr="00D051B7">
        <w:t xml:space="preserve"> Climate Change 2014: Mitigation of Climate Change. Contribution of Working Group III to the Fifth Assessment Report of the Intergovernmental Panel on Climate Change [Edenhofer, O., R. Pichs-Madruga, Y. Sokona, E. Farahani, S. Kadner, K. Seyboth, A. Adler, I. Baum, S. Brunner, P. Eickemeier, B. Kriemann, J. Savolainen, S. Schlömer, C. von Stechow, T. Zwickel and J.C. Minx (eds.)]. Cambridge, United Kingdom and New York, NY, USA Cambridge University Press.</w:t>
      </w:r>
    </w:p>
    <w:p w14:paraId="7FED851F" w14:textId="77777777" w:rsidR="007F2F83" w:rsidRPr="00D051B7" w:rsidRDefault="00DF0D5E" w:rsidP="000E7C6F">
      <w:pPr>
        <w:pStyle w:val="EndNoteBibliography"/>
        <w:ind w:left="720" w:hanging="720"/>
      </w:pPr>
      <w:r>
        <w:t>Jarvie, J., and</w:t>
      </w:r>
      <w:r w:rsidR="007F2F83" w:rsidRPr="00D051B7">
        <w:t xml:space="preserve"> Friend, R. </w:t>
      </w:r>
      <w:r>
        <w:t>(2016)</w:t>
      </w:r>
      <w:r w:rsidR="007F2F83" w:rsidRPr="00D051B7">
        <w:t xml:space="preserve"> Urbanization, Inclusion, and Social Justice </w:t>
      </w:r>
      <w:r w:rsidR="007F2F83" w:rsidRPr="00D051B7">
        <w:rPr>
          <w:i/>
        </w:rPr>
        <w:t>State of the World: Can a City Be Sustainable?</w:t>
      </w:r>
      <w:r w:rsidR="007F2F83" w:rsidRPr="00D051B7">
        <w:t xml:space="preserve"> (pp. 343-353). Washington, DC: Island Press/Center for Resource Economics.</w:t>
      </w:r>
    </w:p>
    <w:p w14:paraId="5618F710" w14:textId="77777777" w:rsidR="007F2F83" w:rsidRPr="00D051B7" w:rsidRDefault="00DF0D5E" w:rsidP="000E7C6F">
      <w:pPr>
        <w:pStyle w:val="EndNoteBibliography"/>
        <w:ind w:left="720" w:hanging="720"/>
      </w:pPr>
      <w:r>
        <w:t>Jewkeys, M.D., and</w:t>
      </w:r>
      <w:r w:rsidR="007F2F83" w:rsidRPr="00D051B7">
        <w:t xml:space="preserve"> Delgadillo, L. </w:t>
      </w:r>
      <w:r>
        <w:t>(2013)</w:t>
      </w:r>
      <w:r w:rsidR="007F2F83" w:rsidRPr="00D051B7">
        <w:t xml:space="preserve"> Weaknesses of Housing Affordability Indices Used by Practitioners. </w:t>
      </w:r>
      <w:r w:rsidR="007F2F83" w:rsidRPr="00D051B7">
        <w:rPr>
          <w:i/>
        </w:rPr>
        <w:t xml:space="preserve">Journal of Financial Counselling and Planning, 21 </w:t>
      </w:r>
      <w:r w:rsidR="007F2F83" w:rsidRPr="00D051B7">
        <w:t xml:space="preserve">(1). </w:t>
      </w:r>
    </w:p>
    <w:p w14:paraId="16CB03F2" w14:textId="77777777" w:rsidR="007F2F83" w:rsidRPr="00D051B7" w:rsidRDefault="00DF0D5E" w:rsidP="000E7C6F">
      <w:pPr>
        <w:pStyle w:val="EndNoteBibliography"/>
        <w:ind w:left="720" w:hanging="720"/>
      </w:pPr>
      <w:r>
        <w:t>Jones, C.E., and</w:t>
      </w:r>
      <w:r w:rsidR="007F2F83" w:rsidRPr="00D051B7">
        <w:t xml:space="preserve"> Ley, D. 2016. Transit</w:t>
      </w:r>
      <w:r w:rsidR="007F2F83" w:rsidRPr="00D051B7">
        <w:rPr>
          <w:rFonts w:ascii="Cambria Math" w:hAnsi="Cambria Math" w:cs="Cambria Math"/>
        </w:rPr>
        <w:t>‐</w:t>
      </w:r>
      <w:r w:rsidR="007F2F83" w:rsidRPr="00D051B7">
        <w:t>oriented development and gentrification along Metro Vancouver's low</w:t>
      </w:r>
      <w:r w:rsidR="007F2F83" w:rsidRPr="00D051B7">
        <w:rPr>
          <w:rFonts w:ascii="Cambria Math" w:hAnsi="Cambria Math" w:cs="Cambria Math"/>
        </w:rPr>
        <w:t>‐</w:t>
      </w:r>
      <w:r w:rsidR="007F2F83" w:rsidRPr="00D051B7">
        <w:t xml:space="preserve">income SkyTrain corridor. </w:t>
      </w:r>
      <w:r w:rsidR="007F2F83" w:rsidRPr="00D051B7">
        <w:rPr>
          <w:i/>
        </w:rPr>
        <w:t xml:space="preserve">The Canadian Geographer/Le Géographe canadien, 60 </w:t>
      </w:r>
      <w:r w:rsidR="007F2F83" w:rsidRPr="00D051B7">
        <w:t xml:space="preserve">(1), 9-22. </w:t>
      </w:r>
    </w:p>
    <w:p w14:paraId="05631A4F" w14:textId="77777777" w:rsidR="007F2F83" w:rsidRPr="00D051B7" w:rsidRDefault="007F2F83" w:rsidP="000E7C6F">
      <w:pPr>
        <w:pStyle w:val="EndNoteBibliography"/>
        <w:ind w:left="720" w:hanging="720"/>
      </w:pPr>
      <w:r w:rsidRPr="00D051B7">
        <w:t xml:space="preserve">Kahn, M.E. </w:t>
      </w:r>
      <w:r w:rsidR="00DF0D5E">
        <w:t>(</w:t>
      </w:r>
      <w:r w:rsidRPr="00D051B7">
        <w:t>2007</w:t>
      </w:r>
      <w:r w:rsidR="00DF0D5E">
        <w:t>)</w:t>
      </w:r>
      <w:r w:rsidRPr="00D051B7">
        <w:t xml:space="preserve"> Gentrification Trends in New Transit</w:t>
      </w:r>
      <w:r w:rsidRPr="00D051B7">
        <w:rPr>
          <w:rFonts w:ascii="Cambria Math" w:hAnsi="Cambria Math" w:cs="Cambria Math"/>
        </w:rPr>
        <w:t>‐</w:t>
      </w:r>
      <w:r w:rsidRPr="00D051B7">
        <w:t xml:space="preserve">Oriented Communities: Evidence from 14 Cities That Expanded and Built Rail Transit Systems. </w:t>
      </w:r>
      <w:r w:rsidRPr="00D051B7">
        <w:rPr>
          <w:i/>
        </w:rPr>
        <w:t xml:space="preserve">Real Estate Economics, 35 </w:t>
      </w:r>
      <w:r w:rsidRPr="00D051B7">
        <w:t xml:space="preserve">(2), 155-182. </w:t>
      </w:r>
    </w:p>
    <w:p w14:paraId="5D630E02" w14:textId="16EC846A" w:rsidR="00DF0D5E" w:rsidRDefault="007F2F83" w:rsidP="000E7C6F">
      <w:pPr>
        <w:pStyle w:val="EndNoteBibliography"/>
        <w:ind w:left="720" w:hanging="720"/>
      </w:pPr>
      <w:r w:rsidRPr="00D051B7">
        <w:t>Kamruzzaman, M., Wood, L., Hine, J.</w:t>
      </w:r>
      <w:r w:rsidR="00DF0D5E">
        <w:t>, Currie, G., Giles-Corti, B., and</w:t>
      </w:r>
      <w:r w:rsidRPr="00D051B7">
        <w:t xml:space="preserve"> Turrell, G. </w:t>
      </w:r>
      <w:r w:rsidR="00C852E4">
        <w:t>(2014</w:t>
      </w:r>
      <w:r w:rsidR="00DF0D5E">
        <w:t>)</w:t>
      </w:r>
      <w:r w:rsidRPr="00D051B7">
        <w:t xml:space="preserve"> Patterns of social capital associated with transit oriented development. </w:t>
      </w:r>
      <w:r w:rsidRPr="00D051B7">
        <w:rPr>
          <w:i/>
        </w:rPr>
        <w:t>Journal of Transport Geography, 35</w:t>
      </w:r>
      <w:r w:rsidRPr="00D051B7">
        <w:t xml:space="preserve">, 144-155. </w:t>
      </w:r>
    </w:p>
    <w:p w14:paraId="3C1D45DB" w14:textId="77777777" w:rsidR="007F2F83" w:rsidRPr="00D051B7" w:rsidRDefault="007F2F83" w:rsidP="000E7C6F">
      <w:pPr>
        <w:pStyle w:val="EndNoteBibliography"/>
        <w:ind w:left="720" w:hanging="720"/>
      </w:pPr>
      <w:r w:rsidRPr="00D051B7">
        <w:t xml:space="preserve">Katz, P. </w:t>
      </w:r>
      <w:r w:rsidR="00DF0D5E">
        <w:t>(1994)</w:t>
      </w:r>
      <w:r w:rsidRPr="00D051B7">
        <w:t xml:space="preserve"> </w:t>
      </w:r>
      <w:r w:rsidRPr="00D051B7">
        <w:rPr>
          <w:i/>
        </w:rPr>
        <w:t>The New Urbanism: Toward an Architecture of Community</w:t>
      </w:r>
      <w:r w:rsidRPr="00D051B7">
        <w:t>. New York: McGraw-Hill Inc.</w:t>
      </w:r>
    </w:p>
    <w:p w14:paraId="0DCA722B" w14:textId="77777777" w:rsidR="007F2F83" w:rsidRPr="00D051B7" w:rsidRDefault="007F2F83" w:rsidP="000E7C6F">
      <w:pPr>
        <w:pStyle w:val="EndNoteBibliography"/>
        <w:ind w:left="720" w:hanging="720"/>
      </w:pPr>
      <w:r w:rsidRPr="00D051B7">
        <w:t xml:space="preserve">Legacy, C. </w:t>
      </w:r>
      <w:r w:rsidR="00DF0D5E">
        <w:t>(2016)</w:t>
      </w:r>
      <w:r w:rsidRPr="00D051B7">
        <w:t xml:space="preserve"> Transforming transport planning in the postpolitical era. </w:t>
      </w:r>
      <w:r w:rsidRPr="00D051B7">
        <w:rPr>
          <w:i/>
        </w:rPr>
        <w:t xml:space="preserve">Urban studies, 53 </w:t>
      </w:r>
      <w:r w:rsidRPr="00D051B7">
        <w:t xml:space="preserve">(14), 3108-3124. </w:t>
      </w:r>
    </w:p>
    <w:p w14:paraId="2A8A8B94" w14:textId="77777777" w:rsidR="007F2F83" w:rsidRPr="00D051B7" w:rsidRDefault="00DF0D5E" w:rsidP="000E7C6F">
      <w:pPr>
        <w:pStyle w:val="EndNoteBibliography"/>
        <w:ind w:left="720" w:hanging="720"/>
      </w:pPr>
      <w:r>
        <w:t>Legacy, C., Curtis, C., and</w:t>
      </w:r>
      <w:r w:rsidR="007F2F83" w:rsidRPr="00D051B7">
        <w:t xml:space="preserve"> Scheurer, J. </w:t>
      </w:r>
      <w:r>
        <w:t>(2017)</w:t>
      </w:r>
      <w:r w:rsidR="007F2F83" w:rsidRPr="00D051B7">
        <w:t xml:space="preserve"> Planning transport infrastructure: examining the politics of transport planning in Melbourne, Sydney and Perth. </w:t>
      </w:r>
      <w:r w:rsidR="007F2F83" w:rsidRPr="00D051B7">
        <w:rPr>
          <w:i/>
        </w:rPr>
        <w:t xml:space="preserve">Urban Policy and Research, 35 </w:t>
      </w:r>
      <w:r w:rsidR="007F2F83" w:rsidRPr="00D051B7">
        <w:t xml:space="preserve">(1), 44-60. doi: </w:t>
      </w:r>
    </w:p>
    <w:p w14:paraId="09FDEBA5" w14:textId="77777777" w:rsidR="007F2F83" w:rsidRDefault="007F2F83" w:rsidP="000E7C6F">
      <w:pPr>
        <w:pStyle w:val="EndNoteBibliography"/>
        <w:ind w:left="720" w:hanging="720"/>
      </w:pPr>
      <w:r w:rsidRPr="00D051B7">
        <w:t xml:space="preserve">Loukaitou-Sideris, A. </w:t>
      </w:r>
      <w:r w:rsidR="00DF0D5E">
        <w:t>(2010)</w:t>
      </w:r>
      <w:r w:rsidRPr="00D051B7">
        <w:t xml:space="preserve"> A New-found Popularity for Transit-oriented Developments? Lessons from Southern California. </w:t>
      </w:r>
      <w:r w:rsidRPr="00D051B7">
        <w:rPr>
          <w:i/>
        </w:rPr>
        <w:t xml:space="preserve">Journal of Urban Design, 15 </w:t>
      </w:r>
      <w:r w:rsidRPr="00D051B7">
        <w:t xml:space="preserve">(1), 49-68. </w:t>
      </w:r>
    </w:p>
    <w:p w14:paraId="37420C99" w14:textId="60F6110D" w:rsidR="005828BE" w:rsidRPr="005828BE" w:rsidRDefault="005828BE" w:rsidP="00CE0702">
      <w:pPr>
        <w:pStyle w:val="Body"/>
        <w:spacing w:after="0" w:line="240" w:lineRule="auto"/>
        <w:ind w:left="709" w:hanging="709"/>
        <w:rPr>
          <w:rFonts w:ascii="Arial" w:hAnsi="Arial" w:cs="Arial"/>
          <w:sz w:val="20"/>
          <w:szCs w:val="20"/>
        </w:rPr>
      </w:pPr>
      <w:proofErr w:type="spellStart"/>
      <w:r w:rsidRPr="00A274EE">
        <w:rPr>
          <w:rFonts w:ascii="Arial" w:hAnsi="Arial" w:cs="Arial"/>
          <w:sz w:val="20"/>
          <w:szCs w:val="20"/>
        </w:rPr>
        <w:t>Mees</w:t>
      </w:r>
      <w:proofErr w:type="spellEnd"/>
      <w:r w:rsidRPr="00A274EE">
        <w:rPr>
          <w:rFonts w:ascii="Arial" w:hAnsi="Arial" w:cs="Arial"/>
          <w:sz w:val="20"/>
          <w:szCs w:val="20"/>
        </w:rPr>
        <w:t xml:space="preserve">, P. (2009) How Dense Are We? </w:t>
      </w:r>
      <w:proofErr w:type="gramStart"/>
      <w:r w:rsidRPr="00A274EE">
        <w:rPr>
          <w:rFonts w:ascii="Arial" w:hAnsi="Arial" w:cs="Arial"/>
          <w:sz w:val="20"/>
          <w:szCs w:val="20"/>
        </w:rPr>
        <w:t>Another Look at Urban Density and Transport Patterns in Australia, Canada and the USA.</w:t>
      </w:r>
      <w:proofErr w:type="gramEnd"/>
      <w:r w:rsidRPr="00A274EE">
        <w:rPr>
          <w:rFonts w:ascii="Arial" w:hAnsi="Arial" w:cs="Arial"/>
          <w:sz w:val="20"/>
          <w:szCs w:val="20"/>
        </w:rPr>
        <w:t xml:space="preserve"> </w:t>
      </w:r>
      <w:r w:rsidRPr="00A274EE">
        <w:rPr>
          <w:rFonts w:ascii="Arial" w:hAnsi="Arial" w:cs="Arial"/>
          <w:i/>
          <w:sz w:val="20"/>
          <w:szCs w:val="20"/>
        </w:rPr>
        <w:t xml:space="preserve">Road &amp; Transport Research: A Journal of Australian and New Zealand Research and Practice, 18 </w:t>
      </w:r>
      <w:r w:rsidRPr="00A274EE">
        <w:rPr>
          <w:rFonts w:ascii="Arial" w:hAnsi="Arial" w:cs="Arial"/>
          <w:sz w:val="20"/>
          <w:szCs w:val="20"/>
        </w:rPr>
        <w:t xml:space="preserve">(4), 58-67. </w:t>
      </w:r>
    </w:p>
    <w:p w14:paraId="12CD0A6E" w14:textId="77777777" w:rsidR="007F2F83" w:rsidRDefault="00F00C68" w:rsidP="000E7C6F">
      <w:pPr>
        <w:pStyle w:val="EndNoteBibliography"/>
        <w:ind w:left="720" w:hanging="720"/>
      </w:pPr>
      <w:r>
        <w:t>Muley, D., Bunker, J., and</w:t>
      </w:r>
      <w:r w:rsidR="007F2F83" w:rsidRPr="00D051B7">
        <w:t xml:space="preserve"> Ferreira, L. </w:t>
      </w:r>
      <w:r>
        <w:t>(2010)</w:t>
      </w:r>
      <w:r w:rsidR="007F2F83" w:rsidRPr="00D051B7">
        <w:t xml:space="preserve"> User Characteristics of Transit Oriented Developments: The Case of Kelvin Grove Urban Village. In T. Yigitcanlar (Ed.), </w:t>
      </w:r>
      <w:r w:rsidR="007F2F83" w:rsidRPr="00D051B7">
        <w:rPr>
          <w:i/>
        </w:rPr>
        <w:t>Rethinking Sustainable Development: Urban Management, Engineering, and Design</w:t>
      </w:r>
      <w:r w:rsidR="007F2F83" w:rsidRPr="00D051B7">
        <w:t xml:space="preserve"> (pp. 119-133). Hershey, PA: IGI Global.</w:t>
      </w:r>
    </w:p>
    <w:p w14:paraId="27A6CB50" w14:textId="5D3DD70E" w:rsidR="007E33DE" w:rsidRPr="00D051B7" w:rsidRDefault="007E33DE" w:rsidP="007E33DE">
      <w:pPr>
        <w:pStyle w:val="EndNoteBibliography"/>
        <w:ind w:left="720" w:hanging="720"/>
      </w:pPr>
      <w:r>
        <w:t>Nasri, A., and</w:t>
      </w:r>
      <w:r w:rsidRPr="00D051B7">
        <w:t xml:space="preserve"> Zhang, L. </w:t>
      </w:r>
      <w:r>
        <w:t>(2014)</w:t>
      </w:r>
      <w:r w:rsidRPr="00D051B7">
        <w:t xml:space="preserve"> The analysis of transit-oriented development (TOD) in Washington, D.C. and Baltimore metropolitan areas. </w:t>
      </w:r>
      <w:r w:rsidRPr="00D051B7">
        <w:rPr>
          <w:i/>
        </w:rPr>
        <w:t>Transport Policy, 32</w:t>
      </w:r>
      <w:r w:rsidRPr="00D051B7">
        <w:t xml:space="preserve">, 172-179. </w:t>
      </w:r>
    </w:p>
    <w:p w14:paraId="2D35818A" w14:textId="77777777" w:rsidR="007F2F83" w:rsidRPr="00D051B7" w:rsidRDefault="007F2F83" w:rsidP="000E7C6F">
      <w:pPr>
        <w:pStyle w:val="EndNoteBibliography"/>
        <w:ind w:left="720" w:hanging="720"/>
      </w:pPr>
      <w:r w:rsidRPr="00D051B7">
        <w:t xml:space="preserve">Newman, P.W. </w:t>
      </w:r>
      <w:r w:rsidR="00F00C68">
        <w:t>(2015)</w:t>
      </w:r>
      <w:r w:rsidRPr="00D051B7">
        <w:t xml:space="preserve"> Transport infrastructure and sustainability: a new planning and assessment framework. </w:t>
      </w:r>
      <w:r w:rsidRPr="00D051B7">
        <w:rPr>
          <w:i/>
        </w:rPr>
        <w:t xml:space="preserve">Smart and Sustainable Built Environment, 4 </w:t>
      </w:r>
      <w:r w:rsidRPr="00D051B7">
        <w:t xml:space="preserve">(2), 140-153. </w:t>
      </w:r>
    </w:p>
    <w:p w14:paraId="2DE31F0E" w14:textId="77777777" w:rsidR="007F2F83" w:rsidRPr="00D051B7" w:rsidRDefault="00F00C68" w:rsidP="000E7C6F">
      <w:pPr>
        <w:pStyle w:val="EndNoteBibliography"/>
        <w:ind w:left="720" w:hanging="720"/>
      </w:pPr>
      <w:r>
        <w:t>Newman, P.W., and</w:t>
      </w:r>
      <w:r w:rsidR="007F2F83" w:rsidRPr="00D051B7">
        <w:t xml:space="preserve"> Kenworthy, J.R. </w:t>
      </w:r>
      <w:r>
        <w:t>(2015)</w:t>
      </w:r>
      <w:r w:rsidR="007F2F83" w:rsidRPr="00D051B7">
        <w:t xml:space="preserve"> </w:t>
      </w:r>
      <w:r w:rsidR="007F2F83" w:rsidRPr="00D051B7">
        <w:rPr>
          <w:i/>
        </w:rPr>
        <w:t>The End of Automobile Dependence: How Cities Are Avoiding Car-based Planning</w:t>
      </w:r>
      <w:r w:rsidR="007F2F83" w:rsidRPr="00D051B7">
        <w:t>. Washington, D.C.: Island Press.</w:t>
      </w:r>
    </w:p>
    <w:p w14:paraId="7D2B1EFE" w14:textId="77777777" w:rsidR="007F2F83" w:rsidRDefault="007F2F83" w:rsidP="000E7C6F">
      <w:pPr>
        <w:pStyle w:val="EndNoteBibliography"/>
        <w:ind w:left="720" w:hanging="720"/>
      </w:pPr>
      <w:r w:rsidRPr="00D051B7">
        <w:lastRenderedPageBreak/>
        <w:t xml:space="preserve">Norton, R.K. </w:t>
      </w:r>
      <w:r w:rsidR="00F00C68">
        <w:t>(2008)</w:t>
      </w:r>
      <w:r w:rsidRPr="00D051B7">
        <w:t xml:space="preserve"> Using content analysis to evaluate local master plans and zoning codes. </w:t>
      </w:r>
      <w:r w:rsidRPr="00D051B7">
        <w:rPr>
          <w:i/>
        </w:rPr>
        <w:t xml:space="preserve">Land Use Policy, 25 </w:t>
      </w:r>
      <w:r w:rsidRPr="00D051B7">
        <w:t xml:space="preserve">(3), 432-454. </w:t>
      </w:r>
    </w:p>
    <w:p w14:paraId="19B87919" w14:textId="0EB48246" w:rsidR="00CE0702" w:rsidRPr="00CE0702" w:rsidRDefault="00CE0702" w:rsidP="00CE0702">
      <w:pPr>
        <w:ind w:left="567" w:hanging="567"/>
        <w:rPr>
          <w:rFonts w:cs="Arial"/>
          <w:iCs/>
          <w:szCs w:val="20"/>
          <w:lang w:val="en-US"/>
        </w:rPr>
      </w:pPr>
      <w:r>
        <w:rPr>
          <w:rFonts w:cs="Arial"/>
          <w:szCs w:val="20"/>
        </w:rPr>
        <w:t xml:space="preserve">NSW Planning and Environment (2014) </w:t>
      </w:r>
      <w:r w:rsidRPr="00B83407">
        <w:rPr>
          <w:rFonts w:cs="Arial"/>
          <w:i/>
          <w:iCs/>
          <w:szCs w:val="20"/>
          <w:lang w:val="en-US"/>
        </w:rPr>
        <w:t>A Plan for Growing Sydney</w:t>
      </w:r>
      <w:r>
        <w:rPr>
          <w:rFonts w:cs="Arial"/>
          <w:iCs/>
          <w:szCs w:val="20"/>
          <w:lang w:val="en-US"/>
        </w:rPr>
        <w:t xml:space="preserve">. Sydney: NSW Government. </w:t>
      </w:r>
    </w:p>
    <w:p w14:paraId="7A50FE57" w14:textId="77777777" w:rsidR="007F2F83" w:rsidRPr="00D051B7" w:rsidRDefault="007F2F83" w:rsidP="000E7C6F">
      <w:pPr>
        <w:pStyle w:val="EndNoteBibliography"/>
        <w:ind w:left="720" w:hanging="720"/>
      </w:pPr>
      <w:r w:rsidRPr="00D051B7">
        <w:t>Olaru, D., Smith,</w:t>
      </w:r>
      <w:r w:rsidR="00F00C68">
        <w:t xml:space="preserve"> B., and</w:t>
      </w:r>
      <w:r w:rsidRPr="00D051B7">
        <w:t xml:space="preserve"> Taplin, J.H.E. </w:t>
      </w:r>
      <w:r w:rsidR="00F00C68">
        <w:t>(2011)</w:t>
      </w:r>
      <w:r w:rsidRPr="00D051B7">
        <w:t xml:space="preserve"> Residential location and transit-oriented development in a new rail corridor. </w:t>
      </w:r>
      <w:r w:rsidRPr="00D051B7">
        <w:rPr>
          <w:i/>
        </w:rPr>
        <w:t xml:space="preserve">Transportation Research Part A: Policy and Practice, 45 </w:t>
      </w:r>
      <w:r w:rsidRPr="00D051B7">
        <w:t xml:space="preserve">(3), 219-237. </w:t>
      </w:r>
    </w:p>
    <w:p w14:paraId="103A4A6B" w14:textId="77777777" w:rsidR="007F2F83" w:rsidRPr="00D051B7" w:rsidRDefault="007F2F83" w:rsidP="000E7C6F">
      <w:pPr>
        <w:pStyle w:val="EndNoteBibliography"/>
        <w:ind w:left="720" w:hanging="720"/>
      </w:pPr>
      <w:r w:rsidRPr="00D051B7">
        <w:t xml:space="preserve">Payne, M. </w:t>
      </w:r>
      <w:r w:rsidR="00F00C68">
        <w:t>(2017)</w:t>
      </w:r>
      <w:r w:rsidRPr="00D051B7">
        <w:t xml:space="preserve"> Make housing affordable and cut road congestion all at once? Here’s a way.  Retrieved 06 April 2017, from The Conversation https://theconversation.com/make-housing-affordable-and-cut-road-congestion-all-at-once-heres-a-way-71071</w:t>
      </w:r>
    </w:p>
    <w:p w14:paraId="332F2125" w14:textId="77777777" w:rsidR="007F2F83" w:rsidRPr="00D051B7" w:rsidRDefault="007F2F83" w:rsidP="000E7C6F">
      <w:pPr>
        <w:pStyle w:val="EndNoteBibliography"/>
        <w:ind w:left="720" w:hanging="720"/>
      </w:pPr>
      <w:r w:rsidRPr="00D051B7">
        <w:t xml:space="preserve">Rayle, L. </w:t>
      </w:r>
      <w:r w:rsidR="00F00C68">
        <w:t>(2015)</w:t>
      </w:r>
      <w:r w:rsidRPr="00D051B7">
        <w:t xml:space="preserve"> Investigating the connection between transit-oriented development and displacement: Four hypotheses. </w:t>
      </w:r>
      <w:r w:rsidRPr="00D051B7">
        <w:rPr>
          <w:i/>
        </w:rPr>
        <w:t xml:space="preserve">Housing Policy Debate, 25 </w:t>
      </w:r>
      <w:r w:rsidRPr="00D051B7">
        <w:t xml:space="preserve">(3), 531-548. </w:t>
      </w:r>
    </w:p>
    <w:p w14:paraId="2D83E1C0" w14:textId="77777777" w:rsidR="007F2F83" w:rsidRPr="00D051B7" w:rsidRDefault="00F00C68" w:rsidP="000E7C6F">
      <w:pPr>
        <w:pStyle w:val="EndNoteBibliography"/>
        <w:ind w:left="720" w:hanging="720"/>
      </w:pPr>
      <w:r>
        <w:t>Renne, J.L., and</w:t>
      </w:r>
      <w:r w:rsidR="007F2F83" w:rsidRPr="00D051B7">
        <w:t xml:space="preserve"> Wells, J.S. </w:t>
      </w:r>
      <w:r>
        <w:t>(2004)</w:t>
      </w:r>
      <w:r w:rsidR="007F2F83" w:rsidRPr="00D051B7">
        <w:t xml:space="preserve"> Emerging European-Style Planning in the United States: Transit-Oriented Development. </w:t>
      </w:r>
      <w:r w:rsidR="007F2F83" w:rsidRPr="00D051B7">
        <w:rPr>
          <w:i/>
        </w:rPr>
        <w:t xml:space="preserve">World Transport Policy and Practice, 10 </w:t>
      </w:r>
      <w:r w:rsidR="007F2F83" w:rsidRPr="00D051B7">
        <w:t xml:space="preserve">(2), 12-24. </w:t>
      </w:r>
    </w:p>
    <w:p w14:paraId="37783B3F" w14:textId="77777777" w:rsidR="007F2F83" w:rsidRPr="00D051B7" w:rsidRDefault="007F2F83" w:rsidP="000E7C6F">
      <w:pPr>
        <w:pStyle w:val="EndNoteBibliography"/>
        <w:ind w:left="720" w:hanging="720"/>
      </w:pPr>
      <w:r w:rsidRPr="00D051B7">
        <w:t>Schwanen, T., Lucas, K., Akyelken, N., Cisternas</w:t>
      </w:r>
      <w:r w:rsidR="00F00C68">
        <w:t xml:space="preserve"> Solsona, D., Carrasco, J.-A., and</w:t>
      </w:r>
      <w:r w:rsidRPr="00D051B7">
        <w:t xml:space="preserve"> Neutens, T. </w:t>
      </w:r>
      <w:r w:rsidR="00F00C68">
        <w:t>(2015)</w:t>
      </w:r>
      <w:r w:rsidRPr="00D051B7">
        <w:t xml:space="preserve"> Rethinking the links between social exclusion and transport disadvantage through the lens of social capital. </w:t>
      </w:r>
      <w:r w:rsidRPr="00D051B7">
        <w:rPr>
          <w:i/>
        </w:rPr>
        <w:t>Transportation Research Part A: Policy and Practice, 74</w:t>
      </w:r>
      <w:r w:rsidRPr="00D051B7">
        <w:t xml:space="preserve">, 123-135. </w:t>
      </w:r>
    </w:p>
    <w:p w14:paraId="16F3A917" w14:textId="77777777" w:rsidR="007F2F83" w:rsidRPr="00D051B7" w:rsidRDefault="00F00C68" w:rsidP="000E7C6F">
      <w:pPr>
        <w:pStyle w:val="EndNoteBibliography"/>
        <w:ind w:left="720" w:hanging="720"/>
      </w:pPr>
      <w:r>
        <w:t>Schwanen, T., and</w:t>
      </w:r>
      <w:r w:rsidR="007F2F83" w:rsidRPr="00D051B7">
        <w:t xml:space="preserve"> Mokhtarian, P.L. </w:t>
      </w:r>
      <w:r>
        <w:t>(2007)</w:t>
      </w:r>
      <w:r w:rsidR="007F2F83" w:rsidRPr="00D051B7">
        <w:t xml:space="preserve"> Attitudes toward travel and land use and choice of residential neighborhood type: Evidence from the San Francisco bay area. </w:t>
      </w:r>
      <w:r w:rsidR="007F2F83" w:rsidRPr="00D051B7">
        <w:rPr>
          <w:i/>
        </w:rPr>
        <w:t xml:space="preserve">Housing Policy Debate, 18 </w:t>
      </w:r>
      <w:r w:rsidR="007F2F83" w:rsidRPr="00D051B7">
        <w:t xml:space="preserve">(1), 171-207. </w:t>
      </w:r>
    </w:p>
    <w:p w14:paraId="1CAA9852" w14:textId="77777777" w:rsidR="007F2F83" w:rsidRPr="00D051B7" w:rsidRDefault="00F00C68" w:rsidP="000E7C6F">
      <w:pPr>
        <w:pStyle w:val="EndNoteBibliography"/>
        <w:ind w:left="720" w:hanging="720"/>
      </w:pPr>
      <w:r>
        <w:t>Searle, G., Darchen, S., and</w:t>
      </w:r>
      <w:r w:rsidR="007F2F83" w:rsidRPr="00D051B7">
        <w:t xml:space="preserve"> Huston, S. </w:t>
      </w:r>
      <w:r>
        <w:t>(2014)</w:t>
      </w:r>
      <w:r w:rsidR="007F2F83" w:rsidRPr="00D051B7">
        <w:t xml:space="preserve"> Positive and Negative Factors for Transit Oriented Development: Case Studies from Brisbane, Melbourne and Sydney. </w:t>
      </w:r>
      <w:r w:rsidR="007F2F83" w:rsidRPr="00D051B7">
        <w:rPr>
          <w:i/>
        </w:rPr>
        <w:t xml:space="preserve">Urban Policy and Research, 32 </w:t>
      </w:r>
      <w:r w:rsidR="007F2F83" w:rsidRPr="00D051B7">
        <w:t xml:space="preserve">(4), 437-457. </w:t>
      </w:r>
    </w:p>
    <w:p w14:paraId="57A247C5" w14:textId="77777777" w:rsidR="007F2F83" w:rsidRPr="00D051B7" w:rsidRDefault="007F2F83" w:rsidP="000E7C6F">
      <w:pPr>
        <w:pStyle w:val="EndNoteBibliography"/>
        <w:ind w:left="720" w:hanging="720"/>
      </w:pPr>
      <w:r w:rsidRPr="00D051B7">
        <w:t xml:space="preserve">Singh, Y.J., Lukman, </w:t>
      </w:r>
      <w:r w:rsidR="00F00C68">
        <w:t>A., Flacke, J., Zuidgeest, M., and</w:t>
      </w:r>
      <w:r w:rsidRPr="00D051B7">
        <w:t xml:space="preserve"> Van Maarseveen, M.F.A.M. </w:t>
      </w:r>
      <w:r w:rsidR="00F00C68">
        <w:t>(2017)</w:t>
      </w:r>
      <w:r w:rsidRPr="00D051B7">
        <w:t xml:space="preserve"> Measuring TOD around transit nodes - Towards TOD policy. </w:t>
      </w:r>
      <w:r w:rsidRPr="00D051B7">
        <w:rPr>
          <w:i/>
        </w:rPr>
        <w:t>Transport Policy, 56</w:t>
      </w:r>
      <w:r w:rsidRPr="00D051B7">
        <w:t xml:space="preserve">, 96-111. </w:t>
      </w:r>
    </w:p>
    <w:p w14:paraId="07A8436F" w14:textId="77777777" w:rsidR="007F2F83" w:rsidRPr="00D051B7" w:rsidRDefault="007F2F83" w:rsidP="000E7C6F">
      <w:pPr>
        <w:pStyle w:val="EndNoteBibliography"/>
        <w:ind w:left="720" w:hanging="720"/>
      </w:pPr>
      <w:r w:rsidRPr="00D051B7">
        <w:t>Stanley, J.K.,</w:t>
      </w:r>
      <w:r w:rsidR="00F00C68">
        <w:t xml:space="preserve"> Hensher, D.A., Stanley, J.R., and</w:t>
      </w:r>
      <w:r w:rsidRPr="00D051B7">
        <w:t xml:space="preserve"> Vella-Brodrick, D. </w:t>
      </w:r>
      <w:r w:rsidR="00F00C68">
        <w:t>(</w:t>
      </w:r>
      <w:r w:rsidRPr="00D051B7">
        <w:t>2</w:t>
      </w:r>
      <w:r w:rsidR="00F00C68">
        <w:t>011)</w:t>
      </w:r>
      <w:r w:rsidRPr="00D051B7">
        <w:t xml:space="preserve"> Mobility, social exclusion and well-being: Exploring the links. </w:t>
      </w:r>
      <w:r w:rsidRPr="00D051B7">
        <w:rPr>
          <w:i/>
        </w:rPr>
        <w:t xml:space="preserve">Transportation Research Part A: Policy and Practice, 45 </w:t>
      </w:r>
      <w:r w:rsidRPr="00D051B7">
        <w:t xml:space="preserve">(8), 789-801. </w:t>
      </w:r>
    </w:p>
    <w:p w14:paraId="5D2FBE42" w14:textId="77777777" w:rsidR="007F2F83" w:rsidRDefault="007F2F83" w:rsidP="000E7C6F">
      <w:pPr>
        <w:pStyle w:val="EndNoteBibliography"/>
        <w:ind w:left="720" w:hanging="720"/>
      </w:pPr>
      <w:r w:rsidRPr="00D051B7">
        <w:t>Tang, Z., B</w:t>
      </w:r>
      <w:r w:rsidR="00F00C68">
        <w:t>rody, S.D., Li, R., Quinn, C., and</w:t>
      </w:r>
      <w:r w:rsidRPr="00D051B7">
        <w:t xml:space="preserve"> Zhao, N. </w:t>
      </w:r>
      <w:r w:rsidR="00F00C68">
        <w:t>(2011)</w:t>
      </w:r>
      <w:r w:rsidRPr="00D051B7">
        <w:t xml:space="preserve"> Examining locally driven climate change policy efforts in three Pacific states. </w:t>
      </w:r>
      <w:r w:rsidRPr="00D051B7">
        <w:rPr>
          <w:i/>
        </w:rPr>
        <w:t xml:space="preserve">Ocean &amp; Coastal Management, 54 </w:t>
      </w:r>
      <w:r w:rsidRPr="00D051B7">
        <w:t xml:space="preserve">(5), 415-426. </w:t>
      </w:r>
    </w:p>
    <w:p w14:paraId="10727211" w14:textId="27F2AA25" w:rsidR="00CE0702" w:rsidRPr="00CE0702" w:rsidRDefault="00CE0702" w:rsidP="00CE0702">
      <w:pPr>
        <w:ind w:left="709" w:hanging="709"/>
        <w:rPr>
          <w:rFonts w:cs="Arial"/>
          <w:szCs w:val="20"/>
        </w:rPr>
      </w:pPr>
      <w:proofErr w:type="gramStart"/>
      <w:r w:rsidRPr="00CE0702">
        <w:rPr>
          <w:rStyle w:val="A2"/>
          <w:rFonts w:cs="Arial"/>
          <w:sz w:val="20"/>
          <w:szCs w:val="20"/>
        </w:rPr>
        <w:t xml:space="preserve">The State of Victoria Department of Environment, Land, Water and Planning </w:t>
      </w:r>
      <w:r w:rsidRPr="00CE0702">
        <w:rPr>
          <w:rFonts w:cs="Arial"/>
          <w:szCs w:val="20"/>
        </w:rPr>
        <w:t xml:space="preserve">(2016) </w:t>
      </w:r>
      <w:r w:rsidRPr="00CE0702">
        <w:rPr>
          <w:rFonts w:cs="Arial"/>
          <w:i/>
          <w:szCs w:val="20"/>
        </w:rPr>
        <w:t>Victoria in Future 2016</w:t>
      </w:r>
      <w:r w:rsidRPr="00CE0702">
        <w:rPr>
          <w:rFonts w:cs="Arial"/>
          <w:szCs w:val="20"/>
        </w:rPr>
        <w:t>.</w:t>
      </w:r>
      <w:proofErr w:type="gramEnd"/>
      <w:r w:rsidRPr="00CE0702">
        <w:rPr>
          <w:rFonts w:cs="Arial"/>
          <w:szCs w:val="20"/>
        </w:rPr>
        <w:t xml:space="preserve"> Melbourne: </w:t>
      </w:r>
      <w:r w:rsidRPr="00CE0702">
        <w:rPr>
          <w:rStyle w:val="A2"/>
          <w:rFonts w:cs="Arial"/>
          <w:sz w:val="20"/>
          <w:szCs w:val="20"/>
        </w:rPr>
        <w:t>The State of Victoria Department of Environment, Land, Water and Planning</w:t>
      </w:r>
      <w:r w:rsidRPr="00CE0702">
        <w:rPr>
          <w:rFonts w:cs="Arial"/>
          <w:szCs w:val="20"/>
        </w:rPr>
        <w:t>.</w:t>
      </w:r>
    </w:p>
    <w:p w14:paraId="3090858D" w14:textId="237618D2" w:rsidR="00CE0702" w:rsidRPr="00CE0702" w:rsidRDefault="00CE0702" w:rsidP="00CE0702">
      <w:pPr>
        <w:ind w:left="709" w:hanging="709"/>
        <w:rPr>
          <w:rFonts w:cs="Arial"/>
          <w:szCs w:val="20"/>
        </w:rPr>
      </w:pPr>
      <w:r w:rsidRPr="00CE0702">
        <w:rPr>
          <w:rStyle w:val="A2"/>
          <w:rFonts w:cs="Arial"/>
          <w:sz w:val="20"/>
          <w:szCs w:val="20"/>
        </w:rPr>
        <w:t xml:space="preserve">The State of Victoria Department of Environment, Land, Water and Planning (2017) </w:t>
      </w:r>
      <w:r w:rsidRPr="00A949B8">
        <w:rPr>
          <w:rStyle w:val="A2"/>
          <w:rFonts w:cs="Arial"/>
          <w:i/>
          <w:sz w:val="20"/>
          <w:szCs w:val="20"/>
        </w:rPr>
        <w:t xml:space="preserve">Plan Melbourne 2017-2050: </w:t>
      </w:r>
      <w:proofErr w:type="gramStart"/>
      <w:r w:rsidRPr="00A949B8">
        <w:rPr>
          <w:rStyle w:val="A2"/>
          <w:rFonts w:cs="Arial"/>
          <w:i/>
          <w:sz w:val="20"/>
          <w:szCs w:val="20"/>
        </w:rPr>
        <w:t>Five Year</w:t>
      </w:r>
      <w:proofErr w:type="gramEnd"/>
      <w:r w:rsidRPr="00A949B8">
        <w:rPr>
          <w:rStyle w:val="A2"/>
          <w:rFonts w:cs="Arial"/>
          <w:i/>
          <w:sz w:val="20"/>
          <w:szCs w:val="20"/>
        </w:rPr>
        <w:t xml:space="preserve"> Implementation Plan. </w:t>
      </w:r>
      <w:r w:rsidRPr="00CE0702">
        <w:rPr>
          <w:rFonts w:cs="Arial"/>
          <w:szCs w:val="20"/>
        </w:rPr>
        <w:t xml:space="preserve">Melbourne: </w:t>
      </w:r>
      <w:r w:rsidRPr="00A949B8">
        <w:rPr>
          <w:rStyle w:val="A2"/>
          <w:rFonts w:cs="Arial"/>
          <w:sz w:val="20"/>
          <w:szCs w:val="20"/>
        </w:rPr>
        <w:t>The State of Victoria Department of Environment, Land, Water and Planning</w:t>
      </w:r>
      <w:r w:rsidRPr="00CE0702">
        <w:rPr>
          <w:rFonts w:cs="Arial"/>
          <w:szCs w:val="20"/>
        </w:rPr>
        <w:t>.</w:t>
      </w:r>
    </w:p>
    <w:p w14:paraId="7087C2D9" w14:textId="77777777" w:rsidR="007F2F83" w:rsidRPr="00D051B7" w:rsidRDefault="00F00C68" w:rsidP="000E7C6F">
      <w:pPr>
        <w:pStyle w:val="EndNoteBibliography"/>
        <w:ind w:left="720" w:hanging="720"/>
      </w:pPr>
      <w:r>
        <w:t>van Lierop, D., Maat, K., and</w:t>
      </w:r>
      <w:r w:rsidR="007F2F83" w:rsidRPr="00D051B7">
        <w:t xml:space="preserve"> El-Geneidy, A. </w:t>
      </w:r>
      <w:r>
        <w:t>(2017)</w:t>
      </w:r>
      <w:r w:rsidR="007F2F83" w:rsidRPr="00D051B7">
        <w:t xml:space="preserve"> Talking TOD: Learning about Transit-Oriented Development in the United States, Canada, and the Netherlands. </w:t>
      </w:r>
      <w:r w:rsidR="007F2F83" w:rsidRPr="00D051B7">
        <w:rPr>
          <w:i/>
        </w:rPr>
        <w:t xml:space="preserve">Journal of Urbanism, 10 </w:t>
      </w:r>
      <w:r w:rsidR="007F2F83" w:rsidRPr="00D051B7">
        <w:t xml:space="preserve">(1), 49-62. </w:t>
      </w:r>
    </w:p>
    <w:p w14:paraId="234AE21D" w14:textId="77777777" w:rsidR="007F2F83" w:rsidRPr="00D051B7" w:rsidRDefault="007F2F83" w:rsidP="000E7C6F">
      <w:pPr>
        <w:pStyle w:val="EndNoteBibliography"/>
        <w:ind w:left="720" w:hanging="720"/>
      </w:pPr>
      <w:r w:rsidRPr="00D051B7">
        <w:t>Vande Walle, S., Steenberghen</w:t>
      </w:r>
      <w:r w:rsidR="00F00C68">
        <w:t>, T., Paulley, N., Pedler, A., and</w:t>
      </w:r>
      <w:r w:rsidRPr="00D051B7">
        <w:t xml:space="preserve"> Martens, M. </w:t>
      </w:r>
      <w:r w:rsidR="00F00C68">
        <w:t>(2004)</w:t>
      </w:r>
      <w:r w:rsidRPr="00D051B7">
        <w:t xml:space="preserve"> The role of indicators in the assessment of integrated land</w:t>
      </w:r>
      <w:r w:rsidRPr="00D051B7">
        <w:rPr>
          <w:rFonts w:ascii="Cambria Math" w:hAnsi="Cambria Math" w:cs="Cambria Math"/>
        </w:rPr>
        <w:t>‐</w:t>
      </w:r>
      <w:r w:rsidRPr="00D051B7">
        <w:t xml:space="preserve">use and transport policies in European cities. </w:t>
      </w:r>
      <w:r w:rsidRPr="00D051B7">
        <w:rPr>
          <w:i/>
        </w:rPr>
        <w:t xml:space="preserve">International Planning Studies, 9 </w:t>
      </w:r>
      <w:r w:rsidRPr="00D051B7">
        <w:t xml:space="preserve">(2-3), 173-196. </w:t>
      </w:r>
    </w:p>
    <w:p w14:paraId="188EA605" w14:textId="77777777" w:rsidR="007F2F83" w:rsidRPr="00D051B7" w:rsidRDefault="00F00C68" w:rsidP="000E7C6F">
      <w:pPr>
        <w:pStyle w:val="EndNoteBibliography"/>
        <w:ind w:left="720" w:hanging="720"/>
      </w:pPr>
      <w:r>
        <w:t>Yan, S., Delmelle, E., and</w:t>
      </w:r>
      <w:r w:rsidR="007F2F83" w:rsidRPr="00D051B7">
        <w:t xml:space="preserve"> Duncan, M. </w:t>
      </w:r>
      <w:r>
        <w:t>(2012)</w:t>
      </w:r>
      <w:r w:rsidR="007F2F83" w:rsidRPr="00D051B7">
        <w:t xml:space="preserve"> The impact of a new light rail system on single-family property values in Charlotte, North Carolina. </w:t>
      </w:r>
      <w:r w:rsidR="007F2F83" w:rsidRPr="00D051B7">
        <w:rPr>
          <w:i/>
        </w:rPr>
        <w:t xml:space="preserve">The Journal of Transport and Land Use, 5 </w:t>
      </w:r>
      <w:r w:rsidR="007F2F83" w:rsidRPr="00D051B7">
        <w:t xml:space="preserve">(2), 60-67. </w:t>
      </w:r>
    </w:p>
    <w:p w14:paraId="3383BA66" w14:textId="77777777" w:rsidR="007F2F83" w:rsidRPr="00D051B7" w:rsidRDefault="007F2F83" w:rsidP="000E7C6F">
      <w:pPr>
        <w:pStyle w:val="EndNoteBibliography"/>
        <w:ind w:left="720" w:hanging="720"/>
      </w:pPr>
      <w:r w:rsidRPr="00D051B7">
        <w:t xml:space="preserve">Yang, Y. </w:t>
      </w:r>
      <w:r w:rsidR="00E516EB">
        <w:t>(2008)</w:t>
      </w:r>
      <w:r w:rsidRPr="00D051B7">
        <w:t xml:space="preserve"> A Tale of Two Cities: Physical Form and Neighborhood Satisfaction in Metropolitan Portland and Charlotte. </w:t>
      </w:r>
      <w:r w:rsidRPr="00D051B7">
        <w:rPr>
          <w:i/>
        </w:rPr>
        <w:t xml:space="preserve">Journal of the American Planning Association, 74 </w:t>
      </w:r>
      <w:r w:rsidRPr="00D051B7">
        <w:t xml:space="preserve">(3), 307-323. </w:t>
      </w:r>
    </w:p>
    <w:p w14:paraId="5F92B7D0" w14:textId="77777777" w:rsidR="007F2F83" w:rsidRPr="00D051B7" w:rsidRDefault="00E516EB" w:rsidP="000E7C6F">
      <w:pPr>
        <w:pStyle w:val="EndNoteBibliography"/>
        <w:ind w:left="720" w:hanging="720"/>
      </w:pPr>
      <w:r>
        <w:t>Yigitcanlar, T., and</w:t>
      </w:r>
      <w:r w:rsidR="007F2F83" w:rsidRPr="00D051B7">
        <w:t xml:space="preserve"> Kamruzzaman, M. </w:t>
      </w:r>
      <w:r>
        <w:t>(2014)</w:t>
      </w:r>
      <w:r w:rsidR="007F2F83" w:rsidRPr="00D051B7">
        <w:t xml:space="preserve"> Investigating the interplay between transport, land use and the environment: a review of the literature. </w:t>
      </w:r>
      <w:r w:rsidR="007F2F83" w:rsidRPr="00D051B7">
        <w:rPr>
          <w:i/>
        </w:rPr>
        <w:t xml:space="preserve">International Journal of Environmental Science and Technology, 11 </w:t>
      </w:r>
      <w:r w:rsidR="007F2F83" w:rsidRPr="00D051B7">
        <w:t xml:space="preserve">(8), 2121-2132. </w:t>
      </w:r>
    </w:p>
    <w:p w14:paraId="1AA2A1D2" w14:textId="77777777" w:rsidR="007F2F83" w:rsidRPr="00D051B7" w:rsidRDefault="00E516EB" w:rsidP="000E7C6F">
      <w:pPr>
        <w:pStyle w:val="EndNoteBibliography"/>
        <w:ind w:left="720" w:hanging="720"/>
      </w:pPr>
      <w:r>
        <w:t>Yigitcanlar, T., Rashid, K., and</w:t>
      </w:r>
      <w:r w:rsidR="007F2F83" w:rsidRPr="00D051B7">
        <w:t xml:space="preserve"> Dur, F. </w:t>
      </w:r>
      <w:r>
        <w:t>(2010)</w:t>
      </w:r>
      <w:r w:rsidR="007F2F83" w:rsidRPr="00D051B7">
        <w:t xml:space="preserve"> Sustainable Urban and Transport Development for Transportation Disadvantaged: A Review. </w:t>
      </w:r>
      <w:r w:rsidR="007F2F83" w:rsidRPr="00D051B7">
        <w:rPr>
          <w:i/>
        </w:rPr>
        <w:t>The Open Transportation Journal, 4</w:t>
      </w:r>
      <w:r w:rsidR="007F2F83" w:rsidRPr="00D051B7">
        <w:t xml:space="preserve">, 1-8. </w:t>
      </w:r>
    </w:p>
    <w:p w14:paraId="6C26C768" w14:textId="77777777" w:rsidR="007F2F83" w:rsidRPr="00D051B7" w:rsidRDefault="007F2F83" w:rsidP="000E7C6F">
      <w:pPr>
        <w:pStyle w:val="EndNoteBibliography"/>
        <w:ind w:left="720" w:hanging="720"/>
      </w:pPr>
      <w:r w:rsidRPr="00D051B7">
        <w:t xml:space="preserve">Young, O.R. </w:t>
      </w:r>
      <w:r w:rsidR="00E516EB">
        <w:t>(2002)</w:t>
      </w:r>
      <w:r w:rsidRPr="00D051B7">
        <w:t xml:space="preserve"> </w:t>
      </w:r>
      <w:r w:rsidRPr="00D051B7">
        <w:rPr>
          <w:i/>
        </w:rPr>
        <w:t>The institutional dimensions of environmental change: fit, interplay, and scale</w:t>
      </w:r>
      <w:r w:rsidRPr="00D051B7">
        <w:t>. Cambridge, Massachusetts, London, England: MIT press.</w:t>
      </w:r>
    </w:p>
    <w:p w14:paraId="26BCE3FC" w14:textId="77777777" w:rsidR="007F2F83" w:rsidRPr="00D051B7" w:rsidRDefault="007F2F83" w:rsidP="000E7C6F">
      <w:pPr>
        <w:pStyle w:val="EndNoteBibliography"/>
        <w:ind w:left="720" w:hanging="720"/>
      </w:pPr>
      <w:r w:rsidRPr="00D051B7">
        <w:t xml:space="preserve">Zhang, M. </w:t>
      </w:r>
      <w:r w:rsidR="00E516EB">
        <w:t>(2010)</w:t>
      </w:r>
      <w:r w:rsidRPr="00D051B7">
        <w:t xml:space="preserve"> Can transit-oriented development reduce peak-hour congestion? </w:t>
      </w:r>
      <w:r w:rsidRPr="00D051B7">
        <w:rPr>
          <w:i/>
        </w:rPr>
        <w:t>Transportation Research Record: Journal of the Transportation Research Board,, 2174</w:t>
      </w:r>
      <w:r w:rsidRPr="00D051B7">
        <w:t xml:space="preserve">, 148-155. </w:t>
      </w:r>
    </w:p>
    <w:p w14:paraId="3542AA3B" w14:textId="77777777" w:rsidR="007F2F83" w:rsidRPr="00056B89" w:rsidRDefault="007F2F83" w:rsidP="000E7C6F">
      <w:pPr>
        <w:rPr>
          <w:sz w:val="16"/>
        </w:rPr>
      </w:pPr>
    </w:p>
    <w:p w14:paraId="59897286" w14:textId="77777777" w:rsidR="00B81B8F" w:rsidRDefault="00B81B8F" w:rsidP="000E7C6F">
      <w:bookmarkStart w:id="0" w:name="_GoBack"/>
      <w:bookmarkEnd w:id="0"/>
    </w:p>
    <w:sectPr w:rsidR="00B81B8F" w:rsidSect="00EA3612">
      <w:headerReference w:type="default" r:id="rId8"/>
      <w:footerReference w:type="default" r:id="rId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77BE" w14:textId="77777777" w:rsidR="00664C18" w:rsidRDefault="00664C18">
      <w:r>
        <w:separator/>
      </w:r>
    </w:p>
  </w:endnote>
  <w:endnote w:type="continuationSeparator" w:id="0">
    <w:p w14:paraId="072C7AFF" w14:textId="77777777" w:rsidR="00664C18" w:rsidRDefault="0066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IC">
    <w:altName w:val="VIC"/>
    <w:panose1 w:val="00000000000000000000"/>
    <w:charset w:val="00"/>
    <w:family w:val="swiss"/>
    <w:notTrueType/>
    <w:pitch w:val="default"/>
    <w:sig w:usb0="00000003" w:usb1="00000000" w:usb2="00000000" w:usb3="00000000" w:csb0="00000001" w:csb1="00000000"/>
  </w:font>
  <w:font w:name="AdvTT5843c571">
    <w:altName w:val="Cambri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17752"/>
      <w:docPartObj>
        <w:docPartGallery w:val="Page Numbers (Bottom of Page)"/>
        <w:docPartUnique/>
      </w:docPartObj>
    </w:sdtPr>
    <w:sdtEndPr>
      <w:rPr>
        <w:noProof/>
      </w:rPr>
    </w:sdtEndPr>
    <w:sdtContent>
      <w:p w14:paraId="73904494" w14:textId="560DC7BC" w:rsidR="00664C18" w:rsidRDefault="00664C18" w:rsidP="001311A5">
        <w:pPr>
          <w:pStyle w:val="Footer"/>
          <w:jc w:val="center"/>
        </w:pPr>
        <w:r>
          <w:fldChar w:fldCharType="begin"/>
        </w:r>
        <w:r>
          <w:instrText xml:space="preserve"> PAGE   \* MERGEFORMAT </w:instrText>
        </w:r>
        <w:r>
          <w:fldChar w:fldCharType="separate"/>
        </w:r>
        <w:r w:rsidR="00092837">
          <w:rPr>
            <w:noProof/>
          </w:rPr>
          <w:t>11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B5766" w14:textId="77777777" w:rsidR="00664C18" w:rsidRDefault="00664C18">
      <w:r>
        <w:separator/>
      </w:r>
    </w:p>
  </w:footnote>
  <w:footnote w:type="continuationSeparator" w:id="0">
    <w:p w14:paraId="21A209F1" w14:textId="77777777" w:rsidR="00664C18" w:rsidRDefault="00664C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F9B75" w14:textId="77777777" w:rsidR="00AC547B" w:rsidRPr="00AC547B" w:rsidRDefault="00AC547B" w:rsidP="00AC547B">
    <w:pPr>
      <w:pStyle w:val="Header"/>
      <w:rPr>
        <w:rFonts w:cs="Arial"/>
      </w:rPr>
    </w:pPr>
    <w:r w:rsidRPr="00AC547B">
      <w:rPr>
        <w:rFonts w:cs="Arial"/>
      </w:rPr>
      <w:t>SOAC 2017</w:t>
    </w:r>
  </w:p>
  <w:p w14:paraId="08A7A746" w14:textId="77777777" w:rsidR="00AC547B" w:rsidRDefault="00AC54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02771"/>
    <w:multiLevelType w:val="hybridMultilevel"/>
    <w:tmpl w:val="2ACC3E9A"/>
    <w:lvl w:ilvl="0" w:tplc="03846230">
      <w:start w:val="14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91A08E5"/>
    <w:multiLevelType w:val="hybridMultilevel"/>
    <w:tmpl w:val="690C8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F2F83"/>
    <w:rsid w:val="00023600"/>
    <w:rsid w:val="00067975"/>
    <w:rsid w:val="000716BE"/>
    <w:rsid w:val="00081844"/>
    <w:rsid w:val="00091E27"/>
    <w:rsid w:val="00092837"/>
    <w:rsid w:val="000E7C6F"/>
    <w:rsid w:val="00116936"/>
    <w:rsid w:val="00123A7B"/>
    <w:rsid w:val="001311A5"/>
    <w:rsid w:val="00143C76"/>
    <w:rsid w:val="00161F65"/>
    <w:rsid w:val="001812DF"/>
    <w:rsid w:val="001B394F"/>
    <w:rsid w:val="001D43E9"/>
    <w:rsid w:val="001E7EA6"/>
    <w:rsid w:val="00206D62"/>
    <w:rsid w:val="0022798C"/>
    <w:rsid w:val="002B0D6D"/>
    <w:rsid w:val="002B30CF"/>
    <w:rsid w:val="002C6815"/>
    <w:rsid w:val="002E69CA"/>
    <w:rsid w:val="003040FD"/>
    <w:rsid w:val="003340BE"/>
    <w:rsid w:val="00351CFF"/>
    <w:rsid w:val="003561EB"/>
    <w:rsid w:val="003D1C28"/>
    <w:rsid w:val="004041E2"/>
    <w:rsid w:val="004211B5"/>
    <w:rsid w:val="0045169C"/>
    <w:rsid w:val="00475481"/>
    <w:rsid w:val="004913D7"/>
    <w:rsid w:val="004F50D4"/>
    <w:rsid w:val="0051707A"/>
    <w:rsid w:val="00531F4E"/>
    <w:rsid w:val="00535DA3"/>
    <w:rsid w:val="00564FE3"/>
    <w:rsid w:val="0058266A"/>
    <w:rsid w:val="005828BE"/>
    <w:rsid w:val="0059007E"/>
    <w:rsid w:val="00591CDD"/>
    <w:rsid w:val="005C1967"/>
    <w:rsid w:val="005C3E9C"/>
    <w:rsid w:val="005F2CB6"/>
    <w:rsid w:val="00631429"/>
    <w:rsid w:val="00632B58"/>
    <w:rsid w:val="00664C18"/>
    <w:rsid w:val="006948CA"/>
    <w:rsid w:val="006C5447"/>
    <w:rsid w:val="00726A92"/>
    <w:rsid w:val="007455E5"/>
    <w:rsid w:val="00771526"/>
    <w:rsid w:val="00794FAB"/>
    <w:rsid w:val="00796DDA"/>
    <w:rsid w:val="007B3702"/>
    <w:rsid w:val="007D25C2"/>
    <w:rsid w:val="007E33DE"/>
    <w:rsid w:val="007F2522"/>
    <w:rsid w:val="007F2F83"/>
    <w:rsid w:val="0081419C"/>
    <w:rsid w:val="0082446C"/>
    <w:rsid w:val="0083134C"/>
    <w:rsid w:val="008413EC"/>
    <w:rsid w:val="0086206F"/>
    <w:rsid w:val="00874283"/>
    <w:rsid w:val="008860FD"/>
    <w:rsid w:val="008C09D0"/>
    <w:rsid w:val="008E3C49"/>
    <w:rsid w:val="008F309C"/>
    <w:rsid w:val="00944C07"/>
    <w:rsid w:val="00982BF6"/>
    <w:rsid w:val="009A049D"/>
    <w:rsid w:val="009C65F7"/>
    <w:rsid w:val="009F3B01"/>
    <w:rsid w:val="009F51F9"/>
    <w:rsid w:val="00A306AE"/>
    <w:rsid w:val="00A949B8"/>
    <w:rsid w:val="00AC5229"/>
    <w:rsid w:val="00AC547B"/>
    <w:rsid w:val="00AE0941"/>
    <w:rsid w:val="00B144E1"/>
    <w:rsid w:val="00B43756"/>
    <w:rsid w:val="00B81B8F"/>
    <w:rsid w:val="00BD1859"/>
    <w:rsid w:val="00C16523"/>
    <w:rsid w:val="00C502DA"/>
    <w:rsid w:val="00C567D0"/>
    <w:rsid w:val="00C72F6B"/>
    <w:rsid w:val="00C852E4"/>
    <w:rsid w:val="00CC2143"/>
    <w:rsid w:val="00CD5BCA"/>
    <w:rsid w:val="00CE0702"/>
    <w:rsid w:val="00D318AD"/>
    <w:rsid w:val="00D33AF4"/>
    <w:rsid w:val="00D50F0F"/>
    <w:rsid w:val="00D66C67"/>
    <w:rsid w:val="00D76A2F"/>
    <w:rsid w:val="00D91B69"/>
    <w:rsid w:val="00DA5091"/>
    <w:rsid w:val="00DB6613"/>
    <w:rsid w:val="00DD068B"/>
    <w:rsid w:val="00DF0D5E"/>
    <w:rsid w:val="00DF43B4"/>
    <w:rsid w:val="00E03726"/>
    <w:rsid w:val="00E516EB"/>
    <w:rsid w:val="00EA3612"/>
    <w:rsid w:val="00EB3B87"/>
    <w:rsid w:val="00EF76BE"/>
    <w:rsid w:val="00F00C68"/>
    <w:rsid w:val="00F141AC"/>
    <w:rsid w:val="00F44162"/>
    <w:rsid w:val="00F80EB9"/>
    <w:rsid w:val="00F84C23"/>
    <w:rsid w:val="00FB6A04"/>
    <w:rsid w:val="00FB6B55"/>
    <w:rsid w:val="00FE3E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5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83"/>
    <w:pPr>
      <w:spacing w:after="0" w:line="240" w:lineRule="auto"/>
    </w:pPr>
    <w:rPr>
      <w:rFonts w:ascii="Arial" w:eastAsia="Times New Roman" w:hAnsi="Arial" w:cs="Times New Roman"/>
      <w:sz w:val="2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83"/>
    <w:pPr>
      <w:tabs>
        <w:tab w:val="center" w:pos="4513"/>
        <w:tab w:val="right" w:pos="9026"/>
      </w:tabs>
    </w:pPr>
  </w:style>
  <w:style w:type="character" w:customStyle="1" w:styleId="HeaderChar">
    <w:name w:val="Header Char"/>
    <w:basedOn w:val="DefaultParagraphFont"/>
    <w:link w:val="Header"/>
    <w:uiPriority w:val="99"/>
    <w:rsid w:val="007F2F83"/>
    <w:rPr>
      <w:rFonts w:ascii="Arial" w:eastAsia="Times New Roman" w:hAnsi="Arial" w:cs="Times New Roman"/>
      <w:sz w:val="20"/>
      <w:szCs w:val="24"/>
      <w:lang w:val="en-GB" w:eastAsia="en-US"/>
    </w:rPr>
  </w:style>
  <w:style w:type="paragraph" w:styleId="Footer">
    <w:name w:val="footer"/>
    <w:basedOn w:val="Normal"/>
    <w:link w:val="FooterChar"/>
    <w:uiPriority w:val="99"/>
    <w:unhideWhenUsed/>
    <w:rsid w:val="007F2F83"/>
    <w:pPr>
      <w:tabs>
        <w:tab w:val="center" w:pos="4513"/>
        <w:tab w:val="right" w:pos="9026"/>
      </w:tabs>
    </w:pPr>
  </w:style>
  <w:style w:type="character" w:customStyle="1" w:styleId="FooterChar">
    <w:name w:val="Footer Char"/>
    <w:basedOn w:val="DefaultParagraphFont"/>
    <w:link w:val="Footer"/>
    <w:uiPriority w:val="99"/>
    <w:rsid w:val="007F2F83"/>
    <w:rPr>
      <w:rFonts w:ascii="Arial" w:eastAsia="Times New Roman" w:hAnsi="Arial" w:cs="Times New Roman"/>
      <w:sz w:val="20"/>
      <w:szCs w:val="24"/>
      <w:lang w:val="en-GB" w:eastAsia="en-US"/>
    </w:rPr>
  </w:style>
  <w:style w:type="paragraph" w:customStyle="1" w:styleId="Paragraph">
    <w:name w:val="Paragraph"/>
    <w:basedOn w:val="Normal"/>
    <w:next w:val="Normal"/>
    <w:link w:val="ParagraphChar"/>
    <w:qFormat/>
    <w:rsid w:val="007F2F83"/>
    <w:pPr>
      <w:widowControl w:val="0"/>
      <w:spacing w:before="240" w:line="360" w:lineRule="auto"/>
    </w:pPr>
    <w:rPr>
      <w:rFonts w:ascii="Times New Roman" w:hAnsi="Times New Roman"/>
      <w:sz w:val="22"/>
      <w:lang w:eastAsia="en-GB"/>
    </w:rPr>
  </w:style>
  <w:style w:type="character" w:customStyle="1" w:styleId="ParagraphChar">
    <w:name w:val="Paragraph Char"/>
    <w:basedOn w:val="DefaultParagraphFont"/>
    <w:link w:val="Paragraph"/>
    <w:rsid w:val="007F2F83"/>
    <w:rPr>
      <w:rFonts w:ascii="Times New Roman" w:eastAsia="Times New Roman" w:hAnsi="Times New Roman" w:cs="Times New Roman"/>
      <w:szCs w:val="24"/>
      <w:lang w:val="en-GB" w:eastAsia="en-GB"/>
    </w:rPr>
  </w:style>
  <w:style w:type="paragraph" w:customStyle="1" w:styleId="Newparagraph">
    <w:name w:val="New paragraph"/>
    <w:basedOn w:val="Normal"/>
    <w:link w:val="NewparagraphChar"/>
    <w:qFormat/>
    <w:rsid w:val="007F2F83"/>
    <w:pPr>
      <w:spacing w:before="120" w:after="120" w:line="360" w:lineRule="auto"/>
      <w:ind w:firstLine="720"/>
    </w:pPr>
    <w:rPr>
      <w:rFonts w:ascii="Times New Roman" w:hAnsi="Times New Roman"/>
      <w:sz w:val="24"/>
      <w:lang w:eastAsia="en-GB"/>
    </w:rPr>
  </w:style>
  <w:style w:type="character" w:customStyle="1" w:styleId="NewparagraphChar">
    <w:name w:val="New paragraph Char"/>
    <w:basedOn w:val="DefaultParagraphFont"/>
    <w:link w:val="Newparagraph"/>
    <w:rsid w:val="007F2F83"/>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Normal"/>
    <w:link w:val="EndNoteBibliographyTitleChar"/>
    <w:rsid w:val="007F2F83"/>
    <w:pPr>
      <w:jc w:val="center"/>
    </w:pPr>
    <w:rPr>
      <w:rFonts w:cs="Arial"/>
      <w:noProof/>
      <w:lang w:val="en-US"/>
    </w:rPr>
  </w:style>
  <w:style w:type="character" w:customStyle="1" w:styleId="EndNoteBibliographyTitleChar">
    <w:name w:val="EndNote Bibliography Title Char"/>
    <w:basedOn w:val="ParagraphChar"/>
    <w:link w:val="EndNoteBibliographyTitle"/>
    <w:rsid w:val="007F2F83"/>
    <w:rPr>
      <w:rFonts w:ascii="Arial" w:eastAsia="Times New Roman" w:hAnsi="Arial" w:cs="Arial"/>
      <w:noProof/>
      <w:sz w:val="20"/>
      <w:szCs w:val="24"/>
      <w:lang w:val="en-US" w:eastAsia="en-US"/>
    </w:rPr>
  </w:style>
  <w:style w:type="paragraph" w:customStyle="1" w:styleId="EndNoteBibliography">
    <w:name w:val="EndNote Bibliography"/>
    <w:basedOn w:val="Normal"/>
    <w:link w:val="EndNoteBibliographyChar"/>
    <w:rsid w:val="007F2F83"/>
    <w:rPr>
      <w:rFonts w:cs="Arial"/>
      <w:noProof/>
      <w:lang w:val="en-US"/>
    </w:rPr>
  </w:style>
  <w:style w:type="character" w:customStyle="1" w:styleId="EndNoteBibliographyChar">
    <w:name w:val="EndNote Bibliography Char"/>
    <w:basedOn w:val="ParagraphChar"/>
    <w:link w:val="EndNoteBibliography"/>
    <w:rsid w:val="007F2F83"/>
    <w:rPr>
      <w:rFonts w:ascii="Arial" w:eastAsia="Times New Roman" w:hAnsi="Arial" w:cs="Arial"/>
      <w:noProof/>
      <w:sz w:val="20"/>
      <w:szCs w:val="24"/>
      <w:lang w:val="en-US" w:eastAsia="en-US"/>
    </w:rPr>
  </w:style>
  <w:style w:type="paragraph" w:styleId="ListParagraph">
    <w:name w:val="List Paragraph"/>
    <w:basedOn w:val="Normal"/>
    <w:uiPriority w:val="34"/>
    <w:qFormat/>
    <w:rsid w:val="007F2F83"/>
    <w:pPr>
      <w:ind w:left="720"/>
      <w:contextualSpacing/>
    </w:pPr>
  </w:style>
  <w:style w:type="character" w:styleId="Hyperlink">
    <w:name w:val="Hyperlink"/>
    <w:basedOn w:val="DefaultParagraphFont"/>
    <w:uiPriority w:val="99"/>
    <w:unhideWhenUsed/>
    <w:rsid w:val="007F2F83"/>
    <w:rPr>
      <w:color w:val="0563C1" w:themeColor="hyperlink"/>
      <w:u w:val="single"/>
    </w:rPr>
  </w:style>
  <w:style w:type="paragraph" w:styleId="FootnoteText">
    <w:name w:val="footnote text"/>
    <w:basedOn w:val="Normal"/>
    <w:link w:val="FootnoteTextChar"/>
    <w:uiPriority w:val="99"/>
    <w:semiHidden/>
    <w:unhideWhenUsed/>
    <w:rsid w:val="007F2F83"/>
    <w:rPr>
      <w:rFonts w:asciiTheme="minorHAnsi" w:eastAsiaTheme="minorHAnsi" w:hAnsiTheme="minorHAnsi" w:cstheme="minorBidi"/>
      <w:szCs w:val="20"/>
      <w:lang w:val="en-AU"/>
    </w:rPr>
  </w:style>
  <w:style w:type="character" w:customStyle="1" w:styleId="FootnoteTextChar">
    <w:name w:val="Footnote Text Char"/>
    <w:basedOn w:val="DefaultParagraphFont"/>
    <w:link w:val="FootnoteText"/>
    <w:uiPriority w:val="99"/>
    <w:semiHidden/>
    <w:rsid w:val="007F2F83"/>
    <w:rPr>
      <w:sz w:val="20"/>
      <w:szCs w:val="20"/>
      <w:lang w:eastAsia="en-US"/>
    </w:rPr>
  </w:style>
  <w:style w:type="table" w:styleId="TableGrid">
    <w:name w:val="Table Grid"/>
    <w:basedOn w:val="TableNormal"/>
    <w:uiPriority w:val="39"/>
    <w:rsid w:val="007F2F8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C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C18"/>
    <w:rPr>
      <w:rFonts w:ascii="Lucida Grande" w:eastAsia="Times New Roman" w:hAnsi="Lucida Grande" w:cs="Lucida Grande"/>
      <w:sz w:val="18"/>
      <w:szCs w:val="18"/>
      <w:lang w:val="en-GB" w:eastAsia="en-US"/>
    </w:rPr>
  </w:style>
  <w:style w:type="paragraph" w:customStyle="1" w:styleId="Body">
    <w:name w:val="Body"/>
    <w:link w:val="BodyChar"/>
    <w:rsid w:val="005828B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US"/>
    </w:rPr>
  </w:style>
  <w:style w:type="character" w:customStyle="1" w:styleId="BodyChar">
    <w:name w:val="Body Char"/>
    <w:basedOn w:val="DefaultParagraphFont"/>
    <w:link w:val="Body"/>
    <w:rsid w:val="005828BE"/>
    <w:rPr>
      <w:rFonts w:ascii="Calibri" w:eastAsia="Calibri" w:hAnsi="Calibri" w:cs="Calibri"/>
      <w:color w:val="000000"/>
      <w:u w:color="000000"/>
      <w:bdr w:val="nil"/>
      <w:lang w:eastAsia="en-US"/>
    </w:rPr>
  </w:style>
  <w:style w:type="character" w:customStyle="1" w:styleId="A2">
    <w:name w:val="A2"/>
    <w:uiPriority w:val="99"/>
    <w:rsid w:val="005828BE"/>
    <w:rPr>
      <w:rFonts w:cs="VIC"/>
      <w:color w:val="000000"/>
      <w:sz w:val="14"/>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83"/>
    <w:pPr>
      <w:spacing w:after="0" w:line="240" w:lineRule="auto"/>
    </w:pPr>
    <w:rPr>
      <w:rFonts w:ascii="Arial" w:eastAsia="Times New Roman" w:hAnsi="Arial" w:cs="Times New Roman"/>
      <w:sz w:val="2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83"/>
    <w:pPr>
      <w:tabs>
        <w:tab w:val="center" w:pos="4513"/>
        <w:tab w:val="right" w:pos="9026"/>
      </w:tabs>
    </w:pPr>
  </w:style>
  <w:style w:type="character" w:customStyle="1" w:styleId="HeaderChar">
    <w:name w:val="Header Char"/>
    <w:basedOn w:val="DefaultParagraphFont"/>
    <w:link w:val="Header"/>
    <w:uiPriority w:val="99"/>
    <w:rsid w:val="007F2F83"/>
    <w:rPr>
      <w:rFonts w:ascii="Arial" w:eastAsia="Times New Roman" w:hAnsi="Arial" w:cs="Times New Roman"/>
      <w:sz w:val="20"/>
      <w:szCs w:val="24"/>
      <w:lang w:val="en-GB" w:eastAsia="en-US"/>
    </w:rPr>
  </w:style>
  <w:style w:type="paragraph" w:styleId="Footer">
    <w:name w:val="footer"/>
    <w:basedOn w:val="Normal"/>
    <w:link w:val="FooterChar"/>
    <w:uiPriority w:val="99"/>
    <w:unhideWhenUsed/>
    <w:rsid w:val="007F2F83"/>
    <w:pPr>
      <w:tabs>
        <w:tab w:val="center" w:pos="4513"/>
        <w:tab w:val="right" w:pos="9026"/>
      </w:tabs>
    </w:pPr>
  </w:style>
  <w:style w:type="character" w:customStyle="1" w:styleId="FooterChar">
    <w:name w:val="Footer Char"/>
    <w:basedOn w:val="DefaultParagraphFont"/>
    <w:link w:val="Footer"/>
    <w:uiPriority w:val="99"/>
    <w:rsid w:val="007F2F83"/>
    <w:rPr>
      <w:rFonts w:ascii="Arial" w:eastAsia="Times New Roman" w:hAnsi="Arial" w:cs="Times New Roman"/>
      <w:sz w:val="20"/>
      <w:szCs w:val="24"/>
      <w:lang w:val="en-GB" w:eastAsia="en-US"/>
    </w:rPr>
  </w:style>
  <w:style w:type="paragraph" w:customStyle="1" w:styleId="Paragraph">
    <w:name w:val="Paragraph"/>
    <w:basedOn w:val="Normal"/>
    <w:next w:val="Normal"/>
    <w:link w:val="ParagraphChar"/>
    <w:qFormat/>
    <w:rsid w:val="007F2F83"/>
    <w:pPr>
      <w:widowControl w:val="0"/>
      <w:spacing w:before="240" w:line="360" w:lineRule="auto"/>
    </w:pPr>
    <w:rPr>
      <w:rFonts w:ascii="Times New Roman" w:hAnsi="Times New Roman"/>
      <w:sz w:val="22"/>
      <w:lang w:eastAsia="en-GB"/>
    </w:rPr>
  </w:style>
  <w:style w:type="character" w:customStyle="1" w:styleId="ParagraphChar">
    <w:name w:val="Paragraph Char"/>
    <w:basedOn w:val="DefaultParagraphFont"/>
    <w:link w:val="Paragraph"/>
    <w:rsid w:val="007F2F83"/>
    <w:rPr>
      <w:rFonts w:ascii="Times New Roman" w:eastAsia="Times New Roman" w:hAnsi="Times New Roman" w:cs="Times New Roman"/>
      <w:szCs w:val="24"/>
      <w:lang w:val="en-GB" w:eastAsia="en-GB"/>
    </w:rPr>
  </w:style>
  <w:style w:type="paragraph" w:customStyle="1" w:styleId="Newparagraph">
    <w:name w:val="New paragraph"/>
    <w:basedOn w:val="Normal"/>
    <w:link w:val="NewparagraphChar"/>
    <w:qFormat/>
    <w:rsid w:val="007F2F83"/>
    <w:pPr>
      <w:spacing w:before="120" w:after="120" w:line="360" w:lineRule="auto"/>
      <w:ind w:firstLine="720"/>
    </w:pPr>
    <w:rPr>
      <w:rFonts w:ascii="Times New Roman" w:hAnsi="Times New Roman"/>
      <w:sz w:val="24"/>
      <w:lang w:eastAsia="en-GB"/>
    </w:rPr>
  </w:style>
  <w:style w:type="character" w:customStyle="1" w:styleId="NewparagraphChar">
    <w:name w:val="New paragraph Char"/>
    <w:basedOn w:val="DefaultParagraphFont"/>
    <w:link w:val="Newparagraph"/>
    <w:rsid w:val="007F2F83"/>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Normal"/>
    <w:link w:val="EndNoteBibliographyTitleChar"/>
    <w:rsid w:val="007F2F83"/>
    <w:pPr>
      <w:jc w:val="center"/>
    </w:pPr>
    <w:rPr>
      <w:rFonts w:cs="Arial"/>
      <w:noProof/>
      <w:lang w:val="en-US"/>
    </w:rPr>
  </w:style>
  <w:style w:type="character" w:customStyle="1" w:styleId="EndNoteBibliographyTitleChar">
    <w:name w:val="EndNote Bibliography Title Char"/>
    <w:basedOn w:val="ParagraphChar"/>
    <w:link w:val="EndNoteBibliographyTitle"/>
    <w:rsid w:val="007F2F83"/>
    <w:rPr>
      <w:rFonts w:ascii="Arial" w:eastAsia="Times New Roman" w:hAnsi="Arial" w:cs="Arial"/>
      <w:noProof/>
      <w:sz w:val="20"/>
      <w:szCs w:val="24"/>
      <w:lang w:val="en-US" w:eastAsia="en-US"/>
    </w:rPr>
  </w:style>
  <w:style w:type="paragraph" w:customStyle="1" w:styleId="EndNoteBibliography">
    <w:name w:val="EndNote Bibliography"/>
    <w:basedOn w:val="Normal"/>
    <w:link w:val="EndNoteBibliographyChar"/>
    <w:rsid w:val="007F2F83"/>
    <w:rPr>
      <w:rFonts w:cs="Arial"/>
      <w:noProof/>
      <w:lang w:val="en-US"/>
    </w:rPr>
  </w:style>
  <w:style w:type="character" w:customStyle="1" w:styleId="EndNoteBibliographyChar">
    <w:name w:val="EndNote Bibliography Char"/>
    <w:basedOn w:val="ParagraphChar"/>
    <w:link w:val="EndNoteBibliography"/>
    <w:rsid w:val="007F2F83"/>
    <w:rPr>
      <w:rFonts w:ascii="Arial" w:eastAsia="Times New Roman" w:hAnsi="Arial" w:cs="Arial"/>
      <w:noProof/>
      <w:sz w:val="20"/>
      <w:szCs w:val="24"/>
      <w:lang w:val="en-US" w:eastAsia="en-US"/>
    </w:rPr>
  </w:style>
  <w:style w:type="paragraph" w:styleId="ListParagraph">
    <w:name w:val="List Paragraph"/>
    <w:basedOn w:val="Normal"/>
    <w:uiPriority w:val="34"/>
    <w:qFormat/>
    <w:rsid w:val="007F2F83"/>
    <w:pPr>
      <w:ind w:left="720"/>
      <w:contextualSpacing/>
    </w:pPr>
  </w:style>
  <w:style w:type="character" w:styleId="Hyperlink">
    <w:name w:val="Hyperlink"/>
    <w:basedOn w:val="DefaultParagraphFont"/>
    <w:uiPriority w:val="99"/>
    <w:unhideWhenUsed/>
    <w:rsid w:val="007F2F83"/>
    <w:rPr>
      <w:color w:val="0563C1" w:themeColor="hyperlink"/>
      <w:u w:val="single"/>
    </w:rPr>
  </w:style>
  <w:style w:type="paragraph" w:styleId="FootnoteText">
    <w:name w:val="footnote text"/>
    <w:basedOn w:val="Normal"/>
    <w:link w:val="FootnoteTextChar"/>
    <w:uiPriority w:val="99"/>
    <w:semiHidden/>
    <w:unhideWhenUsed/>
    <w:rsid w:val="007F2F83"/>
    <w:rPr>
      <w:rFonts w:asciiTheme="minorHAnsi" w:eastAsiaTheme="minorHAnsi" w:hAnsiTheme="minorHAnsi" w:cstheme="minorBidi"/>
      <w:szCs w:val="20"/>
      <w:lang w:val="en-AU"/>
    </w:rPr>
  </w:style>
  <w:style w:type="character" w:customStyle="1" w:styleId="FootnoteTextChar">
    <w:name w:val="Footnote Text Char"/>
    <w:basedOn w:val="DefaultParagraphFont"/>
    <w:link w:val="FootnoteText"/>
    <w:uiPriority w:val="99"/>
    <w:semiHidden/>
    <w:rsid w:val="007F2F83"/>
    <w:rPr>
      <w:sz w:val="20"/>
      <w:szCs w:val="20"/>
      <w:lang w:eastAsia="en-US"/>
    </w:rPr>
  </w:style>
  <w:style w:type="table" w:styleId="TableGrid">
    <w:name w:val="Table Grid"/>
    <w:basedOn w:val="TableNormal"/>
    <w:uiPriority w:val="39"/>
    <w:rsid w:val="007F2F8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C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C18"/>
    <w:rPr>
      <w:rFonts w:ascii="Lucida Grande" w:eastAsia="Times New Roman" w:hAnsi="Lucida Grande" w:cs="Lucida Grande"/>
      <w:sz w:val="18"/>
      <w:szCs w:val="18"/>
      <w:lang w:val="en-GB" w:eastAsia="en-US"/>
    </w:rPr>
  </w:style>
  <w:style w:type="paragraph" w:customStyle="1" w:styleId="Body">
    <w:name w:val="Body"/>
    <w:link w:val="BodyChar"/>
    <w:rsid w:val="005828B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US"/>
    </w:rPr>
  </w:style>
  <w:style w:type="character" w:customStyle="1" w:styleId="BodyChar">
    <w:name w:val="Body Char"/>
    <w:basedOn w:val="DefaultParagraphFont"/>
    <w:link w:val="Body"/>
    <w:rsid w:val="005828BE"/>
    <w:rPr>
      <w:rFonts w:ascii="Calibri" w:eastAsia="Calibri" w:hAnsi="Calibri" w:cs="Calibri"/>
      <w:color w:val="000000"/>
      <w:u w:color="000000"/>
      <w:bdr w:val="nil"/>
      <w:lang w:eastAsia="en-US"/>
    </w:rPr>
  </w:style>
  <w:style w:type="character" w:customStyle="1" w:styleId="A2">
    <w:name w:val="A2"/>
    <w:uiPriority w:val="99"/>
    <w:rsid w:val="005828BE"/>
    <w:rPr>
      <w:rFonts w:cs="VIC"/>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9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7694</Words>
  <Characters>42087</Characters>
  <Application>Microsoft Macintosh Word</Application>
  <DocSecurity>0</DocSecurity>
  <Lines>738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Elnaz</dc:creator>
  <cp:keywords/>
  <dc:description/>
  <cp:lastModifiedBy>Emma Baker</cp:lastModifiedBy>
  <cp:revision>2</cp:revision>
  <cp:lastPrinted>2017-07-18T01:07:00Z</cp:lastPrinted>
  <dcterms:created xsi:type="dcterms:W3CDTF">2018-06-21T11:04:00Z</dcterms:created>
  <dcterms:modified xsi:type="dcterms:W3CDTF">2018-06-21T11:04:00Z</dcterms:modified>
</cp:coreProperties>
</file>