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AEEA0" w14:textId="77777777" w:rsidR="00DF0FF7" w:rsidRPr="000003D4" w:rsidRDefault="00DF0FF7" w:rsidP="000003D4">
      <w:pPr>
        <w:jc w:val="center"/>
        <w:rPr>
          <w:rFonts w:ascii="Arial" w:hAnsi="Arial" w:cs="Arial"/>
          <w:sz w:val="28"/>
          <w:szCs w:val="28"/>
        </w:rPr>
      </w:pPr>
      <w:bookmarkStart w:id="0" w:name="_GoBack"/>
      <w:r w:rsidRPr="000003D4">
        <w:rPr>
          <w:rFonts w:ascii="Arial" w:hAnsi="Arial" w:cs="Arial"/>
          <w:b/>
          <w:sz w:val="28"/>
          <w:szCs w:val="28"/>
        </w:rPr>
        <w:t>Wh</w:t>
      </w:r>
      <w:r w:rsidR="00CD5792" w:rsidRPr="000003D4">
        <w:rPr>
          <w:rFonts w:ascii="Arial" w:hAnsi="Arial" w:cs="Arial"/>
          <w:b/>
          <w:sz w:val="28"/>
          <w:szCs w:val="28"/>
        </w:rPr>
        <w:t xml:space="preserve">en </w:t>
      </w:r>
      <w:bookmarkEnd w:id="0"/>
      <w:r w:rsidR="00CD5792" w:rsidRPr="000003D4">
        <w:rPr>
          <w:rFonts w:ascii="Arial" w:hAnsi="Arial" w:cs="Arial"/>
          <w:b/>
          <w:sz w:val="28"/>
          <w:szCs w:val="28"/>
        </w:rPr>
        <w:t xml:space="preserve">system becomes strategy: </w:t>
      </w:r>
      <w:r w:rsidRPr="000003D4">
        <w:rPr>
          <w:rFonts w:ascii="Arial" w:hAnsi="Arial" w:cs="Arial"/>
          <w:b/>
          <w:sz w:val="28"/>
          <w:szCs w:val="28"/>
        </w:rPr>
        <w:t>next step</w:t>
      </w:r>
      <w:r w:rsidR="00CD5792" w:rsidRPr="000003D4">
        <w:rPr>
          <w:rFonts w:ascii="Arial" w:hAnsi="Arial" w:cs="Arial"/>
          <w:b/>
          <w:sz w:val="28"/>
          <w:szCs w:val="28"/>
        </w:rPr>
        <w:t>s in Victorian neo</w:t>
      </w:r>
      <w:r w:rsidRPr="000003D4">
        <w:rPr>
          <w:rFonts w:ascii="Arial" w:hAnsi="Arial" w:cs="Arial"/>
          <w:b/>
          <w:sz w:val="28"/>
          <w:szCs w:val="28"/>
        </w:rPr>
        <w:t>liberal planning</w:t>
      </w:r>
    </w:p>
    <w:p w14:paraId="7A0158F2" w14:textId="77777777" w:rsidR="00A9385D" w:rsidRPr="00D7026A" w:rsidRDefault="00A9385D" w:rsidP="00A9385D">
      <w:pPr>
        <w:spacing w:after="0" w:line="240" w:lineRule="auto"/>
        <w:jc w:val="center"/>
        <w:rPr>
          <w:rFonts w:ascii="Arial" w:hAnsi="Arial" w:cs="Arial"/>
          <w:sz w:val="24"/>
          <w:szCs w:val="20"/>
        </w:rPr>
      </w:pPr>
      <w:r w:rsidRPr="00D7026A">
        <w:rPr>
          <w:rFonts w:ascii="Arial" w:hAnsi="Arial" w:cs="Arial"/>
          <w:sz w:val="24"/>
          <w:szCs w:val="20"/>
        </w:rPr>
        <w:t>Michael Buxton</w:t>
      </w:r>
    </w:p>
    <w:p w14:paraId="20BE408A" w14:textId="77777777" w:rsidR="00A9385D" w:rsidRDefault="00A9385D" w:rsidP="00A9385D">
      <w:pPr>
        <w:spacing w:after="0" w:line="240" w:lineRule="auto"/>
        <w:jc w:val="center"/>
        <w:rPr>
          <w:rFonts w:ascii="Arial" w:hAnsi="Arial" w:cs="Arial"/>
          <w:sz w:val="24"/>
          <w:szCs w:val="20"/>
        </w:rPr>
      </w:pPr>
      <w:r>
        <w:rPr>
          <w:rFonts w:ascii="Arial" w:hAnsi="Arial" w:cs="Arial"/>
          <w:sz w:val="24"/>
          <w:szCs w:val="20"/>
        </w:rPr>
        <w:t>RMIT University, VIC</w:t>
      </w:r>
    </w:p>
    <w:p w14:paraId="3DBEB517" w14:textId="77777777" w:rsidR="00A9385D" w:rsidRPr="00D7026A" w:rsidRDefault="00A9385D" w:rsidP="00A9385D">
      <w:pPr>
        <w:spacing w:after="0" w:line="240" w:lineRule="auto"/>
        <w:jc w:val="center"/>
        <w:rPr>
          <w:rFonts w:ascii="Arial" w:hAnsi="Arial" w:cs="Arial"/>
          <w:sz w:val="24"/>
          <w:szCs w:val="20"/>
        </w:rPr>
      </w:pPr>
    </w:p>
    <w:p w14:paraId="58360DB8" w14:textId="77777777" w:rsidR="00DF0FF7" w:rsidRPr="005F270C" w:rsidRDefault="00DF0FF7" w:rsidP="00F203AC">
      <w:pPr>
        <w:jc w:val="both"/>
        <w:rPr>
          <w:rFonts w:ascii="Arial" w:hAnsi="Arial" w:cs="Arial"/>
          <w:b/>
          <w:sz w:val="20"/>
          <w:szCs w:val="20"/>
        </w:rPr>
      </w:pPr>
      <w:r w:rsidRPr="001B62F9">
        <w:rPr>
          <w:rFonts w:ascii="Arial" w:hAnsi="Arial" w:cs="Arial"/>
          <w:b/>
        </w:rPr>
        <w:t>Abstract</w:t>
      </w:r>
      <w:r w:rsidR="000003D4">
        <w:rPr>
          <w:rFonts w:ascii="Arial" w:hAnsi="Arial" w:cs="Arial"/>
          <w:b/>
          <w:sz w:val="20"/>
          <w:szCs w:val="20"/>
        </w:rPr>
        <w:t>;</w:t>
      </w:r>
    </w:p>
    <w:p w14:paraId="2CB927EF" w14:textId="77777777" w:rsidR="00B51341" w:rsidRPr="005F270C" w:rsidRDefault="005467E5" w:rsidP="00F203AC">
      <w:pPr>
        <w:jc w:val="both"/>
        <w:rPr>
          <w:rFonts w:ascii="Arial" w:hAnsi="Arial" w:cs="Arial"/>
          <w:sz w:val="20"/>
          <w:szCs w:val="20"/>
        </w:rPr>
      </w:pPr>
      <w:r w:rsidRPr="005F270C">
        <w:rPr>
          <w:rFonts w:ascii="Arial" w:hAnsi="Arial" w:cs="Arial"/>
          <w:sz w:val="20"/>
          <w:szCs w:val="20"/>
        </w:rPr>
        <w:t>The Victorian government released its 2017 Melbourne planning strategy at the same time it opened a tender to private providers for the development of a new planning system. This approach continues the trend by Australian state governments towards broad and often ineffectual strategies for capital cities and the development of neo-liberal planning systems. Tender criteria for the new Victorian planning system constitute a new stage in the development of a neo-liberal system by contracting out a process formerly regarded as the responsibility largely of the public sector. This paper examines the ways that weak strategy and powerful deregulation are expressed in policy and legal frameworks to transfer strategic power through the statutory system to powerful market forces. It shows that this approach generally follows the framework originally provided by the Development Assessment Forum and adopted by planning ministers. The new Melbourne strategy promotes unrestricted development in activity centres but contains few specific policies. At the same time the planning system further liberalises zones. In particular, the lack of effective policy for high rise development and the development impacts of a recent central city planning amendment will be examined in detail. The likely effects of policy omissions from the strategy together with statutory facilitation of development in key sectors such as retailing policy are also examined. Enabling and facilitative statutory provisions on major land use issues are sufficiently powerful to constitute strategic intent and policy, and to allow interest groups to direct urban growth.</w:t>
      </w:r>
    </w:p>
    <w:p w14:paraId="563DB85E" w14:textId="77777777" w:rsidR="009035B5" w:rsidRPr="009035B5" w:rsidRDefault="009035B5" w:rsidP="00F203AC">
      <w:pPr>
        <w:jc w:val="both"/>
        <w:rPr>
          <w:rFonts w:ascii="Arial" w:hAnsi="Arial" w:cs="Arial"/>
          <w:sz w:val="20"/>
          <w:szCs w:val="20"/>
        </w:rPr>
      </w:pPr>
      <w:r>
        <w:rPr>
          <w:rFonts w:ascii="Arial" w:hAnsi="Arial" w:cs="Arial"/>
          <w:b/>
          <w:sz w:val="20"/>
          <w:szCs w:val="20"/>
        </w:rPr>
        <w:t xml:space="preserve">Key words: </w:t>
      </w:r>
      <w:r w:rsidR="000003D4">
        <w:rPr>
          <w:rFonts w:ascii="Arial" w:hAnsi="Arial" w:cs="Arial"/>
          <w:sz w:val="20"/>
          <w:szCs w:val="20"/>
        </w:rPr>
        <w:t>Planning strategy; planning systems;</w:t>
      </w:r>
      <w:r>
        <w:rPr>
          <w:rFonts w:ascii="Arial" w:hAnsi="Arial" w:cs="Arial"/>
          <w:sz w:val="20"/>
          <w:szCs w:val="20"/>
        </w:rPr>
        <w:t xml:space="preserve"> neoliberalism</w:t>
      </w:r>
    </w:p>
    <w:p w14:paraId="18D6BF00" w14:textId="77777777" w:rsidR="00DF0FF7" w:rsidRPr="000003D4" w:rsidRDefault="00DF0FF7" w:rsidP="00F203AC">
      <w:pPr>
        <w:jc w:val="both"/>
        <w:rPr>
          <w:rFonts w:ascii="Arial" w:hAnsi="Arial" w:cs="Arial"/>
          <w:b/>
        </w:rPr>
      </w:pPr>
      <w:r w:rsidRPr="000003D4">
        <w:rPr>
          <w:rFonts w:ascii="Arial" w:hAnsi="Arial" w:cs="Arial"/>
          <w:b/>
        </w:rPr>
        <w:t>Introduction</w:t>
      </w:r>
    </w:p>
    <w:p w14:paraId="016A161B" w14:textId="77777777" w:rsidR="00E31DAC" w:rsidRPr="005F270C" w:rsidRDefault="00D74CDF" w:rsidP="00F203AC">
      <w:pPr>
        <w:jc w:val="both"/>
        <w:rPr>
          <w:rFonts w:ascii="Arial" w:hAnsi="Arial" w:cs="Arial"/>
          <w:sz w:val="20"/>
          <w:szCs w:val="20"/>
        </w:rPr>
      </w:pPr>
      <w:r w:rsidRPr="005F270C">
        <w:rPr>
          <w:rFonts w:ascii="Arial" w:hAnsi="Arial" w:cs="Arial"/>
          <w:sz w:val="20"/>
          <w:szCs w:val="20"/>
        </w:rPr>
        <w:t>A</w:t>
      </w:r>
      <w:r w:rsidR="008150CB" w:rsidRPr="005F270C">
        <w:rPr>
          <w:rFonts w:ascii="Arial" w:hAnsi="Arial" w:cs="Arial"/>
          <w:sz w:val="20"/>
          <w:szCs w:val="20"/>
        </w:rPr>
        <w:t xml:space="preserve"> fu</w:t>
      </w:r>
      <w:r w:rsidRPr="005F270C">
        <w:rPr>
          <w:rFonts w:ascii="Arial" w:hAnsi="Arial" w:cs="Arial"/>
          <w:sz w:val="20"/>
          <w:szCs w:val="20"/>
        </w:rPr>
        <w:t>ndamental shift from strategy to planning systems has occurred in Australian land use planning since the 1990s. Powerful spatial strategy was never the</w:t>
      </w:r>
      <w:r w:rsidR="0006292B">
        <w:rPr>
          <w:rFonts w:ascii="Arial" w:hAnsi="Arial" w:cs="Arial"/>
          <w:sz w:val="20"/>
          <w:szCs w:val="20"/>
        </w:rPr>
        <w:t xml:space="preserve"> norm in some Australian states</w:t>
      </w:r>
      <w:r w:rsidRPr="005F270C">
        <w:rPr>
          <w:rFonts w:ascii="Arial" w:hAnsi="Arial" w:cs="Arial"/>
          <w:sz w:val="20"/>
          <w:szCs w:val="20"/>
        </w:rPr>
        <w:t xml:space="preserve">. However, the role of strategic planning in establishing a policy framework and structural context for land use decision making was broadly accepted and this acceptance influenced the </w:t>
      </w:r>
      <w:r w:rsidR="00C320C3" w:rsidRPr="005F270C">
        <w:rPr>
          <w:rFonts w:ascii="Arial" w:hAnsi="Arial" w:cs="Arial"/>
          <w:sz w:val="20"/>
          <w:szCs w:val="20"/>
        </w:rPr>
        <w:t xml:space="preserve">primary </w:t>
      </w:r>
      <w:r w:rsidRPr="005F270C">
        <w:rPr>
          <w:rFonts w:ascii="Arial" w:hAnsi="Arial" w:cs="Arial"/>
          <w:sz w:val="20"/>
          <w:szCs w:val="20"/>
        </w:rPr>
        <w:t>status of strategy to varying degrees.</w:t>
      </w:r>
      <w:r w:rsidR="00F4117D" w:rsidRPr="005F270C">
        <w:rPr>
          <w:rFonts w:ascii="Arial" w:hAnsi="Arial" w:cs="Arial"/>
          <w:sz w:val="20"/>
          <w:szCs w:val="20"/>
        </w:rPr>
        <w:t xml:space="preserve"> A broad hierarchy was explicitly or tacitly accepted, of strategy which attempted to set clear long</w:t>
      </w:r>
      <w:r w:rsidR="004C1266" w:rsidRPr="005F270C">
        <w:rPr>
          <w:rFonts w:ascii="Arial" w:hAnsi="Arial" w:cs="Arial"/>
          <w:sz w:val="20"/>
          <w:szCs w:val="20"/>
        </w:rPr>
        <w:t>-</w:t>
      </w:r>
      <w:r w:rsidR="00F4117D" w:rsidRPr="005F270C">
        <w:rPr>
          <w:rFonts w:ascii="Arial" w:hAnsi="Arial" w:cs="Arial"/>
          <w:sz w:val="20"/>
          <w:szCs w:val="20"/>
        </w:rPr>
        <w:t xml:space="preserve">term directions for urban development, and more regulatory planning systems which sought to achieve these directions. </w:t>
      </w:r>
    </w:p>
    <w:p w14:paraId="5DDEB8A3" w14:textId="77777777" w:rsidR="00771498" w:rsidRPr="005F270C" w:rsidRDefault="00C320C3" w:rsidP="00F203AC">
      <w:pPr>
        <w:jc w:val="both"/>
        <w:rPr>
          <w:rFonts w:ascii="Arial" w:hAnsi="Arial" w:cs="Arial"/>
          <w:sz w:val="20"/>
          <w:szCs w:val="20"/>
        </w:rPr>
      </w:pPr>
      <w:r w:rsidRPr="005F270C">
        <w:rPr>
          <w:rFonts w:ascii="Arial" w:hAnsi="Arial" w:cs="Arial"/>
          <w:sz w:val="20"/>
          <w:szCs w:val="20"/>
        </w:rPr>
        <w:t>The</w:t>
      </w:r>
      <w:r w:rsidR="00C34501" w:rsidRPr="005F270C">
        <w:rPr>
          <w:rFonts w:ascii="Arial" w:hAnsi="Arial" w:cs="Arial"/>
          <w:sz w:val="20"/>
          <w:szCs w:val="20"/>
        </w:rPr>
        <w:t xml:space="preserve"> growing dominance of neoliberal political ideology during the 1990s in Australia was the determining factor in the shift from guiding or directing strategy to deregulated planning systems. </w:t>
      </w:r>
      <w:r w:rsidR="00B35DEF" w:rsidRPr="005F270C">
        <w:rPr>
          <w:rFonts w:ascii="Arial" w:hAnsi="Arial" w:cs="Arial"/>
          <w:sz w:val="20"/>
          <w:szCs w:val="20"/>
        </w:rPr>
        <w:t>Contrasting</w:t>
      </w:r>
      <w:r w:rsidR="00CE3FD3" w:rsidRPr="005F270C">
        <w:rPr>
          <w:rFonts w:ascii="Arial" w:hAnsi="Arial" w:cs="Arial"/>
          <w:sz w:val="20"/>
          <w:szCs w:val="20"/>
        </w:rPr>
        <w:t xml:space="preserve"> notions of governance</w:t>
      </w:r>
      <w:r w:rsidRPr="005F270C">
        <w:rPr>
          <w:rFonts w:ascii="Arial" w:hAnsi="Arial" w:cs="Arial"/>
          <w:sz w:val="20"/>
          <w:szCs w:val="20"/>
        </w:rPr>
        <w:t xml:space="preserve"> inevitably influence</w:t>
      </w:r>
      <w:r w:rsidR="00B35DEF" w:rsidRPr="005F270C">
        <w:rPr>
          <w:rFonts w:ascii="Arial" w:hAnsi="Arial" w:cs="Arial"/>
          <w:sz w:val="20"/>
          <w:szCs w:val="20"/>
        </w:rPr>
        <w:t xml:space="preserve"> both the purpose and design of planning strategy and systems. </w:t>
      </w:r>
      <w:r w:rsidR="005324D9" w:rsidRPr="005F270C">
        <w:rPr>
          <w:rFonts w:ascii="Arial" w:hAnsi="Arial" w:cs="Arial"/>
          <w:sz w:val="20"/>
          <w:szCs w:val="20"/>
        </w:rPr>
        <w:t xml:space="preserve">The fundamental shift from a comprehensive and directing to a facilitative government role has led both to weakened strategy and to the progressive deregulation of most Australian land use planning systems. </w:t>
      </w:r>
      <w:r w:rsidR="00CE3FD3" w:rsidRPr="005F270C">
        <w:rPr>
          <w:rFonts w:ascii="Arial" w:hAnsi="Arial" w:cs="Arial"/>
          <w:sz w:val="20"/>
          <w:szCs w:val="20"/>
        </w:rPr>
        <w:t xml:space="preserve">This </w:t>
      </w:r>
      <w:r w:rsidR="005324D9" w:rsidRPr="005F270C">
        <w:rPr>
          <w:rFonts w:ascii="Arial" w:hAnsi="Arial" w:cs="Arial"/>
          <w:sz w:val="20"/>
          <w:szCs w:val="20"/>
        </w:rPr>
        <w:t xml:space="preserve">paper compares changes to Australian planning governance from the 1990s with </w:t>
      </w:r>
      <w:r w:rsidR="0006292B">
        <w:rPr>
          <w:rFonts w:ascii="Arial" w:hAnsi="Arial" w:cs="Arial"/>
          <w:sz w:val="20"/>
          <w:szCs w:val="20"/>
        </w:rPr>
        <w:t xml:space="preserve">some key elements of </w:t>
      </w:r>
      <w:r w:rsidR="005324D9" w:rsidRPr="005F270C">
        <w:rPr>
          <w:rFonts w:ascii="Arial" w:hAnsi="Arial" w:cs="Arial"/>
          <w:sz w:val="20"/>
          <w:szCs w:val="20"/>
        </w:rPr>
        <w:t>the analysis of the changing roles of planning strategy and systems presented by Healey in the late 1990s</w:t>
      </w:r>
      <w:r w:rsidR="00CE1F18" w:rsidRPr="005F270C">
        <w:rPr>
          <w:rFonts w:ascii="Arial" w:hAnsi="Arial" w:cs="Arial"/>
          <w:sz w:val="20"/>
          <w:szCs w:val="20"/>
        </w:rPr>
        <w:t>.</w:t>
      </w:r>
      <w:r w:rsidR="005324D9" w:rsidRPr="005F270C">
        <w:rPr>
          <w:rFonts w:ascii="Arial" w:hAnsi="Arial" w:cs="Arial"/>
          <w:sz w:val="20"/>
          <w:szCs w:val="20"/>
        </w:rPr>
        <w:t xml:space="preserve"> It places the development of neoliberal Australian planning systems in the context of changes in the UK during the 1980s. It </w:t>
      </w:r>
      <w:r w:rsidR="00CE1F18" w:rsidRPr="005F270C">
        <w:rPr>
          <w:rFonts w:ascii="Arial" w:hAnsi="Arial" w:cs="Arial"/>
          <w:sz w:val="20"/>
          <w:szCs w:val="20"/>
        </w:rPr>
        <w:t xml:space="preserve">then analyses in detail the changes to both strategy and the planning system in the state of Victoria as a case study. Finally it draws some conclusions from these recent trends for the future of planning strategy and system development in Australia. </w:t>
      </w:r>
    </w:p>
    <w:p w14:paraId="445E3336" w14:textId="77777777" w:rsidR="00771498" w:rsidRPr="000003D4" w:rsidRDefault="00CE1F18" w:rsidP="00F203AC">
      <w:pPr>
        <w:jc w:val="both"/>
        <w:rPr>
          <w:rFonts w:ascii="Arial" w:hAnsi="Arial" w:cs="Arial"/>
          <w:b/>
        </w:rPr>
      </w:pPr>
      <w:r w:rsidRPr="000003D4">
        <w:rPr>
          <w:rFonts w:ascii="Arial" w:hAnsi="Arial" w:cs="Arial"/>
          <w:b/>
        </w:rPr>
        <w:t>Spatial strategy</w:t>
      </w:r>
    </w:p>
    <w:p w14:paraId="6CDF766E" w14:textId="77777777" w:rsidR="002F7B25" w:rsidRPr="005F270C" w:rsidRDefault="006E2BE3" w:rsidP="00F203AC">
      <w:pPr>
        <w:jc w:val="both"/>
        <w:rPr>
          <w:rFonts w:ascii="Arial" w:hAnsi="Arial" w:cs="Arial"/>
          <w:sz w:val="20"/>
          <w:szCs w:val="20"/>
        </w:rPr>
      </w:pPr>
      <w:r w:rsidRPr="005F270C">
        <w:rPr>
          <w:rFonts w:ascii="Arial" w:hAnsi="Arial" w:cs="Arial"/>
          <w:sz w:val="20"/>
          <w:szCs w:val="20"/>
        </w:rPr>
        <w:lastRenderedPageBreak/>
        <w:t>Strategic spatial planning seeks to identify a unifying and shared vision of the future to achieve desirable future outcomes for land and related elements in natural and social systems (Albrechts, 2010). It</w:t>
      </w:r>
      <w:r w:rsidR="002F7B25" w:rsidRPr="005F270C">
        <w:rPr>
          <w:rFonts w:ascii="Arial" w:hAnsi="Arial" w:cs="Arial"/>
          <w:sz w:val="20"/>
          <w:szCs w:val="20"/>
        </w:rPr>
        <w:t xml:space="preserve"> is a process of developing a set of generic principles, plans or policies about the future</w:t>
      </w:r>
      <w:r w:rsidR="00C320C3" w:rsidRPr="005F270C">
        <w:rPr>
          <w:rFonts w:ascii="Arial" w:hAnsi="Arial" w:cs="Arial"/>
          <w:sz w:val="20"/>
          <w:szCs w:val="20"/>
        </w:rPr>
        <w:t xml:space="preserve"> of land, how the effects of this</w:t>
      </w:r>
      <w:r w:rsidR="002F7B25" w:rsidRPr="005F270C">
        <w:rPr>
          <w:rFonts w:ascii="Arial" w:hAnsi="Arial" w:cs="Arial"/>
          <w:sz w:val="20"/>
          <w:szCs w:val="20"/>
        </w:rPr>
        <w:t xml:space="preserve"> process can be measured and the results evaluated. </w:t>
      </w:r>
      <w:r w:rsidR="0006292B">
        <w:rPr>
          <w:rFonts w:ascii="Arial" w:hAnsi="Arial" w:cs="Arial"/>
          <w:sz w:val="20"/>
          <w:szCs w:val="20"/>
        </w:rPr>
        <w:t xml:space="preserve"> Policy</w:t>
      </w:r>
      <w:r w:rsidR="00C320C3" w:rsidRPr="005F270C">
        <w:rPr>
          <w:rFonts w:ascii="Arial" w:hAnsi="Arial" w:cs="Arial"/>
          <w:sz w:val="20"/>
          <w:szCs w:val="20"/>
        </w:rPr>
        <w:t xml:space="preserve"> perform</w:t>
      </w:r>
      <w:r w:rsidR="0006292B">
        <w:rPr>
          <w:rFonts w:ascii="Arial" w:hAnsi="Arial" w:cs="Arial"/>
          <w:sz w:val="20"/>
          <w:szCs w:val="20"/>
        </w:rPr>
        <w:t>s</w:t>
      </w:r>
      <w:r w:rsidR="00C320C3" w:rsidRPr="005F270C">
        <w:rPr>
          <w:rFonts w:ascii="Arial" w:hAnsi="Arial" w:cs="Arial"/>
          <w:sz w:val="20"/>
          <w:szCs w:val="20"/>
        </w:rPr>
        <w:t xml:space="preserve"> the important function of developing broadly applicable rules for assessing individual instances. </w:t>
      </w:r>
      <w:r w:rsidR="00DC515A" w:rsidRPr="005F270C">
        <w:rPr>
          <w:rFonts w:ascii="Arial" w:hAnsi="Arial" w:cs="Arial"/>
          <w:sz w:val="20"/>
          <w:szCs w:val="20"/>
        </w:rPr>
        <w:t xml:space="preserve">Normally, the strategic framework would establish the vision, direction and type of future growth and an accompanying implementation structure, </w:t>
      </w:r>
      <w:r w:rsidR="00C320C3" w:rsidRPr="005F270C">
        <w:rPr>
          <w:rFonts w:ascii="Arial" w:hAnsi="Arial" w:cs="Arial"/>
          <w:sz w:val="20"/>
          <w:szCs w:val="20"/>
        </w:rPr>
        <w:t>while</w:t>
      </w:r>
      <w:r w:rsidR="00DC515A" w:rsidRPr="005F270C">
        <w:rPr>
          <w:rFonts w:ascii="Arial" w:hAnsi="Arial" w:cs="Arial"/>
          <w:sz w:val="20"/>
          <w:szCs w:val="20"/>
        </w:rPr>
        <w:t xml:space="preserve"> the planning system would implement the strategy. </w:t>
      </w:r>
      <w:r w:rsidR="007F4ECC" w:rsidRPr="005F270C">
        <w:rPr>
          <w:rFonts w:ascii="Arial" w:hAnsi="Arial" w:cs="Arial"/>
          <w:sz w:val="20"/>
          <w:szCs w:val="20"/>
        </w:rPr>
        <w:t xml:space="preserve">Traditionally, </w:t>
      </w:r>
      <w:r w:rsidR="00DC515A" w:rsidRPr="005F270C">
        <w:rPr>
          <w:rFonts w:ascii="Arial" w:hAnsi="Arial" w:cs="Arial"/>
          <w:sz w:val="20"/>
          <w:szCs w:val="20"/>
        </w:rPr>
        <w:t>strategy came</w:t>
      </w:r>
      <w:r w:rsidR="007F4ECC" w:rsidRPr="005F270C">
        <w:rPr>
          <w:rFonts w:ascii="Arial" w:hAnsi="Arial" w:cs="Arial"/>
          <w:sz w:val="20"/>
          <w:szCs w:val="20"/>
        </w:rPr>
        <w:t xml:space="preserve"> first</w:t>
      </w:r>
      <w:r w:rsidR="0020471C" w:rsidRPr="005F270C">
        <w:rPr>
          <w:rFonts w:ascii="Arial" w:hAnsi="Arial" w:cs="Arial"/>
          <w:sz w:val="20"/>
          <w:szCs w:val="20"/>
        </w:rPr>
        <w:t>, providing “frameworks and principles that feed into decision-making on specific issues…[and]…direction and justification for the flow of regulatory and investment activity” (Healey, 1997:10</w:t>
      </w:r>
      <w:r w:rsidR="00C320C3" w:rsidRPr="005F270C">
        <w:rPr>
          <w:rFonts w:ascii="Arial" w:hAnsi="Arial" w:cs="Arial"/>
          <w:sz w:val="20"/>
          <w:szCs w:val="20"/>
        </w:rPr>
        <w:t xml:space="preserve">). Strategy </w:t>
      </w:r>
      <w:r w:rsidRPr="005F270C">
        <w:rPr>
          <w:rFonts w:ascii="Arial" w:hAnsi="Arial" w:cs="Arial"/>
          <w:sz w:val="20"/>
          <w:szCs w:val="20"/>
        </w:rPr>
        <w:t>also takes a longer</w:t>
      </w:r>
      <w:r w:rsidR="00ED539F">
        <w:rPr>
          <w:rFonts w:ascii="Arial" w:hAnsi="Arial" w:cs="Arial"/>
          <w:sz w:val="20"/>
          <w:szCs w:val="20"/>
        </w:rPr>
        <w:t>-</w:t>
      </w:r>
      <w:r w:rsidR="002F7B25" w:rsidRPr="005F270C">
        <w:rPr>
          <w:rFonts w:ascii="Arial" w:hAnsi="Arial" w:cs="Arial"/>
          <w:sz w:val="20"/>
          <w:szCs w:val="20"/>
        </w:rPr>
        <w:t xml:space="preserve">term view of what is desirable, attempting to anticipate future needs, challenges, opportunities and problems, to see into the future and propose </w:t>
      </w:r>
      <w:r w:rsidRPr="005F270C">
        <w:rPr>
          <w:rFonts w:ascii="Arial" w:hAnsi="Arial" w:cs="Arial"/>
          <w:sz w:val="20"/>
          <w:szCs w:val="20"/>
        </w:rPr>
        <w:t xml:space="preserve">scenarios and </w:t>
      </w:r>
      <w:r w:rsidR="002F7B25" w:rsidRPr="005F270C">
        <w:rPr>
          <w:rFonts w:ascii="Arial" w:hAnsi="Arial" w:cs="Arial"/>
          <w:sz w:val="20"/>
          <w:szCs w:val="20"/>
        </w:rPr>
        <w:t xml:space="preserve">appropriate responses. </w:t>
      </w:r>
      <w:r w:rsidR="002E0359" w:rsidRPr="005F270C">
        <w:rPr>
          <w:rFonts w:ascii="Arial" w:eastAsia="Times New Roman" w:hAnsi="Arial" w:cs="Arial"/>
          <w:sz w:val="20"/>
          <w:szCs w:val="20"/>
          <w:lang w:eastAsia="en-AU"/>
        </w:rPr>
        <w:t xml:space="preserve">For this reason, the most effective strategic spatial plans are cross-sectoral, integrating land use and development with a broad range of other sectoral plans. </w:t>
      </w:r>
      <w:r w:rsidRPr="005F270C">
        <w:rPr>
          <w:rFonts w:ascii="Arial" w:hAnsi="Arial" w:cs="Arial"/>
          <w:sz w:val="20"/>
          <w:szCs w:val="20"/>
        </w:rPr>
        <w:t>This anticipatory role is a crucial strategic responsibility and</w:t>
      </w:r>
      <w:r w:rsidR="00C320C3" w:rsidRPr="005F270C">
        <w:rPr>
          <w:rFonts w:ascii="Arial" w:hAnsi="Arial" w:cs="Arial"/>
          <w:sz w:val="20"/>
          <w:szCs w:val="20"/>
        </w:rPr>
        <w:t>,</w:t>
      </w:r>
      <w:r w:rsidRPr="005F270C">
        <w:rPr>
          <w:rFonts w:ascii="Arial" w:hAnsi="Arial" w:cs="Arial"/>
          <w:sz w:val="20"/>
          <w:szCs w:val="20"/>
        </w:rPr>
        <w:t xml:space="preserve"> where successful</w:t>
      </w:r>
      <w:r w:rsidR="00C320C3" w:rsidRPr="005F270C">
        <w:rPr>
          <w:rFonts w:ascii="Arial" w:hAnsi="Arial" w:cs="Arial"/>
          <w:sz w:val="20"/>
          <w:szCs w:val="20"/>
        </w:rPr>
        <w:t>,</w:t>
      </w:r>
      <w:r w:rsidRPr="005F270C">
        <w:rPr>
          <w:rFonts w:ascii="Arial" w:hAnsi="Arial" w:cs="Arial"/>
          <w:sz w:val="20"/>
          <w:szCs w:val="20"/>
        </w:rPr>
        <w:t xml:space="preserve"> develops a framework which contrasts with the ad-hoc and incremental process typical of neoliberal decision making. </w:t>
      </w:r>
    </w:p>
    <w:p w14:paraId="53CF55AB" w14:textId="77777777" w:rsidR="00CE6A32" w:rsidRPr="005F270C" w:rsidRDefault="006E2BE3" w:rsidP="00F203AC">
      <w:pPr>
        <w:jc w:val="both"/>
        <w:rPr>
          <w:rFonts w:ascii="Arial" w:eastAsia="Times New Roman" w:hAnsi="Arial" w:cs="Arial"/>
          <w:sz w:val="20"/>
          <w:szCs w:val="20"/>
          <w:lang w:eastAsia="en-AU"/>
        </w:rPr>
      </w:pPr>
      <w:r w:rsidRPr="005F270C">
        <w:rPr>
          <w:rFonts w:ascii="Arial" w:hAnsi="Arial" w:cs="Arial"/>
          <w:sz w:val="20"/>
          <w:szCs w:val="20"/>
        </w:rPr>
        <w:t xml:space="preserve">Strong strategy also </w:t>
      </w:r>
      <w:r w:rsidR="00CE6A32" w:rsidRPr="005F270C">
        <w:rPr>
          <w:rFonts w:ascii="Arial" w:hAnsi="Arial" w:cs="Arial"/>
          <w:sz w:val="20"/>
          <w:szCs w:val="20"/>
        </w:rPr>
        <w:t xml:space="preserve">necessarily </w:t>
      </w:r>
      <w:r w:rsidRPr="005F270C">
        <w:rPr>
          <w:rFonts w:ascii="Arial" w:hAnsi="Arial" w:cs="Arial"/>
          <w:sz w:val="20"/>
          <w:szCs w:val="20"/>
        </w:rPr>
        <w:t>involves a strong, directive role for government in framing strategy and policy</w:t>
      </w:r>
      <w:r w:rsidR="00CE6A32" w:rsidRPr="005F270C">
        <w:rPr>
          <w:rFonts w:ascii="Arial" w:hAnsi="Arial" w:cs="Arial"/>
          <w:sz w:val="20"/>
          <w:szCs w:val="20"/>
        </w:rPr>
        <w:t xml:space="preserve"> (Albrec</w:t>
      </w:r>
      <w:r w:rsidR="009E4B11" w:rsidRPr="005F270C">
        <w:rPr>
          <w:rFonts w:ascii="Arial" w:hAnsi="Arial" w:cs="Arial"/>
          <w:sz w:val="20"/>
          <w:szCs w:val="20"/>
        </w:rPr>
        <w:t>h</w:t>
      </w:r>
      <w:r w:rsidR="00CE6A32" w:rsidRPr="005F270C">
        <w:rPr>
          <w:rFonts w:ascii="Arial" w:hAnsi="Arial" w:cs="Arial"/>
          <w:sz w:val="20"/>
          <w:szCs w:val="20"/>
        </w:rPr>
        <w:t>ts, 2010)</w:t>
      </w:r>
      <w:r w:rsidR="0006292B">
        <w:rPr>
          <w:rFonts w:ascii="Arial" w:hAnsi="Arial" w:cs="Arial"/>
          <w:sz w:val="20"/>
          <w:szCs w:val="20"/>
        </w:rPr>
        <w:t xml:space="preserve"> to</w:t>
      </w:r>
      <w:r w:rsidRPr="005F270C">
        <w:rPr>
          <w:rFonts w:ascii="Arial" w:hAnsi="Arial" w:cs="Arial"/>
          <w:sz w:val="20"/>
          <w:szCs w:val="20"/>
        </w:rPr>
        <w:t xml:space="preserve"> deliver public benefits in an accountable manner</w:t>
      </w:r>
      <w:r w:rsidR="00CE6A32" w:rsidRPr="005F270C">
        <w:rPr>
          <w:rFonts w:ascii="Arial" w:hAnsi="Arial" w:cs="Arial"/>
          <w:sz w:val="20"/>
          <w:szCs w:val="20"/>
        </w:rPr>
        <w:t xml:space="preserve">. </w:t>
      </w:r>
      <w:r w:rsidR="00DC515A" w:rsidRPr="005F270C">
        <w:rPr>
          <w:rFonts w:ascii="Arial" w:hAnsi="Arial" w:cs="Arial"/>
          <w:sz w:val="20"/>
          <w:szCs w:val="20"/>
        </w:rPr>
        <w:t>As Healey (1997:</w:t>
      </w:r>
      <w:r w:rsidR="00311268" w:rsidRPr="005F270C">
        <w:rPr>
          <w:rFonts w:ascii="Arial" w:hAnsi="Arial" w:cs="Arial"/>
          <w:sz w:val="20"/>
          <w:szCs w:val="20"/>
        </w:rPr>
        <w:t>14,</w:t>
      </w:r>
      <w:r w:rsidR="00DC515A" w:rsidRPr="005F270C">
        <w:rPr>
          <w:rFonts w:ascii="Arial" w:hAnsi="Arial" w:cs="Arial"/>
          <w:sz w:val="20"/>
          <w:szCs w:val="20"/>
        </w:rPr>
        <w:t xml:space="preserve">11) put it: </w:t>
      </w:r>
      <w:r w:rsidR="009670D9" w:rsidRPr="005F270C">
        <w:rPr>
          <w:rFonts w:ascii="Arial" w:hAnsi="Arial" w:cs="Arial"/>
          <w:sz w:val="20"/>
          <w:szCs w:val="20"/>
        </w:rPr>
        <w:t xml:space="preserve">“Behind the idea of the guiding framework is an intention that there should be good public interest reasons for regulating development in particular ways”, and </w:t>
      </w:r>
      <w:r w:rsidR="00DC515A" w:rsidRPr="005F270C">
        <w:rPr>
          <w:rFonts w:ascii="Arial" w:hAnsi="Arial" w:cs="Arial"/>
          <w:sz w:val="20"/>
          <w:szCs w:val="20"/>
        </w:rPr>
        <w:t>“the public sector acted as a ‘provider’ of a coordinated stable framework for the making of development decisions, as well as a provider of serviced land and development”. Governments</w:t>
      </w:r>
      <w:r w:rsidR="00CE6A32" w:rsidRPr="005F270C">
        <w:rPr>
          <w:rFonts w:ascii="Arial" w:hAnsi="Arial" w:cs="Arial"/>
          <w:sz w:val="20"/>
          <w:szCs w:val="20"/>
        </w:rPr>
        <w:t xml:space="preserve"> may not adequately meet this responsibility but this ideal role for government stands in stark contrast to the neoliberal governance model which devolve</w:t>
      </w:r>
      <w:r w:rsidR="00C320C3" w:rsidRPr="005F270C">
        <w:rPr>
          <w:rFonts w:ascii="Arial" w:hAnsi="Arial" w:cs="Arial"/>
          <w:sz w:val="20"/>
          <w:szCs w:val="20"/>
        </w:rPr>
        <w:t>s</w:t>
      </w:r>
      <w:r w:rsidR="00CE6A32" w:rsidRPr="005F270C">
        <w:rPr>
          <w:rFonts w:ascii="Arial" w:hAnsi="Arial" w:cs="Arial"/>
          <w:sz w:val="20"/>
          <w:szCs w:val="20"/>
        </w:rPr>
        <w:t xml:space="preserve"> power</w:t>
      </w:r>
      <w:r w:rsidR="009E4B11" w:rsidRPr="005F270C">
        <w:rPr>
          <w:rFonts w:ascii="Arial" w:hAnsi="Arial" w:cs="Arial"/>
          <w:sz w:val="20"/>
          <w:szCs w:val="20"/>
        </w:rPr>
        <w:t xml:space="preserve"> to private sector bodi</w:t>
      </w:r>
      <w:r w:rsidR="00CE6A32" w:rsidRPr="005F270C">
        <w:rPr>
          <w:rFonts w:ascii="Arial" w:hAnsi="Arial" w:cs="Arial"/>
          <w:sz w:val="20"/>
          <w:szCs w:val="20"/>
        </w:rPr>
        <w:t>es act</w:t>
      </w:r>
      <w:r w:rsidR="00C320C3" w:rsidRPr="005F270C">
        <w:rPr>
          <w:rFonts w:ascii="Arial" w:hAnsi="Arial" w:cs="Arial"/>
          <w:sz w:val="20"/>
          <w:szCs w:val="20"/>
        </w:rPr>
        <w:t xml:space="preserve">ing in their own </w:t>
      </w:r>
      <w:r w:rsidR="00907AD0" w:rsidRPr="005F270C">
        <w:rPr>
          <w:rFonts w:ascii="Arial" w:hAnsi="Arial" w:cs="Arial"/>
          <w:sz w:val="20"/>
          <w:szCs w:val="20"/>
        </w:rPr>
        <w:t xml:space="preserve">interests. </w:t>
      </w:r>
      <w:r w:rsidR="00311268" w:rsidRPr="005F270C">
        <w:rPr>
          <w:rFonts w:ascii="Arial" w:hAnsi="Arial" w:cs="Arial"/>
          <w:sz w:val="20"/>
          <w:szCs w:val="20"/>
        </w:rPr>
        <w:t xml:space="preserve">Healey </w:t>
      </w:r>
      <w:r w:rsidR="00A3621E" w:rsidRPr="005F270C">
        <w:rPr>
          <w:rFonts w:ascii="Arial" w:hAnsi="Arial" w:cs="Arial"/>
          <w:sz w:val="20"/>
          <w:szCs w:val="20"/>
        </w:rPr>
        <w:t xml:space="preserve">pointed to the domination by property interests of decisions on development. </w:t>
      </w:r>
      <w:r w:rsidR="00CE6A32" w:rsidRPr="005F270C">
        <w:rPr>
          <w:rFonts w:ascii="Arial" w:hAnsi="Arial" w:cs="Arial"/>
          <w:sz w:val="20"/>
          <w:szCs w:val="20"/>
        </w:rPr>
        <w:t>Albrec</w:t>
      </w:r>
      <w:r w:rsidR="009E4B11" w:rsidRPr="005F270C">
        <w:rPr>
          <w:rFonts w:ascii="Arial" w:hAnsi="Arial" w:cs="Arial"/>
          <w:sz w:val="20"/>
          <w:szCs w:val="20"/>
        </w:rPr>
        <w:t>h</w:t>
      </w:r>
      <w:r w:rsidR="00CE6A32" w:rsidRPr="005F270C">
        <w:rPr>
          <w:rFonts w:ascii="Arial" w:hAnsi="Arial" w:cs="Arial"/>
          <w:sz w:val="20"/>
          <w:szCs w:val="20"/>
        </w:rPr>
        <w:t>ts</w:t>
      </w:r>
      <w:r w:rsidR="0025662E" w:rsidRPr="005F270C">
        <w:rPr>
          <w:rFonts w:ascii="Arial" w:hAnsi="Arial" w:cs="Arial"/>
          <w:sz w:val="20"/>
          <w:szCs w:val="20"/>
        </w:rPr>
        <w:t xml:space="preserve"> (2010:1116</w:t>
      </w:r>
      <w:r w:rsidR="009E4B11" w:rsidRPr="005F270C">
        <w:rPr>
          <w:rFonts w:ascii="Arial" w:hAnsi="Arial" w:cs="Arial"/>
          <w:sz w:val="20"/>
          <w:szCs w:val="20"/>
        </w:rPr>
        <w:t>)</w:t>
      </w:r>
      <w:r w:rsidR="00CE6A32" w:rsidRPr="005F270C">
        <w:rPr>
          <w:rFonts w:ascii="Arial" w:hAnsi="Arial" w:cs="Arial"/>
          <w:sz w:val="20"/>
          <w:szCs w:val="20"/>
        </w:rPr>
        <w:t xml:space="preserve"> points to the failures of both neoliberalism and much traditional strategic planning, arguing that “</w:t>
      </w:r>
      <w:r w:rsidR="00CE6A32" w:rsidRPr="005F270C">
        <w:rPr>
          <w:rFonts w:ascii="Arial" w:eastAsia="Times New Roman" w:hAnsi="Arial" w:cs="Arial"/>
          <w:sz w:val="20"/>
          <w:szCs w:val="20"/>
          <w:lang w:eastAsia="en-AU"/>
        </w:rPr>
        <w:t xml:space="preserve">there is ample evidence that the problems and challenges that regions, city-regions, and cities are confronted with cannot be tackled and managed adequately either on the basis of the neoconservative perspective or on the basis of the intellectual, technical-legal apparatus and mindset of traditional planning”. </w:t>
      </w:r>
      <w:r w:rsidR="00871809" w:rsidRPr="005F270C">
        <w:rPr>
          <w:rFonts w:ascii="Arial" w:eastAsia="Times New Roman" w:hAnsi="Arial" w:cs="Arial"/>
          <w:sz w:val="20"/>
          <w:szCs w:val="20"/>
          <w:lang w:eastAsia="en-AU"/>
        </w:rPr>
        <w:t xml:space="preserve"> </w:t>
      </w:r>
    </w:p>
    <w:p w14:paraId="541656C3" w14:textId="77777777" w:rsidR="009940C8" w:rsidRPr="005F270C" w:rsidRDefault="009E4B11" w:rsidP="00F203AC">
      <w:pPr>
        <w:jc w:val="both"/>
        <w:rPr>
          <w:rFonts w:ascii="Arial" w:hAnsi="Arial" w:cs="Arial"/>
          <w:sz w:val="20"/>
          <w:szCs w:val="20"/>
        </w:rPr>
      </w:pPr>
      <w:r w:rsidRPr="005F270C">
        <w:rPr>
          <w:rFonts w:ascii="Arial" w:hAnsi="Arial" w:cs="Arial"/>
          <w:sz w:val="20"/>
          <w:szCs w:val="20"/>
        </w:rPr>
        <w:t>However, t</w:t>
      </w:r>
      <w:r w:rsidR="00F4117D" w:rsidRPr="005F270C">
        <w:rPr>
          <w:rFonts w:ascii="Arial" w:hAnsi="Arial" w:cs="Arial"/>
          <w:sz w:val="20"/>
          <w:szCs w:val="20"/>
        </w:rPr>
        <w:t xml:space="preserve">he advent of neo-liberal planning systems brought an abrupt end to this </w:t>
      </w:r>
      <w:r w:rsidR="004C1266" w:rsidRPr="005F270C">
        <w:rPr>
          <w:rFonts w:ascii="Arial" w:hAnsi="Arial" w:cs="Arial"/>
          <w:sz w:val="20"/>
          <w:szCs w:val="20"/>
        </w:rPr>
        <w:t xml:space="preserve">mutually reinforcing </w:t>
      </w:r>
      <w:r w:rsidRPr="005F270C">
        <w:rPr>
          <w:rFonts w:ascii="Arial" w:hAnsi="Arial" w:cs="Arial"/>
          <w:sz w:val="20"/>
          <w:szCs w:val="20"/>
        </w:rPr>
        <w:t>traditional</w:t>
      </w:r>
      <w:r w:rsidR="00F4117D" w:rsidRPr="005F270C">
        <w:rPr>
          <w:rFonts w:ascii="Arial" w:hAnsi="Arial" w:cs="Arial"/>
          <w:sz w:val="20"/>
          <w:szCs w:val="20"/>
        </w:rPr>
        <w:t xml:space="preserve"> strategic and statutory </w:t>
      </w:r>
      <w:r w:rsidR="004C1266" w:rsidRPr="005F270C">
        <w:rPr>
          <w:rFonts w:ascii="Arial" w:hAnsi="Arial" w:cs="Arial"/>
          <w:sz w:val="20"/>
          <w:szCs w:val="20"/>
        </w:rPr>
        <w:t>arran</w:t>
      </w:r>
      <w:r w:rsidRPr="005F270C">
        <w:rPr>
          <w:rFonts w:ascii="Arial" w:hAnsi="Arial" w:cs="Arial"/>
          <w:sz w:val="20"/>
          <w:szCs w:val="20"/>
        </w:rPr>
        <w:t>gement.</w:t>
      </w:r>
      <w:r w:rsidR="007A3F7D" w:rsidRPr="005F270C">
        <w:rPr>
          <w:rFonts w:ascii="Arial" w:hAnsi="Arial" w:cs="Arial"/>
          <w:sz w:val="20"/>
          <w:szCs w:val="20"/>
        </w:rPr>
        <w:t xml:space="preserve"> In a n</w:t>
      </w:r>
      <w:r w:rsidR="00B43F45" w:rsidRPr="005F270C">
        <w:rPr>
          <w:rFonts w:ascii="Arial" w:hAnsi="Arial" w:cs="Arial"/>
          <w:sz w:val="20"/>
          <w:szCs w:val="20"/>
        </w:rPr>
        <w:t xml:space="preserve">eoliberal political environment </w:t>
      </w:r>
      <w:r w:rsidRPr="005F270C">
        <w:rPr>
          <w:rFonts w:ascii="Arial" w:hAnsi="Arial" w:cs="Arial"/>
          <w:sz w:val="20"/>
          <w:szCs w:val="20"/>
        </w:rPr>
        <w:t xml:space="preserve">using liberalised planning systems </w:t>
      </w:r>
      <w:r w:rsidR="00B43F45" w:rsidRPr="005F270C">
        <w:rPr>
          <w:rFonts w:ascii="Arial" w:hAnsi="Arial" w:cs="Arial"/>
          <w:sz w:val="20"/>
          <w:szCs w:val="20"/>
        </w:rPr>
        <w:t>to facilitate private sector decision</w:t>
      </w:r>
      <w:r w:rsidR="002E0359">
        <w:rPr>
          <w:rFonts w:ascii="Arial" w:hAnsi="Arial" w:cs="Arial"/>
          <w:sz w:val="20"/>
          <w:szCs w:val="20"/>
        </w:rPr>
        <w:t>-</w:t>
      </w:r>
      <w:r w:rsidR="00B43F45" w:rsidRPr="005F270C">
        <w:rPr>
          <w:rFonts w:ascii="Arial" w:hAnsi="Arial" w:cs="Arial"/>
          <w:sz w:val="20"/>
          <w:szCs w:val="20"/>
        </w:rPr>
        <w:t xml:space="preserve">making </w:t>
      </w:r>
      <w:r w:rsidR="007A3F7D" w:rsidRPr="005F270C">
        <w:rPr>
          <w:rFonts w:ascii="Arial" w:hAnsi="Arial" w:cs="Arial"/>
          <w:sz w:val="20"/>
          <w:szCs w:val="20"/>
        </w:rPr>
        <w:t>t</w:t>
      </w:r>
      <w:r w:rsidR="0060011A" w:rsidRPr="005F270C">
        <w:rPr>
          <w:rFonts w:ascii="Arial" w:hAnsi="Arial" w:cs="Arial"/>
          <w:sz w:val="20"/>
          <w:szCs w:val="20"/>
        </w:rPr>
        <w:t>here can be no role for strategy which intervenes in markets to achieve long term defined public ben</w:t>
      </w:r>
      <w:r w:rsidR="00B43F45" w:rsidRPr="005F270C">
        <w:rPr>
          <w:rFonts w:ascii="Arial" w:hAnsi="Arial" w:cs="Arial"/>
          <w:sz w:val="20"/>
          <w:szCs w:val="20"/>
        </w:rPr>
        <w:t>efits.</w:t>
      </w:r>
      <w:r w:rsidRPr="005F270C">
        <w:rPr>
          <w:rFonts w:ascii="Arial" w:hAnsi="Arial" w:cs="Arial"/>
          <w:sz w:val="20"/>
          <w:szCs w:val="20"/>
        </w:rPr>
        <w:t xml:space="preserve"> </w:t>
      </w:r>
      <w:r w:rsidR="009D0534" w:rsidRPr="005F270C">
        <w:rPr>
          <w:rFonts w:ascii="Arial" w:hAnsi="Arial" w:cs="Arial"/>
          <w:sz w:val="20"/>
          <w:szCs w:val="20"/>
        </w:rPr>
        <w:t xml:space="preserve">As the Victorian metropolitan strategy discussion paper </w:t>
      </w:r>
      <w:r w:rsidR="009D0534" w:rsidRPr="005F270C">
        <w:rPr>
          <w:rFonts w:ascii="Arial" w:hAnsi="Arial" w:cs="Arial"/>
          <w:i/>
          <w:sz w:val="20"/>
          <w:szCs w:val="20"/>
        </w:rPr>
        <w:t>Plan Melbourne Refresh</w:t>
      </w:r>
      <w:r w:rsidR="009D0534" w:rsidRPr="005F270C">
        <w:rPr>
          <w:rFonts w:ascii="Arial" w:hAnsi="Arial" w:cs="Arial"/>
          <w:sz w:val="20"/>
          <w:szCs w:val="20"/>
        </w:rPr>
        <w:t xml:space="preserve"> (</w:t>
      </w:r>
      <w:r w:rsidR="0006292B">
        <w:rPr>
          <w:rFonts w:ascii="Arial" w:hAnsi="Arial" w:cs="Arial"/>
          <w:sz w:val="20"/>
          <w:szCs w:val="20"/>
        </w:rPr>
        <w:t xml:space="preserve">DELWP, </w:t>
      </w:r>
      <w:r w:rsidR="009D0534" w:rsidRPr="005F270C">
        <w:rPr>
          <w:rFonts w:ascii="Arial" w:hAnsi="Arial" w:cs="Arial"/>
          <w:sz w:val="20"/>
          <w:szCs w:val="20"/>
        </w:rPr>
        <w:t xml:space="preserve">2015:25) put it: “The ..Strategy must move away from regulation as the primary means of achieving planning outcomes”. </w:t>
      </w:r>
      <w:r w:rsidRPr="005F270C">
        <w:rPr>
          <w:rFonts w:ascii="Arial" w:hAnsi="Arial" w:cs="Arial"/>
          <w:sz w:val="20"/>
          <w:szCs w:val="20"/>
        </w:rPr>
        <w:t xml:space="preserve">Strong strategy contradicts </w:t>
      </w:r>
      <w:r w:rsidR="001F1A4E" w:rsidRPr="005F270C">
        <w:rPr>
          <w:rFonts w:ascii="Arial" w:hAnsi="Arial" w:cs="Arial"/>
          <w:sz w:val="20"/>
          <w:szCs w:val="20"/>
        </w:rPr>
        <w:t xml:space="preserve">deregulated </w:t>
      </w:r>
      <w:r w:rsidRPr="005F270C">
        <w:rPr>
          <w:rFonts w:ascii="Arial" w:hAnsi="Arial" w:cs="Arial"/>
          <w:sz w:val="20"/>
          <w:szCs w:val="20"/>
        </w:rPr>
        <w:t xml:space="preserve">planning </w:t>
      </w:r>
      <w:r w:rsidR="001F1A4E" w:rsidRPr="005F270C">
        <w:rPr>
          <w:rFonts w:ascii="Arial" w:hAnsi="Arial" w:cs="Arial"/>
          <w:sz w:val="20"/>
          <w:szCs w:val="20"/>
        </w:rPr>
        <w:t>systems designed to facilitate</w:t>
      </w:r>
      <w:r w:rsidRPr="005F270C">
        <w:rPr>
          <w:rFonts w:ascii="Arial" w:hAnsi="Arial" w:cs="Arial"/>
          <w:sz w:val="20"/>
          <w:szCs w:val="20"/>
        </w:rPr>
        <w:t>.</w:t>
      </w:r>
      <w:r w:rsidR="00B43F45" w:rsidRPr="005F270C">
        <w:rPr>
          <w:rFonts w:ascii="Arial" w:hAnsi="Arial" w:cs="Arial"/>
          <w:sz w:val="20"/>
          <w:szCs w:val="20"/>
        </w:rPr>
        <w:t xml:space="preserve"> </w:t>
      </w:r>
      <w:r w:rsidRPr="005F270C">
        <w:rPr>
          <w:rFonts w:ascii="Arial" w:hAnsi="Arial" w:cs="Arial"/>
          <w:sz w:val="20"/>
          <w:szCs w:val="20"/>
        </w:rPr>
        <w:t>Under a neoliberal, market-led approach to governance, strategic planning is largely irrelevant</w:t>
      </w:r>
      <w:r w:rsidR="001F1A4E" w:rsidRPr="005F270C">
        <w:rPr>
          <w:rFonts w:ascii="Arial" w:hAnsi="Arial" w:cs="Arial"/>
          <w:sz w:val="20"/>
          <w:szCs w:val="20"/>
        </w:rPr>
        <w:t xml:space="preserve">, </w:t>
      </w:r>
      <w:r w:rsidRPr="005F270C">
        <w:rPr>
          <w:rFonts w:ascii="Arial" w:hAnsi="Arial" w:cs="Arial"/>
          <w:sz w:val="20"/>
          <w:szCs w:val="20"/>
        </w:rPr>
        <w:t>must follow not lead.</w:t>
      </w:r>
      <w:r w:rsidR="00DC515A" w:rsidRPr="005F270C">
        <w:rPr>
          <w:rFonts w:ascii="Arial" w:hAnsi="Arial" w:cs="Arial"/>
          <w:sz w:val="20"/>
          <w:szCs w:val="20"/>
        </w:rPr>
        <w:t xml:space="preserve"> In the UK and Europe from</w:t>
      </w:r>
      <w:r w:rsidR="009940C8" w:rsidRPr="005F270C">
        <w:rPr>
          <w:rFonts w:ascii="Arial" w:hAnsi="Arial" w:cs="Arial"/>
          <w:sz w:val="20"/>
          <w:szCs w:val="20"/>
        </w:rPr>
        <w:t xml:space="preserve"> the 1990s, </w:t>
      </w:r>
      <w:r w:rsidR="00DC515A" w:rsidRPr="005F270C">
        <w:rPr>
          <w:rFonts w:ascii="Arial" w:hAnsi="Arial" w:cs="Arial"/>
          <w:sz w:val="20"/>
          <w:szCs w:val="20"/>
        </w:rPr>
        <w:t>a neoliberal political agenda placed traditional ‘hierarchical statist arrangements…under severe pressure’ (Healey, 1997:11).</w:t>
      </w:r>
    </w:p>
    <w:p w14:paraId="780B6847" w14:textId="77777777" w:rsidR="00B43F45" w:rsidRPr="005F270C" w:rsidRDefault="009940C8" w:rsidP="00F203AC">
      <w:pPr>
        <w:ind w:left="567"/>
        <w:jc w:val="both"/>
        <w:rPr>
          <w:rFonts w:ascii="Arial" w:hAnsi="Arial" w:cs="Arial"/>
          <w:sz w:val="20"/>
          <w:szCs w:val="20"/>
        </w:rPr>
      </w:pPr>
      <w:r w:rsidRPr="005F270C">
        <w:rPr>
          <w:rFonts w:ascii="Arial" w:hAnsi="Arial" w:cs="Arial"/>
          <w:sz w:val="20"/>
          <w:szCs w:val="20"/>
        </w:rPr>
        <w:t>“the public sector became more interested in enabling development rather than providing it directly, and in stimulating development rather than regulating it..[leading to]..a shift away from plans and policies as guidance frameworks, since these seemed to be either too inflexible, or too outdated, or both…holding back development when the need was for a proactive stance towards development.” (Healey, 1997:12).</w:t>
      </w:r>
      <w:r w:rsidR="0081755E">
        <w:rPr>
          <w:rFonts w:ascii="Arial" w:hAnsi="Arial" w:cs="Arial"/>
          <w:sz w:val="20"/>
          <w:szCs w:val="20"/>
        </w:rPr>
        <w:t xml:space="preserve"> </w:t>
      </w:r>
    </w:p>
    <w:p w14:paraId="68AC6C25" w14:textId="77777777" w:rsidR="00824040" w:rsidRPr="005F270C" w:rsidRDefault="007A3F7D" w:rsidP="00F203AC">
      <w:pPr>
        <w:jc w:val="both"/>
        <w:rPr>
          <w:rFonts w:ascii="Arial" w:hAnsi="Arial" w:cs="Arial"/>
          <w:sz w:val="20"/>
          <w:szCs w:val="20"/>
        </w:rPr>
      </w:pPr>
      <w:r w:rsidRPr="005F270C">
        <w:rPr>
          <w:rFonts w:ascii="Arial" w:hAnsi="Arial" w:cs="Arial"/>
          <w:sz w:val="20"/>
          <w:szCs w:val="20"/>
        </w:rPr>
        <w:t>In a neoliberal environment</w:t>
      </w:r>
      <w:r w:rsidR="0081755E">
        <w:rPr>
          <w:rFonts w:ascii="Arial" w:hAnsi="Arial" w:cs="Arial"/>
          <w:sz w:val="20"/>
          <w:szCs w:val="20"/>
        </w:rPr>
        <w:t xml:space="preserve"> </w:t>
      </w:r>
      <w:r w:rsidR="0081755E" w:rsidRPr="005F270C">
        <w:rPr>
          <w:rFonts w:ascii="Arial" w:hAnsi="Arial" w:cs="Arial"/>
          <w:sz w:val="20"/>
          <w:szCs w:val="20"/>
        </w:rPr>
        <w:t>after the 1990s</w:t>
      </w:r>
      <w:r w:rsidRPr="005F270C">
        <w:rPr>
          <w:rFonts w:ascii="Arial" w:hAnsi="Arial" w:cs="Arial"/>
          <w:sz w:val="20"/>
          <w:szCs w:val="20"/>
        </w:rPr>
        <w:t xml:space="preserve">, </w:t>
      </w:r>
      <w:r w:rsidR="0006292B">
        <w:rPr>
          <w:rFonts w:ascii="Arial" w:hAnsi="Arial" w:cs="Arial"/>
          <w:sz w:val="20"/>
          <w:szCs w:val="20"/>
        </w:rPr>
        <w:t xml:space="preserve">Australian </w:t>
      </w:r>
      <w:r w:rsidR="0060011A" w:rsidRPr="005F270C">
        <w:rPr>
          <w:rFonts w:ascii="Arial" w:hAnsi="Arial" w:cs="Arial"/>
          <w:sz w:val="20"/>
          <w:szCs w:val="20"/>
        </w:rPr>
        <w:t>State governments continued to develop metropolitan strategies</w:t>
      </w:r>
      <w:r w:rsidR="000A75FB" w:rsidRPr="005F270C">
        <w:rPr>
          <w:rFonts w:ascii="Arial" w:hAnsi="Arial" w:cs="Arial"/>
          <w:sz w:val="20"/>
          <w:szCs w:val="20"/>
        </w:rPr>
        <w:t xml:space="preserve"> </w:t>
      </w:r>
      <w:r w:rsidR="0006292B">
        <w:rPr>
          <w:rFonts w:ascii="Arial" w:hAnsi="Arial" w:cs="Arial"/>
          <w:sz w:val="20"/>
          <w:szCs w:val="20"/>
        </w:rPr>
        <w:t xml:space="preserve">which </w:t>
      </w:r>
      <w:r w:rsidR="000A75FB" w:rsidRPr="005F270C">
        <w:rPr>
          <w:rFonts w:ascii="Arial" w:hAnsi="Arial" w:cs="Arial"/>
          <w:sz w:val="20"/>
          <w:szCs w:val="20"/>
        </w:rPr>
        <w:t xml:space="preserve">set general directions. </w:t>
      </w:r>
      <w:r w:rsidR="0081755E">
        <w:rPr>
          <w:rFonts w:ascii="Arial" w:hAnsi="Arial" w:cs="Arial"/>
          <w:sz w:val="20"/>
          <w:szCs w:val="20"/>
        </w:rPr>
        <w:t>Strategies of this kind usually outline</w:t>
      </w:r>
      <w:r w:rsidR="00EA5AE0" w:rsidRPr="005F270C">
        <w:rPr>
          <w:rFonts w:ascii="Arial" w:hAnsi="Arial" w:cs="Arial"/>
          <w:sz w:val="20"/>
          <w:szCs w:val="20"/>
        </w:rPr>
        <w:t xml:space="preserve"> spatial intentions and identifies development opportunities arising from future growth. </w:t>
      </w:r>
      <w:r w:rsidR="000A75FB" w:rsidRPr="005F270C">
        <w:rPr>
          <w:rFonts w:ascii="Arial" w:hAnsi="Arial" w:cs="Arial"/>
          <w:sz w:val="20"/>
          <w:szCs w:val="20"/>
        </w:rPr>
        <w:t xml:space="preserve">However, </w:t>
      </w:r>
      <w:r w:rsidR="00EA5AE0" w:rsidRPr="005F270C">
        <w:rPr>
          <w:rFonts w:ascii="Arial" w:hAnsi="Arial" w:cs="Arial"/>
          <w:sz w:val="20"/>
          <w:szCs w:val="20"/>
        </w:rPr>
        <w:t xml:space="preserve">their </w:t>
      </w:r>
      <w:r w:rsidR="0081755E">
        <w:rPr>
          <w:rFonts w:ascii="Arial" w:hAnsi="Arial" w:cs="Arial"/>
          <w:sz w:val="20"/>
          <w:szCs w:val="20"/>
        </w:rPr>
        <w:t>policies are</w:t>
      </w:r>
      <w:r w:rsidR="000A75FB" w:rsidRPr="005F270C">
        <w:rPr>
          <w:rFonts w:ascii="Arial" w:hAnsi="Arial" w:cs="Arial"/>
          <w:sz w:val="20"/>
          <w:szCs w:val="20"/>
        </w:rPr>
        <w:t xml:space="preserve"> often vague and difficult to interpret or </w:t>
      </w:r>
      <w:r w:rsidR="00EA5AE0" w:rsidRPr="005F270C">
        <w:rPr>
          <w:rFonts w:ascii="Arial" w:hAnsi="Arial" w:cs="Arial"/>
          <w:sz w:val="20"/>
          <w:szCs w:val="20"/>
        </w:rPr>
        <w:t xml:space="preserve">implement. These strategies usually </w:t>
      </w:r>
      <w:r w:rsidR="00610C88" w:rsidRPr="005F270C">
        <w:rPr>
          <w:rFonts w:ascii="Arial" w:hAnsi="Arial" w:cs="Arial"/>
          <w:sz w:val="20"/>
          <w:szCs w:val="20"/>
        </w:rPr>
        <w:t xml:space="preserve">avoid any mention of the </w:t>
      </w:r>
      <w:r w:rsidR="000A75FB" w:rsidRPr="005F270C">
        <w:rPr>
          <w:rFonts w:ascii="Arial" w:hAnsi="Arial" w:cs="Arial"/>
          <w:sz w:val="20"/>
          <w:szCs w:val="20"/>
        </w:rPr>
        <w:t xml:space="preserve">neo-liberal intention of government to reduce the role of government and empower private sector decision making, </w:t>
      </w:r>
      <w:r w:rsidR="00610C88" w:rsidRPr="005F270C">
        <w:rPr>
          <w:rFonts w:ascii="Arial" w:hAnsi="Arial" w:cs="Arial"/>
          <w:sz w:val="20"/>
          <w:szCs w:val="20"/>
        </w:rPr>
        <w:t xml:space="preserve">the </w:t>
      </w:r>
      <w:r w:rsidR="000A75FB" w:rsidRPr="005F270C">
        <w:rPr>
          <w:rFonts w:ascii="Arial" w:hAnsi="Arial" w:cs="Arial"/>
          <w:sz w:val="20"/>
          <w:szCs w:val="20"/>
        </w:rPr>
        <w:t>l</w:t>
      </w:r>
      <w:r w:rsidR="00610C88" w:rsidRPr="005F270C">
        <w:rPr>
          <w:rFonts w:ascii="Arial" w:hAnsi="Arial" w:cs="Arial"/>
          <w:sz w:val="20"/>
          <w:szCs w:val="20"/>
        </w:rPr>
        <w:t>ikely impacts of policies</w:t>
      </w:r>
      <w:r w:rsidR="00EA5AE0" w:rsidRPr="005F270C">
        <w:rPr>
          <w:rFonts w:ascii="Arial" w:hAnsi="Arial" w:cs="Arial"/>
          <w:sz w:val="20"/>
          <w:szCs w:val="20"/>
        </w:rPr>
        <w:t>,</w:t>
      </w:r>
      <w:r w:rsidR="00610C88" w:rsidRPr="005F270C">
        <w:rPr>
          <w:rFonts w:ascii="Arial" w:hAnsi="Arial" w:cs="Arial"/>
          <w:sz w:val="20"/>
          <w:szCs w:val="20"/>
        </w:rPr>
        <w:t xml:space="preserve"> or </w:t>
      </w:r>
      <w:r w:rsidR="000A75FB" w:rsidRPr="005F270C">
        <w:rPr>
          <w:rFonts w:ascii="Arial" w:hAnsi="Arial" w:cs="Arial"/>
          <w:sz w:val="20"/>
          <w:szCs w:val="20"/>
        </w:rPr>
        <w:t xml:space="preserve">intentions to adopt ever more deregulated planning </w:t>
      </w:r>
      <w:r w:rsidR="000A75FB" w:rsidRPr="005F270C">
        <w:rPr>
          <w:rFonts w:ascii="Arial" w:hAnsi="Arial" w:cs="Arial"/>
          <w:sz w:val="20"/>
          <w:szCs w:val="20"/>
        </w:rPr>
        <w:lastRenderedPageBreak/>
        <w:t>systems. Many major spatial issues and p</w:t>
      </w:r>
      <w:r w:rsidR="00EA5AE0" w:rsidRPr="005F270C">
        <w:rPr>
          <w:rFonts w:ascii="Arial" w:hAnsi="Arial" w:cs="Arial"/>
          <w:sz w:val="20"/>
          <w:szCs w:val="20"/>
        </w:rPr>
        <w:t>olicy responses are</w:t>
      </w:r>
      <w:r w:rsidR="000A75FB" w:rsidRPr="005F270C">
        <w:rPr>
          <w:rFonts w:ascii="Arial" w:hAnsi="Arial" w:cs="Arial"/>
          <w:sz w:val="20"/>
          <w:szCs w:val="20"/>
        </w:rPr>
        <w:t xml:space="preserve"> ignored. The liberalisation of planning systems</w:t>
      </w:r>
      <w:r w:rsidR="00CB239F" w:rsidRPr="005F270C">
        <w:rPr>
          <w:rFonts w:ascii="Arial" w:hAnsi="Arial" w:cs="Arial"/>
          <w:sz w:val="20"/>
          <w:szCs w:val="20"/>
        </w:rPr>
        <w:t>, coupled with inadequate strategy,</w:t>
      </w:r>
      <w:r w:rsidR="000A75FB" w:rsidRPr="005F270C">
        <w:rPr>
          <w:rFonts w:ascii="Arial" w:hAnsi="Arial" w:cs="Arial"/>
          <w:sz w:val="20"/>
          <w:szCs w:val="20"/>
        </w:rPr>
        <w:t xml:space="preserve"> </w:t>
      </w:r>
      <w:r w:rsidR="009828E9" w:rsidRPr="005F270C">
        <w:rPr>
          <w:rFonts w:ascii="Arial" w:hAnsi="Arial" w:cs="Arial"/>
          <w:sz w:val="20"/>
          <w:szCs w:val="20"/>
        </w:rPr>
        <w:t xml:space="preserve">is </w:t>
      </w:r>
      <w:r w:rsidR="00CB239F" w:rsidRPr="005F270C">
        <w:rPr>
          <w:rFonts w:ascii="Arial" w:hAnsi="Arial" w:cs="Arial"/>
          <w:sz w:val="20"/>
          <w:szCs w:val="20"/>
        </w:rPr>
        <w:t xml:space="preserve">intended to </w:t>
      </w:r>
      <w:r w:rsidR="000A75FB" w:rsidRPr="005F270C">
        <w:rPr>
          <w:rFonts w:ascii="Arial" w:hAnsi="Arial" w:cs="Arial"/>
          <w:sz w:val="20"/>
          <w:szCs w:val="20"/>
        </w:rPr>
        <w:t>transfer power over land use to development and property interests.</w:t>
      </w:r>
      <w:r w:rsidR="00FA767A" w:rsidRPr="005F270C">
        <w:rPr>
          <w:rFonts w:ascii="Arial" w:hAnsi="Arial" w:cs="Arial"/>
          <w:sz w:val="20"/>
          <w:szCs w:val="20"/>
        </w:rPr>
        <w:t xml:space="preserve"> </w:t>
      </w:r>
      <w:r w:rsidR="00CB239F" w:rsidRPr="005F270C">
        <w:rPr>
          <w:rFonts w:ascii="Arial" w:hAnsi="Arial" w:cs="Arial"/>
          <w:sz w:val="20"/>
          <w:szCs w:val="20"/>
        </w:rPr>
        <w:t>In these circumstances, the real strategic intent, particularly in specific spatial and sectoral areas, lies with the system elements which deregulate, not with a strategy which directs.</w:t>
      </w:r>
      <w:r w:rsidR="00824040" w:rsidRPr="005F270C">
        <w:rPr>
          <w:rFonts w:ascii="Arial" w:hAnsi="Arial" w:cs="Arial"/>
          <w:sz w:val="20"/>
          <w:szCs w:val="20"/>
        </w:rPr>
        <w:t xml:space="preserve"> Again, Healey </w:t>
      </w:r>
      <w:r w:rsidR="00ED1696" w:rsidRPr="005F270C">
        <w:rPr>
          <w:rFonts w:ascii="Arial" w:hAnsi="Arial" w:cs="Arial"/>
          <w:sz w:val="20"/>
          <w:szCs w:val="20"/>
        </w:rPr>
        <w:t xml:space="preserve">(1997: 15) </w:t>
      </w:r>
      <w:r w:rsidR="00824040" w:rsidRPr="005F270C">
        <w:rPr>
          <w:rFonts w:ascii="Arial" w:hAnsi="Arial" w:cs="Arial"/>
          <w:sz w:val="20"/>
          <w:szCs w:val="20"/>
        </w:rPr>
        <w:t>points to the impact</w:t>
      </w:r>
      <w:r w:rsidR="00A21AE3" w:rsidRPr="005F270C">
        <w:rPr>
          <w:rFonts w:ascii="Arial" w:hAnsi="Arial" w:cs="Arial"/>
          <w:sz w:val="20"/>
          <w:szCs w:val="20"/>
        </w:rPr>
        <w:t>s</w:t>
      </w:r>
      <w:r w:rsidR="00824040" w:rsidRPr="005F270C">
        <w:rPr>
          <w:rFonts w:ascii="Arial" w:hAnsi="Arial" w:cs="Arial"/>
          <w:sz w:val="20"/>
          <w:szCs w:val="20"/>
        </w:rPr>
        <w:t xml:space="preserve"> of </w:t>
      </w:r>
      <w:r w:rsidR="00A21AE3" w:rsidRPr="005F270C">
        <w:rPr>
          <w:rFonts w:ascii="Arial" w:hAnsi="Arial" w:cs="Arial"/>
          <w:sz w:val="20"/>
          <w:szCs w:val="20"/>
        </w:rPr>
        <w:t>both a failure of adequate strategic planning and the impacts of neoliberal planning systems on strategy:</w:t>
      </w:r>
    </w:p>
    <w:p w14:paraId="39BDA720" w14:textId="77777777" w:rsidR="00A21AE3" w:rsidRPr="005F270C" w:rsidRDefault="00A21AE3" w:rsidP="00F203AC">
      <w:pPr>
        <w:ind w:left="567"/>
        <w:jc w:val="both"/>
        <w:rPr>
          <w:rFonts w:ascii="Arial" w:hAnsi="Arial" w:cs="Arial"/>
          <w:sz w:val="20"/>
          <w:szCs w:val="20"/>
        </w:rPr>
      </w:pPr>
      <w:r w:rsidRPr="005F270C">
        <w:rPr>
          <w:rFonts w:ascii="Arial" w:hAnsi="Arial" w:cs="Arial"/>
          <w:sz w:val="20"/>
          <w:szCs w:val="20"/>
        </w:rPr>
        <w:t xml:space="preserve">“Many formal strategic plans instead became more like collections of politically derived statements arising from disparate resolutions to separate interest conflicts. As a result, plans have lost their strategic role…rather than being comprehensive, they were fragmented…In many of Europe’s planning systems, the formal machinery for </w:t>
      </w:r>
      <w:r w:rsidR="00A36F14" w:rsidRPr="005F270C">
        <w:rPr>
          <w:rFonts w:ascii="Arial" w:hAnsi="Arial" w:cs="Arial"/>
          <w:sz w:val="20"/>
          <w:szCs w:val="20"/>
        </w:rPr>
        <w:t xml:space="preserve">articulating spatial strategy has become discredited. Strategies have been ignored, or have disintegrated into fragments of functionally separated policy. </w:t>
      </w:r>
      <w:r w:rsidRPr="005F270C">
        <w:rPr>
          <w:rFonts w:ascii="Arial" w:hAnsi="Arial" w:cs="Arial"/>
          <w:sz w:val="20"/>
          <w:szCs w:val="20"/>
        </w:rPr>
        <w:t xml:space="preserve"> </w:t>
      </w:r>
    </w:p>
    <w:p w14:paraId="3BC14EBE" w14:textId="77777777" w:rsidR="000F58DB" w:rsidRPr="000003D4" w:rsidRDefault="000F58DB" w:rsidP="00F203AC">
      <w:pPr>
        <w:jc w:val="both"/>
        <w:rPr>
          <w:rFonts w:ascii="Arial" w:hAnsi="Arial" w:cs="Arial"/>
          <w:b/>
        </w:rPr>
      </w:pPr>
      <w:r w:rsidRPr="000003D4">
        <w:rPr>
          <w:rFonts w:ascii="Arial" w:hAnsi="Arial" w:cs="Arial"/>
          <w:b/>
        </w:rPr>
        <w:t>Planning systems</w:t>
      </w:r>
    </w:p>
    <w:p w14:paraId="01F699E2" w14:textId="77777777" w:rsidR="006E7297" w:rsidRPr="005F270C" w:rsidRDefault="002253A1" w:rsidP="00F203AC">
      <w:pPr>
        <w:jc w:val="both"/>
        <w:rPr>
          <w:rFonts w:ascii="Arial" w:hAnsi="Arial" w:cs="Arial"/>
          <w:sz w:val="20"/>
          <w:szCs w:val="20"/>
        </w:rPr>
      </w:pPr>
      <w:r w:rsidRPr="005F270C">
        <w:rPr>
          <w:rFonts w:ascii="Arial" w:hAnsi="Arial" w:cs="Arial"/>
          <w:sz w:val="20"/>
          <w:szCs w:val="20"/>
        </w:rPr>
        <w:t xml:space="preserve">Healey (1997:13) defines planning systems </w:t>
      </w:r>
      <w:r w:rsidR="00322978">
        <w:rPr>
          <w:rFonts w:ascii="Arial" w:hAnsi="Arial" w:cs="Arial"/>
          <w:sz w:val="20"/>
          <w:szCs w:val="20"/>
        </w:rPr>
        <w:t xml:space="preserve">as </w:t>
      </w:r>
      <w:r w:rsidRPr="005F270C">
        <w:rPr>
          <w:rFonts w:ascii="Arial" w:hAnsi="Arial" w:cs="Arial"/>
          <w:sz w:val="20"/>
          <w:szCs w:val="20"/>
        </w:rPr>
        <w:t xml:space="preserve">“the legal and administrative procedures and institutional arrangements for guiding the location of investment in development projects and for regulating the way land is used and developed”. </w:t>
      </w:r>
      <w:r w:rsidR="005264D3" w:rsidRPr="005F270C">
        <w:rPr>
          <w:rFonts w:ascii="Arial" w:hAnsi="Arial" w:cs="Arial"/>
          <w:sz w:val="20"/>
          <w:szCs w:val="20"/>
        </w:rPr>
        <w:t>Different notions of t</w:t>
      </w:r>
      <w:r w:rsidR="00EA5AE0" w:rsidRPr="005F270C">
        <w:rPr>
          <w:rFonts w:ascii="Arial" w:hAnsi="Arial" w:cs="Arial"/>
          <w:sz w:val="20"/>
          <w:szCs w:val="20"/>
        </w:rPr>
        <w:t>he role of government affect</w:t>
      </w:r>
      <w:r w:rsidR="005264D3" w:rsidRPr="005F270C">
        <w:rPr>
          <w:rFonts w:ascii="Arial" w:hAnsi="Arial" w:cs="Arial"/>
          <w:sz w:val="20"/>
          <w:szCs w:val="20"/>
        </w:rPr>
        <w:t xml:space="preserve"> type</w:t>
      </w:r>
      <w:r w:rsidR="00EA5AE0" w:rsidRPr="005F270C">
        <w:rPr>
          <w:rFonts w:ascii="Arial" w:hAnsi="Arial" w:cs="Arial"/>
          <w:sz w:val="20"/>
          <w:szCs w:val="20"/>
        </w:rPr>
        <w:t>s</w:t>
      </w:r>
      <w:r w:rsidR="005264D3" w:rsidRPr="005F270C">
        <w:rPr>
          <w:rFonts w:ascii="Arial" w:hAnsi="Arial" w:cs="Arial"/>
          <w:sz w:val="20"/>
          <w:szCs w:val="20"/>
        </w:rPr>
        <w:t xml:space="preserve"> of planning system</w:t>
      </w:r>
      <w:r w:rsidR="00EA5AE0" w:rsidRPr="005F270C">
        <w:rPr>
          <w:rFonts w:ascii="Arial" w:hAnsi="Arial" w:cs="Arial"/>
          <w:sz w:val="20"/>
          <w:szCs w:val="20"/>
        </w:rPr>
        <w:t xml:space="preserve">s </w:t>
      </w:r>
      <w:r w:rsidR="005264D3" w:rsidRPr="005F270C">
        <w:rPr>
          <w:rFonts w:ascii="Arial" w:hAnsi="Arial" w:cs="Arial"/>
          <w:sz w:val="20"/>
          <w:szCs w:val="20"/>
        </w:rPr>
        <w:t xml:space="preserve">even more than they do strategy. </w:t>
      </w:r>
      <w:r w:rsidR="006E7297" w:rsidRPr="005F270C">
        <w:rPr>
          <w:rFonts w:ascii="Arial" w:hAnsi="Arial" w:cs="Arial"/>
          <w:sz w:val="20"/>
          <w:szCs w:val="20"/>
        </w:rPr>
        <w:t>In the early 1990s, Australian government attitudes towards planning systems began to be influenced by the adoption of neoliberal governance in the UK under the Thatcher government. The Victorian Kennett government was the first Australian government to exhibit this neoliberal influence.</w:t>
      </w:r>
    </w:p>
    <w:p w14:paraId="6C7A11D2" w14:textId="77777777" w:rsidR="00C53285" w:rsidRPr="005F270C" w:rsidRDefault="00C53285" w:rsidP="00F203AC">
      <w:pPr>
        <w:jc w:val="both"/>
        <w:rPr>
          <w:rFonts w:ascii="Arial" w:hAnsi="Arial" w:cs="Arial"/>
          <w:sz w:val="20"/>
          <w:szCs w:val="20"/>
        </w:rPr>
      </w:pPr>
      <w:r w:rsidRPr="005F270C">
        <w:rPr>
          <w:rFonts w:ascii="Arial" w:hAnsi="Arial" w:cs="Arial"/>
          <w:sz w:val="20"/>
          <w:szCs w:val="20"/>
        </w:rPr>
        <w:t>The U.K. system Healey was reviewing has been extensively analysed. Thornley (1993) and Montgomery and Thornley (1990) have argued that the Thatcher Government sought to change the planning system through a process of incremental erosion of controls. Allmendinger (1997) and Newman and Thornley (1996) have both described the adoption of a ‘top down’ approach to planning. Central government imposed a deregulatory planning strategy aimed at creating the framework within which market forces and developers could act. A key element of the planning structure was the introduction of Simplified Planning Zones (SPZs) to replace a planning system condemned as reactive, negative and time consuming, with one that would increase certainty and efficiency in processing applications. Thornley (1993) has described this combination of centralisation and economic liberalism as ‘authoritarian decentralisation’. Stoker and Young (1993) have described the general shift in the role of government from that of a ‘provider’ to a ‘strategic enabler’.</w:t>
      </w:r>
      <w:r w:rsidR="00322978">
        <w:rPr>
          <w:rFonts w:ascii="Arial" w:hAnsi="Arial" w:cs="Arial"/>
          <w:sz w:val="20"/>
          <w:szCs w:val="20"/>
        </w:rPr>
        <w:t xml:space="preserve"> </w:t>
      </w:r>
    </w:p>
    <w:p w14:paraId="220A9144" w14:textId="77777777" w:rsidR="00F33970" w:rsidRPr="005F270C" w:rsidRDefault="000F58DB" w:rsidP="00F203AC">
      <w:pPr>
        <w:jc w:val="both"/>
        <w:rPr>
          <w:rFonts w:ascii="Arial" w:hAnsi="Arial" w:cs="Arial"/>
          <w:sz w:val="20"/>
          <w:szCs w:val="20"/>
        </w:rPr>
      </w:pPr>
      <w:r w:rsidRPr="005F270C">
        <w:rPr>
          <w:rFonts w:ascii="Arial" w:hAnsi="Arial" w:cs="Arial"/>
          <w:sz w:val="20"/>
          <w:szCs w:val="20"/>
        </w:rPr>
        <w:t>This century, Australian p</w:t>
      </w:r>
      <w:r w:rsidR="006161D8" w:rsidRPr="005F270C">
        <w:rPr>
          <w:rFonts w:ascii="Arial" w:hAnsi="Arial" w:cs="Arial"/>
          <w:sz w:val="20"/>
          <w:szCs w:val="20"/>
        </w:rPr>
        <w:t>lanning systems have followed a template</w:t>
      </w:r>
      <w:r w:rsidR="00322978">
        <w:rPr>
          <w:rFonts w:ascii="Arial" w:hAnsi="Arial" w:cs="Arial"/>
          <w:sz w:val="20"/>
          <w:szCs w:val="20"/>
        </w:rPr>
        <w:t xml:space="preserve"> </w:t>
      </w:r>
      <w:r w:rsidR="006161D8" w:rsidRPr="005F270C">
        <w:rPr>
          <w:rFonts w:ascii="Arial" w:hAnsi="Arial" w:cs="Arial"/>
          <w:sz w:val="20"/>
          <w:szCs w:val="20"/>
        </w:rPr>
        <w:t>designed explicitly to achieve neoliberal outcomes</w:t>
      </w:r>
      <w:r w:rsidR="00322978">
        <w:rPr>
          <w:rFonts w:ascii="Arial" w:hAnsi="Arial" w:cs="Arial"/>
          <w:sz w:val="20"/>
          <w:szCs w:val="20"/>
        </w:rPr>
        <w:t xml:space="preserve"> similar to those of the UK in the 1980s</w:t>
      </w:r>
      <w:r w:rsidR="006161D8" w:rsidRPr="005F270C">
        <w:rPr>
          <w:rFonts w:ascii="Arial" w:hAnsi="Arial" w:cs="Arial"/>
          <w:sz w:val="20"/>
          <w:szCs w:val="20"/>
        </w:rPr>
        <w:t xml:space="preserve">. </w:t>
      </w:r>
      <w:r w:rsidRPr="005F270C">
        <w:rPr>
          <w:rFonts w:ascii="Arial" w:hAnsi="Arial" w:cs="Arial"/>
          <w:sz w:val="20"/>
          <w:szCs w:val="20"/>
        </w:rPr>
        <w:t xml:space="preserve">The Victorian government commenced the shift to a neoliberal system in 1993 under the Kennett government. The Queensland government followed in </w:t>
      </w:r>
      <w:r w:rsidR="002F550C" w:rsidRPr="005F270C">
        <w:rPr>
          <w:rFonts w:ascii="Arial" w:hAnsi="Arial" w:cs="Arial"/>
          <w:sz w:val="20"/>
          <w:szCs w:val="20"/>
        </w:rPr>
        <w:t xml:space="preserve">1997 with the </w:t>
      </w:r>
      <w:r w:rsidR="002F550C" w:rsidRPr="005F270C">
        <w:rPr>
          <w:rFonts w:ascii="Arial" w:hAnsi="Arial" w:cs="Arial"/>
          <w:i/>
          <w:sz w:val="20"/>
          <w:szCs w:val="20"/>
        </w:rPr>
        <w:t>In</w:t>
      </w:r>
      <w:r w:rsidR="00F33970" w:rsidRPr="005F270C">
        <w:rPr>
          <w:rFonts w:ascii="Arial" w:hAnsi="Arial" w:cs="Arial"/>
          <w:i/>
          <w:sz w:val="20"/>
          <w:szCs w:val="20"/>
        </w:rPr>
        <w:t>tegrated Planning Act</w:t>
      </w:r>
      <w:r w:rsidR="00F33970" w:rsidRPr="005F270C">
        <w:rPr>
          <w:rFonts w:ascii="Arial" w:hAnsi="Arial" w:cs="Arial"/>
          <w:sz w:val="20"/>
          <w:szCs w:val="20"/>
        </w:rPr>
        <w:t xml:space="preserve">. These two new systems attempted to deregulate traditional planning systems. The Queensland system was more radically deregulatory than the Victorian one, </w:t>
      </w:r>
      <w:r w:rsidR="00F33970" w:rsidRPr="005F270C">
        <w:rPr>
          <w:rFonts w:ascii="Arial" w:eastAsia="Times New Roman" w:hAnsi="Arial" w:cs="Arial"/>
          <w:sz w:val="20"/>
          <w:szCs w:val="20"/>
          <w:lang w:eastAsia="en-AU"/>
        </w:rPr>
        <w:t>replacing “prescriptive, zone-based planning instruments with more strategic and performance-based styles of planning…previously prescriptive zones became statements of policy only</w:t>
      </w:r>
      <w:r w:rsidR="00C53285" w:rsidRPr="005F270C">
        <w:rPr>
          <w:rFonts w:ascii="Arial" w:eastAsia="Times New Roman" w:hAnsi="Arial" w:cs="Arial"/>
          <w:sz w:val="20"/>
          <w:szCs w:val="20"/>
          <w:lang w:eastAsia="en-AU"/>
        </w:rPr>
        <w:t>…</w:t>
      </w:r>
      <w:r w:rsidR="00F33970" w:rsidRPr="005F270C">
        <w:rPr>
          <w:rFonts w:ascii="Arial" w:eastAsia="Times New Roman" w:hAnsi="Arial" w:cs="Arial"/>
          <w:sz w:val="20"/>
          <w:szCs w:val="20"/>
          <w:lang w:eastAsia="en-AU"/>
        </w:rPr>
        <w:t>The intention was to provide flexibility, encourage innovation and make performance outcomes the chief</w:t>
      </w:r>
      <w:r w:rsidR="00C53285" w:rsidRPr="005F270C">
        <w:rPr>
          <w:rFonts w:ascii="Arial" w:eastAsia="Times New Roman" w:hAnsi="Arial" w:cs="Arial"/>
          <w:sz w:val="20"/>
          <w:szCs w:val="20"/>
          <w:lang w:eastAsia="en-AU"/>
        </w:rPr>
        <w:t xml:space="preserve"> criteria for decision-making” </w:t>
      </w:r>
      <w:r w:rsidR="00860920" w:rsidRPr="005F270C">
        <w:rPr>
          <w:rFonts w:ascii="Arial" w:eastAsia="Times New Roman" w:hAnsi="Arial" w:cs="Arial"/>
          <w:sz w:val="20"/>
          <w:szCs w:val="20"/>
          <w:lang w:eastAsia="en-AU"/>
        </w:rPr>
        <w:t>(</w:t>
      </w:r>
      <w:r w:rsidR="00C53285" w:rsidRPr="005F270C">
        <w:rPr>
          <w:rFonts w:ascii="Arial" w:eastAsia="Times New Roman" w:hAnsi="Arial" w:cs="Arial"/>
          <w:sz w:val="20"/>
          <w:szCs w:val="20"/>
          <w:lang w:eastAsia="en-AU"/>
        </w:rPr>
        <w:t>England, 2010: 57).</w:t>
      </w:r>
      <w:r w:rsidR="00F33970" w:rsidRPr="005F270C">
        <w:rPr>
          <w:rFonts w:ascii="Arial" w:eastAsia="Times New Roman" w:hAnsi="Arial" w:cs="Arial"/>
          <w:sz w:val="20"/>
          <w:szCs w:val="20"/>
          <w:lang w:eastAsia="en-AU"/>
        </w:rPr>
        <w:t xml:space="preserve"> </w:t>
      </w:r>
      <w:r w:rsidR="00F33970" w:rsidRPr="005F270C">
        <w:rPr>
          <w:rFonts w:ascii="Arial" w:hAnsi="Arial" w:cs="Arial"/>
          <w:sz w:val="20"/>
          <w:szCs w:val="20"/>
        </w:rPr>
        <w:t>Other states have followed, particularly New South Wales, and some like South Australia and Tasmania which have moved to deregulate their planning systems more recently. Victoria, Queensland and New South Wales have all introduced second round changes to their systems which increase the level of deregulation.</w:t>
      </w:r>
    </w:p>
    <w:p w14:paraId="0A739E5F" w14:textId="77777777" w:rsidR="00DA7671" w:rsidRDefault="00F33970" w:rsidP="00F203AC">
      <w:pPr>
        <w:jc w:val="both"/>
        <w:rPr>
          <w:rFonts w:ascii="Arial" w:hAnsi="Arial" w:cs="Arial"/>
          <w:sz w:val="20"/>
          <w:szCs w:val="20"/>
        </w:rPr>
      </w:pPr>
      <w:r w:rsidRPr="005F270C">
        <w:rPr>
          <w:rFonts w:ascii="Arial" w:hAnsi="Arial" w:cs="Arial"/>
          <w:sz w:val="20"/>
          <w:szCs w:val="20"/>
        </w:rPr>
        <w:t>These second stage changes all draw</w:t>
      </w:r>
      <w:r w:rsidR="006161D8" w:rsidRPr="005F270C">
        <w:rPr>
          <w:rFonts w:ascii="Arial" w:hAnsi="Arial" w:cs="Arial"/>
          <w:sz w:val="20"/>
          <w:szCs w:val="20"/>
        </w:rPr>
        <w:t xml:space="preserve"> heavily from a national agenda. State and territory planning ministers</w:t>
      </w:r>
      <w:r w:rsidR="00B36D0E" w:rsidRPr="005F270C">
        <w:rPr>
          <w:rFonts w:ascii="Arial" w:hAnsi="Arial" w:cs="Arial"/>
          <w:sz w:val="20"/>
          <w:szCs w:val="20"/>
        </w:rPr>
        <w:t>, app</w:t>
      </w:r>
      <w:r w:rsidR="006B7477">
        <w:rPr>
          <w:rFonts w:ascii="Arial" w:hAnsi="Arial" w:cs="Arial"/>
          <w:sz w:val="20"/>
          <w:szCs w:val="20"/>
        </w:rPr>
        <w:t>ly</w:t>
      </w:r>
      <w:r w:rsidR="0006292B">
        <w:rPr>
          <w:rFonts w:ascii="Arial" w:hAnsi="Arial" w:cs="Arial"/>
          <w:sz w:val="20"/>
          <w:szCs w:val="20"/>
        </w:rPr>
        <w:t>ing</w:t>
      </w:r>
      <w:r w:rsidR="00D13B09">
        <w:rPr>
          <w:rFonts w:ascii="Arial" w:hAnsi="Arial" w:cs="Arial"/>
          <w:sz w:val="20"/>
          <w:szCs w:val="20"/>
        </w:rPr>
        <w:t xml:space="preserve"> N</w:t>
      </w:r>
      <w:r w:rsidR="00B36D0E" w:rsidRPr="005F270C">
        <w:rPr>
          <w:rFonts w:ascii="Arial" w:hAnsi="Arial" w:cs="Arial"/>
          <w:sz w:val="20"/>
          <w:szCs w:val="20"/>
        </w:rPr>
        <w:t>ational Competition Policy to state planning systems,</w:t>
      </w:r>
      <w:r w:rsidR="006161D8" w:rsidRPr="005F270C">
        <w:rPr>
          <w:rFonts w:ascii="Arial" w:hAnsi="Arial" w:cs="Arial"/>
          <w:sz w:val="20"/>
          <w:szCs w:val="20"/>
        </w:rPr>
        <w:t xml:space="preserve"> in 2005 endorsed the Leading Practice Model developed by the Development Assessment Forum (DAF) which comprises representatives of governments, the development industry and professions. The DAF model emphasized increased private sector involvement through self-assessment of applications and </w:t>
      </w:r>
      <w:r w:rsidR="006161D8" w:rsidRPr="005F270C">
        <w:rPr>
          <w:rFonts w:ascii="Arial" w:hAnsi="Arial" w:cs="Arial"/>
          <w:sz w:val="20"/>
          <w:szCs w:val="20"/>
        </w:rPr>
        <w:lastRenderedPageBreak/>
        <w:t xml:space="preserve">planning scheme amendments, standardized planning provisions in local council planning schemes, professional determination of applications through the use of codes, substantial reductions in third party rights, and a reduction in prohibited uses and the need for permits (Productivity Commission 2011). </w:t>
      </w:r>
      <w:r w:rsidR="00B04EBC" w:rsidRPr="005F270C">
        <w:rPr>
          <w:rFonts w:ascii="Arial" w:hAnsi="Arial" w:cs="Arial"/>
          <w:sz w:val="20"/>
          <w:szCs w:val="20"/>
        </w:rPr>
        <w:t>Victorian governments have also drawn from national competition policy, reports of the</w:t>
      </w:r>
      <w:r w:rsidR="0006292B">
        <w:rPr>
          <w:rFonts w:ascii="Arial" w:hAnsi="Arial" w:cs="Arial"/>
          <w:sz w:val="20"/>
          <w:szCs w:val="20"/>
        </w:rPr>
        <w:t xml:space="preserve"> Productivity Commission and </w:t>
      </w:r>
      <w:r w:rsidR="00B04EBC" w:rsidRPr="005F270C">
        <w:rPr>
          <w:rFonts w:ascii="Arial" w:hAnsi="Arial" w:cs="Arial"/>
          <w:sz w:val="20"/>
          <w:szCs w:val="20"/>
        </w:rPr>
        <w:t xml:space="preserve">other bodies such as the Victorian Efficiency and Competition Commission which have advocated land use deregulation. </w:t>
      </w:r>
    </w:p>
    <w:p w14:paraId="108F4CA0" w14:textId="77777777" w:rsidR="006161D8" w:rsidRPr="000003D4" w:rsidRDefault="008B2DAA" w:rsidP="00F203AC">
      <w:pPr>
        <w:jc w:val="both"/>
        <w:rPr>
          <w:rFonts w:ascii="Arial" w:hAnsi="Arial" w:cs="Arial"/>
          <w:b/>
        </w:rPr>
      </w:pPr>
      <w:r w:rsidRPr="000003D4">
        <w:rPr>
          <w:rFonts w:ascii="Arial" w:hAnsi="Arial" w:cs="Arial"/>
          <w:b/>
        </w:rPr>
        <w:t xml:space="preserve">Victorian strategy and system </w:t>
      </w:r>
      <w:r w:rsidR="00F82F07" w:rsidRPr="000003D4">
        <w:rPr>
          <w:rFonts w:ascii="Arial" w:hAnsi="Arial" w:cs="Arial"/>
          <w:b/>
        </w:rPr>
        <w:t>– case study in change</w:t>
      </w:r>
    </w:p>
    <w:p w14:paraId="647B4CBF" w14:textId="77777777" w:rsidR="003F09AF" w:rsidRPr="000003D4" w:rsidRDefault="003F09AF" w:rsidP="00F203AC">
      <w:pPr>
        <w:jc w:val="both"/>
        <w:rPr>
          <w:rFonts w:ascii="Arial" w:hAnsi="Arial" w:cs="Arial"/>
          <w:b/>
          <w:i/>
        </w:rPr>
      </w:pPr>
      <w:r w:rsidRPr="000003D4">
        <w:rPr>
          <w:rFonts w:ascii="Arial" w:hAnsi="Arial" w:cs="Arial"/>
          <w:b/>
          <w:i/>
        </w:rPr>
        <w:t>Early strategy and planning process</w:t>
      </w:r>
    </w:p>
    <w:p w14:paraId="693C252F" w14:textId="77777777" w:rsidR="008B2DAA" w:rsidRPr="005F270C" w:rsidRDefault="008B2DAA" w:rsidP="00F203AC">
      <w:pPr>
        <w:jc w:val="both"/>
        <w:rPr>
          <w:rFonts w:ascii="Arial" w:hAnsi="Arial" w:cs="Arial"/>
          <w:sz w:val="20"/>
          <w:szCs w:val="20"/>
        </w:rPr>
      </w:pPr>
      <w:r w:rsidRPr="005F270C">
        <w:rPr>
          <w:rFonts w:ascii="Arial" w:hAnsi="Arial" w:cs="Arial"/>
          <w:sz w:val="20"/>
          <w:szCs w:val="20"/>
        </w:rPr>
        <w:t>Until the late 1980s, Victorian govern</w:t>
      </w:r>
      <w:r w:rsidR="00F82F07" w:rsidRPr="005F270C">
        <w:rPr>
          <w:rFonts w:ascii="Arial" w:hAnsi="Arial" w:cs="Arial"/>
          <w:sz w:val="20"/>
          <w:szCs w:val="20"/>
        </w:rPr>
        <w:t>ments gave primacy to planning strategy and used the planning system to implement strategic dir</w:t>
      </w:r>
      <w:r w:rsidR="00860920" w:rsidRPr="005F270C">
        <w:rPr>
          <w:rFonts w:ascii="Arial" w:hAnsi="Arial" w:cs="Arial"/>
          <w:sz w:val="20"/>
          <w:szCs w:val="20"/>
        </w:rPr>
        <w:t>ections. The government designated</w:t>
      </w:r>
      <w:r w:rsidR="00F82F07" w:rsidRPr="005F270C">
        <w:rPr>
          <w:rFonts w:ascii="Arial" w:hAnsi="Arial" w:cs="Arial"/>
          <w:sz w:val="20"/>
          <w:szCs w:val="20"/>
        </w:rPr>
        <w:t xml:space="preserve"> the Melbourne and Metropolitan Board of Works (MMBW) as the metropolitan planning authority in 1949 and the MMBW immediately commenced extensive research into local conditions and </w:t>
      </w:r>
      <w:r w:rsidR="00860920" w:rsidRPr="005F270C">
        <w:rPr>
          <w:rFonts w:ascii="Arial" w:hAnsi="Arial" w:cs="Arial"/>
          <w:sz w:val="20"/>
          <w:szCs w:val="20"/>
        </w:rPr>
        <w:t xml:space="preserve">to </w:t>
      </w:r>
      <w:r w:rsidR="00F82F07" w:rsidRPr="005F270C">
        <w:rPr>
          <w:rFonts w:ascii="Arial" w:hAnsi="Arial" w:cs="Arial"/>
          <w:sz w:val="20"/>
          <w:szCs w:val="20"/>
        </w:rPr>
        <w:t xml:space="preserve">approaches to land use planning in other western countries. The result was a two volume work </w:t>
      </w:r>
      <w:r w:rsidR="00130FEE" w:rsidRPr="005F270C">
        <w:rPr>
          <w:rFonts w:ascii="Arial" w:hAnsi="Arial" w:cs="Arial"/>
          <w:sz w:val="20"/>
          <w:szCs w:val="20"/>
        </w:rPr>
        <w:t xml:space="preserve">released in 1953 </w:t>
      </w:r>
      <w:r w:rsidR="00F82F07" w:rsidRPr="005F270C">
        <w:rPr>
          <w:rFonts w:ascii="Arial" w:hAnsi="Arial" w:cs="Arial"/>
          <w:sz w:val="20"/>
          <w:szCs w:val="20"/>
        </w:rPr>
        <w:t>outlining in detail the results of this research</w:t>
      </w:r>
      <w:r w:rsidR="00860920" w:rsidRPr="005F270C">
        <w:rPr>
          <w:rFonts w:ascii="Arial" w:hAnsi="Arial" w:cs="Arial"/>
          <w:sz w:val="20"/>
          <w:szCs w:val="20"/>
        </w:rPr>
        <w:t>,</w:t>
      </w:r>
      <w:r w:rsidR="00F82F07" w:rsidRPr="005F270C">
        <w:rPr>
          <w:rFonts w:ascii="Arial" w:hAnsi="Arial" w:cs="Arial"/>
          <w:sz w:val="20"/>
          <w:szCs w:val="20"/>
        </w:rPr>
        <w:t xml:space="preserve"> and Melbourne’s future strategic directions</w:t>
      </w:r>
      <w:r w:rsidR="00860920" w:rsidRPr="005F270C">
        <w:rPr>
          <w:rFonts w:ascii="Arial" w:hAnsi="Arial" w:cs="Arial"/>
          <w:sz w:val="20"/>
          <w:szCs w:val="20"/>
        </w:rPr>
        <w:t xml:space="preserve"> </w:t>
      </w:r>
      <w:r w:rsidR="00AE1BEB" w:rsidRPr="005F270C">
        <w:rPr>
          <w:rFonts w:ascii="Arial" w:hAnsi="Arial" w:cs="Arial"/>
          <w:sz w:val="20"/>
          <w:szCs w:val="20"/>
        </w:rPr>
        <w:t>(MMBW, 1953a, MMBW 1953b)</w:t>
      </w:r>
      <w:r w:rsidR="00F82F07" w:rsidRPr="005F270C">
        <w:rPr>
          <w:rFonts w:ascii="Arial" w:hAnsi="Arial" w:cs="Arial"/>
          <w:sz w:val="20"/>
          <w:szCs w:val="20"/>
        </w:rPr>
        <w:t>.</w:t>
      </w:r>
      <w:r w:rsidR="00DA7671">
        <w:rPr>
          <w:rFonts w:ascii="Arial" w:hAnsi="Arial" w:cs="Arial"/>
          <w:sz w:val="20"/>
          <w:szCs w:val="20"/>
        </w:rPr>
        <w:t xml:space="preserve"> The MMBW</w:t>
      </w:r>
      <w:r w:rsidR="00F82F07" w:rsidRPr="005F270C">
        <w:rPr>
          <w:rFonts w:ascii="Arial" w:hAnsi="Arial" w:cs="Arial"/>
          <w:sz w:val="20"/>
          <w:szCs w:val="20"/>
        </w:rPr>
        <w:t xml:space="preserve"> also built on earlier strategic work undertaken</w:t>
      </w:r>
      <w:r w:rsidR="00130FEE" w:rsidRPr="005F270C">
        <w:rPr>
          <w:rFonts w:ascii="Arial" w:hAnsi="Arial" w:cs="Arial"/>
          <w:sz w:val="20"/>
          <w:szCs w:val="20"/>
        </w:rPr>
        <w:t xml:space="preserve"> by the Metropolitan Planning</w:t>
      </w:r>
      <w:r w:rsidR="00D13B09">
        <w:rPr>
          <w:rFonts w:ascii="Arial" w:hAnsi="Arial" w:cs="Arial"/>
          <w:sz w:val="20"/>
          <w:szCs w:val="20"/>
        </w:rPr>
        <w:t xml:space="preserve"> Commission </w:t>
      </w:r>
      <w:r w:rsidR="00AE1BEB" w:rsidRPr="005F270C">
        <w:rPr>
          <w:rFonts w:ascii="Arial" w:hAnsi="Arial" w:cs="Arial"/>
          <w:sz w:val="20"/>
          <w:szCs w:val="20"/>
        </w:rPr>
        <w:t>released in 1929</w:t>
      </w:r>
      <w:r w:rsidR="00130FEE" w:rsidRPr="005F270C">
        <w:rPr>
          <w:rFonts w:ascii="Arial" w:hAnsi="Arial" w:cs="Arial"/>
          <w:sz w:val="20"/>
          <w:szCs w:val="20"/>
        </w:rPr>
        <w:t xml:space="preserve"> in Melbourne’s first strategic plan, the </w:t>
      </w:r>
      <w:r w:rsidR="00130FEE" w:rsidRPr="005F270C">
        <w:rPr>
          <w:rFonts w:ascii="Arial" w:hAnsi="Arial" w:cs="Arial"/>
          <w:i/>
          <w:sz w:val="20"/>
          <w:szCs w:val="20"/>
        </w:rPr>
        <w:t>Plan of General Development</w:t>
      </w:r>
      <w:r w:rsidR="00130FEE" w:rsidRPr="005F270C">
        <w:rPr>
          <w:rFonts w:ascii="Arial" w:hAnsi="Arial" w:cs="Arial"/>
          <w:sz w:val="20"/>
          <w:szCs w:val="20"/>
        </w:rPr>
        <w:t xml:space="preserve">, </w:t>
      </w:r>
      <w:r w:rsidR="00130FEE" w:rsidRPr="00DA7671">
        <w:rPr>
          <w:rFonts w:ascii="Arial" w:hAnsi="Arial" w:cs="Arial"/>
          <w:i/>
          <w:sz w:val="20"/>
          <w:szCs w:val="20"/>
        </w:rPr>
        <w:t>Melbourne</w:t>
      </w:r>
      <w:r w:rsidR="006D0057" w:rsidRPr="005F270C">
        <w:rPr>
          <w:rFonts w:ascii="Arial" w:hAnsi="Arial" w:cs="Arial"/>
          <w:sz w:val="20"/>
          <w:szCs w:val="20"/>
        </w:rPr>
        <w:t xml:space="preserve"> (MTPC, 1929)</w:t>
      </w:r>
      <w:r w:rsidR="00130FEE" w:rsidRPr="005F270C">
        <w:rPr>
          <w:rFonts w:ascii="Arial" w:hAnsi="Arial" w:cs="Arial"/>
          <w:sz w:val="20"/>
          <w:szCs w:val="20"/>
        </w:rPr>
        <w:t>. Both the 1929 and the 1953 plan</w:t>
      </w:r>
      <w:r w:rsidR="0082267C">
        <w:rPr>
          <w:rFonts w:ascii="Arial" w:hAnsi="Arial" w:cs="Arial"/>
          <w:sz w:val="20"/>
          <w:szCs w:val="20"/>
        </w:rPr>
        <w:t>s</w:t>
      </w:r>
      <w:r w:rsidR="00130FEE" w:rsidRPr="005F270C">
        <w:rPr>
          <w:rFonts w:ascii="Arial" w:hAnsi="Arial" w:cs="Arial"/>
          <w:sz w:val="20"/>
          <w:szCs w:val="20"/>
        </w:rPr>
        <w:t xml:space="preserve"> included details of a recommended planning system to implem</w:t>
      </w:r>
      <w:r w:rsidR="00C310BB" w:rsidRPr="005F270C">
        <w:rPr>
          <w:rFonts w:ascii="Arial" w:hAnsi="Arial" w:cs="Arial"/>
          <w:sz w:val="20"/>
          <w:szCs w:val="20"/>
        </w:rPr>
        <w:t xml:space="preserve">ent the strategic intent, </w:t>
      </w:r>
      <w:r w:rsidR="00130FEE" w:rsidRPr="005F270C">
        <w:rPr>
          <w:rFonts w:ascii="Arial" w:hAnsi="Arial" w:cs="Arial"/>
          <w:sz w:val="20"/>
          <w:szCs w:val="20"/>
        </w:rPr>
        <w:t>includ</w:t>
      </w:r>
      <w:r w:rsidR="00DA7671">
        <w:rPr>
          <w:rFonts w:ascii="Arial" w:hAnsi="Arial" w:cs="Arial"/>
          <w:sz w:val="20"/>
          <w:szCs w:val="20"/>
        </w:rPr>
        <w:t>ing</w:t>
      </w:r>
      <w:r w:rsidR="00130FEE" w:rsidRPr="005F270C">
        <w:rPr>
          <w:rFonts w:ascii="Arial" w:hAnsi="Arial" w:cs="Arial"/>
          <w:sz w:val="20"/>
          <w:szCs w:val="20"/>
        </w:rPr>
        <w:t xml:space="preserve"> the detail of proposed zones and institutional arrangements. The 1929 plan recommended the establishment of a Town Planning Authority to administer a dedicated Town Planning Act. The MMBW </w:t>
      </w:r>
      <w:r w:rsidR="00C310BB" w:rsidRPr="005F270C">
        <w:rPr>
          <w:rFonts w:ascii="Arial" w:hAnsi="Arial" w:cs="Arial"/>
          <w:sz w:val="20"/>
          <w:szCs w:val="20"/>
        </w:rPr>
        <w:t>as t</w:t>
      </w:r>
      <w:r w:rsidR="00130FEE" w:rsidRPr="005F270C">
        <w:rPr>
          <w:rFonts w:ascii="Arial" w:hAnsi="Arial" w:cs="Arial"/>
          <w:sz w:val="20"/>
          <w:szCs w:val="20"/>
        </w:rPr>
        <w:t xml:space="preserve">he </w:t>
      </w:r>
      <w:r w:rsidR="00C310BB" w:rsidRPr="005F270C">
        <w:rPr>
          <w:rFonts w:ascii="Arial" w:hAnsi="Arial" w:cs="Arial"/>
          <w:sz w:val="20"/>
          <w:szCs w:val="20"/>
        </w:rPr>
        <w:t xml:space="preserve">planning authority </w:t>
      </w:r>
      <w:r w:rsidR="00130FEE" w:rsidRPr="005F270C">
        <w:rPr>
          <w:rFonts w:ascii="Arial" w:hAnsi="Arial" w:cs="Arial"/>
          <w:sz w:val="20"/>
          <w:szCs w:val="20"/>
        </w:rPr>
        <w:t xml:space="preserve">moved to adopt a planning scheme for metropolitan Melbourne. This was introduced as an Interim Development Order and finally adopted in 1968 as the </w:t>
      </w:r>
      <w:r w:rsidR="00130FEE" w:rsidRPr="005F270C">
        <w:rPr>
          <w:rFonts w:ascii="Arial" w:hAnsi="Arial" w:cs="Arial"/>
          <w:i/>
          <w:sz w:val="20"/>
          <w:szCs w:val="20"/>
        </w:rPr>
        <w:t>Melbourne Metropolitan Planning Scheme</w:t>
      </w:r>
      <w:r w:rsidR="0025357A" w:rsidRPr="005F270C">
        <w:rPr>
          <w:rFonts w:ascii="Arial" w:hAnsi="Arial" w:cs="Arial"/>
          <w:i/>
          <w:sz w:val="20"/>
          <w:szCs w:val="20"/>
        </w:rPr>
        <w:t xml:space="preserve"> </w:t>
      </w:r>
      <w:r w:rsidR="0025357A" w:rsidRPr="005F270C">
        <w:rPr>
          <w:rFonts w:ascii="Arial" w:hAnsi="Arial" w:cs="Arial"/>
          <w:sz w:val="20"/>
          <w:szCs w:val="20"/>
        </w:rPr>
        <w:t>(</w:t>
      </w:r>
      <w:r w:rsidR="0025357A" w:rsidRPr="005F270C">
        <w:rPr>
          <w:rFonts w:ascii="Arial" w:hAnsi="Arial" w:cs="Arial"/>
          <w:i/>
          <w:sz w:val="20"/>
          <w:szCs w:val="20"/>
        </w:rPr>
        <w:t>MMPS</w:t>
      </w:r>
      <w:r w:rsidR="0025357A" w:rsidRPr="005F270C">
        <w:rPr>
          <w:rFonts w:ascii="Arial" w:hAnsi="Arial" w:cs="Arial"/>
          <w:sz w:val="20"/>
          <w:szCs w:val="20"/>
        </w:rPr>
        <w:t>)</w:t>
      </w:r>
      <w:r w:rsidR="00C310BB" w:rsidRPr="005F270C">
        <w:rPr>
          <w:rFonts w:ascii="Arial" w:hAnsi="Arial" w:cs="Arial"/>
          <w:sz w:val="20"/>
          <w:szCs w:val="20"/>
        </w:rPr>
        <w:t>. Sixteen</w:t>
      </w:r>
      <w:r w:rsidR="00130FEE" w:rsidRPr="005F270C">
        <w:rPr>
          <w:rFonts w:ascii="Arial" w:hAnsi="Arial" w:cs="Arial"/>
          <w:sz w:val="20"/>
          <w:szCs w:val="20"/>
        </w:rPr>
        <w:t xml:space="preserve"> versions of t</w:t>
      </w:r>
      <w:r w:rsidR="0082267C">
        <w:rPr>
          <w:rFonts w:ascii="Arial" w:hAnsi="Arial" w:cs="Arial"/>
          <w:sz w:val="20"/>
          <w:szCs w:val="20"/>
        </w:rPr>
        <w:t>his planning scheme were developed</w:t>
      </w:r>
      <w:r w:rsidR="00130FEE" w:rsidRPr="005F270C">
        <w:rPr>
          <w:rFonts w:ascii="Arial" w:hAnsi="Arial" w:cs="Arial"/>
          <w:sz w:val="20"/>
          <w:szCs w:val="20"/>
        </w:rPr>
        <w:t xml:space="preserve"> until </w:t>
      </w:r>
      <w:r w:rsidR="00C310BB" w:rsidRPr="005F270C">
        <w:rPr>
          <w:rFonts w:ascii="Arial" w:hAnsi="Arial" w:cs="Arial"/>
          <w:sz w:val="20"/>
          <w:szCs w:val="20"/>
        </w:rPr>
        <w:t xml:space="preserve">in 1985 </w:t>
      </w:r>
      <w:r w:rsidR="00130FEE" w:rsidRPr="005F270C">
        <w:rPr>
          <w:rFonts w:ascii="Arial" w:hAnsi="Arial" w:cs="Arial"/>
          <w:sz w:val="20"/>
          <w:szCs w:val="20"/>
        </w:rPr>
        <w:t xml:space="preserve">the Cain Labor government moved the MMBW’s planning responsibilities into the new Ministry for Planning and Environment. </w:t>
      </w:r>
    </w:p>
    <w:p w14:paraId="436B6832" w14:textId="77777777" w:rsidR="00755A45" w:rsidRPr="005F270C" w:rsidRDefault="0025357A" w:rsidP="00F203AC">
      <w:pPr>
        <w:jc w:val="both"/>
        <w:rPr>
          <w:rFonts w:ascii="Arial" w:hAnsi="Arial" w:cs="Arial"/>
          <w:sz w:val="20"/>
          <w:szCs w:val="20"/>
        </w:rPr>
      </w:pPr>
      <w:r w:rsidRPr="005F270C">
        <w:rPr>
          <w:rFonts w:ascii="Arial" w:hAnsi="Arial" w:cs="Arial"/>
          <w:sz w:val="20"/>
          <w:szCs w:val="20"/>
        </w:rPr>
        <w:t xml:space="preserve">The MMBW continued to place primary emphasis on strategy and </w:t>
      </w:r>
      <w:r w:rsidR="003F0A2C" w:rsidRPr="005F270C">
        <w:rPr>
          <w:rFonts w:ascii="Arial" w:hAnsi="Arial" w:cs="Arial"/>
          <w:sz w:val="20"/>
          <w:szCs w:val="20"/>
        </w:rPr>
        <w:t xml:space="preserve">to </w:t>
      </w:r>
      <w:r w:rsidRPr="005F270C">
        <w:rPr>
          <w:rFonts w:ascii="Arial" w:hAnsi="Arial" w:cs="Arial"/>
          <w:sz w:val="20"/>
          <w:szCs w:val="20"/>
        </w:rPr>
        <w:t>regard the MMPS as the implementation instrument</w:t>
      </w:r>
      <w:r w:rsidR="00F34624" w:rsidRPr="005F270C">
        <w:rPr>
          <w:rFonts w:ascii="Arial" w:hAnsi="Arial" w:cs="Arial"/>
          <w:sz w:val="20"/>
          <w:szCs w:val="20"/>
        </w:rPr>
        <w:t>,</w:t>
      </w:r>
      <w:r w:rsidRPr="005F270C">
        <w:rPr>
          <w:rFonts w:ascii="Arial" w:hAnsi="Arial" w:cs="Arial"/>
          <w:sz w:val="20"/>
          <w:szCs w:val="20"/>
        </w:rPr>
        <w:t xml:space="preserve"> until the demise of its planning functions. The 1971 plan, </w:t>
      </w:r>
      <w:r w:rsidR="00E05E7C" w:rsidRPr="005F270C">
        <w:rPr>
          <w:rFonts w:ascii="Arial" w:hAnsi="Arial" w:cs="Arial"/>
          <w:i/>
          <w:sz w:val="20"/>
          <w:szCs w:val="20"/>
        </w:rPr>
        <w:t>Planning Policies for the Melbourne Metropolitan Region</w:t>
      </w:r>
      <w:r w:rsidR="006D0057" w:rsidRPr="005F270C">
        <w:rPr>
          <w:rFonts w:ascii="Arial" w:hAnsi="Arial" w:cs="Arial"/>
          <w:i/>
          <w:sz w:val="20"/>
          <w:szCs w:val="20"/>
        </w:rPr>
        <w:t xml:space="preserve"> </w:t>
      </w:r>
      <w:r w:rsidR="006D0057" w:rsidRPr="005F270C">
        <w:rPr>
          <w:rFonts w:ascii="Arial" w:hAnsi="Arial" w:cs="Arial"/>
          <w:sz w:val="20"/>
          <w:szCs w:val="20"/>
        </w:rPr>
        <w:t>(MMBW, 1971)</w:t>
      </w:r>
      <w:r w:rsidR="00F34624" w:rsidRPr="005F270C">
        <w:rPr>
          <w:rFonts w:ascii="Arial" w:hAnsi="Arial" w:cs="Arial"/>
          <w:sz w:val="20"/>
          <w:szCs w:val="20"/>
        </w:rPr>
        <w:t xml:space="preserve">, </w:t>
      </w:r>
      <w:r w:rsidRPr="005F270C">
        <w:rPr>
          <w:rFonts w:ascii="Arial" w:hAnsi="Arial" w:cs="Arial"/>
          <w:sz w:val="20"/>
          <w:szCs w:val="20"/>
        </w:rPr>
        <w:t>in particular, set the strategic spatial pattern for Melbourne’s future growth which has influenced all outer urban</w:t>
      </w:r>
      <w:r w:rsidR="003F0A2C" w:rsidRPr="005F270C">
        <w:rPr>
          <w:rFonts w:ascii="Arial" w:hAnsi="Arial" w:cs="Arial"/>
          <w:sz w:val="20"/>
          <w:szCs w:val="20"/>
        </w:rPr>
        <w:t xml:space="preserve"> growth and survives in an alt</w:t>
      </w:r>
      <w:r w:rsidR="00F34624" w:rsidRPr="005F270C">
        <w:rPr>
          <w:rFonts w:ascii="Arial" w:hAnsi="Arial" w:cs="Arial"/>
          <w:sz w:val="20"/>
          <w:szCs w:val="20"/>
        </w:rPr>
        <w:t xml:space="preserve">ered form </w:t>
      </w:r>
      <w:r w:rsidR="003F0A2C" w:rsidRPr="005F270C">
        <w:rPr>
          <w:rFonts w:ascii="Arial" w:hAnsi="Arial" w:cs="Arial"/>
          <w:sz w:val="20"/>
          <w:szCs w:val="20"/>
        </w:rPr>
        <w:t xml:space="preserve">today. </w:t>
      </w:r>
      <w:r w:rsidR="00E05E7C" w:rsidRPr="005F270C">
        <w:rPr>
          <w:rFonts w:ascii="Arial" w:hAnsi="Arial" w:cs="Arial"/>
          <w:sz w:val="20"/>
          <w:szCs w:val="20"/>
        </w:rPr>
        <w:t>All outer growth was to be confined to outer urban linear corridors</w:t>
      </w:r>
      <w:r w:rsidR="007D2350" w:rsidRPr="005F270C">
        <w:rPr>
          <w:rFonts w:ascii="Arial" w:hAnsi="Arial" w:cs="Arial"/>
          <w:sz w:val="20"/>
          <w:szCs w:val="20"/>
        </w:rPr>
        <w:t xml:space="preserve"> of 4-6 miles in width, while areas between corridors, designated as ‘green-wedges’ were to be permanently protected from urban growth.</w:t>
      </w:r>
      <w:r w:rsidR="00E05E7C" w:rsidRPr="005F270C">
        <w:rPr>
          <w:rFonts w:ascii="Arial" w:hAnsi="Arial" w:cs="Arial"/>
          <w:sz w:val="20"/>
          <w:szCs w:val="20"/>
        </w:rPr>
        <w:t xml:space="preserve"> The plan became Melbourne’s first regional plan, extending the area affected from 1800 km</w:t>
      </w:r>
      <w:r w:rsidR="00E05E7C" w:rsidRPr="005F270C">
        <w:rPr>
          <w:rFonts w:ascii="Arial" w:hAnsi="Arial" w:cs="Arial"/>
          <w:sz w:val="20"/>
          <w:szCs w:val="20"/>
          <w:vertAlign w:val="superscript"/>
        </w:rPr>
        <w:t>2</w:t>
      </w:r>
      <w:r w:rsidR="00E05E7C" w:rsidRPr="005F270C">
        <w:rPr>
          <w:rFonts w:ascii="Arial" w:hAnsi="Arial" w:cs="Arial"/>
          <w:sz w:val="20"/>
          <w:szCs w:val="20"/>
        </w:rPr>
        <w:t xml:space="preserve"> </w:t>
      </w:r>
      <w:r w:rsidR="00C310BB" w:rsidRPr="005F270C">
        <w:rPr>
          <w:rFonts w:ascii="Arial" w:hAnsi="Arial" w:cs="Arial"/>
          <w:sz w:val="20"/>
          <w:szCs w:val="20"/>
        </w:rPr>
        <w:t xml:space="preserve">in 1954 </w:t>
      </w:r>
      <w:r w:rsidR="00E05E7C" w:rsidRPr="005F270C">
        <w:rPr>
          <w:rFonts w:ascii="Arial" w:hAnsi="Arial" w:cs="Arial"/>
          <w:sz w:val="20"/>
          <w:szCs w:val="20"/>
        </w:rPr>
        <w:t>to 5029 km</w:t>
      </w:r>
      <w:r w:rsidR="00E05E7C" w:rsidRPr="005F270C">
        <w:rPr>
          <w:rFonts w:ascii="Arial" w:hAnsi="Arial" w:cs="Arial"/>
          <w:sz w:val="20"/>
          <w:szCs w:val="20"/>
          <w:vertAlign w:val="superscript"/>
        </w:rPr>
        <w:t>2</w:t>
      </w:r>
      <w:r w:rsidR="00E05E7C" w:rsidRPr="005F270C">
        <w:rPr>
          <w:rFonts w:ascii="Arial" w:hAnsi="Arial" w:cs="Arial"/>
          <w:sz w:val="20"/>
          <w:szCs w:val="20"/>
        </w:rPr>
        <w:t xml:space="preserve">. Considerable attention was paid to implementation through Amending Planning Schemes 3 and 21 and new zones developed to protect Melbourne’s hinterland. </w:t>
      </w:r>
      <w:r w:rsidR="00F34624" w:rsidRPr="005F270C">
        <w:rPr>
          <w:rFonts w:ascii="Arial" w:hAnsi="Arial" w:cs="Arial"/>
          <w:sz w:val="20"/>
          <w:szCs w:val="20"/>
        </w:rPr>
        <w:t xml:space="preserve">Every government since 1971 has had to address the provisions of this </w:t>
      </w:r>
      <w:r w:rsidR="007D2350" w:rsidRPr="005F270C">
        <w:rPr>
          <w:rFonts w:ascii="Arial" w:hAnsi="Arial" w:cs="Arial"/>
          <w:sz w:val="20"/>
          <w:szCs w:val="20"/>
        </w:rPr>
        <w:t xml:space="preserve">strategic </w:t>
      </w:r>
      <w:r w:rsidR="00F34624" w:rsidRPr="005F270C">
        <w:rPr>
          <w:rFonts w:ascii="Arial" w:hAnsi="Arial" w:cs="Arial"/>
          <w:sz w:val="20"/>
          <w:szCs w:val="20"/>
        </w:rPr>
        <w:t xml:space="preserve">corridor-green wedge plan and justify </w:t>
      </w:r>
      <w:r w:rsidR="00DA7671" w:rsidRPr="005F270C">
        <w:rPr>
          <w:rFonts w:ascii="Arial" w:hAnsi="Arial" w:cs="Arial"/>
          <w:sz w:val="20"/>
          <w:szCs w:val="20"/>
        </w:rPr>
        <w:t>deviations from it</w:t>
      </w:r>
      <w:r w:rsidR="00DA7671">
        <w:rPr>
          <w:rFonts w:ascii="Arial" w:hAnsi="Arial" w:cs="Arial"/>
          <w:sz w:val="20"/>
          <w:szCs w:val="20"/>
        </w:rPr>
        <w:t>.</w:t>
      </w:r>
      <w:r w:rsidR="00F34624" w:rsidRPr="005F270C">
        <w:rPr>
          <w:rFonts w:ascii="Arial" w:hAnsi="Arial" w:cs="Arial"/>
          <w:sz w:val="20"/>
          <w:szCs w:val="20"/>
        </w:rPr>
        <w:t xml:space="preserve"> </w:t>
      </w:r>
      <w:r w:rsidR="00073FA9">
        <w:rPr>
          <w:rFonts w:ascii="Arial" w:hAnsi="Arial" w:cs="Arial"/>
          <w:sz w:val="20"/>
          <w:szCs w:val="20"/>
        </w:rPr>
        <w:t xml:space="preserve">In particular, the </w:t>
      </w:r>
      <w:r w:rsidR="007D2350" w:rsidRPr="005F270C">
        <w:rPr>
          <w:rFonts w:ascii="Arial" w:hAnsi="Arial" w:cs="Arial"/>
          <w:sz w:val="20"/>
          <w:szCs w:val="20"/>
        </w:rPr>
        <w:t xml:space="preserve">Labor government in 2002 developed a legislated </w:t>
      </w:r>
      <w:r w:rsidR="006D0057" w:rsidRPr="005F270C">
        <w:rPr>
          <w:rFonts w:ascii="Arial" w:hAnsi="Arial" w:cs="Arial"/>
          <w:sz w:val="20"/>
          <w:szCs w:val="20"/>
        </w:rPr>
        <w:t xml:space="preserve">urban </w:t>
      </w:r>
      <w:r w:rsidR="007D2350" w:rsidRPr="005F270C">
        <w:rPr>
          <w:rFonts w:ascii="Arial" w:hAnsi="Arial" w:cs="Arial"/>
          <w:sz w:val="20"/>
          <w:szCs w:val="20"/>
        </w:rPr>
        <w:t xml:space="preserve">growth boundary and returned to the original MMBW zones for green wedges </w:t>
      </w:r>
      <w:r w:rsidR="00C310BB" w:rsidRPr="005F270C">
        <w:rPr>
          <w:rFonts w:ascii="Arial" w:hAnsi="Arial" w:cs="Arial"/>
          <w:sz w:val="20"/>
          <w:szCs w:val="20"/>
        </w:rPr>
        <w:t xml:space="preserve">substantially incorporating the MMBW Farming Zone into the new </w:t>
      </w:r>
      <w:r w:rsidR="007D2350" w:rsidRPr="005F270C">
        <w:rPr>
          <w:rFonts w:ascii="Arial" w:hAnsi="Arial" w:cs="Arial"/>
          <w:sz w:val="20"/>
          <w:szCs w:val="20"/>
        </w:rPr>
        <w:t>principal zone named the ‘Green Wedge Zo</w:t>
      </w:r>
      <w:r w:rsidR="00073FA9">
        <w:rPr>
          <w:rFonts w:ascii="Arial" w:hAnsi="Arial" w:cs="Arial"/>
          <w:sz w:val="20"/>
          <w:szCs w:val="20"/>
        </w:rPr>
        <w:t xml:space="preserve">ne’; while in 2013 the Coalition </w:t>
      </w:r>
      <w:r w:rsidR="007D2350" w:rsidRPr="005F270C">
        <w:rPr>
          <w:rFonts w:ascii="Arial" w:hAnsi="Arial" w:cs="Arial"/>
          <w:sz w:val="20"/>
          <w:szCs w:val="20"/>
        </w:rPr>
        <w:t>government encountered such strong opposition to its intention to re</w:t>
      </w:r>
      <w:r w:rsidR="007B4169" w:rsidRPr="005F270C">
        <w:rPr>
          <w:rFonts w:ascii="Arial" w:hAnsi="Arial" w:cs="Arial"/>
          <w:sz w:val="20"/>
          <w:szCs w:val="20"/>
        </w:rPr>
        <w:t xml:space="preserve">vert to the </w:t>
      </w:r>
      <w:r w:rsidR="007D2350" w:rsidRPr="005F270C">
        <w:rPr>
          <w:rFonts w:ascii="Arial" w:hAnsi="Arial" w:cs="Arial"/>
          <w:sz w:val="20"/>
          <w:szCs w:val="20"/>
        </w:rPr>
        <w:t>Kennett government’s</w:t>
      </w:r>
      <w:r w:rsidR="00C310BB" w:rsidRPr="005F270C">
        <w:rPr>
          <w:rFonts w:ascii="Arial" w:hAnsi="Arial" w:cs="Arial"/>
          <w:sz w:val="20"/>
          <w:szCs w:val="20"/>
        </w:rPr>
        <w:t xml:space="preserve"> neoliberal Rural </w:t>
      </w:r>
      <w:r w:rsidR="007D2350" w:rsidRPr="005F270C">
        <w:rPr>
          <w:rFonts w:ascii="Arial" w:hAnsi="Arial" w:cs="Arial"/>
          <w:sz w:val="20"/>
          <w:szCs w:val="20"/>
        </w:rPr>
        <w:t>zone that it retained the Green Wedge Zone.</w:t>
      </w:r>
    </w:p>
    <w:p w14:paraId="0A892421" w14:textId="77777777" w:rsidR="00C647C8" w:rsidRPr="005F270C" w:rsidRDefault="00755A45" w:rsidP="00F203AC">
      <w:pPr>
        <w:jc w:val="both"/>
        <w:rPr>
          <w:rFonts w:ascii="Arial" w:hAnsi="Arial" w:cs="Arial"/>
          <w:sz w:val="20"/>
          <w:szCs w:val="20"/>
        </w:rPr>
      </w:pPr>
      <w:r w:rsidRPr="005F270C">
        <w:rPr>
          <w:rFonts w:ascii="Arial" w:hAnsi="Arial" w:cs="Arial"/>
          <w:sz w:val="20"/>
          <w:szCs w:val="20"/>
        </w:rPr>
        <w:t xml:space="preserve">This strategic primacy was continued in 1981 when the MMBW released its </w:t>
      </w:r>
      <w:r w:rsidRPr="005F270C">
        <w:rPr>
          <w:rFonts w:ascii="Arial" w:hAnsi="Arial" w:cs="Arial"/>
          <w:i/>
          <w:sz w:val="20"/>
          <w:szCs w:val="20"/>
        </w:rPr>
        <w:t>Metropolitan Strategy Implementation Report</w:t>
      </w:r>
      <w:r w:rsidR="006D0057" w:rsidRPr="005F270C">
        <w:rPr>
          <w:rFonts w:ascii="Arial" w:hAnsi="Arial" w:cs="Arial"/>
          <w:i/>
          <w:sz w:val="20"/>
          <w:szCs w:val="20"/>
        </w:rPr>
        <w:t xml:space="preserve"> </w:t>
      </w:r>
      <w:r w:rsidR="006D0057" w:rsidRPr="005F270C">
        <w:rPr>
          <w:rFonts w:ascii="Arial" w:hAnsi="Arial" w:cs="Arial"/>
          <w:sz w:val="20"/>
          <w:szCs w:val="20"/>
        </w:rPr>
        <w:t>(MMBW, 1981)</w:t>
      </w:r>
      <w:r w:rsidRPr="005F270C">
        <w:rPr>
          <w:rFonts w:ascii="Arial" w:hAnsi="Arial" w:cs="Arial"/>
          <w:sz w:val="20"/>
          <w:szCs w:val="20"/>
        </w:rPr>
        <w:t xml:space="preserve">. This strategy provided the policy framework for a new range of </w:t>
      </w:r>
      <w:r w:rsidR="00C647C8" w:rsidRPr="005F270C">
        <w:rPr>
          <w:rFonts w:ascii="Arial" w:hAnsi="Arial" w:cs="Arial"/>
          <w:sz w:val="20"/>
          <w:szCs w:val="20"/>
        </w:rPr>
        <w:t xml:space="preserve">urban consolidation initiatives, aimed </w:t>
      </w:r>
      <w:r w:rsidR="006D0057" w:rsidRPr="005F270C">
        <w:rPr>
          <w:rFonts w:ascii="Arial" w:hAnsi="Arial" w:cs="Arial"/>
          <w:sz w:val="20"/>
          <w:szCs w:val="20"/>
        </w:rPr>
        <w:t>to increase urban density, limit</w:t>
      </w:r>
      <w:r w:rsidR="00C647C8" w:rsidRPr="005F270C">
        <w:rPr>
          <w:rFonts w:ascii="Arial" w:hAnsi="Arial" w:cs="Arial"/>
          <w:sz w:val="20"/>
          <w:szCs w:val="20"/>
        </w:rPr>
        <w:t xml:space="preserve"> the rate of ou</w:t>
      </w:r>
      <w:r w:rsidR="006D0057" w:rsidRPr="005F270C">
        <w:rPr>
          <w:rFonts w:ascii="Arial" w:hAnsi="Arial" w:cs="Arial"/>
          <w:sz w:val="20"/>
          <w:szCs w:val="20"/>
        </w:rPr>
        <w:t>ter urban growth, and prevent</w:t>
      </w:r>
      <w:r w:rsidR="00C647C8" w:rsidRPr="005F270C">
        <w:rPr>
          <w:rFonts w:ascii="Arial" w:hAnsi="Arial" w:cs="Arial"/>
          <w:sz w:val="20"/>
          <w:szCs w:val="20"/>
        </w:rPr>
        <w:t xml:space="preserve"> dispersed retail development</w:t>
      </w:r>
      <w:r w:rsidR="006D0057" w:rsidRPr="005F270C">
        <w:rPr>
          <w:rFonts w:ascii="Arial" w:hAnsi="Arial" w:cs="Arial"/>
          <w:sz w:val="20"/>
          <w:szCs w:val="20"/>
        </w:rPr>
        <w:t>,</w:t>
      </w:r>
      <w:r w:rsidR="00C647C8" w:rsidRPr="005F270C">
        <w:rPr>
          <w:rFonts w:ascii="Arial" w:hAnsi="Arial" w:cs="Arial"/>
          <w:sz w:val="20"/>
          <w:szCs w:val="20"/>
        </w:rPr>
        <w:t xml:space="preserve"> by c</w:t>
      </w:r>
      <w:r w:rsidR="00C310BB" w:rsidRPr="005F270C">
        <w:rPr>
          <w:rFonts w:ascii="Arial" w:hAnsi="Arial" w:cs="Arial"/>
          <w:sz w:val="20"/>
          <w:szCs w:val="20"/>
        </w:rPr>
        <w:t>oncentrating development into 14</w:t>
      </w:r>
      <w:r w:rsidR="00C647C8" w:rsidRPr="005F270C">
        <w:rPr>
          <w:rFonts w:ascii="Arial" w:hAnsi="Arial" w:cs="Arial"/>
          <w:sz w:val="20"/>
          <w:szCs w:val="20"/>
        </w:rPr>
        <w:t xml:space="preserve"> nominated district – or mixed use activity - centres. These measures were implemented through Amendment 150. </w:t>
      </w:r>
    </w:p>
    <w:p w14:paraId="4A3BB0EC" w14:textId="77777777" w:rsidR="008B2DAA" w:rsidRPr="005F270C" w:rsidRDefault="00C647C8" w:rsidP="00F203AC">
      <w:pPr>
        <w:jc w:val="both"/>
        <w:rPr>
          <w:rFonts w:ascii="Arial" w:hAnsi="Arial" w:cs="Arial"/>
          <w:sz w:val="20"/>
          <w:szCs w:val="20"/>
        </w:rPr>
      </w:pPr>
      <w:r w:rsidRPr="005F270C">
        <w:rPr>
          <w:rFonts w:ascii="Arial" w:hAnsi="Arial" w:cs="Arial"/>
          <w:sz w:val="20"/>
          <w:szCs w:val="20"/>
        </w:rPr>
        <w:t xml:space="preserve">The regulatory nature of the both strategy and planning system implementation can be illustrated through district centre policy. </w:t>
      </w:r>
      <w:r w:rsidR="007B4169" w:rsidRPr="005F270C">
        <w:rPr>
          <w:rFonts w:ascii="Arial" w:hAnsi="Arial" w:cs="Arial"/>
          <w:sz w:val="20"/>
          <w:szCs w:val="20"/>
        </w:rPr>
        <w:t xml:space="preserve">In 1954, all Melbourne’s retailing was located in 380 traditional strip </w:t>
      </w:r>
      <w:r w:rsidR="007B4169" w:rsidRPr="005F270C">
        <w:rPr>
          <w:rFonts w:ascii="Arial" w:hAnsi="Arial" w:cs="Arial"/>
          <w:sz w:val="20"/>
          <w:szCs w:val="20"/>
        </w:rPr>
        <w:lastRenderedPageBreak/>
        <w:t xml:space="preserve">shopping centres containing over 16,500 shops. By 1981, some retail malls had been established in key locations across the metropolitan area. The </w:t>
      </w:r>
      <w:r w:rsidR="00E209ED" w:rsidRPr="005F270C">
        <w:rPr>
          <w:rFonts w:ascii="Arial" w:hAnsi="Arial" w:cs="Arial"/>
          <w:sz w:val="20"/>
          <w:szCs w:val="20"/>
        </w:rPr>
        <w:t>MMBW in 1981 prohibited the expansion of these</w:t>
      </w:r>
      <w:r w:rsidR="006D0057" w:rsidRPr="005F270C">
        <w:rPr>
          <w:rFonts w:ascii="Arial" w:hAnsi="Arial" w:cs="Arial"/>
          <w:sz w:val="20"/>
          <w:szCs w:val="20"/>
        </w:rPr>
        <w:t xml:space="preserve"> malls and restricted the growth of </w:t>
      </w:r>
      <w:r w:rsidR="00E209ED" w:rsidRPr="005F270C">
        <w:rPr>
          <w:rFonts w:ascii="Arial" w:hAnsi="Arial" w:cs="Arial"/>
          <w:sz w:val="20"/>
          <w:szCs w:val="20"/>
        </w:rPr>
        <w:t xml:space="preserve">out-of-centre retailing </w:t>
      </w:r>
      <w:r w:rsidR="006D0057" w:rsidRPr="005F270C">
        <w:rPr>
          <w:rFonts w:ascii="Arial" w:hAnsi="Arial" w:cs="Arial"/>
          <w:sz w:val="20"/>
          <w:szCs w:val="20"/>
        </w:rPr>
        <w:t xml:space="preserve">and office development </w:t>
      </w:r>
      <w:r w:rsidR="00E209ED" w:rsidRPr="005F270C">
        <w:rPr>
          <w:rFonts w:ascii="Arial" w:hAnsi="Arial" w:cs="Arial"/>
          <w:sz w:val="20"/>
          <w:szCs w:val="20"/>
        </w:rPr>
        <w:t>by requiring that retail and office developments over 5000</w:t>
      </w:r>
      <w:r w:rsidR="00E209ED" w:rsidRPr="005F270C">
        <w:rPr>
          <w:rFonts w:ascii="Arial" w:hAnsi="Arial" w:cs="Arial"/>
          <w:sz w:val="20"/>
          <w:szCs w:val="20"/>
          <w:vertAlign w:val="superscript"/>
        </w:rPr>
        <w:t>2</w:t>
      </w:r>
      <w:r w:rsidR="00E209ED" w:rsidRPr="005F270C">
        <w:rPr>
          <w:rFonts w:ascii="Arial" w:hAnsi="Arial" w:cs="Arial"/>
          <w:sz w:val="20"/>
          <w:szCs w:val="20"/>
        </w:rPr>
        <w:t xml:space="preserve"> must be lo</w:t>
      </w:r>
      <w:r w:rsidR="00440619" w:rsidRPr="005F270C">
        <w:rPr>
          <w:rFonts w:ascii="Arial" w:hAnsi="Arial" w:cs="Arial"/>
          <w:sz w:val="20"/>
          <w:szCs w:val="20"/>
        </w:rPr>
        <w:t>cated within a district centre, and removing the need for a permit for such developments up to 4000</w:t>
      </w:r>
      <w:r w:rsidR="00440619" w:rsidRPr="005F270C">
        <w:rPr>
          <w:rFonts w:ascii="Arial" w:hAnsi="Arial" w:cs="Arial"/>
          <w:sz w:val="20"/>
          <w:szCs w:val="20"/>
          <w:vertAlign w:val="superscript"/>
        </w:rPr>
        <w:t>2</w:t>
      </w:r>
      <w:r w:rsidR="00440619" w:rsidRPr="005F270C">
        <w:rPr>
          <w:rFonts w:ascii="Arial" w:hAnsi="Arial" w:cs="Arial"/>
          <w:sz w:val="20"/>
          <w:szCs w:val="20"/>
        </w:rPr>
        <w:t xml:space="preserve"> within a district centre. </w:t>
      </w:r>
      <w:r w:rsidR="00FD5357" w:rsidRPr="005F270C">
        <w:rPr>
          <w:rFonts w:ascii="Arial" w:hAnsi="Arial" w:cs="Arial"/>
          <w:sz w:val="20"/>
          <w:szCs w:val="20"/>
        </w:rPr>
        <w:t>The demise of the MMBW led directly to the failure of this policy as large retailers, initially Coles-Myer, placed political pres</w:t>
      </w:r>
      <w:r w:rsidR="00073FA9">
        <w:rPr>
          <w:rFonts w:ascii="Arial" w:hAnsi="Arial" w:cs="Arial"/>
          <w:sz w:val="20"/>
          <w:szCs w:val="20"/>
        </w:rPr>
        <w:t xml:space="preserve">sure on the government which then </w:t>
      </w:r>
      <w:r w:rsidR="00FD5357" w:rsidRPr="005F270C">
        <w:rPr>
          <w:rFonts w:ascii="Arial" w:hAnsi="Arial" w:cs="Arial"/>
          <w:sz w:val="20"/>
          <w:szCs w:val="20"/>
        </w:rPr>
        <w:t>developed and administered metropolitan planning</w:t>
      </w:r>
      <w:r w:rsidR="006D0057" w:rsidRPr="005F270C">
        <w:rPr>
          <w:rFonts w:ascii="Arial" w:hAnsi="Arial" w:cs="Arial"/>
          <w:sz w:val="20"/>
          <w:szCs w:val="20"/>
        </w:rPr>
        <w:t xml:space="preserve"> </w:t>
      </w:r>
      <w:r w:rsidR="00546DE4" w:rsidRPr="005F270C">
        <w:rPr>
          <w:rFonts w:ascii="Arial" w:hAnsi="Arial" w:cs="Arial"/>
          <w:sz w:val="20"/>
          <w:szCs w:val="20"/>
        </w:rPr>
        <w:t>(</w:t>
      </w:r>
      <w:r w:rsidR="006D0057" w:rsidRPr="005F270C">
        <w:rPr>
          <w:rFonts w:ascii="Arial" w:hAnsi="Arial" w:cs="Arial"/>
          <w:sz w:val="20"/>
          <w:szCs w:val="20"/>
        </w:rPr>
        <w:t xml:space="preserve">Goodman and Moloney, </w:t>
      </w:r>
      <w:r w:rsidR="00546DE4" w:rsidRPr="005F270C">
        <w:rPr>
          <w:rFonts w:ascii="Arial" w:hAnsi="Arial" w:cs="Arial"/>
          <w:sz w:val="20"/>
          <w:szCs w:val="20"/>
        </w:rPr>
        <w:t>2004)</w:t>
      </w:r>
      <w:r w:rsidR="00FD5357" w:rsidRPr="005F270C">
        <w:rPr>
          <w:rFonts w:ascii="Arial" w:hAnsi="Arial" w:cs="Arial"/>
          <w:sz w:val="20"/>
          <w:szCs w:val="20"/>
        </w:rPr>
        <w:t>.</w:t>
      </w:r>
    </w:p>
    <w:p w14:paraId="6EFF2AA5" w14:textId="77777777" w:rsidR="003F09AF" w:rsidRPr="005F270C" w:rsidRDefault="00073FA9" w:rsidP="00F203AC">
      <w:pPr>
        <w:jc w:val="both"/>
        <w:rPr>
          <w:rFonts w:ascii="Arial" w:hAnsi="Arial" w:cs="Arial"/>
          <w:sz w:val="20"/>
          <w:szCs w:val="20"/>
        </w:rPr>
      </w:pPr>
      <w:r>
        <w:rPr>
          <w:rFonts w:ascii="Arial" w:hAnsi="Arial" w:cs="Arial"/>
          <w:sz w:val="20"/>
          <w:szCs w:val="20"/>
        </w:rPr>
        <w:t xml:space="preserve">The </w:t>
      </w:r>
      <w:r w:rsidR="00C4231E" w:rsidRPr="005F270C">
        <w:rPr>
          <w:rFonts w:ascii="Arial" w:hAnsi="Arial" w:cs="Arial"/>
          <w:sz w:val="20"/>
          <w:szCs w:val="20"/>
        </w:rPr>
        <w:t>Labor government</w:t>
      </w:r>
      <w:r w:rsidR="00E620A4" w:rsidRPr="005F270C">
        <w:rPr>
          <w:rFonts w:ascii="Arial" w:hAnsi="Arial" w:cs="Arial"/>
          <w:sz w:val="20"/>
          <w:szCs w:val="20"/>
        </w:rPr>
        <w:t>’s 1987 metropolitan strategy,</w:t>
      </w:r>
      <w:r w:rsidR="00DF77C9" w:rsidRPr="005F270C">
        <w:rPr>
          <w:rFonts w:ascii="Arial" w:hAnsi="Arial" w:cs="Arial"/>
          <w:sz w:val="20"/>
          <w:szCs w:val="20"/>
        </w:rPr>
        <w:t xml:space="preserve"> </w:t>
      </w:r>
      <w:r w:rsidR="00DF77C9" w:rsidRPr="005F270C">
        <w:rPr>
          <w:rFonts w:ascii="Arial" w:hAnsi="Arial" w:cs="Arial"/>
          <w:i/>
          <w:sz w:val="20"/>
          <w:szCs w:val="20"/>
        </w:rPr>
        <w:t>Shaping Melbourne’s Future</w:t>
      </w:r>
      <w:r w:rsidR="00523BC0" w:rsidRPr="005F270C">
        <w:rPr>
          <w:rFonts w:ascii="Arial" w:hAnsi="Arial" w:cs="Arial"/>
          <w:i/>
          <w:sz w:val="20"/>
          <w:szCs w:val="20"/>
        </w:rPr>
        <w:t xml:space="preserve"> </w:t>
      </w:r>
      <w:r w:rsidR="00523BC0" w:rsidRPr="005F270C">
        <w:rPr>
          <w:rFonts w:ascii="Arial" w:hAnsi="Arial" w:cs="Arial"/>
          <w:sz w:val="20"/>
          <w:szCs w:val="20"/>
        </w:rPr>
        <w:t>(Government of Victoria, 1987)</w:t>
      </w:r>
      <w:r w:rsidR="00DF77C9" w:rsidRPr="005F270C">
        <w:rPr>
          <w:rFonts w:ascii="Arial" w:hAnsi="Arial" w:cs="Arial"/>
          <w:sz w:val="20"/>
          <w:szCs w:val="20"/>
        </w:rPr>
        <w:t xml:space="preserve">, </w:t>
      </w:r>
      <w:r w:rsidR="00E620A4" w:rsidRPr="005F270C">
        <w:rPr>
          <w:rFonts w:ascii="Arial" w:hAnsi="Arial" w:cs="Arial"/>
          <w:sz w:val="20"/>
          <w:szCs w:val="20"/>
        </w:rPr>
        <w:t xml:space="preserve">began the process of detailed strategic urban corridor planning and urban intensification options </w:t>
      </w:r>
      <w:r w:rsidR="00CC0371" w:rsidRPr="005F270C">
        <w:rPr>
          <w:rFonts w:ascii="Arial" w:hAnsi="Arial" w:cs="Arial"/>
          <w:sz w:val="20"/>
          <w:szCs w:val="20"/>
        </w:rPr>
        <w:t>aimed at</w:t>
      </w:r>
      <w:r w:rsidR="00DF77C9" w:rsidRPr="005F270C">
        <w:rPr>
          <w:rFonts w:ascii="Arial" w:hAnsi="Arial" w:cs="Arial"/>
          <w:sz w:val="20"/>
          <w:szCs w:val="20"/>
        </w:rPr>
        <w:t xml:space="preserve"> increas</w:t>
      </w:r>
      <w:r w:rsidR="00CC0371" w:rsidRPr="005F270C">
        <w:rPr>
          <w:rFonts w:ascii="Arial" w:hAnsi="Arial" w:cs="Arial"/>
          <w:sz w:val="20"/>
          <w:szCs w:val="20"/>
        </w:rPr>
        <w:t>ing</w:t>
      </w:r>
      <w:r w:rsidR="00DF77C9" w:rsidRPr="005F270C">
        <w:rPr>
          <w:rFonts w:ascii="Arial" w:hAnsi="Arial" w:cs="Arial"/>
          <w:sz w:val="20"/>
          <w:szCs w:val="20"/>
        </w:rPr>
        <w:t xml:space="preserve"> the residential population of the Central Business District and </w:t>
      </w:r>
      <w:r w:rsidR="00E620A4" w:rsidRPr="005F270C">
        <w:rPr>
          <w:rFonts w:ascii="Arial" w:hAnsi="Arial" w:cs="Arial"/>
          <w:sz w:val="20"/>
          <w:szCs w:val="20"/>
        </w:rPr>
        <w:t xml:space="preserve">its </w:t>
      </w:r>
      <w:r w:rsidR="00DF77C9" w:rsidRPr="005F270C">
        <w:rPr>
          <w:rFonts w:ascii="Arial" w:hAnsi="Arial" w:cs="Arial"/>
          <w:sz w:val="20"/>
          <w:szCs w:val="20"/>
        </w:rPr>
        <w:t xml:space="preserve">fringe </w:t>
      </w:r>
      <w:r w:rsidR="00E620A4" w:rsidRPr="005F270C">
        <w:rPr>
          <w:rFonts w:ascii="Arial" w:hAnsi="Arial" w:cs="Arial"/>
          <w:sz w:val="20"/>
          <w:szCs w:val="20"/>
        </w:rPr>
        <w:t>precincts.</w:t>
      </w:r>
      <w:r w:rsidR="00DF77C9" w:rsidRPr="005F270C">
        <w:rPr>
          <w:rFonts w:ascii="Arial" w:hAnsi="Arial" w:cs="Arial"/>
          <w:sz w:val="20"/>
          <w:szCs w:val="20"/>
        </w:rPr>
        <w:t xml:space="preserve"> Th</w:t>
      </w:r>
      <w:r w:rsidR="00E620A4" w:rsidRPr="005F270C">
        <w:rPr>
          <w:rFonts w:ascii="Arial" w:hAnsi="Arial" w:cs="Arial"/>
          <w:sz w:val="20"/>
          <w:szCs w:val="20"/>
        </w:rPr>
        <w:t xml:space="preserve">is </w:t>
      </w:r>
      <w:r w:rsidR="00DF77C9" w:rsidRPr="005F270C">
        <w:rPr>
          <w:rFonts w:ascii="Arial" w:hAnsi="Arial" w:cs="Arial"/>
          <w:sz w:val="20"/>
          <w:szCs w:val="20"/>
        </w:rPr>
        <w:t xml:space="preserve">government </w:t>
      </w:r>
      <w:r w:rsidR="008079A2" w:rsidRPr="005F270C">
        <w:rPr>
          <w:rFonts w:ascii="Arial" w:hAnsi="Arial" w:cs="Arial"/>
          <w:sz w:val="20"/>
          <w:szCs w:val="20"/>
        </w:rPr>
        <w:t>came to office with a sophisticated approach to strategic planning, emphasising the central place of</w:t>
      </w:r>
      <w:r w:rsidR="00DF77C9" w:rsidRPr="005F270C">
        <w:rPr>
          <w:rFonts w:ascii="Arial" w:hAnsi="Arial" w:cs="Arial"/>
          <w:sz w:val="20"/>
          <w:szCs w:val="20"/>
        </w:rPr>
        <w:t xml:space="preserve"> </w:t>
      </w:r>
      <w:r w:rsidR="008079A2" w:rsidRPr="005F270C">
        <w:rPr>
          <w:rFonts w:ascii="Arial" w:hAnsi="Arial" w:cs="Arial"/>
          <w:sz w:val="20"/>
          <w:szCs w:val="20"/>
        </w:rPr>
        <w:t xml:space="preserve">spatial policy </w:t>
      </w:r>
      <w:r w:rsidR="00DF77C9" w:rsidRPr="005F270C">
        <w:rPr>
          <w:rFonts w:ascii="Arial" w:hAnsi="Arial" w:cs="Arial"/>
          <w:sz w:val="20"/>
          <w:szCs w:val="20"/>
        </w:rPr>
        <w:t xml:space="preserve">to </w:t>
      </w:r>
      <w:r w:rsidR="00CC0371" w:rsidRPr="005F270C">
        <w:rPr>
          <w:rFonts w:ascii="Arial" w:hAnsi="Arial" w:cs="Arial"/>
          <w:sz w:val="20"/>
          <w:szCs w:val="20"/>
        </w:rPr>
        <w:t xml:space="preserve">the development of </w:t>
      </w:r>
      <w:r w:rsidR="00DF77C9" w:rsidRPr="005F270C">
        <w:rPr>
          <w:rFonts w:ascii="Arial" w:hAnsi="Arial" w:cs="Arial"/>
          <w:sz w:val="20"/>
          <w:szCs w:val="20"/>
        </w:rPr>
        <w:t xml:space="preserve">cross-sectoral policy </w:t>
      </w:r>
      <w:r w:rsidR="008079A2" w:rsidRPr="005F270C">
        <w:rPr>
          <w:rFonts w:ascii="Arial" w:hAnsi="Arial" w:cs="Arial"/>
          <w:sz w:val="20"/>
          <w:szCs w:val="20"/>
        </w:rPr>
        <w:t xml:space="preserve">which </w:t>
      </w:r>
      <w:r w:rsidR="00DF77C9" w:rsidRPr="005F270C">
        <w:rPr>
          <w:rFonts w:ascii="Arial" w:hAnsi="Arial" w:cs="Arial"/>
          <w:sz w:val="20"/>
          <w:szCs w:val="20"/>
        </w:rPr>
        <w:t>integrat</w:t>
      </w:r>
      <w:r w:rsidR="00181038">
        <w:rPr>
          <w:rFonts w:ascii="Arial" w:hAnsi="Arial" w:cs="Arial"/>
          <w:sz w:val="20"/>
          <w:szCs w:val="20"/>
        </w:rPr>
        <w:t>ed</w:t>
      </w:r>
      <w:r w:rsidR="00DF77C9" w:rsidRPr="005F270C">
        <w:rPr>
          <w:rFonts w:ascii="Arial" w:hAnsi="Arial" w:cs="Arial"/>
          <w:sz w:val="20"/>
          <w:szCs w:val="20"/>
        </w:rPr>
        <w:t xml:space="preserve"> economic growth, social policy and environmental protection. </w:t>
      </w:r>
      <w:r w:rsidR="000F39B7" w:rsidRPr="005F270C">
        <w:rPr>
          <w:rFonts w:ascii="Arial" w:hAnsi="Arial" w:cs="Arial"/>
          <w:sz w:val="20"/>
          <w:szCs w:val="20"/>
        </w:rPr>
        <w:t>It removed the MMBW planning powers because it</w:t>
      </w:r>
      <w:r w:rsidR="00DF77C9" w:rsidRPr="005F270C">
        <w:rPr>
          <w:rFonts w:ascii="Arial" w:hAnsi="Arial" w:cs="Arial"/>
          <w:sz w:val="20"/>
          <w:szCs w:val="20"/>
        </w:rPr>
        <w:t xml:space="preserve"> believed that integration would be more effective if strategic </w:t>
      </w:r>
      <w:r w:rsidR="000F39B7" w:rsidRPr="005F270C">
        <w:rPr>
          <w:rFonts w:ascii="Arial" w:hAnsi="Arial" w:cs="Arial"/>
          <w:sz w:val="20"/>
          <w:szCs w:val="20"/>
        </w:rPr>
        <w:t xml:space="preserve">spatial </w:t>
      </w:r>
      <w:r w:rsidR="00DF77C9" w:rsidRPr="005F270C">
        <w:rPr>
          <w:rFonts w:ascii="Arial" w:hAnsi="Arial" w:cs="Arial"/>
          <w:sz w:val="20"/>
          <w:szCs w:val="20"/>
        </w:rPr>
        <w:t>planning was made a core government function</w:t>
      </w:r>
      <w:r w:rsidR="008079A2" w:rsidRPr="005F270C">
        <w:rPr>
          <w:rFonts w:ascii="Arial" w:hAnsi="Arial" w:cs="Arial"/>
          <w:sz w:val="20"/>
          <w:szCs w:val="20"/>
        </w:rPr>
        <w:t xml:space="preserve">. </w:t>
      </w:r>
      <w:r w:rsidR="00CC0371" w:rsidRPr="005F270C">
        <w:rPr>
          <w:rFonts w:ascii="Arial" w:hAnsi="Arial" w:cs="Arial"/>
          <w:sz w:val="20"/>
          <w:szCs w:val="20"/>
        </w:rPr>
        <w:t>But by bringing planning administration under direct political control, the Cain government created the structural arrangements which made it easy for the Kennett government to impose an ideologically motivated state-wide planning system chang</w:t>
      </w:r>
      <w:r w:rsidR="00181038">
        <w:rPr>
          <w:rFonts w:ascii="Arial" w:hAnsi="Arial" w:cs="Arial"/>
          <w:sz w:val="20"/>
          <w:szCs w:val="20"/>
        </w:rPr>
        <w:t xml:space="preserve">e. The Cain government actually </w:t>
      </w:r>
      <w:r w:rsidR="00CC0371" w:rsidRPr="005F270C">
        <w:rPr>
          <w:rFonts w:ascii="Arial" w:hAnsi="Arial" w:cs="Arial"/>
          <w:sz w:val="20"/>
          <w:szCs w:val="20"/>
        </w:rPr>
        <w:t xml:space="preserve">abolished the centrally administrated planning scheme and divided it between the 52 metropolitan councils as part of its implementation process for its planning </w:t>
      </w:r>
      <w:r w:rsidR="00DA7671">
        <w:rPr>
          <w:rFonts w:ascii="Arial" w:hAnsi="Arial" w:cs="Arial"/>
          <w:sz w:val="20"/>
          <w:szCs w:val="20"/>
        </w:rPr>
        <w:t>strategy</w:t>
      </w:r>
      <w:r w:rsidR="00181038">
        <w:rPr>
          <w:rFonts w:ascii="Arial" w:hAnsi="Arial" w:cs="Arial"/>
          <w:sz w:val="20"/>
          <w:szCs w:val="20"/>
        </w:rPr>
        <w:t xml:space="preserve">, </w:t>
      </w:r>
      <w:r w:rsidR="00CC0371" w:rsidRPr="005F270C">
        <w:rPr>
          <w:rFonts w:ascii="Arial" w:hAnsi="Arial" w:cs="Arial"/>
          <w:sz w:val="20"/>
          <w:szCs w:val="20"/>
        </w:rPr>
        <w:t xml:space="preserve"> and</w:t>
      </w:r>
      <w:r w:rsidR="00523BC0" w:rsidRPr="005F270C">
        <w:rPr>
          <w:rFonts w:ascii="Arial" w:hAnsi="Arial" w:cs="Arial"/>
          <w:sz w:val="20"/>
          <w:szCs w:val="20"/>
        </w:rPr>
        <w:t xml:space="preserve"> its</w:t>
      </w:r>
      <w:r w:rsidR="00CC0371" w:rsidRPr="005F270C">
        <w:rPr>
          <w:rFonts w:ascii="Arial" w:hAnsi="Arial" w:cs="Arial"/>
          <w:sz w:val="20"/>
          <w:szCs w:val="20"/>
        </w:rPr>
        <w:t xml:space="preserve"> legislation, the</w:t>
      </w:r>
      <w:r w:rsidR="008079A2" w:rsidRPr="005F270C">
        <w:rPr>
          <w:rFonts w:ascii="Arial" w:hAnsi="Arial" w:cs="Arial"/>
          <w:sz w:val="20"/>
          <w:szCs w:val="20"/>
        </w:rPr>
        <w:t xml:space="preserve"> </w:t>
      </w:r>
      <w:r w:rsidR="008079A2" w:rsidRPr="005F270C">
        <w:rPr>
          <w:rFonts w:ascii="Arial" w:hAnsi="Arial" w:cs="Arial"/>
          <w:i/>
          <w:sz w:val="20"/>
          <w:szCs w:val="20"/>
        </w:rPr>
        <w:t>Planning and Environment Act</w:t>
      </w:r>
      <w:r w:rsidR="00523BC0" w:rsidRPr="005F270C">
        <w:rPr>
          <w:rFonts w:ascii="Arial" w:hAnsi="Arial" w:cs="Arial"/>
          <w:i/>
          <w:sz w:val="20"/>
          <w:szCs w:val="20"/>
        </w:rPr>
        <w:t xml:space="preserve"> 1987</w:t>
      </w:r>
      <w:r w:rsidR="008079A2" w:rsidRPr="005F270C">
        <w:rPr>
          <w:rFonts w:ascii="Arial" w:hAnsi="Arial" w:cs="Arial"/>
          <w:sz w:val="20"/>
          <w:szCs w:val="20"/>
        </w:rPr>
        <w:t>, the first major new plan</w:t>
      </w:r>
      <w:r w:rsidR="00CC0371" w:rsidRPr="005F270C">
        <w:rPr>
          <w:rFonts w:ascii="Arial" w:hAnsi="Arial" w:cs="Arial"/>
          <w:sz w:val="20"/>
          <w:szCs w:val="20"/>
        </w:rPr>
        <w:t>ning legislation since 1944</w:t>
      </w:r>
      <w:r w:rsidR="008079A2" w:rsidRPr="005F270C">
        <w:rPr>
          <w:rFonts w:ascii="Arial" w:hAnsi="Arial" w:cs="Arial"/>
          <w:sz w:val="20"/>
          <w:szCs w:val="20"/>
        </w:rPr>
        <w:t xml:space="preserve">. </w:t>
      </w:r>
      <w:r w:rsidR="000F39B7" w:rsidRPr="005F270C">
        <w:rPr>
          <w:rFonts w:ascii="Arial" w:hAnsi="Arial" w:cs="Arial"/>
          <w:sz w:val="20"/>
          <w:szCs w:val="20"/>
        </w:rPr>
        <w:t xml:space="preserve">However, this government also began the process of </w:t>
      </w:r>
      <w:r w:rsidR="008079A2" w:rsidRPr="005F270C">
        <w:rPr>
          <w:rFonts w:ascii="Arial" w:hAnsi="Arial" w:cs="Arial"/>
          <w:sz w:val="20"/>
          <w:szCs w:val="20"/>
        </w:rPr>
        <w:t xml:space="preserve">breaching the terms of </w:t>
      </w:r>
      <w:r w:rsidR="000F39B7" w:rsidRPr="005F270C">
        <w:rPr>
          <w:rFonts w:ascii="Arial" w:hAnsi="Arial" w:cs="Arial"/>
          <w:sz w:val="20"/>
          <w:szCs w:val="20"/>
        </w:rPr>
        <w:t xml:space="preserve">MMBW strategy, principally by </w:t>
      </w:r>
      <w:r w:rsidR="00BE17E0" w:rsidRPr="005F270C">
        <w:rPr>
          <w:rFonts w:ascii="Arial" w:hAnsi="Arial" w:cs="Arial"/>
          <w:sz w:val="20"/>
          <w:szCs w:val="20"/>
        </w:rPr>
        <w:t xml:space="preserve">abandoning </w:t>
      </w:r>
      <w:r w:rsidR="000F39B7" w:rsidRPr="005F270C">
        <w:rPr>
          <w:rFonts w:ascii="Arial" w:hAnsi="Arial" w:cs="Arial"/>
          <w:sz w:val="20"/>
          <w:szCs w:val="20"/>
        </w:rPr>
        <w:t>district centre policy, significantly expanding urban growth corridor boundaries and making a series of decisions only loosely g</w:t>
      </w:r>
      <w:r w:rsidR="00BE17E0" w:rsidRPr="005F270C">
        <w:rPr>
          <w:rFonts w:ascii="Arial" w:hAnsi="Arial" w:cs="Arial"/>
          <w:sz w:val="20"/>
          <w:szCs w:val="20"/>
        </w:rPr>
        <w:t xml:space="preserve">overned by the strategy or </w:t>
      </w:r>
      <w:r w:rsidR="000F39B7" w:rsidRPr="005F270C">
        <w:rPr>
          <w:rFonts w:ascii="Arial" w:hAnsi="Arial" w:cs="Arial"/>
          <w:sz w:val="20"/>
          <w:szCs w:val="20"/>
        </w:rPr>
        <w:t>outside its scope. McLoughlin (1992) pointed to the lack of clear implementation mechanisms. The result was a series of decisions which ended planning certainty, encouraged significant land speculation and began the process of fundamentally changing the structure of the city</w:t>
      </w:r>
      <w:r w:rsidR="00E620A4" w:rsidRPr="005F270C">
        <w:rPr>
          <w:rFonts w:ascii="Arial" w:hAnsi="Arial" w:cs="Arial"/>
          <w:sz w:val="20"/>
          <w:szCs w:val="20"/>
        </w:rPr>
        <w:t>. This government</w:t>
      </w:r>
      <w:r w:rsidR="000F39B7" w:rsidRPr="005F270C">
        <w:rPr>
          <w:rFonts w:ascii="Arial" w:hAnsi="Arial" w:cs="Arial"/>
          <w:sz w:val="20"/>
          <w:szCs w:val="20"/>
        </w:rPr>
        <w:t xml:space="preserve">, </w:t>
      </w:r>
      <w:r w:rsidR="00E620A4" w:rsidRPr="005F270C">
        <w:rPr>
          <w:rFonts w:ascii="Arial" w:hAnsi="Arial" w:cs="Arial"/>
          <w:sz w:val="20"/>
          <w:szCs w:val="20"/>
        </w:rPr>
        <w:t xml:space="preserve">although not a neoliberal government, began </w:t>
      </w:r>
      <w:r w:rsidR="000F39B7" w:rsidRPr="005F270C">
        <w:rPr>
          <w:rFonts w:ascii="Arial" w:hAnsi="Arial" w:cs="Arial"/>
          <w:sz w:val="20"/>
          <w:szCs w:val="20"/>
        </w:rPr>
        <w:t xml:space="preserve">processes which later neoliberal governments were </w:t>
      </w:r>
      <w:r w:rsidR="008079A2" w:rsidRPr="005F270C">
        <w:rPr>
          <w:rFonts w:ascii="Arial" w:hAnsi="Arial" w:cs="Arial"/>
          <w:sz w:val="20"/>
          <w:szCs w:val="20"/>
        </w:rPr>
        <w:t xml:space="preserve">more easily </w:t>
      </w:r>
      <w:r w:rsidR="000F39B7" w:rsidRPr="005F270C">
        <w:rPr>
          <w:rFonts w:ascii="Arial" w:hAnsi="Arial" w:cs="Arial"/>
          <w:sz w:val="20"/>
          <w:szCs w:val="20"/>
        </w:rPr>
        <w:t>able to exploit.</w:t>
      </w:r>
    </w:p>
    <w:p w14:paraId="4E13DEC5" w14:textId="77777777" w:rsidR="00801FF5" w:rsidRPr="000003D4" w:rsidRDefault="003F09AF" w:rsidP="00F203AC">
      <w:pPr>
        <w:jc w:val="both"/>
        <w:rPr>
          <w:rFonts w:ascii="Arial" w:hAnsi="Arial" w:cs="Arial"/>
          <w:b/>
          <w:i/>
        </w:rPr>
      </w:pPr>
      <w:r w:rsidRPr="000003D4">
        <w:rPr>
          <w:rFonts w:ascii="Arial" w:hAnsi="Arial" w:cs="Arial"/>
          <w:b/>
          <w:i/>
        </w:rPr>
        <w:t xml:space="preserve">Neoliberal strategy and </w:t>
      </w:r>
      <w:r w:rsidR="00801FF5" w:rsidRPr="000003D4">
        <w:rPr>
          <w:rFonts w:ascii="Arial" w:hAnsi="Arial" w:cs="Arial"/>
          <w:b/>
          <w:i/>
        </w:rPr>
        <w:t>process</w:t>
      </w:r>
      <w:r w:rsidR="00523BC0" w:rsidRPr="000003D4">
        <w:rPr>
          <w:rFonts w:ascii="Arial" w:hAnsi="Arial" w:cs="Arial"/>
          <w:b/>
          <w:i/>
        </w:rPr>
        <w:t xml:space="preserve"> </w:t>
      </w:r>
    </w:p>
    <w:p w14:paraId="6B561BE2" w14:textId="77777777" w:rsidR="00366CDA" w:rsidRPr="005F270C" w:rsidRDefault="008A086E" w:rsidP="00F203AC">
      <w:pPr>
        <w:jc w:val="both"/>
        <w:rPr>
          <w:rFonts w:ascii="Arial" w:hAnsi="Arial" w:cs="Arial"/>
          <w:sz w:val="20"/>
          <w:szCs w:val="20"/>
        </w:rPr>
      </w:pPr>
      <w:r w:rsidRPr="005F270C">
        <w:rPr>
          <w:rFonts w:ascii="Arial" w:hAnsi="Arial" w:cs="Arial"/>
          <w:sz w:val="20"/>
          <w:szCs w:val="20"/>
        </w:rPr>
        <w:t xml:space="preserve">A number of features feature </w:t>
      </w:r>
      <w:r w:rsidR="00523BC0" w:rsidRPr="005F270C">
        <w:rPr>
          <w:rFonts w:ascii="Arial" w:hAnsi="Arial" w:cs="Arial"/>
          <w:sz w:val="20"/>
          <w:szCs w:val="20"/>
        </w:rPr>
        <w:t xml:space="preserve">consistently </w:t>
      </w:r>
      <w:r w:rsidRPr="005F270C">
        <w:rPr>
          <w:rFonts w:ascii="Arial" w:hAnsi="Arial" w:cs="Arial"/>
          <w:sz w:val="20"/>
          <w:szCs w:val="20"/>
        </w:rPr>
        <w:t xml:space="preserve">in neoliberal planning system change. These are: the lack of </w:t>
      </w:r>
      <w:r w:rsidR="00366CDA" w:rsidRPr="005F270C">
        <w:rPr>
          <w:rFonts w:ascii="Arial" w:hAnsi="Arial" w:cs="Arial"/>
          <w:sz w:val="20"/>
          <w:szCs w:val="20"/>
        </w:rPr>
        <w:t xml:space="preserve">strategic intent; development of </w:t>
      </w:r>
      <w:r w:rsidR="00523BC0" w:rsidRPr="005F270C">
        <w:rPr>
          <w:rFonts w:ascii="Arial" w:hAnsi="Arial" w:cs="Arial"/>
          <w:sz w:val="20"/>
          <w:szCs w:val="20"/>
        </w:rPr>
        <w:t xml:space="preserve">a </w:t>
      </w:r>
      <w:r w:rsidR="00366CDA" w:rsidRPr="005F270C">
        <w:rPr>
          <w:rFonts w:ascii="Arial" w:hAnsi="Arial" w:cs="Arial"/>
          <w:sz w:val="20"/>
          <w:szCs w:val="20"/>
        </w:rPr>
        <w:t xml:space="preserve">centralized system even if partially administered locally; incrementally increasing deregulation; and restoration of facilitative planning measures after occasional regulatory measures </w:t>
      </w:r>
      <w:r w:rsidR="007F3EC0" w:rsidRPr="005F270C">
        <w:rPr>
          <w:rFonts w:ascii="Arial" w:hAnsi="Arial" w:cs="Arial"/>
          <w:sz w:val="20"/>
          <w:szCs w:val="20"/>
        </w:rPr>
        <w:t xml:space="preserve">are </w:t>
      </w:r>
      <w:r w:rsidR="00366CDA" w:rsidRPr="005F270C">
        <w:rPr>
          <w:rFonts w:ascii="Arial" w:hAnsi="Arial" w:cs="Arial"/>
          <w:sz w:val="20"/>
          <w:szCs w:val="20"/>
        </w:rPr>
        <w:t xml:space="preserve">introduced. </w:t>
      </w:r>
      <w:r w:rsidR="00801FF5" w:rsidRPr="005F270C">
        <w:rPr>
          <w:rFonts w:ascii="Arial" w:hAnsi="Arial" w:cs="Arial"/>
          <w:sz w:val="20"/>
          <w:szCs w:val="20"/>
        </w:rPr>
        <w:t>The development of the neoliberal land use planning regime introduced by the Kennett government in 1996</w:t>
      </w:r>
      <w:r w:rsidR="00DC5002" w:rsidRPr="005F270C">
        <w:rPr>
          <w:rFonts w:ascii="Arial" w:hAnsi="Arial" w:cs="Arial"/>
          <w:sz w:val="20"/>
          <w:szCs w:val="20"/>
        </w:rPr>
        <w:t xml:space="preserve"> </w:t>
      </w:r>
      <w:r w:rsidR="000E3B70" w:rsidRPr="005F270C">
        <w:rPr>
          <w:rFonts w:ascii="Arial" w:hAnsi="Arial" w:cs="Arial"/>
          <w:sz w:val="20"/>
          <w:szCs w:val="20"/>
        </w:rPr>
        <w:t>illustrat</w:t>
      </w:r>
      <w:r w:rsidR="00DC5002" w:rsidRPr="005F270C">
        <w:rPr>
          <w:rFonts w:ascii="Arial" w:hAnsi="Arial" w:cs="Arial"/>
          <w:sz w:val="20"/>
          <w:szCs w:val="20"/>
        </w:rPr>
        <w:t>e</w:t>
      </w:r>
      <w:r w:rsidR="00B75BAA" w:rsidRPr="005F270C">
        <w:rPr>
          <w:rFonts w:ascii="Arial" w:hAnsi="Arial" w:cs="Arial"/>
          <w:sz w:val="20"/>
          <w:szCs w:val="20"/>
        </w:rPr>
        <w:t xml:space="preserve">s </w:t>
      </w:r>
      <w:r w:rsidR="00DC5002" w:rsidRPr="005F270C">
        <w:rPr>
          <w:rFonts w:ascii="Arial" w:hAnsi="Arial" w:cs="Arial"/>
          <w:sz w:val="20"/>
          <w:szCs w:val="20"/>
        </w:rPr>
        <w:t xml:space="preserve">the irrelevance of strategy to the operation of </w:t>
      </w:r>
      <w:r w:rsidR="000E3B70" w:rsidRPr="005F270C">
        <w:rPr>
          <w:rFonts w:ascii="Arial" w:hAnsi="Arial" w:cs="Arial"/>
          <w:sz w:val="20"/>
          <w:szCs w:val="20"/>
        </w:rPr>
        <w:t xml:space="preserve">neoliberal planning </w:t>
      </w:r>
      <w:r w:rsidR="00DC5002" w:rsidRPr="005F270C">
        <w:rPr>
          <w:rFonts w:ascii="Arial" w:hAnsi="Arial" w:cs="Arial"/>
          <w:sz w:val="20"/>
          <w:szCs w:val="20"/>
        </w:rPr>
        <w:t xml:space="preserve">systems. </w:t>
      </w:r>
      <w:r w:rsidR="00523BC0" w:rsidRPr="005F270C">
        <w:rPr>
          <w:rFonts w:ascii="Arial" w:hAnsi="Arial" w:cs="Arial"/>
          <w:sz w:val="20"/>
          <w:szCs w:val="20"/>
        </w:rPr>
        <w:t>The constant process of strategy development reinforces t</w:t>
      </w:r>
      <w:r w:rsidR="00630B31" w:rsidRPr="005F270C">
        <w:rPr>
          <w:rFonts w:ascii="Arial" w:hAnsi="Arial" w:cs="Arial"/>
          <w:sz w:val="20"/>
          <w:szCs w:val="20"/>
        </w:rPr>
        <w:t xml:space="preserve">he </w:t>
      </w:r>
      <w:r w:rsidR="00DA7671">
        <w:rPr>
          <w:rFonts w:ascii="Arial" w:hAnsi="Arial" w:cs="Arial"/>
          <w:sz w:val="20"/>
          <w:szCs w:val="20"/>
        </w:rPr>
        <w:t xml:space="preserve">ineffectiveness of strategy and the </w:t>
      </w:r>
      <w:r w:rsidR="00630B31" w:rsidRPr="005F270C">
        <w:rPr>
          <w:rFonts w:ascii="Arial" w:hAnsi="Arial" w:cs="Arial"/>
          <w:sz w:val="20"/>
          <w:szCs w:val="20"/>
        </w:rPr>
        <w:t>power of neoliberal planning systems. Successive Victorian government have devel</w:t>
      </w:r>
      <w:r w:rsidR="00A23BDF" w:rsidRPr="005F270C">
        <w:rPr>
          <w:rFonts w:ascii="Arial" w:hAnsi="Arial" w:cs="Arial"/>
          <w:sz w:val="20"/>
          <w:szCs w:val="20"/>
        </w:rPr>
        <w:t xml:space="preserve">oped six new plans in 20 years, none influential. </w:t>
      </w:r>
      <w:r w:rsidR="00366CDA" w:rsidRPr="005F270C">
        <w:rPr>
          <w:rFonts w:ascii="Arial" w:hAnsi="Arial" w:cs="Arial"/>
          <w:sz w:val="20"/>
          <w:szCs w:val="20"/>
        </w:rPr>
        <w:t>Paul Mees (2003) describe</w:t>
      </w:r>
      <w:r w:rsidR="001C54E0" w:rsidRPr="005F270C">
        <w:rPr>
          <w:rFonts w:ascii="Arial" w:hAnsi="Arial" w:cs="Arial"/>
          <w:sz w:val="20"/>
          <w:szCs w:val="20"/>
        </w:rPr>
        <w:t xml:space="preserve">d the Kennett government’s </w:t>
      </w:r>
      <w:r w:rsidR="00366CDA" w:rsidRPr="005F270C">
        <w:rPr>
          <w:rFonts w:ascii="Arial" w:hAnsi="Arial" w:cs="Arial"/>
          <w:sz w:val="20"/>
          <w:szCs w:val="20"/>
        </w:rPr>
        <w:t xml:space="preserve">planning strategy </w:t>
      </w:r>
      <w:r w:rsidR="00366CDA" w:rsidRPr="005F270C">
        <w:rPr>
          <w:rFonts w:ascii="Arial" w:hAnsi="Arial" w:cs="Arial"/>
          <w:i/>
          <w:sz w:val="20"/>
          <w:szCs w:val="20"/>
        </w:rPr>
        <w:t>Living Suburbs</w:t>
      </w:r>
      <w:r w:rsidR="001C54E0" w:rsidRPr="005F270C">
        <w:rPr>
          <w:rFonts w:ascii="Arial" w:hAnsi="Arial" w:cs="Arial"/>
          <w:sz w:val="20"/>
          <w:szCs w:val="20"/>
        </w:rPr>
        <w:t xml:space="preserve"> (DOI, 1995)</w:t>
      </w:r>
      <w:r w:rsidR="00366CDA" w:rsidRPr="005F270C">
        <w:rPr>
          <w:rFonts w:ascii="Arial" w:hAnsi="Arial" w:cs="Arial"/>
          <w:sz w:val="20"/>
          <w:szCs w:val="20"/>
        </w:rPr>
        <w:t xml:space="preserve"> as a promotional document. </w:t>
      </w:r>
      <w:r w:rsidR="00DC5002" w:rsidRPr="005F270C">
        <w:rPr>
          <w:rFonts w:ascii="Arial" w:hAnsi="Arial" w:cs="Arial"/>
          <w:sz w:val="20"/>
          <w:szCs w:val="20"/>
        </w:rPr>
        <w:t xml:space="preserve">Kennett’s planning minister, Robert Maclellan, had no need for strategy, concentrating on liberalising the planning system. </w:t>
      </w:r>
      <w:r w:rsidR="005024EF" w:rsidRPr="005F270C">
        <w:rPr>
          <w:rFonts w:ascii="Arial" w:hAnsi="Arial" w:cs="Arial"/>
          <w:sz w:val="20"/>
          <w:szCs w:val="20"/>
        </w:rPr>
        <w:t xml:space="preserve">This </w:t>
      </w:r>
      <w:r w:rsidR="00DA7671">
        <w:rPr>
          <w:rFonts w:ascii="Arial" w:hAnsi="Arial" w:cs="Arial"/>
          <w:sz w:val="20"/>
          <w:szCs w:val="20"/>
        </w:rPr>
        <w:t xml:space="preserve">was </w:t>
      </w:r>
      <w:r w:rsidR="005024EF" w:rsidRPr="005F270C">
        <w:rPr>
          <w:rFonts w:ascii="Arial" w:hAnsi="Arial" w:cs="Arial"/>
          <w:sz w:val="20"/>
          <w:szCs w:val="20"/>
        </w:rPr>
        <w:t xml:space="preserve">a comprehensive departure from past systems. </w:t>
      </w:r>
      <w:r w:rsidR="00DC5002" w:rsidRPr="005F270C">
        <w:rPr>
          <w:rFonts w:ascii="Arial" w:hAnsi="Arial" w:cs="Arial"/>
          <w:sz w:val="20"/>
          <w:szCs w:val="20"/>
        </w:rPr>
        <w:t xml:space="preserve">He made clear that </w:t>
      </w:r>
      <w:r w:rsidR="005024EF" w:rsidRPr="005F270C">
        <w:rPr>
          <w:rFonts w:ascii="Arial" w:hAnsi="Arial" w:cs="Arial"/>
          <w:sz w:val="20"/>
          <w:szCs w:val="20"/>
        </w:rPr>
        <w:t xml:space="preserve">the primary aim of </w:t>
      </w:r>
      <w:r w:rsidR="00DC5002" w:rsidRPr="005F270C">
        <w:rPr>
          <w:rFonts w:ascii="Arial" w:hAnsi="Arial" w:cs="Arial"/>
          <w:sz w:val="20"/>
          <w:szCs w:val="20"/>
        </w:rPr>
        <w:t>d</w:t>
      </w:r>
      <w:r w:rsidR="005024EF" w:rsidRPr="005F270C">
        <w:rPr>
          <w:rFonts w:ascii="Arial" w:hAnsi="Arial" w:cs="Arial"/>
          <w:sz w:val="20"/>
          <w:szCs w:val="20"/>
        </w:rPr>
        <w:t>eregulation was to</w:t>
      </w:r>
      <w:r w:rsidR="00DC5002" w:rsidRPr="005F270C">
        <w:rPr>
          <w:rFonts w:ascii="Arial" w:hAnsi="Arial" w:cs="Arial"/>
          <w:sz w:val="20"/>
          <w:szCs w:val="20"/>
        </w:rPr>
        <w:t xml:space="preserve"> </w:t>
      </w:r>
      <w:r w:rsidR="005024EF" w:rsidRPr="005F270C">
        <w:rPr>
          <w:rFonts w:ascii="Arial" w:hAnsi="Arial" w:cs="Arial"/>
          <w:sz w:val="20"/>
          <w:szCs w:val="20"/>
        </w:rPr>
        <w:t>facilitate development and achieve an efficient, certain, administratively inexpensive system,</w:t>
      </w:r>
      <w:r w:rsidR="00DC5002" w:rsidRPr="005F270C">
        <w:rPr>
          <w:rFonts w:ascii="Arial" w:hAnsi="Arial" w:cs="Arial"/>
          <w:sz w:val="20"/>
          <w:szCs w:val="20"/>
        </w:rPr>
        <w:t xml:space="preserve"> stating that “in case anyone still has any doubts, let me assure them that [the new system] is not just</w:t>
      </w:r>
      <w:r w:rsidR="00B75BAA" w:rsidRPr="005F270C">
        <w:rPr>
          <w:rFonts w:ascii="Arial" w:hAnsi="Arial" w:cs="Arial"/>
          <w:sz w:val="20"/>
          <w:szCs w:val="20"/>
        </w:rPr>
        <w:t xml:space="preserve"> a papering over of the cracks..[</w:t>
      </w:r>
      <w:r w:rsidR="00DC5002" w:rsidRPr="005F270C">
        <w:rPr>
          <w:rFonts w:ascii="Arial" w:hAnsi="Arial" w:cs="Arial"/>
          <w:sz w:val="20"/>
          <w:szCs w:val="20"/>
        </w:rPr>
        <w:t>but]</w:t>
      </w:r>
      <w:r w:rsidR="00B75BAA" w:rsidRPr="005F270C">
        <w:rPr>
          <w:rFonts w:ascii="Arial" w:hAnsi="Arial" w:cs="Arial"/>
          <w:sz w:val="20"/>
          <w:szCs w:val="20"/>
        </w:rPr>
        <w:t>..</w:t>
      </w:r>
      <w:r w:rsidR="00DC5002" w:rsidRPr="005F270C">
        <w:rPr>
          <w:rFonts w:ascii="Arial" w:hAnsi="Arial" w:cs="Arial"/>
          <w:sz w:val="20"/>
          <w:szCs w:val="20"/>
        </w:rPr>
        <w:t xml:space="preserve">a complete reconstruction from the foundation up” (Maclellan, 1993:11). </w:t>
      </w:r>
    </w:p>
    <w:p w14:paraId="617891A7" w14:textId="77777777" w:rsidR="00DA7671" w:rsidRPr="005F270C" w:rsidRDefault="00DC5002" w:rsidP="00F203AC">
      <w:pPr>
        <w:jc w:val="both"/>
        <w:rPr>
          <w:rFonts w:ascii="Arial" w:hAnsi="Arial" w:cs="Arial"/>
          <w:sz w:val="20"/>
          <w:szCs w:val="20"/>
        </w:rPr>
      </w:pPr>
      <w:r w:rsidRPr="005F270C">
        <w:rPr>
          <w:rFonts w:ascii="Arial" w:hAnsi="Arial" w:cs="Arial"/>
          <w:sz w:val="20"/>
          <w:szCs w:val="20"/>
        </w:rPr>
        <w:t xml:space="preserve">Maclellan’s </w:t>
      </w:r>
      <w:r w:rsidR="00523BC0" w:rsidRPr="005F270C">
        <w:rPr>
          <w:rFonts w:ascii="Arial" w:hAnsi="Arial" w:cs="Arial"/>
          <w:sz w:val="20"/>
          <w:szCs w:val="20"/>
        </w:rPr>
        <w:t xml:space="preserve">attempted </w:t>
      </w:r>
      <w:r w:rsidRPr="005F270C">
        <w:rPr>
          <w:rFonts w:ascii="Arial" w:hAnsi="Arial" w:cs="Arial"/>
          <w:sz w:val="20"/>
          <w:szCs w:val="20"/>
        </w:rPr>
        <w:t xml:space="preserve">revolutionary deregulation was only partially achieved </w:t>
      </w:r>
      <w:r w:rsidR="00820C46" w:rsidRPr="005F270C">
        <w:rPr>
          <w:rFonts w:ascii="Arial" w:hAnsi="Arial" w:cs="Arial"/>
          <w:sz w:val="20"/>
          <w:szCs w:val="20"/>
        </w:rPr>
        <w:t xml:space="preserve">because of the number of </w:t>
      </w:r>
      <w:r w:rsidR="00523BC0" w:rsidRPr="005F270C">
        <w:rPr>
          <w:rFonts w:ascii="Arial" w:hAnsi="Arial" w:cs="Arial"/>
          <w:sz w:val="20"/>
          <w:szCs w:val="20"/>
        </w:rPr>
        <w:t xml:space="preserve">competing </w:t>
      </w:r>
      <w:r w:rsidR="00820C46" w:rsidRPr="005F270C">
        <w:rPr>
          <w:rFonts w:ascii="Arial" w:hAnsi="Arial" w:cs="Arial"/>
          <w:sz w:val="20"/>
          <w:szCs w:val="20"/>
        </w:rPr>
        <w:t xml:space="preserve">contributors to the process of system development. </w:t>
      </w:r>
      <w:r w:rsidR="005024EF" w:rsidRPr="005F270C">
        <w:rPr>
          <w:rFonts w:ascii="Arial" w:hAnsi="Arial" w:cs="Arial"/>
          <w:sz w:val="20"/>
          <w:szCs w:val="20"/>
        </w:rPr>
        <w:t>The Kennett government imposed a state</w:t>
      </w:r>
      <w:r w:rsidR="00B75BAA" w:rsidRPr="005F270C">
        <w:rPr>
          <w:rFonts w:ascii="Arial" w:hAnsi="Arial" w:cs="Arial"/>
          <w:sz w:val="20"/>
          <w:szCs w:val="20"/>
        </w:rPr>
        <w:t>wide</w:t>
      </w:r>
      <w:r w:rsidR="005024EF" w:rsidRPr="005F270C">
        <w:rPr>
          <w:rFonts w:ascii="Arial" w:hAnsi="Arial" w:cs="Arial"/>
          <w:sz w:val="20"/>
          <w:szCs w:val="20"/>
        </w:rPr>
        <w:t xml:space="preserve"> system and removed local control. But </w:t>
      </w:r>
      <w:r w:rsidR="00DA7671">
        <w:rPr>
          <w:rFonts w:ascii="Arial" w:hAnsi="Arial" w:cs="Arial"/>
          <w:sz w:val="20"/>
          <w:szCs w:val="20"/>
        </w:rPr>
        <w:t xml:space="preserve">the new provisions </w:t>
      </w:r>
      <w:r w:rsidR="005024EF" w:rsidRPr="005F270C">
        <w:rPr>
          <w:rFonts w:ascii="Arial" w:hAnsi="Arial" w:cs="Arial"/>
          <w:sz w:val="20"/>
          <w:szCs w:val="20"/>
        </w:rPr>
        <w:t>proved to be far more co</w:t>
      </w:r>
      <w:r w:rsidR="007F1626">
        <w:rPr>
          <w:rFonts w:ascii="Arial" w:hAnsi="Arial" w:cs="Arial"/>
          <w:sz w:val="20"/>
          <w:szCs w:val="20"/>
        </w:rPr>
        <w:t xml:space="preserve">mplex, costly to administer, </w:t>
      </w:r>
      <w:r w:rsidR="005024EF" w:rsidRPr="005F270C">
        <w:rPr>
          <w:rFonts w:ascii="Arial" w:hAnsi="Arial" w:cs="Arial"/>
          <w:sz w:val="20"/>
          <w:szCs w:val="20"/>
        </w:rPr>
        <w:t xml:space="preserve">inefficient </w:t>
      </w:r>
      <w:r w:rsidR="007F1626">
        <w:rPr>
          <w:rFonts w:ascii="Arial" w:hAnsi="Arial" w:cs="Arial"/>
          <w:sz w:val="20"/>
          <w:szCs w:val="20"/>
        </w:rPr>
        <w:t>and uncertain than the system they</w:t>
      </w:r>
      <w:r w:rsidR="005024EF" w:rsidRPr="005F270C">
        <w:rPr>
          <w:rFonts w:ascii="Arial" w:hAnsi="Arial" w:cs="Arial"/>
          <w:sz w:val="20"/>
          <w:szCs w:val="20"/>
        </w:rPr>
        <w:t xml:space="preserve"> replaced</w:t>
      </w:r>
      <w:r w:rsidR="00E62CB9" w:rsidRPr="005F270C">
        <w:rPr>
          <w:rFonts w:ascii="Arial" w:hAnsi="Arial" w:cs="Arial"/>
          <w:sz w:val="20"/>
          <w:szCs w:val="20"/>
        </w:rPr>
        <w:t xml:space="preserve"> (Buxton, Goodman and </w:t>
      </w:r>
      <w:r w:rsidR="00E62CB9" w:rsidRPr="005F270C">
        <w:rPr>
          <w:rFonts w:ascii="Arial" w:hAnsi="Arial" w:cs="Arial"/>
          <w:sz w:val="20"/>
          <w:szCs w:val="20"/>
        </w:rPr>
        <w:lastRenderedPageBreak/>
        <w:t>Budge, 2005)</w:t>
      </w:r>
      <w:r w:rsidR="005024EF" w:rsidRPr="005F270C">
        <w:rPr>
          <w:rFonts w:ascii="Arial" w:hAnsi="Arial" w:cs="Arial"/>
          <w:sz w:val="20"/>
          <w:szCs w:val="20"/>
        </w:rPr>
        <w:t>.</w:t>
      </w:r>
      <w:r w:rsidR="001A7D90" w:rsidRPr="005F270C">
        <w:rPr>
          <w:rFonts w:ascii="Arial" w:hAnsi="Arial" w:cs="Arial"/>
          <w:sz w:val="20"/>
          <w:szCs w:val="20"/>
        </w:rPr>
        <w:t xml:space="preserve"> Ma</w:t>
      </w:r>
      <w:r w:rsidR="00B75BAA" w:rsidRPr="005F270C">
        <w:rPr>
          <w:rFonts w:ascii="Arial" w:hAnsi="Arial" w:cs="Arial"/>
          <w:sz w:val="20"/>
          <w:szCs w:val="20"/>
        </w:rPr>
        <w:t xml:space="preserve">ny zones and overlays </w:t>
      </w:r>
      <w:r w:rsidR="007F1626">
        <w:rPr>
          <w:rFonts w:ascii="Arial" w:hAnsi="Arial" w:cs="Arial"/>
          <w:sz w:val="20"/>
          <w:szCs w:val="20"/>
        </w:rPr>
        <w:t>permitted</w:t>
      </w:r>
      <w:r w:rsidR="00B75BAA" w:rsidRPr="005F270C">
        <w:rPr>
          <w:rFonts w:ascii="Arial" w:hAnsi="Arial" w:cs="Arial"/>
          <w:sz w:val="20"/>
          <w:szCs w:val="20"/>
        </w:rPr>
        <w:t xml:space="preserve"> </w:t>
      </w:r>
      <w:r w:rsidR="001A7D90" w:rsidRPr="005F270C">
        <w:rPr>
          <w:rFonts w:ascii="Arial" w:hAnsi="Arial" w:cs="Arial"/>
          <w:sz w:val="20"/>
          <w:szCs w:val="20"/>
        </w:rPr>
        <w:t>large number</w:t>
      </w:r>
      <w:r w:rsidR="00B75BAA" w:rsidRPr="005F270C">
        <w:rPr>
          <w:rFonts w:ascii="Arial" w:hAnsi="Arial" w:cs="Arial"/>
          <w:sz w:val="20"/>
          <w:szCs w:val="20"/>
        </w:rPr>
        <w:t>s</w:t>
      </w:r>
      <w:r w:rsidR="001A7D90" w:rsidRPr="005F270C">
        <w:rPr>
          <w:rFonts w:ascii="Arial" w:hAnsi="Arial" w:cs="Arial"/>
          <w:sz w:val="20"/>
          <w:szCs w:val="20"/>
        </w:rPr>
        <w:t xml:space="preserve"> of uses </w:t>
      </w:r>
      <w:r w:rsidR="007F1626">
        <w:rPr>
          <w:rFonts w:ascii="Arial" w:hAnsi="Arial" w:cs="Arial"/>
          <w:sz w:val="20"/>
          <w:szCs w:val="20"/>
        </w:rPr>
        <w:t>and</w:t>
      </w:r>
      <w:r w:rsidR="001A7D90" w:rsidRPr="005F270C">
        <w:rPr>
          <w:rFonts w:ascii="Arial" w:hAnsi="Arial" w:cs="Arial"/>
          <w:sz w:val="20"/>
          <w:szCs w:val="20"/>
        </w:rPr>
        <w:t xml:space="preserve"> developments </w:t>
      </w:r>
      <w:r w:rsidR="00DA7671">
        <w:rPr>
          <w:rFonts w:ascii="Arial" w:hAnsi="Arial" w:cs="Arial"/>
          <w:sz w:val="20"/>
          <w:szCs w:val="20"/>
        </w:rPr>
        <w:t xml:space="preserve">and required consideration of </w:t>
      </w:r>
      <w:r w:rsidR="001A7D90" w:rsidRPr="005F270C">
        <w:rPr>
          <w:rFonts w:ascii="Arial" w:hAnsi="Arial" w:cs="Arial"/>
          <w:sz w:val="20"/>
          <w:szCs w:val="20"/>
        </w:rPr>
        <w:t xml:space="preserve">an extensive range of matters using </w:t>
      </w:r>
      <w:r w:rsidR="00E62CB9" w:rsidRPr="005F270C">
        <w:rPr>
          <w:rFonts w:ascii="Arial" w:hAnsi="Arial" w:cs="Arial"/>
          <w:sz w:val="20"/>
          <w:szCs w:val="20"/>
        </w:rPr>
        <w:t xml:space="preserve">discretionary </w:t>
      </w:r>
      <w:r w:rsidR="001A7D90" w:rsidRPr="005F270C">
        <w:rPr>
          <w:rFonts w:ascii="Arial" w:hAnsi="Arial" w:cs="Arial"/>
          <w:sz w:val="20"/>
          <w:szCs w:val="20"/>
        </w:rPr>
        <w:t xml:space="preserve">decision guidelines, policies and clauses. </w:t>
      </w:r>
      <w:r w:rsidR="005024EF" w:rsidRPr="005F270C">
        <w:rPr>
          <w:rFonts w:ascii="Arial" w:hAnsi="Arial" w:cs="Arial"/>
          <w:sz w:val="20"/>
          <w:szCs w:val="20"/>
        </w:rPr>
        <w:t xml:space="preserve">State and local policy was general, </w:t>
      </w:r>
      <w:r w:rsidR="00E62CB9" w:rsidRPr="005F270C">
        <w:rPr>
          <w:rFonts w:ascii="Arial" w:hAnsi="Arial" w:cs="Arial"/>
          <w:sz w:val="20"/>
          <w:szCs w:val="20"/>
        </w:rPr>
        <w:t>and often vague and contradictory. By 2010, it was clear that the system was not achieving its objectives (Minist</w:t>
      </w:r>
      <w:r w:rsidR="00B75BAA" w:rsidRPr="005F270C">
        <w:rPr>
          <w:rFonts w:ascii="Arial" w:hAnsi="Arial" w:cs="Arial"/>
          <w:sz w:val="20"/>
          <w:szCs w:val="20"/>
        </w:rPr>
        <w:t xml:space="preserve">erial Advisory Committee, 2011). </w:t>
      </w:r>
      <w:r w:rsidR="00DA7671">
        <w:rPr>
          <w:rFonts w:ascii="Arial" w:hAnsi="Arial" w:cs="Arial"/>
          <w:sz w:val="20"/>
          <w:szCs w:val="20"/>
        </w:rPr>
        <w:t xml:space="preserve">Development interests urged </w:t>
      </w:r>
      <w:r w:rsidR="007F1626">
        <w:rPr>
          <w:rFonts w:ascii="Arial" w:hAnsi="Arial" w:cs="Arial"/>
          <w:sz w:val="20"/>
          <w:szCs w:val="20"/>
        </w:rPr>
        <w:t xml:space="preserve">the </w:t>
      </w:r>
      <w:r w:rsidR="00DA7671">
        <w:rPr>
          <w:rFonts w:ascii="Arial" w:hAnsi="Arial" w:cs="Arial"/>
          <w:sz w:val="20"/>
          <w:szCs w:val="20"/>
        </w:rPr>
        <w:t>adopt</w:t>
      </w:r>
      <w:r w:rsidR="007F1626">
        <w:rPr>
          <w:rFonts w:ascii="Arial" w:hAnsi="Arial" w:cs="Arial"/>
          <w:sz w:val="20"/>
          <w:szCs w:val="20"/>
        </w:rPr>
        <w:t>ion of</w:t>
      </w:r>
      <w:r w:rsidR="00DA7671">
        <w:rPr>
          <w:rFonts w:ascii="Arial" w:hAnsi="Arial" w:cs="Arial"/>
          <w:sz w:val="20"/>
          <w:szCs w:val="20"/>
        </w:rPr>
        <w:t xml:space="preserve"> </w:t>
      </w:r>
      <w:r w:rsidR="00DA7671" w:rsidRPr="005F270C">
        <w:rPr>
          <w:rFonts w:ascii="Arial" w:hAnsi="Arial" w:cs="Arial"/>
          <w:sz w:val="20"/>
          <w:szCs w:val="20"/>
        </w:rPr>
        <w:t>code assess</w:t>
      </w:r>
      <w:r w:rsidR="00DA7671">
        <w:rPr>
          <w:rFonts w:ascii="Arial" w:hAnsi="Arial" w:cs="Arial"/>
          <w:sz w:val="20"/>
          <w:szCs w:val="20"/>
        </w:rPr>
        <w:t>ment of</w:t>
      </w:r>
      <w:r w:rsidR="00DA7671" w:rsidRPr="005F270C">
        <w:rPr>
          <w:rFonts w:ascii="Arial" w:hAnsi="Arial" w:cs="Arial"/>
          <w:sz w:val="20"/>
          <w:szCs w:val="20"/>
        </w:rPr>
        <w:t xml:space="preserve"> applications and a reduction in both prohibited uses and the need for planning permits</w:t>
      </w:r>
      <w:r w:rsidR="007F1626">
        <w:rPr>
          <w:rFonts w:ascii="Arial" w:hAnsi="Arial" w:cs="Arial"/>
          <w:sz w:val="20"/>
          <w:szCs w:val="20"/>
        </w:rPr>
        <w:t xml:space="preserve">. </w:t>
      </w:r>
    </w:p>
    <w:p w14:paraId="6978AAE0" w14:textId="77777777" w:rsidR="00036182" w:rsidRPr="005F270C" w:rsidRDefault="00B608F9" w:rsidP="00F203AC">
      <w:pPr>
        <w:jc w:val="both"/>
        <w:rPr>
          <w:rFonts w:ascii="Arial" w:hAnsi="Arial" w:cs="Arial"/>
          <w:sz w:val="20"/>
          <w:szCs w:val="20"/>
        </w:rPr>
      </w:pPr>
      <w:r w:rsidRPr="005F270C">
        <w:rPr>
          <w:rFonts w:ascii="Arial" w:hAnsi="Arial" w:cs="Arial"/>
          <w:sz w:val="20"/>
          <w:szCs w:val="20"/>
        </w:rPr>
        <w:t xml:space="preserve">The further deregulation of the Victorian system by successive Victorian governments follows the template introduced by the Development Assessment Forum and adopted by Planning Ministers in 2005. </w:t>
      </w:r>
      <w:r w:rsidR="00607A8C" w:rsidRPr="005F270C">
        <w:rPr>
          <w:rFonts w:ascii="Arial" w:hAnsi="Arial" w:cs="Arial"/>
          <w:sz w:val="20"/>
          <w:szCs w:val="20"/>
        </w:rPr>
        <w:t>T</w:t>
      </w:r>
      <w:r w:rsidR="007F1626">
        <w:rPr>
          <w:rFonts w:ascii="Arial" w:hAnsi="Arial" w:cs="Arial"/>
          <w:sz w:val="20"/>
          <w:szCs w:val="20"/>
        </w:rPr>
        <w:t xml:space="preserve">he </w:t>
      </w:r>
      <w:r w:rsidR="001A7D90" w:rsidRPr="005F270C">
        <w:rPr>
          <w:rFonts w:ascii="Arial" w:hAnsi="Arial" w:cs="Arial"/>
          <w:sz w:val="20"/>
          <w:szCs w:val="20"/>
        </w:rPr>
        <w:t xml:space="preserve">Labor government in 2008 </w:t>
      </w:r>
      <w:r w:rsidR="00607A8C" w:rsidRPr="005F270C">
        <w:rPr>
          <w:rFonts w:ascii="Arial" w:hAnsi="Arial" w:cs="Arial"/>
          <w:sz w:val="20"/>
          <w:szCs w:val="20"/>
        </w:rPr>
        <w:t>commenced</w:t>
      </w:r>
      <w:r w:rsidR="001A7D90" w:rsidRPr="005F270C">
        <w:rPr>
          <w:rFonts w:ascii="Arial" w:hAnsi="Arial" w:cs="Arial"/>
          <w:sz w:val="20"/>
          <w:szCs w:val="20"/>
        </w:rPr>
        <w:t xml:space="preserve"> a process of pre-lodgement certification and faster approval of minor matters through processes such as the </w:t>
      </w:r>
      <w:r w:rsidR="001A7D90" w:rsidRPr="005F270C">
        <w:rPr>
          <w:rFonts w:ascii="Arial" w:hAnsi="Arial" w:cs="Arial"/>
          <w:i/>
          <w:sz w:val="20"/>
          <w:szCs w:val="20"/>
        </w:rPr>
        <w:t>Better Decisions Faster</w:t>
      </w:r>
      <w:r w:rsidR="001A7D90" w:rsidRPr="005F270C">
        <w:rPr>
          <w:rFonts w:ascii="Arial" w:hAnsi="Arial" w:cs="Arial"/>
          <w:sz w:val="20"/>
          <w:szCs w:val="20"/>
        </w:rPr>
        <w:t>. It also introduced piecemeal statutory changes to streamline major planning assessments</w:t>
      </w:r>
      <w:r w:rsidR="00390070" w:rsidRPr="005F270C">
        <w:rPr>
          <w:rFonts w:ascii="Arial" w:hAnsi="Arial" w:cs="Arial"/>
          <w:sz w:val="20"/>
          <w:szCs w:val="20"/>
        </w:rPr>
        <w:t xml:space="preserve">. </w:t>
      </w:r>
      <w:r w:rsidR="00E338EC" w:rsidRPr="005F270C">
        <w:rPr>
          <w:rFonts w:ascii="Arial" w:hAnsi="Arial" w:cs="Arial"/>
          <w:sz w:val="20"/>
          <w:szCs w:val="20"/>
        </w:rPr>
        <w:t xml:space="preserve">The Coalition government </w:t>
      </w:r>
      <w:r w:rsidR="007F1626">
        <w:rPr>
          <w:rFonts w:ascii="Arial" w:hAnsi="Arial" w:cs="Arial"/>
          <w:sz w:val="20"/>
          <w:szCs w:val="20"/>
        </w:rPr>
        <w:t>continued his process, introducing</w:t>
      </w:r>
      <w:r w:rsidR="00E338EC" w:rsidRPr="005F270C">
        <w:rPr>
          <w:rFonts w:ascii="Arial" w:hAnsi="Arial" w:cs="Arial"/>
          <w:sz w:val="20"/>
          <w:szCs w:val="20"/>
        </w:rPr>
        <w:t xml:space="preserve"> </w:t>
      </w:r>
      <w:r w:rsidR="00F20EE6" w:rsidRPr="005F270C">
        <w:rPr>
          <w:rFonts w:ascii="Arial" w:hAnsi="Arial" w:cs="Arial"/>
          <w:sz w:val="20"/>
          <w:szCs w:val="20"/>
        </w:rPr>
        <w:t xml:space="preserve">a suite of new residential, commercial, industrial and rural zones in July 2013. Most of these zones radically reduced the number of prohibited uses, </w:t>
      </w:r>
      <w:r w:rsidR="00297A08" w:rsidRPr="005F270C">
        <w:rPr>
          <w:rFonts w:ascii="Arial" w:hAnsi="Arial" w:cs="Arial"/>
          <w:sz w:val="20"/>
          <w:szCs w:val="20"/>
        </w:rPr>
        <w:t xml:space="preserve">almost eliminating them in the commercial, mixed use and farming zones, </w:t>
      </w:r>
      <w:r w:rsidR="00F20EE6" w:rsidRPr="005F270C">
        <w:rPr>
          <w:rFonts w:ascii="Arial" w:hAnsi="Arial" w:cs="Arial"/>
          <w:sz w:val="20"/>
          <w:szCs w:val="20"/>
        </w:rPr>
        <w:t xml:space="preserve">and reduced the need for planning permits along with third party rights of notification, objection and appeal. </w:t>
      </w:r>
    </w:p>
    <w:p w14:paraId="55405334" w14:textId="77777777" w:rsidR="0029314B" w:rsidRPr="005F270C" w:rsidRDefault="00F20EE6" w:rsidP="00F203AC">
      <w:pPr>
        <w:jc w:val="both"/>
        <w:rPr>
          <w:rFonts w:ascii="Arial" w:hAnsi="Arial" w:cs="Arial"/>
          <w:sz w:val="20"/>
          <w:szCs w:val="20"/>
        </w:rPr>
      </w:pPr>
      <w:r w:rsidRPr="005F270C">
        <w:rPr>
          <w:rFonts w:ascii="Arial" w:hAnsi="Arial" w:cs="Arial"/>
          <w:sz w:val="20"/>
          <w:szCs w:val="20"/>
        </w:rPr>
        <w:t xml:space="preserve">The </w:t>
      </w:r>
      <w:r w:rsidR="00297A08" w:rsidRPr="005F270C">
        <w:rPr>
          <w:rFonts w:ascii="Arial" w:hAnsi="Arial" w:cs="Arial"/>
          <w:sz w:val="20"/>
          <w:szCs w:val="20"/>
        </w:rPr>
        <w:t>only regula</w:t>
      </w:r>
      <w:r w:rsidR="00683AEB" w:rsidRPr="005F270C">
        <w:rPr>
          <w:rFonts w:ascii="Arial" w:hAnsi="Arial" w:cs="Arial"/>
          <w:sz w:val="20"/>
          <w:szCs w:val="20"/>
        </w:rPr>
        <w:t xml:space="preserve">tory concessions in </w:t>
      </w:r>
      <w:r w:rsidR="00337A3C" w:rsidRPr="005F270C">
        <w:rPr>
          <w:rFonts w:ascii="Arial" w:hAnsi="Arial" w:cs="Arial"/>
          <w:sz w:val="20"/>
          <w:szCs w:val="20"/>
        </w:rPr>
        <w:t>this</w:t>
      </w:r>
      <w:r w:rsidR="00297A08" w:rsidRPr="005F270C">
        <w:rPr>
          <w:rFonts w:ascii="Arial" w:hAnsi="Arial" w:cs="Arial"/>
          <w:sz w:val="20"/>
          <w:szCs w:val="20"/>
        </w:rPr>
        <w:t xml:space="preserve"> government’s new </w:t>
      </w:r>
      <w:r w:rsidR="00683AEB" w:rsidRPr="005F270C">
        <w:rPr>
          <w:rFonts w:ascii="Arial" w:hAnsi="Arial" w:cs="Arial"/>
          <w:sz w:val="20"/>
          <w:szCs w:val="20"/>
        </w:rPr>
        <w:t>s</w:t>
      </w:r>
      <w:r w:rsidR="00337A3C" w:rsidRPr="005F270C">
        <w:rPr>
          <w:rFonts w:ascii="Arial" w:hAnsi="Arial" w:cs="Arial"/>
          <w:sz w:val="20"/>
          <w:szCs w:val="20"/>
        </w:rPr>
        <w:t>ystem</w:t>
      </w:r>
      <w:r w:rsidRPr="005F270C">
        <w:rPr>
          <w:rFonts w:ascii="Arial" w:hAnsi="Arial" w:cs="Arial"/>
          <w:sz w:val="20"/>
          <w:szCs w:val="20"/>
        </w:rPr>
        <w:t xml:space="preserve"> </w:t>
      </w:r>
      <w:r w:rsidR="00297A08" w:rsidRPr="005F270C">
        <w:rPr>
          <w:rFonts w:ascii="Arial" w:hAnsi="Arial" w:cs="Arial"/>
          <w:sz w:val="20"/>
          <w:szCs w:val="20"/>
        </w:rPr>
        <w:t xml:space="preserve">were included in the </w:t>
      </w:r>
      <w:r w:rsidR="00337A3C" w:rsidRPr="005F270C">
        <w:rPr>
          <w:rFonts w:ascii="Arial" w:hAnsi="Arial" w:cs="Arial"/>
          <w:sz w:val="20"/>
          <w:szCs w:val="20"/>
        </w:rPr>
        <w:t xml:space="preserve">new </w:t>
      </w:r>
      <w:r w:rsidR="00297A08" w:rsidRPr="005F270C">
        <w:rPr>
          <w:rFonts w:ascii="Arial" w:hAnsi="Arial" w:cs="Arial"/>
          <w:sz w:val="20"/>
          <w:szCs w:val="20"/>
        </w:rPr>
        <w:t>residential zones</w:t>
      </w:r>
      <w:r w:rsidR="00234C85" w:rsidRPr="005F270C">
        <w:rPr>
          <w:rFonts w:ascii="Arial" w:hAnsi="Arial" w:cs="Arial"/>
          <w:sz w:val="20"/>
          <w:szCs w:val="20"/>
        </w:rPr>
        <w:t xml:space="preserve">. For the first time, </w:t>
      </w:r>
      <w:r w:rsidR="004C45F0" w:rsidRPr="005F270C">
        <w:rPr>
          <w:rFonts w:ascii="Arial" w:hAnsi="Arial" w:cs="Arial"/>
          <w:sz w:val="20"/>
          <w:szCs w:val="20"/>
        </w:rPr>
        <w:t xml:space="preserve">mandatory </w:t>
      </w:r>
      <w:r w:rsidRPr="005F270C">
        <w:rPr>
          <w:rFonts w:ascii="Arial" w:hAnsi="Arial" w:cs="Arial"/>
          <w:sz w:val="20"/>
          <w:szCs w:val="20"/>
        </w:rPr>
        <w:t xml:space="preserve">height controls </w:t>
      </w:r>
      <w:r w:rsidR="00234C85" w:rsidRPr="005F270C">
        <w:rPr>
          <w:rFonts w:ascii="Arial" w:hAnsi="Arial" w:cs="Arial"/>
          <w:sz w:val="20"/>
          <w:szCs w:val="20"/>
        </w:rPr>
        <w:t>were introduced,</w:t>
      </w:r>
      <w:r w:rsidRPr="005F270C">
        <w:rPr>
          <w:rFonts w:ascii="Arial" w:hAnsi="Arial" w:cs="Arial"/>
          <w:sz w:val="20"/>
          <w:szCs w:val="20"/>
        </w:rPr>
        <w:t xml:space="preserve"> and one zone </w:t>
      </w:r>
      <w:r w:rsidR="004C45F0" w:rsidRPr="005F270C">
        <w:rPr>
          <w:rFonts w:ascii="Arial" w:hAnsi="Arial" w:cs="Arial"/>
          <w:sz w:val="20"/>
          <w:szCs w:val="20"/>
        </w:rPr>
        <w:t xml:space="preserve">associated primarily with heritage and high amenity residential areas </w:t>
      </w:r>
      <w:r w:rsidRPr="005F270C">
        <w:rPr>
          <w:rFonts w:ascii="Arial" w:hAnsi="Arial" w:cs="Arial"/>
          <w:sz w:val="20"/>
          <w:szCs w:val="20"/>
        </w:rPr>
        <w:t xml:space="preserve">prohibited multi-unit development. </w:t>
      </w:r>
      <w:r w:rsidR="00036182" w:rsidRPr="005F270C">
        <w:rPr>
          <w:rFonts w:ascii="Arial" w:hAnsi="Arial" w:cs="Arial"/>
          <w:sz w:val="20"/>
          <w:szCs w:val="20"/>
        </w:rPr>
        <w:t xml:space="preserve">However, </w:t>
      </w:r>
      <w:r w:rsidR="004C45F0" w:rsidRPr="005F270C">
        <w:rPr>
          <w:rFonts w:ascii="Arial" w:hAnsi="Arial" w:cs="Arial"/>
          <w:sz w:val="20"/>
          <w:szCs w:val="20"/>
        </w:rPr>
        <w:t>facilitative</w:t>
      </w:r>
      <w:r w:rsidR="007F1626">
        <w:rPr>
          <w:rFonts w:ascii="Arial" w:hAnsi="Arial" w:cs="Arial"/>
          <w:sz w:val="20"/>
          <w:szCs w:val="20"/>
        </w:rPr>
        <w:t xml:space="preserve"> planning was soon restored as </w:t>
      </w:r>
      <w:r w:rsidR="00036182" w:rsidRPr="005F270C">
        <w:rPr>
          <w:rFonts w:ascii="Arial" w:hAnsi="Arial" w:cs="Arial"/>
          <w:sz w:val="20"/>
          <w:szCs w:val="20"/>
        </w:rPr>
        <w:t>the</w:t>
      </w:r>
      <w:r w:rsidR="007F1626">
        <w:rPr>
          <w:rFonts w:ascii="Arial" w:hAnsi="Arial" w:cs="Arial"/>
          <w:sz w:val="20"/>
          <w:szCs w:val="20"/>
        </w:rPr>
        <w:t xml:space="preserve"> </w:t>
      </w:r>
      <w:r w:rsidR="00036182" w:rsidRPr="005F270C">
        <w:rPr>
          <w:rFonts w:ascii="Arial" w:hAnsi="Arial" w:cs="Arial"/>
          <w:sz w:val="20"/>
          <w:szCs w:val="20"/>
        </w:rPr>
        <w:t>Labor government in 2017 removed the restriction on residential zone multi-unit development and increased residential height controls.</w:t>
      </w:r>
      <w:r w:rsidR="00366CDA" w:rsidRPr="005F270C">
        <w:rPr>
          <w:rFonts w:ascii="Arial" w:hAnsi="Arial" w:cs="Arial"/>
          <w:sz w:val="20"/>
          <w:szCs w:val="20"/>
        </w:rPr>
        <w:t xml:space="preserve"> </w:t>
      </w:r>
    </w:p>
    <w:p w14:paraId="1FC4C716" w14:textId="77777777" w:rsidR="001A7D90" w:rsidRPr="005F270C" w:rsidRDefault="007F1626" w:rsidP="00F203AC">
      <w:pPr>
        <w:jc w:val="both"/>
        <w:rPr>
          <w:rFonts w:ascii="Arial" w:hAnsi="Arial" w:cs="Arial"/>
          <w:sz w:val="20"/>
          <w:szCs w:val="20"/>
        </w:rPr>
      </w:pPr>
      <w:r>
        <w:rPr>
          <w:rFonts w:ascii="Arial" w:hAnsi="Arial" w:cs="Arial"/>
          <w:sz w:val="20"/>
          <w:szCs w:val="20"/>
        </w:rPr>
        <w:t xml:space="preserve">All recent Victorian </w:t>
      </w:r>
      <w:r w:rsidRPr="005F270C">
        <w:rPr>
          <w:rFonts w:ascii="Arial" w:hAnsi="Arial" w:cs="Arial"/>
          <w:sz w:val="20"/>
          <w:szCs w:val="20"/>
        </w:rPr>
        <w:t xml:space="preserve">governments </w:t>
      </w:r>
      <w:r>
        <w:rPr>
          <w:rFonts w:ascii="Arial" w:hAnsi="Arial" w:cs="Arial"/>
          <w:sz w:val="20"/>
          <w:szCs w:val="20"/>
        </w:rPr>
        <w:t xml:space="preserve">have shared this </w:t>
      </w:r>
      <w:r w:rsidR="0029314B" w:rsidRPr="005F270C">
        <w:rPr>
          <w:rFonts w:ascii="Arial" w:hAnsi="Arial" w:cs="Arial"/>
          <w:sz w:val="20"/>
          <w:szCs w:val="20"/>
        </w:rPr>
        <w:t xml:space="preserve">pattern of incrementally developed deregulation and the restoration of a neoliberal status-quo. </w:t>
      </w:r>
      <w:r w:rsidR="00064659" w:rsidRPr="005F270C">
        <w:rPr>
          <w:rFonts w:ascii="Arial" w:hAnsi="Arial" w:cs="Arial"/>
          <w:sz w:val="20"/>
          <w:szCs w:val="20"/>
        </w:rPr>
        <w:t xml:space="preserve">The </w:t>
      </w:r>
      <w:r>
        <w:rPr>
          <w:rFonts w:ascii="Arial" w:hAnsi="Arial" w:cs="Arial"/>
          <w:sz w:val="20"/>
          <w:szCs w:val="20"/>
        </w:rPr>
        <w:t xml:space="preserve">Labor </w:t>
      </w:r>
      <w:r w:rsidR="00064659" w:rsidRPr="005F270C">
        <w:rPr>
          <w:rFonts w:ascii="Arial" w:hAnsi="Arial" w:cs="Arial"/>
          <w:sz w:val="20"/>
          <w:szCs w:val="20"/>
        </w:rPr>
        <w:t>government</w:t>
      </w:r>
      <w:r>
        <w:rPr>
          <w:rFonts w:ascii="Arial" w:hAnsi="Arial" w:cs="Arial"/>
          <w:sz w:val="20"/>
          <w:szCs w:val="20"/>
        </w:rPr>
        <w:t>’s</w:t>
      </w:r>
      <w:r w:rsidR="00064659" w:rsidRPr="005F270C">
        <w:rPr>
          <w:rFonts w:ascii="Arial" w:hAnsi="Arial" w:cs="Arial"/>
          <w:sz w:val="20"/>
          <w:szCs w:val="20"/>
        </w:rPr>
        <w:t xml:space="preserve"> 2002 metropolitan strategy, </w:t>
      </w:r>
      <w:r w:rsidR="00064659" w:rsidRPr="005F270C">
        <w:rPr>
          <w:rFonts w:ascii="Arial" w:hAnsi="Arial" w:cs="Arial"/>
          <w:i/>
          <w:sz w:val="20"/>
          <w:szCs w:val="20"/>
        </w:rPr>
        <w:t>Melbourne 2030</w:t>
      </w:r>
      <w:r w:rsidR="00FC1E7C" w:rsidRPr="005F270C">
        <w:rPr>
          <w:rFonts w:ascii="Arial" w:hAnsi="Arial" w:cs="Arial"/>
          <w:i/>
          <w:sz w:val="20"/>
          <w:szCs w:val="20"/>
        </w:rPr>
        <w:t xml:space="preserve"> </w:t>
      </w:r>
      <w:r w:rsidR="00FC1E7C" w:rsidRPr="005F270C">
        <w:rPr>
          <w:rFonts w:ascii="Arial" w:hAnsi="Arial" w:cs="Arial"/>
          <w:sz w:val="20"/>
          <w:szCs w:val="20"/>
        </w:rPr>
        <w:t>(DOI, 2002)</w:t>
      </w:r>
      <w:r w:rsidR="00064659" w:rsidRPr="005F270C">
        <w:rPr>
          <w:rFonts w:ascii="Arial" w:hAnsi="Arial" w:cs="Arial"/>
          <w:sz w:val="20"/>
          <w:szCs w:val="20"/>
        </w:rPr>
        <w:t xml:space="preserve">, </w:t>
      </w:r>
      <w:r w:rsidR="00841129" w:rsidRPr="005F270C">
        <w:rPr>
          <w:rFonts w:ascii="Arial" w:hAnsi="Arial" w:cs="Arial"/>
          <w:sz w:val="20"/>
          <w:szCs w:val="20"/>
        </w:rPr>
        <w:t xml:space="preserve">contained nine key directions each supported by policies, and a series of implementation plans. </w:t>
      </w:r>
      <w:r w:rsidR="00337A3C" w:rsidRPr="005F270C">
        <w:rPr>
          <w:rFonts w:ascii="Arial" w:hAnsi="Arial" w:cs="Arial"/>
          <w:sz w:val="20"/>
          <w:szCs w:val="20"/>
        </w:rPr>
        <w:t xml:space="preserve">The </w:t>
      </w:r>
      <w:r w:rsidR="00630B31" w:rsidRPr="005F270C">
        <w:rPr>
          <w:rFonts w:ascii="Arial" w:hAnsi="Arial" w:cs="Arial"/>
          <w:sz w:val="20"/>
          <w:szCs w:val="20"/>
        </w:rPr>
        <w:t xml:space="preserve">key strategic </w:t>
      </w:r>
      <w:r w:rsidR="00337A3C" w:rsidRPr="005F270C">
        <w:rPr>
          <w:rFonts w:ascii="Arial" w:hAnsi="Arial" w:cs="Arial"/>
          <w:sz w:val="20"/>
          <w:szCs w:val="20"/>
        </w:rPr>
        <w:t xml:space="preserve">policy </w:t>
      </w:r>
      <w:r w:rsidR="00630B31" w:rsidRPr="005F270C">
        <w:rPr>
          <w:rFonts w:ascii="Arial" w:hAnsi="Arial" w:cs="Arial"/>
          <w:sz w:val="20"/>
          <w:szCs w:val="20"/>
        </w:rPr>
        <w:t xml:space="preserve">was to contain urban growth by redirecting fringe area development to 116 metropolitan mixed use activity centres and other urban infill. </w:t>
      </w:r>
      <w:r w:rsidR="00841129" w:rsidRPr="005F270C">
        <w:rPr>
          <w:rFonts w:ascii="Arial" w:hAnsi="Arial" w:cs="Arial"/>
          <w:sz w:val="20"/>
          <w:szCs w:val="20"/>
        </w:rPr>
        <w:t>The commissioning of 12 research reports seemed to involve a return to research based policy. However, the</w:t>
      </w:r>
      <w:r w:rsidR="00D838CE" w:rsidRPr="005F270C">
        <w:rPr>
          <w:rFonts w:ascii="Arial" w:hAnsi="Arial" w:cs="Arial"/>
          <w:sz w:val="20"/>
          <w:szCs w:val="20"/>
        </w:rPr>
        <w:t xml:space="preserve"> policies were usually general</w:t>
      </w:r>
      <w:r w:rsidR="00841129" w:rsidRPr="005F270C">
        <w:rPr>
          <w:rFonts w:ascii="Arial" w:hAnsi="Arial" w:cs="Arial"/>
          <w:sz w:val="20"/>
          <w:szCs w:val="20"/>
        </w:rPr>
        <w:t xml:space="preserve">, qualified and often vague, and the plan was never implemented. It’s one regulatory element was the introduction of a legislated urban growth boundary and new mandatory </w:t>
      </w:r>
      <w:r w:rsidR="00C06A75" w:rsidRPr="005F270C">
        <w:rPr>
          <w:rFonts w:ascii="Arial" w:hAnsi="Arial" w:cs="Arial"/>
          <w:sz w:val="20"/>
          <w:szCs w:val="20"/>
        </w:rPr>
        <w:t xml:space="preserve">green belt </w:t>
      </w:r>
      <w:r w:rsidR="00841129" w:rsidRPr="005F270C">
        <w:rPr>
          <w:rFonts w:ascii="Arial" w:hAnsi="Arial" w:cs="Arial"/>
          <w:sz w:val="20"/>
          <w:szCs w:val="20"/>
        </w:rPr>
        <w:t>zones requiring parliamentary approval for amendments. This proved no obstacle as both major parties</w:t>
      </w:r>
      <w:r w:rsidR="003A7E01" w:rsidRPr="005F270C">
        <w:rPr>
          <w:rFonts w:ascii="Arial" w:hAnsi="Arial" w:cs="Arial"/>
          <w:sz w:val="20"/>
          <w:szCs w:val="20"/>
        </w:rPr>
        <w:t xml:space="preserve"> </w:t>
      </w:r>
      <w:r w:rsidR="004F1AC1" w:rsidRPr="005F270C">
        <w:rPr>
          <w:rFonts w:ascii="Arial" w:hAnsi="Arial" w:cs="Arial"/>
          <w:sz w:val="20"/>
          <w:szCs w:val="20"/>
        </w:rPr>
        <w:t xml:space="preserve">acquiesced to lobbying by the development industry and </w:t>
      </w:r>
      <w:r w:rsidR="00630B31" w:rsidRPr="005F270C">
        <w:rPr>
          <w:rFonts w:ascii="Arial" w:hAnsi="Arial" w:cs="Arial"/>
          <w:sz w:val="20"/>
          <w:szCs w:val="20"/>
        </w:rPr>
        <w:t>agreed three times to vary the boundary</w:t>
      </w:r>
      <w:r w:rsidR="00C06A75" w:rsidRPr="005F270C">
        <w:rPr>
          <w:rFonts w:ascii="Arial" w:hAnsi="Arial" w:cs="Arial"/>
          <w:sz w:val="20"/>
          <w:szCs w:val="20"/>
        </w:rPr>
        <w:t>,</w:t>
      </w:r>
      <w:r w:rsidR="00630B31" w:rsidRPr="005F270C">
        <w:rPr>
          <w:rFonts w:ascii="Arial" w:hAnsi="Arial" w:cs="Arial"/>
          <w:sz w:val="20"/>
          <w:szCs w:val="20"/>
        </w:rPr>
        <w:t xml:space="preserve"> most notably by expanding </w:t>
      </w:r>
      <w:r w:rsidR="00C06A75" w:rsidRPr="005F270C">
        <w:rPr>
          <w:rFonts w:ascii="Arial" w:hAnsi="Arial" w:cs="Arial"/>
          <w:sz w:val="20"/>
          <w:szCs w:val="20"/>
        </w:rPr>
        <w:t xml:space="preserve">it </w:t>
      </w:r>
      <w:r w:rsidR="00630B31" w:rsidRPr="005F270C">
        <w:rPr>
          <w:rFonts w:ascii="Arial" w:hAnsi="Arial" w:cs="Arial"/>
          <w:sz w:val="20"/>
          <w:szCs w:val="20"/>
        </w:rPr>
        <w:t>in 2010 by 43,000 hectares to allow the continuation of low density outer urban development (Buxton, Goodman and</w:t>
      </w:r>
      <w:r w:rsidR="00F8644C" w:rsidRPr="005F270C">
        <w:rPr>
          <w:rFonts w:ascii="Arial" w:hAnsi="Arial" w:cs="Arial"/>
          <w:sz w:val="20"/>
          <w:szCs w:val="20"/>
        </w:rPr>
        <w:t xml:space="preserve"> Moloney, 2016). By 2010, </w:t>
      </w:r>
      <w:r w:rsidR="00630B31" w:rsidRPr="005F270C">
        <w:rPr>
          <w:rFonts w:ascii="Arial" w:hAnsi="Arial" w:cs="Arial"/>
          <w:sz w:val="20"/>
          <w:szCs w:val="20"/>
        </w:rPr>
        <w:t>the plan had been ignored so comprehensively that it could be described as ‘stone dead’</w:t>
      </w:r>
      <w:r w:rsidR="00F8644C" w:rsidRPr="005F270C">
        <w:rPr>
          <w:rFonts w:ascii="Arial" w:hAnsi="Arial" w:cs="Arial"/>
          <w:sz w:val="20"/>
          <w:szCs w:val="20"/>
        </w:rPr>
        <w:t xml:space="preserve"> (</w:t>
      </w:r>
      <w:r w:rsidR="00764C55" w:rsidRPr="005F270C">
        <w:rPr>
          <w:rFonts w:ascii="Arial" w:hAnsi="Arial" w:cs="Arial"/>
          <w:sz w:val="20"/>
          <w:szCs w:val="20"/>
        </w:rPr>
        <w:t>Dowling and Lahey, 2009</w:t>
      </w:r>
      <w:r w:rsidR="00F8644C" w:rsidRPr="005F270C">
        <w:rPr>
          <w:rFonts w:ascii="Arial" w:hAnsi="Arial" w:cs="Arial"/>
          <w:sz w:val="20"/>
          <w:szCs w:val="20"/>
        </w:rPr>
        <w:t xml:space="preserve">) and </w:t>
      </w:r>
      <w:r w:rsidR="00BC003F">
        <w:rPr>
          <w:rFonts w:ascii="Arial" w:hAnsi="Arial" w:cs="Arial"/>
          <w:sz w:val="20"/>
          <w:szCs w:val="20"/>
        </w:rPr>
        <w:t xml:space="preserve">was </w:t>
      </w:r>
      <w:r w:rsidR="00F8644C" w:rsidRPr="005F270C">
        <w:rPr>
          <w:rFonts w:ascii="Arial" w:hAnsi="Arial" w:cs="Arial"/>
          <w:sz w:val="20"/>
          <w:szCs w:val="20"/>
        </w:rPr>
        <w:t xml:space="preserve">replaced by yet another plan, </w:t>
      </w:r>
      <w:r w:rsidR="00F8644C" w:rsidRPr="005F270C">
        <w:rPr>
          <w:rFonts w:ascii="Arial" w:hAnsi="Arial" w:cs="Arial"/>
          <w:i/>
          <w:sz w:val="20"/>
          <w:szCs w:val="20"/>
        </w:rPr>
        <w:t>Melbourne @ 5 Million</w:t>
      </w:r>
      <w:r w:rsidR="00F8644C" w:rsidRPr="005F270C">
        <w:rPr>
          <w:rFonts w:ascii="Arial" w:hAnsi="Arial" w:cs="Arial"/>
          <w:sz w:val="20"/>
          <w:szCs w:val="20"/>
        </w:rPr>
        <w:t xml:space="preserve">. </w:t>
      </w:r>
      <w:r w:rsidR="003A7E01" w:rsidRPr="005F270C">
        <w:rPr>
          <w:rFonts w:ascii="Arial" w:hAnsi="Arial" w:cs="Arial"/>
          <w:sz w:val="20"/>
          <w:szCs w:val="20"/>
        </w:rPr>
        <w:t xml:space="preserve"> </w:t>
      </w:r>
    </w:p>
    <w:p w14:paraId="5B165E9F" w14:textId="77777777" w:rsidR="002F7B25" w:rsidRPr="005F270C" w:rsidRDefault="00313325" w:rsidP="00F203AC">
      <w:pPr>
        <w:jc w:val="both"/>
        <w:rPr>
          <w:rFonts w:ascii="Arial" w:hAnsi="Arial" w:cs="Arial"/>
          <w:sz w:val="20"/>
          <w:szCs w:val="20"/>
        </w:rPr>
      </w:pPr>
      <w:r w:rsidRPr="005F270C">
        <w:rPr>
          <w:rFonts w:ascii="Arial" w:hAnsi="Arial" w:cs="Arial"/>
          <w:sz w:val="20"/>
          <w:szCs w:val="20"/>
        </w:rPr>
        <w:t xml:space="preserve">Cumulative neoliberal system development is perhaps most starkly illustrated by progressive out-of-centre commercial and retail development. The main stated focus of </w:t>
      </w:r>
      <w:r w:rsidRPr="005F270C">
        <w:rPr>
          <w:rFonts w:ascii="Arial" w:hAnsi="Arial" w:cs="Arial"/>
          <w:i/>
          <w:sz w:val="20"/>
          <w:szCs w:val="20"/>
        </w:rPr>
        <w:t>Melbourne 2030</w:t>
      </w:r>
      <w:r w:rsidRPr="005F270C">
        <w:rPr>
          <w:rFonts w:ascii="Arial" w:hAnsi="Arial" w:cs="Arial"/>
          <w:sz w:val="20"/>
          <w:szCs w:val="20"/>
        </w:rPr>
        <w:t xml:space="preserve"> and its successor </w:t>
      </w:r>
      <w:r w:rsidRPr="005F270C">
        <w:rPr>
          <w:rFonts w:ascii="Arial" w:hAnsi="Arial" w:cs="Arial"/>
          <w:i/>
          <w:sz w:val="20"/>
          <w:szCs w:val="20"/>
        </w:rPr>
        <w:t>Plan Melbourne</w:t>
      </w:r>
      <w:r w:rsidR="006E6199">
        <w:rPr>
          <w:rFonts w:ascii="Arial" w:hAnsi="Arial" w:cs="Arial"/>
          <w:i/>
          <w:sz w:val="20"/>
          <w:szCs w:val="20"/>
        </w:rPr>
        <w:t xml:space="preserve"> </w:t>
      </w:r>
      <w:r w:rsidR="006E6199">
        <w:rPr>
          <w:rFonts w:ascii="Arial" w:hAnsi="Arial" w:cs="Arial"/>
          <w:sz w:val="20"/>
          <w:szCs w:val="20"/>
        </w:rPr>
        <w:t>is</w:t>
      </w:r>
      <w:r w:rsidRPr="005F270C">
        <w:rPr>
          <w:rFonts w:ascii="Arial" w:hAnsi="Arial" w:cs="Arial"/>
          <w:sz w:val="20"/>
          <w:szCs w:val="20"/>
        </w:rPr>
        <w:t xml:space="preserve"> concentrate</w:t>
      </w:r>
      <w:r w:rsidR="006E6199">
        <w:rPr>
          <w:rFonts w:ascii="Arial" w:hAnsi="Arial" w:cs="Arial"/>
          <w:sz w:val="20"/>
          <w:szCs w:val="20"/>
        </w:rPr>
        <w:t>d</w:t>
      </w:r>
      <w:r w:rsidRPr="005F270C">
        <w:rPr>
          <w:rFonts w:ascii="Arial" w:hAnsi="Arial" w:cs="Arial"/>
          <w:sz w:val="20"/>
          <w:szCs w:val="20"/>
        </w:rPr>
        <w:t xml:space="preserve"> development into mixed use activity centres. However, </w:t>
      </w:r>
      <w:r w:rsidRPr="005F270C">
        <w:rPr>
          <w:rFonts w:ascii="Arial" w:hAnsi="Arial" w:cs="Arial"/>
          <w:i/>
          <w:sz w:val="20"/>
          <w:szCs w:val="20"/>
        </w:rPr>
        <w:t>Melbourne 2030’s</w:t>
      </w:r>
      <w:r w:rsidRPr="005F270C">
        <w:rPr>
          <w:rFonts w:ascii="Arial" w:hAnsi="Arial" w:cs="Arial"/>
          <w:sz w:val="20"/>
          <w:szCs w:val="20"/>
        </w:rPr>
        <w:t xml:space="preserve"> </w:t>
      </w:r>
      <w:r w:rsidR="006E6199">
        <w:rPr>
          <w:rFonts w:ascii="Arial" w:hAnsi="Arial" w:cs="Arial"/>
          <w:sz w:val="20"/>
          <w:szCs w:val="20"/>
        </w:rPr>
        <w:t xml:space="preserve">retail </w:t>
      </w:r>
      <w:r w:rsidRPr="005F270C">
        <w:rPr>
          <w:rFonts w:ascii="Arial" w:hAnsi="Arial" w:cs="Arial"/>
          <w:sz w:val="20"/>
          <w:szCs w:val="20"/>
        </w:rPr>
        <w:t xml:space="preserve">policy prescription </w:t>
      </w:r>
      <w:r w:rsidR="00F8644C" w:rsidRPr="005F270C">
        <w:rPr>
          <w:rFonts w:ascii="Arial" w:hAnsi="Arial" w:cs="Arial"/>
          <w:sz w:val="20"/>
          <w:szCs w:val="20"/>
        </w:rPr>
        <w:t>was typical of the discretionary approach to policy endemic to deregulated strateg</w:t>
      </w:r>
      <w:r w:rsidR="00A47400">
        <w:rPr>
          <w:rFonts w:ascii="Arial" w:hAnsi="Arial" w:cs="Arial"/>
          <w:sz w:val="20"/>
          <w:szCs w:val="20"/>
        </w:rPr>
        <w:t>ic</w:t>
      </w:r>
      <w:r w:rsidR="00F8644C" w:rsidRPr="005F270C">
        <w:rPr>
          <w:rFonts w:ascii="Arial" w:hAnsi="Arial" w:cs="Arial"/>
          <w:sz w:val="20"/>
          <w:szCs w:val="20"/>
        </w:rPr>
        <w:t xml:space="preserve"> documents. Out-of-centre development was not prohibited but </w:t>
      </w:r>
      <w:r w:rsidR="00C06A75" w:rsidRPr="005F270C">
        <w:rPr>
          <w:rFonts w:ascii="Arial" w:hAnsi="Arial" w:cs="Arial"/>
          <w:sz w:val="20"/>
          <w:szCs w:val="20"/>
        </w:rPr>
        <w:t>‘</w:t>
      </w:r>
      <w:r w:rsidR="00F8644C" w:rsidRPr="005F270C">
        <w:rPr>
          <w:rFonts w:ascii="Arial" w:hAnsi="Arial" w:cs="Arial"/>
          <w:sz w:val="20"/>
          <w:szCs w:val="20"/>
        </w:rPr>
        <w:t>discouraged</w:t>
      </w:r>
      <w:r w:rsidR="00C06A75" w:rsidRPr="005F270C">
        <w:rPr>
          <w:rFonts w:ascii="Arial" w:hAnsi="Arial" w:cs="Arial"/>
          <w:sz w:val="20"/>
          <w:szCs w:val="20"/>
        </w:rPr>
        <w:t>’, and</w:t>
      </w:r>
      <w:r w:rsidR="00F8644C" w:rsidRPr="005F270C">
        <w:rPr>
          <w:rFonts w:ascii="Arial" w:hAnsi="Arial" w:cs="Arial"/>
          <w:sz w:val="20"/>
          <w:szCs w:val="20"/>
        </w:rPr>
        <w:t xml:space="preserve"> commercial and retail proposals in or close to existing centres </w:t>
      </w:r>
      <w:r w:rsidR="00C06A75" w:rsidRPr="005F270C">
        <w:rPr>
          <w:rFonts w:ascii="Arial" w:hAnsi="Arial" w:cs="Arial"/>
          <w:sz w:val="20"/>
          <w:szCs w:val="20"/>
        </w:rPr>
        <w:t>‘</w:t>
      </w:r>
      <w:r w:rsidR="00F8644C" w:rsidRPr="005F270C">
        <w:rPr>
          <w:rFonts w:ascii="Arial" w:hAnsi="Arial" w:cs="Arial"/>
          <w:sz w:val="20"/>
          <w:szCs w:val="20"/>
        </w:rPr>
        <w:t>preferred</w:t>
      </w:r>
      <w:r w:rsidR="00C06A75" w:rsidRPr="005F270C">
        <w:rPr>
          <w:rFonts w:ascii="Arial" w:hAnsi="Arial" w:cs="Arial"/>
          <w:sz w:val="20"/>
          <w:szCs w:val="20"/>
        </w:rPr>
        <w:t>’</w:t>
      </w:r>
      <w:r w:rsidR="00F8644C" w:rsidRPr="005F270C">
        <w:rPr>
          <w:rFonts w:ascii="Arial" w:hAnsi="Arial" w:cs="Arial"/>
          <w:sz w:val="20"/>
          <w:szCs w:val="20"/>
        </w:rPr>
        <w:t>. This strategic approach, coupled with a facilitative planning system allowed the rapid, incremental</w:t>
      </w:r>
      <w:r w:rsidRPr="005F270C">
        <w:rPr>
          <w:rFonts w:ascii="Arial" w:hAnsi="Arial" w:cs="Arial"/>
          <w:sz w:val="20"/>
          <w:szCs w:val="20"/>
        </w:rPr>
        <w:t xml:space="preserve"> growth of big-box stores away from nominated centres, and the expansion </w:t>
      </w:r>
      <w:r w:rsidR="00F8644C" w:rsidRPr="005F270C">
        <w:rPr>
          <w:rFonts w:ascii="Arial" w:hAnsi="Arial" w:cs="Arial"/>
          <w:sz w:val="20"/>
          <w:szCs w:val="20"/>
        </w:rPr>
        <w:t xml:space="preserve">of </w:t>
      </w:r>
      <w:r w:rsidRPr="005F270C">
        <w:rPr>
          <w:rFonts w:ascii="Arial" w:hAnsi="Arial" w:cs="Arial"/>
          <w:sz w:val="20"/>
          <w:szCs w:val="20"/>
        </w:rPr>
        <w:t xml:space="preserve">shopping malls. </w:t>
      </w:r>
    </w:p>
    <w:p w14:paraId="0438EC7B" w14:textId="77777777" w:rsidR="003A082D" w:rsidRDefault="00A50611" w:rsidP="00F203AC">
      <w:pPr>
        <w:jc w:val="both"/>
        <w:rPr>
          <w:rFonts w:ascii="Arial" w:hAnsi="Arial" w:cs="Arial"/>
          <w:sz w:val="20"/>
          <w:szCs w:val="20"/>
        </w:rPr>
      </w:pPr>
      <w:r w:rsidRPr="005F270C">
        <w:rPr>
          <w:rFonts w:ascii="Arial" w:hAnsi="Arial" w:cs="Arial"/>
          <w:sz w:val="20"/>
          <w:szCs w:val="20"/>
        </w:rPr>
        <w:t xml:space="preserve">The 2013 deregulated commercial zones </w:t>
      </w:r>
      <w:r w:rsidR="00D23450">
        <w:rPr>
          <w:rFonts w:ascii="Arial" w:hAnsi="Arial" w:cs="Arial"/>
          <w:sz w:val="20"/>
          <w:szCs w:val="20"/>
        </w:rPr>
        <w:t xml:space="preserve">continued this system deregulation, </w:t>
      </w:r>
      <w:r w:rsidRPr="005F270C">
        <w:rPr>
          <w:rFonts w:ascii="Arial" w:hAnsi="Arial" w:cs="Arial"/>
          <w:sz w:val="20"/>
          <w:szCs w:val="20"/>
        </w:rPr>
        <w:t>contradict</w:t>
      </w:r>
      <w:r w:rsidR="00D23450">
        <w:rPr>
          <w:rFonts w:ascii="Arial" w:hAnsi="Arial" w:cs="Arial"/>
          <w:sz w:val="20"/>
          <w:szCs w:val="20"/>
        </w:rPr>
        <w:t>ing</w:t>
      </w:r>
      <w:r w:rsidRPr="005F270C">
        <w:rPr>
          <w:rFonts w:ascii="Arial" w:hAnsi="Arial" w:cs="Arial"/>
          <w:sz w:val="20"/>
          <w:szCs w:val="20"/>
        </w:rPr>
        <w:t xml:space="preserve"> </w:t>
      </w:r>
      <w:r w:rsidR="00E53218" w:rsidRPr="005F270C">
        <w:rPr>
          <w:rFonts w:ascii="Arial" w:hAnsi="Arial" w:cs="Arial"/>
          <w:sz w:val="20"/>
          <w:szCs w:val="20"/>
        </w:rPr>
        <w:t>the plan’s emphasis on walkable mixed use traditional shopping strips</w:t>
      </w:r>
      <w:r w:rsidR="00C06A75" w:rsidRPr="005F270C">
        <w:rPr>
          <w:rFonts w:ascii="Arial" w:hAnsi="Arial" w:cs="Arial"/>
          <w:sz w:val="20"/>
          <w:szCs w:val="20"/>
        </w:rPr>
        <w:t xml:space="preserve">. Former Business zone </w:t>
      </w:r>
      <w:r w:rsidR="00D23450">
        <w:rPr>
          <w:rFonts w:ascii="Arial" w:hAnsi="Arial" w:cs="Arial"/>
          <w:sz w:val="20"/>
          <w:szCs w:val="20"/>
        </w:rPr>
        <w:t xml:space="preserve">areas </w:t>
      </w:r>
      <w:r w:rsidRPr="005F270C">
        <w:rPr>
          <w:rFonts w:ascii="Arial" w:hAnsi="Arial" w:cs="Arial"/>
          <w:sz w:val="20"/>
          <w:szCs w:val="20"/>
        </w:rPr>
        <w:t xml:space="preserve">which either prohibited retailing or limited allowable uses </w:t>
      </w:r>
      <w:r w:rsidR="00D23450" w:rsidRPr="005F270C">
        <w:rPr>
          <w:rFonts w:ascii="Arial" w:hAnsi="Arial" w:cs="Arial"/>
          <w:sz w:val="20"/>
          <w:szCs w:val="20"/>
        </w:rPr>
        <w:t>outside centres</w:t>
      </w:r>
      <w:r w:rsidR="00D23450">
        <w:rPr>
          <w:rFonts w:ascii="Arial" w:hAnsi="Arial" w:cs="Arial"/>
          <w:sz w:val="20"/>
          <w:szCs w:val="20"/>
        </w:rPr>
        <w:t xml:space="preserve"> </w:t>
      </w:r>
      <w:r w:rsidR="00C06A75" w:rsidRPr="005F270C">
        <w:rPr>
          <w:rFonts w:ascii="Arial" w:hAnsi="Arial" w:cs="Arial"/>
          <w:sz w:val="20"/>
          <w:szCs w:val="20"/>
        </w:rPr>
        <w:t>were replaced by</w:t>
      </w:r>
      <w:r w:rsidRPr="005F270C">
        <w:rPr>
          <w:rFonts w:ascii="Arial" w:hAnsi="Arial" w:cs="Arial"/>
          <w:sz w:val="20"/>
          <w:szCs w:val="20"/>
        </w:rPr>
        <w:t xml:space="preserve"> new co</w:t>
      </w:r>
      <w:r w:rsidR="00C06A75" w:rsidRPr="005F270C">
        <w:rPr>
          <w:rFonts w:ascii="Arial" w:hAnsi="Arial" w:cs="Arial"/>
          <w:sz w:val="20"/>
          <w:szCs w:val="20"/>
        </w:rPr>
        <w:t>mmercial zones and now</w:t>
      </w:r>
      <w:r w:rsidRPr="005F270C">
        <w:rPr>
          <w:rFonts w:ascii="Arial" w:hAnsi="Arial" w:cs="Arial"/>
          <w:sz w:val="20"/>
          <w:szCs w:val="20"/>
        </w:rPr>
        <w:t xml:space="preserve"> compete with traditional reta</w:t>
      </w:r>
      <w:r w:rsidR="003A082D">
        <w:rPr>
          <w:rFonts w:ascii="Arial" w:hAnsi="Arial" w:cs="Arial"/>
          <w:sz w:val="20"/>
          <w:szCs w:val="20"/>
        </w:rPr>
        <w:t xml:space="preserve">il centres. The new zones </w:t>
      </w:r>
      <w:r w:rsidR="00655F22" w:rsidRPr="005F270C">
        <w:rPr>
          <w:rFonts w:ascii="Arial" w:hAnsi="Arial" w:cs="Arial"/>
          <w:sz w:val="20"/>
          <w:szCs w:val="20"/>
        </w:rPr>
        <w:t>will accelerate the removal of retailing from traditional centres and locate it far from public transport, further dispersing retaili</w:t>
      </w:r>
      <w:r w:rsidR="00C06A75" w:rsidRPr="005F270C">
        <w:rPr>
          <w:rFonts w:ascii="Arial" w:hAnsi="Arial" w:cs="Arial"/>
          <w:sz w:val="20"/>
          <w:szCs w:val="20"/>
        </w:rPr>
        <w:t>ng and increasing car use. Such</w:t>
      </w:r>
      <w:r w:rsidR="00655F22" w:rsidRPr="005F270C">
        <w:rPr>
          <w:rFonts w:ascii="Arial" w:hAnsi="Arial" w:cs="Arial"/>
          <w:sz w:val="20"/>
          <w:szCs w:val="20"/>
        </w:rPr>
        <w:t xml:space="preserve"> system elements undermine the stated strategic purpose of concentration. </w:t>
      </w:r>
      <w:r w:rsidR="007F2E16" w:rsidRPr="005F270C">
        <w:rPr>
          <w:rFonts w:ascii="Arial" w:hAnsi="Arial" w:cs="Arial"/>
          <w:sz w:val="20"/>
          <w:szCs w:val="20"/>
        </w:rPr>
        <w:t xml:space="preserve">The Property Council summed up the impacts accurately stating that </w:t>
      </w:r>
      <w:r w:rsidR="003A082D">
        <w:rPr>
          <w:rFonts w:ascii="Arial" w:hAnsi="Arial" w:cs="Arial"/>
          <w:sz w:val="20"/>
          <w:szCs w:val="20"/>
        </w:rPr>
        <w:t>new zones</w:t>
      </w:r>
      <w:r w:rsidR="007F2E16" w:rsidRPr="005F270C">
        <w:rPr>
          <w:rFonts w:ascii="Arial" w:hAnsi="Arial" w:cs="Arial"/>
          <w:sz w:val="20"/>
          <w:szCs w:val="20"/>
        </w:rPr>
        <w:t xml:space="preserve"> “are a dramatic shift away from an Activity Centre policy” with wide range consequences, inefficient outcomes, particularly the potential to create ‘a two tiered retail sector” (Property Council, 2012, 19).</w:t>
      </w:r>
      <w:r w:rsidR="00E53218">
        <w:rPr>
          <w:rFonts w:ascii="Arial" w:hAnsi="Arial" w:cs="Arial"/>
          <w:sz w:val="20"/>
          <w:szCs w:val="20"/>
        </w:rPr>
        <w:t xml:space="preserve"> </w:t>
      </w:r>
    </w:p>
    <w:p w14:paraId="16D4E1AF" w14:textId="77777777" w:rsidR="00B527D9" w:rsidRPr="000003D4" w:rsidRDefault="003264FC" w:rsidP="00F203AC">
      <w:pPr>
        <w:jc w:val="both"/>
        <w:rPr>
          <w:rFonts w:ascii="Arial" w:hAnsi="Arial" w:cs="Arial"/>
          <w:b/>
          <w:i/>
        </w:rPr>
      </w:pPr>
      <w:r w:rsidRPr="000003D4">
        <w:rPr>
          <w:rFonts w:ascii="Arial" w:hAnsi="Arial" w:cs="Arial"/>
          <w:b/>
          <w:i/>
        </w:rPr>
        <w:t>New means of</w:t>
      </w:r>
      <w:r w:rsidR="00B527D9" w:rsidRPr="000003D4">
        <w:rPr>
          <w:rFonts w:ascii="Arial" w:hAnsi="Arial" w:cs="Arial"/>
          <w:b/>
          <w:i/>
        </w:rPr>
        <w:t xml:space="preserve"> system deregulation</w:t>
      </w:r>
    </w:p>
    <w:p w14:paraId="7FE2B67C" w14:textId="77777777" w:rsidR="000C1896" w:rsidRDefault="004006C0" w:rsidP="00F203AC">
      <w:pPr>
        <w:jc w:val="both"/>
        <w:rPr>
          <w:rFonts w:ascii="Arial" w:hAnsi="Arial" w:cs="Arial"/>
          <w:sz w:val="20"/>
          <w:szCs w:val="20"/>
        </w:rPr>
      </w:pPr>
      <w:r w:rsidRPr="005F270C">
        <w:rPr>
          <w:rFonts w:ascii="Arial" w:hAnsi="Arial" w:cs="Arial"/>
          <w:sz w:val="20"/>
          <w:szCs w:val="20"/>
        </w:rPr>
        <w:t xml:space="preserve">The </w:t>
      </w:r>
      <w:r w:rsidR="0002072A">
        <w:rPr>
          <w:rFonts w:ascii="Arial" w:hAnsi="Arial" w:cs="Arial"/>
          <w:sz w:val="20"/>
          <w:szCs w:val="20"/>
        </w:rPr>
        <w:t>C</w:t>
      </w:r>
      <w:r w:rsidRPr="005F270C">
        <w:rPr>
          <w:rFonts w:ascii="Arial" w:hAnsi="Arial" w:cs="Arial"/>
          <w:sz w:val="20"/>
          <w:szCs w:val="20"/>
        </w:rPr>
        <w:t xml:space="preserve">oalition and Labor governments have demonstrated a sophisticated understanding of the relationships between planning strategy and systems, and </w:t>
      </w:r>
      <w:r w:rsidR="00CA150A">
        <w:rPr>
          <w:rFonts w:ascii="Arial" w:hAnsi="Arial" w:cs="Arial"/>
          <w:sz w:val="20"/>
          <w:szCs w:val="20"/>
        </w:rPr>
        <w:t xml:space="preserve">of </w:t>
      </w:r>
      <w:r w:rsidRPr="005F270C">
        <w:rPr>
          <w:rFonts w:ascii="Arial" w:hAnsi="Arial" w:cs="Arial"/>
          <w:sz w:val="20"/>
          <w:szCs w:val="20"/>
        </w:rPr>
        <w:t>the power of zones to achieve unstated political land use objectives.</w:t>
      </w:r>
      <w:r w:rsidR="006601C6">
        <w:rPr>
          <w:rFonts w:ascii="Arial" w:hAnsi="Arial" w:cs="Arial"/>
          <w:sz w:val="20"/>
          <w:szCs w:val="20"/>
        </w:rPr>
        <w:t xml:space="preserve"> The </w:t>
      </w:r>
      <w:r w:rsidR="0002072A">
        <w:rPr>
          <w:rFonts w:ascii="Arial" w:hAnsi="Arial" w:cs="Arial"/>
          <w:sz w:val="20"/>
          <w:szCs w:val="20"/>
        </w:rPr>
        <w:t xml:space="preserve">Coalition </w:t>
      </w:r>
      <w:r w:rsidR="006601C6">
        <w:rPr>
          <w:rFonts w:ascii="Arial" w:hAnsi="Arial" w:cs="Arial"/>
          <w:sz w:val="20"/>
          <w:szCs w:val="20"/>
        </w:rPr>
        <w:t xml:space="preserve">government introduced </w:t>
      </w:r>
      <w:r w:rsidR="0002072A">
        <w:rPr>
          <w:rFonts w:ascii="Arial" w:hAnsi="Arial" w:cs="Arial"/>
          <w:sz w:val="20"/>
          <w:szCs w:val="20"/>
        </w:rPr>
        <w:t>its new planning zones prior to its</w:t>
      </w:r>
      <w:r w:rsidR="006601C6">
        <w:rPr>
          <w:rFonts w:ascii="Arial" w:hAnsi="Arial" w:cs="Arial"/>
          <w:sz w:val="20"/>
          <w:szCs w:val="20"/>
        </w:rPr>
        <w:t xml:space="preserve"> new planning strategy, while </w:t>
      </w:r>
      <w:r w:rsidR="0002072A">
        <w:rPr>
          <w:rFonts w:ascii="Arial" w:hAnsi="Arial" w:cs="Arial"/>
          <w:sz w:val="20"/>
          <w:szCs w:val="20"/>
        </w:rPr>
        <w:t xml:space="preserve">Labor </w:t>
      </w:r>
      <w:r w:rsidR="006601C6">
        <w:rPr>
          <w:rFonts w:ascii="Arial" w:hAnsi="Arial" w:cs="Arial"/>
          <w:sz w:val="20"/>
          <w:szCs w:val="20"/>
        </w:rPr>
        <w:t xml:space="preserve">revised </w:t>
      </w:r>
      <w:r w:rsidR="00CA150A">
        <w:rPr>
          <w:rFonts w:ascii="Arial" w:hAnsi="Arial" w:cs="Arial"/>
          <w:sz w:val="20"/>
          <w:szCs w:val="20"/>
        </w:rPr>
        <w:t xml:space="preserve">the </w:t>
      </w:r>
      <w:r w:rsidR="006601C6">
        <w:rPr>
          <w:rFonts w:ascii="Arial" w:hAnsi="Arial" w:cs="Arial"/>
          <w:sz w:val="20"/>
          <w:szCs w:val="20"/>
        </w:rPr>
        <w:t>residential zones in the absence of any policy context.</w:t>
      </w:r>
      <w:r w:rsidR="000C1896">
        <w:rPr>
          <w:rFonts w:ascii="Arial" w:hAnsi="Arial" w:cs="Arial"/>
          <w:sz w:val="20"/>
          <w:szCs w:val="20"/>
        </w:rPr>
        <w:t xml:space="preserve"> </w:t>
      </w:r>
      <w:r w:rsidR="00DD4D78" w:rsidRPr="005F270C">
        <w:rPr>
          <w:rFonts w:ascii="Arial" w:hAnsi="Arial" w:cs="Arial"/>
          <w:i/>
          <w:sz w:val="20"/>
          <w:szCs w:val="20"/>
        </w:rPr>
        <w:t>Plan Melbourne</w:t>
      </w:r>
      <w:r w:rsidR="00DD4D78" w:rsidRPr="005F270C">
        <w:rPr>
          <w:rFonts w:ascii="Arial" w:hAnsi="Arial" w:cs="Arial"/>
          <w:sz w:val="20"/>
          <w:szCs w:val="20"/>
        </w:rPr>
        <w:t xml:space="preserve"> </w:t>
      </w:r>
      <w:r w:rsidR="004F53BB" w:rsidRPr="005F270C">
        <w:rPr>
          <w:rFonts w:ascii="Arial" w:hAnsi="Arial" w:cs="Arial"/>
          <w:sz w:val="20"/>
          <w:szCs w:val="20"/>
        </w:rPr>
        <w:t xml:space="preserve">(DELWP, 2017) </w:t>
      </w:r>
      <w:r w:rsidR="00DD4D78" w:rsidRPr="005F270C">
        <w:rPr>
          <w:rFonts w:ascii="Arial" w:hAnsi="Arial" w:cs="Arial"/>
          <w:sz w:val="20"/>
          <w:szCs w:val="20"/>
        </w:rPr>
        <w:t>is de</w:t>
      </w:r>
      <w:r w:rsidR="00CA150A">
        <w:rPr>
          <w:rFonts w:ascii="Arial" w:hAnsi="Arial" w:cs="Arial"/>
          <w:sz w:val="20"/>
          <w:szCs w:val="20"/>
        </w:rPr>
        <w:t>fined</w:t>
      </w:r>
      <w:r w:rsidR="00DD4D78" w:rsidRPr="005F270C">
        <w:rPr>
          <w:rFonts w:ascii="Arial" w:hAnsi="Arial" w:cs="Arial"/>
          <w:sz w:val="20"/>
          <w:szCs w:val="20"/>
        </w:rPr>
        <w:t xml:space="preserve"> by what it omits as much as what it includes.</w:t>
      </w:r>
      <w:r w:rsidR="003264FC" w:rsidRPr="005F270C">
        <w:rPr>
          <w:rFonts w:ascii="Arial" w:hAnsi="Arial" w:cs="Arial"/>
          <w:sz w:val="20"/>
          <w:szCs w:val="20"/>
        </w:rPr>
        <w:t xml:space="preserve"> </w:t>
      </w:r>
      <w:r w:rsidR="00E53218">
        <w:rPr>
          <w:rFonts w:ascii="Arial" w:hAnsi="Arial" w:cs="Arial"/>
          <w:sz w:val="20"/>
          <w:szCs w:val="20"/>
        </w:rPr>
        <w:t>It</w:t>
      </w:r>
      <w:r w:rsidR="00E53218" w:rsidRPr="005F270C">
        <w:rPr>
          <w:rFonts w:ascii="Arial" w:hAnsi="Arial" w:cs="Arial"/>
          <w:sz w:val="20"/>
          <w:szCs w:val="20"/>
        </w:rPr>
        <w:t xml:space="preserve"> exclude</w:t>
      </w:r>
      <w:r w:rsidR="006418A7">
        <w:rPr>
          <w:rFonts w:ascii="Arial" w:hAnsi="Arial" w:cs="Arial"/>
          <w:sz w:val="20"/>
          <w:szCs w:val="20"/>
        </w:rPr>
        <w:t>s</w:t>
      </w:r>
      <w:r w:rsidR="00E53218" w:rsidRPr="005F270C">
        <w:rPr>
          <w:rFonts w:ascii="Arial" w:hAnsi="Arial" w:cs="Arial"/>
          <w:sz w:val="20"/>
          <w:szCs w:val="20"/>
        </w:rPr>
        <w:t xml:space="preserve"> retail policy, entrench</w:t>
      </w:r>
      <w:r w:rsidR="00E53218">
        <w:rPr>
          <w:rFonts w:ascii="Arial" w:hAnsi="Arial" w:cs="Arial"/>
          <w:sz w:val="20"/>
          <w:szCs w:val="20"/>
        </w:rPr>
        <w:t xml:space="preserve">ing </w:t>
      </w:r>
      <w:r w:rsidR="00E53218" w:rsidRPr="005F270C">
        <w:rPr>
          <w:rFonts w:ascii="Arial" w:hAnsi="Arial" w:cs="Arial"/>
          <w:sz w:val="20"/>
          <w:szCs w:val="20"/>
        </w:rPr>
        <w:t xml:space="preserve">the power of large retailers </w:t>
      </w:r>
      <w:r w:rsidR="00E53218">
        <w:rPr>
          <w:rFonts w:ascii="Arial" w:hAnsi="Arial" w:cs="Arial"/>
          <w:sz w:val="20"/>
          <w:szCs w:val="20"/>
        </w:rPr>
        <w:t>through the commercial zones</w:t>
      </w:r>
      <w:r w:rsidR="00CA150A">
        <w:rPr>
          <w:rFonts w:ascii="Arial" w:hAnsi="Arial" w:cs="Arial"/>
          <w:sz w:val="20"/>
          <w:szCs w:val="20"/>
        </w:rPr>
        <w:t xml:space="preserve">, omits </w:t>
      </w:r>
      <w:r w:rsidR="0000227B" w:rsidRPr="005F270C">
        <w:rPr>
          <w:rFonts w:ascii="Arial" w:hAnsi="Arial" w:cs="Arial"/>
          <w:sz w:val="20"/>
          <w:szCs w:val="20"/>
        </w:rPr>
        <w:t xml:space="preserve">the </w:t>
      </w:r>
      <w:r w:rsidR="003264FC" w:rsidRPr="005F270C">
        <w:rPr>
          <w:rFonts w:ascii="Arial" w:hAnsi="Arial" w:cs="Arial"/>
          <w:sz w:val="20"/>
          <w:szCs w:val="20"/>
        </w:rPr>
        <w:t>integration of land use and transport planning</w:t>
      </w:r>
      <w:r w:rsidR="0000227B" w:rsidRPr="005F270C">
        <w:rPr>
          <w:rFonts w:ascii="Arial" w:hAnsi="Arial" w:cs="Arial"/>
          <w:sz w:val="20"/>
          <w:szCs w:val="20"/>
        </w:rPr>
        <w:t xml:space="preserve">, </w:t>
      </w:r>
      <w:r w:rsidR="00CA150A">
        <w:rPr>
          <w:rFonts w:ascii="Arial" w:hAnsi="Arial" w:cs="Arial"/>
          <w:sz w:val="20"/>
          <w:szCs w:val="20"/>
        </w:rPr>
        <w:t xml:space="preserve">and </w:t>
      </w:r>
      <w:r w:rsidR="00363180">
        <w:rPr>
          <w:rFonts w:ascii="Arial" w:hAnsi="Arial" w:cs="Arial"/>
          <w:sz w:val="20"/>
          <w:szCs w:val="20"/>
        </w:rPr>
        <w:t xml:space="preserve">does not mention </w:t>
      </w:r>
      <w:r w:rsidR="00CA150A">
        <w:rPr>
          <w:rFonts w:ascii="Arial" w:hAnsi="Arial" w:cs="Arial"/>
          <w:sz w:val="20"/>
          <w:szCs w:val="20"/>
        </w:rPr>
        <w:t xml:space="preserve">the </w:t>
      </w:r>
      <w:r w:rsidR="0000227B" w:rsidRPr="005F270C">
        <w:rPr>
          <w:rFonts w:ascii="Arial" w:hAnsi="Arial" w:cs="Arial"/>
          <w:sz w:val="20"/>
          <w:szCs w:val="20"/>
        </w:rPr>
        <w:t xml:space="preserve">simultaneous </w:t>
      </w:r>
      <w:r w:rsidR="00E53218">
        <w:rPr>
          <w:rFonts w:ascii="Arial" w:hAnsi="Arial" w:cs="Arial"/>
          <w:sz w:val="20"/>
          <w:szCs w:val="20"/>
        </w:rPr>
        <w:t xml:space="preserve">inner urban </w:t>
      </w:r>
      <w:r w:rsidR="0000227B" w:rsidRPr="005F270C">
        <w:rPr>
          <w:rFonts w:ascii="Arial" w:hAnsi="Arial" w:cs="Arial"/>
          <w:sz w:val="20"/>
          <w:szCs w:val="20"/>
        </w:rPr>
        <w:t>high rise and low density outer urban growth which define</w:t>
      </w:r>
      <w:r w:rsidR="00E53218">
        <w:rPr>
          <w:rFonts w:ascii="Arial" w:hAnsi="Arial" w:cs="Arial"/>
          <w:sz w:val="20"/>
          <w:szCs w:val="20"/>
        </w:rPr>
        <w:t>s</w:t>
      </w:r>
      <w:r w:rsidR="0000227B" w:rsidRPr="005F270C">
        <w:rPr>
          <w:rFonts w:ascii="Arial" w:hAnsi="Arial" w:cs="Arial"/>
          <w:sz w:val="20"/>
          <w:szCs w:val="20"/>
        </w:rPr>
        <w:t xml:space="preserve"> Melbourne’s spatial </w:t>
      </w:r>
      <w:r w:rsidR="00CA150A">
        <w:rPr>
          <w:rFonts w:ascii="Arial" w:hAnsi="Arial" w:cs="Arial"/>
          <w:sz w:val="20"/>
          <w:szCs w:val="20"/>
        </w:rPr>
        <w:t>form</w:t>
      </w:r>
      <w:r w:rsidR="0000227B" w:rsidRPr="005F270C">
        <w:rPr>
          <w:rFonts w:ascii="Arial" w:hAnsi="Arial" w:cs="Arial"/>
          <w:sz w:val="20"/>
          <w:szCs w:val="20"/>
        </w:rPr>
        <w:t>.</w:t>
      </w:r>
      <w:r w:rsidR="000C1896">
        <w:rPr>
          <w:rFonts w:ascii="Arial" w:hAnsi="Arial" w:cs="Arial"/>
          <w:sz w:val="20"/>
          <w:szCs w:val="20"/>
        </w:rPr>
        <w:t xml:space="preserve"> </w:t>
      </w:r>
      <w:r w:rsidR="00AF3B3B">
        <w:rPr>
          <w:rFonts w:ascii="Arial" w:hAnsi="Arial" w:cs="Arial"/>
          <w:sz w:val="20"/>
          <w:szCs w:val="20"/>
        </w:rPr>
        <w:t xml:space="preserve">Melbourne’s recent development model has occurred </w:t>
      </w:r>
      <w:r w:rsidR="004C1068" w:rsidRPr="005F270C">
        <w:rPr>
          <w:rFonts w:ascii="Arial" w:hAnsi="Arial" w:cs="Arial"/>
          <w:sz w:val="20"/>
          <w:szCs w:val="20"/>
        </w:rPr>
        <w:t xml:space="preserve">in a policy vacuum. </w:t>
      </w:r>
      <w:r w:rsidR="000C1896">
        <w:rPr>
          <w:rFonts w:ascii="Arial" w:hAnsi="Arial" w:cs="Arial"/>
          <w:sz w:val="20"/>
          <w:szCs w:val="20"/>
        </w:rPr>
        <w:t xml:space="preserve">This </w:t>
      </w:r>
      <w:r w:rsidR="00CA150A">
        <w:rPr>
          <w:rFonts w:ascii="Arial" w:hAnsi="Arial" w:cs="Arial"/>
          <w:sz w:val="20"/>
          <w:szCs w:val="20"/>
        </w:rPr>
        <w:t>enables</w:t>
      </w:r>
      <w:r w:rsidR="000C1896">
        <w:rPr>
          <w:rFonts w:ascii="Arial" w:hAnsi="Arial" w:cs="Arial"/>
          <w:sz w:val="20"/>
          <w:szCs w:val="20"/>
        </w:rPr>
        <w:t xml:space="preserve"> the government to consider unsolicited bids</w:t>
      </w:r>
      <w:r w:rsidR="00CA150A">
        <w:rPr>
          <w:rFonts w:ascii="Arial" w:hAnsi="Arial" w:cs="Arial"/>
          <w:sz w:val="20"/>
          <w:szCs w:val="20"/>
        </w:rPr>
        <w:t xml:space="preserve"> for new tolled freeways by the private provider dominating the freeway network, conceal</w:t>
      </w:r>
      <w:r w:rsidR="006601C6">
        <w:rPr>
          <w:rFonts w:ascii="Arial" w:hAnsi="Arial" w:cs="Arial"/>
          <w:sz w:val="20"/>
          <w:szCs w:val="20"/>
        </w:rPr>
        <w:t xml:space="preserve"> </w:t>
      </w:r>
      <w:r w:rsidR="007C70F7">
        <w:rPr>
          <w:rFonts w:ascii="Arial" w:hAnsi="Arial" w:cs="Arial"/>
          <w:sz w:val="20"/>
          <w:szCs w:val="20"/>
        </w:rPr>
        <w:t xml:space="preserve">why </w:t>
      </w:r>
      <w:r w:rsidR="00884DE4">
        <w:rPr>
          <w:rFonts w:ascii="Arial" w:hAnsi="Arial" w:cs="Arial"/>
          <w:sz w:val="20"/>
          <w:szCs w:val="20"/>
        </w:rPr>
        <w:t xml:space="preserve">small retail businesses </w:t>
      </w:r>
      <w:r w:rsidR="006601C6">
        <w:rPr>
          <w:rFonts w:ascii="Arial" w:hAnsi="Arial" w:cs="Arial"/>
          <w:sz w:val="20"/>
          <w:szCs w:val="20"/>
        </w:rPr>
        <w:t xml:space="preserve">were </w:t>
      </w:r>
      <w:r w:rsidR="00884DE4">
        <w:rPr>
          <w:rFonts w:ascii="Arial" w:hAnsi="Arial" w:cs="Arial"/>
          <w:sz w:val="20"/>
          <w:szCs w:val="20"/>
        </w:rPr>
        <w:t xml:space="preserve">driven from traditional shopping centres </w:t>
      </w:r>
      <w:r w:rsidR="00CA150A">
        <w:rPr>
          <w:rFonts w:ascii="Arial" w:hAnsi="Arial" w:cs="Arial"/>
          <w:sz w:val="20"/>
          <w:szCs w:val="20"/>
        </w:rPr>
        <w:t xml:space="preserve">by out-of-centre development, </w:t>
      </w:r>
      <w:r w:rsidR="007C70F7">
        <w:rPr>
          <w:rFonts w:ascii="Arial" w:hAnsi="Arial" w:cs="Arial"/>
          <w:sz w:val="20"/>
          <w:szCs w:val="20"/>
        </w:rPr>
        <w:t>and</w:t>
      </w:r>
      <w:r w:rsidR="00884DE4">
        <w:rPr>
          <w:rFonts w:ascii="Arial" w:hAnsi="Arial" w:cs="Arial"/>
          <w:sz w:val="20"/>
          <w:szCs w:val="20"/>
        </w:rPr>
        <w:t xml:space="preserve"> </w:t>
      </w:r>
      <w:r w:rsidR="006601C6">
        <w:rPr>
          <w:rFonts w:ascii="Arial" w:hAnsi="Arial" w:cs="Arial"/>
          <w:sz w:val="20"/>
          <w:szCs w:val="20"/>
        </w:rPr>
        <w:t xml:space="preserve">why </w:t>
      </w:r>
      <w:r w:rsidR="00884DE4">
        <w:rPr>
          <w:rFonts w:ascii="Arial" w:hAnsi="Arial" w:cs="Arial"/>
          <w:sz w:val="20"/>
          <w:szCs w:val="20"/>
        </w:rPr>
        <w:t>high</w:t>
      </w:r>
      <w:r w:rsidR="006418A7">
        <w:rPr>
          <w:rFonts w:ascii="Arial" w:hAnsi="Arial" w:cs="Arial"/>
          <w:sz w:val="20"/>
          <w:szCs w:val="20"/>
        </w:rPr>
        <w:t>-</w:t>
      </w:r>
      <w:r w:rsidR="00884DE4">
        <w:rPr>
          <w:rFonts w:ascii="Arial" w:hAnsi="Arial" w:cs="Arial"/>
          <w:sz w:val="20"/>
          <w:szCs w:val="20"/>
        </w:rPr>
        <w:t>rise development</w:t>
      </w:r>
      <w:r w:rsidR="006601C6">
        <w:rPr>
          <w:rFonts w:ascii="Arial" w:hAnsi="Arial" w:cs="Arial"/>
          <w:sz w:val="20"/>
          <w:szCs w:val="20"/>
        </w:rPr>
        <w:t xml:space="preserve"> has become the dominant inner urban development model</w:t>
      </w:r>
      <w:r w:rsidR="00884DE4">
        <w:rPr>
          <w:rFonts w:ascii="Arial" w:hAnsi="Arial" w:cs="Arial"/>
          <w:sz w:val="20"/>
          <w:szCs w:val="20"/>
        </w:rPr>
        <w:t xml:space="preserve">. </w:t>
      </w:r>
      <w:r w:rsidR="007C70F7">
        <w:rPr>
          <w:rFonts w:ascii="Arial" w:hAnsi="Arial" w:cs="Arial"/>
          <w:sz w:val="20"/>
          <w:szCs w:val="20"/>
        </w:rPr>
        <w:t xml:space="preserve">The real </w:t>
      </w:r>
      <w:r w:rsidR="006418A7">
        <w:rPr>
          <w:rFonts w:ascii="Arial" w:hAnsi="Arial" w:cs="Arial"/>
          <w:sz w:val="20"/>
          <w:szCs w:val="20"/>
        </w:rPr>
        <w:t>role of the Victorian planning system is</w:t>
      </w:r>
      <w:r w:rsidR="000C1896" w:rsidRPr="005F270C">
        <w:rPr>
          <w:rFonts w:ascii="Arial" w:hAnsi="Arial" w:cs="Arial"/>
          <w:sz w:val="20"/>
          <w:szCs w:val="20"/>
        </w:rPr>
        <w:t xml:space="preserve"> not to implement policy but to act as a policy substitute, in essence constituting the real planning strategy. </w:t>
      </w:r>
      <w:r w:rsidR="007C70F7">
        <w:rPr>
          <w:rFonts w:ascii="Arial" w:hAnsi="Arial" w:cs="Arial"/>
          <w:sz w:val="20"/>
          <w:szCs w:val="20"/>
        </w:rPr>
        <w:t xml:space="preserve"> </w:t>
      </w:r>
    </w:p>
    <w:p w14:paraId="377FB0ED" w14:textId="77777777" w:rsidR="004F53BB" w:rsidRPr="005F270C" w:rsidRDefault="005B60B9" w:rsidP="00F203AC">
      <w:pPr>
        <w:jc w:val="both"/>
        <w:rPr>
          <w:rFonts w:ascii="Arial" w:hAnsi="Arial" w:cs="Arial"/>
          <w:sz w:val="20"/>
          <w:szCs w:val="20"/>
        </w:rPr>
      </w:pPr>
      <w:r w:rsidRPr="005F270C">
        <w:rPr>
          <w:rFonts w:ascii="Arial" w:hAnsi="Arial" w:cs="Arial"/>
          <w:sz w:val="20"/>
          <w:szCs w:val="20"/>
        </w:rPr>
        <w:t xml:space="preserve">The scale and intensity of high rise development illustrates the power of a deregulated planning system to deliver neoliberal outcomes that are fundamental to a city’s urban form and functioning. </w:t>
      </w:r>
      <w:r w:rsidR="00E65ECD" w:rsidRPr="005F270C">
        <w:rPr>
          <w:rFonts w:ascii="Arial" w:hAnsi="Arial" w:cs="Arial"/>
          <w:sz w:val="20"/>
          <w:szCs w:val="20"/>
        </w:rPr>
        <w:t xml:space="preserve">The Kennett government introduced the Capital City zone for Melbourne’s Central Business District (CBD) and Southbank in 1999. This is one of the world’s most deregulated zones, combining a lack of height controls, an extensive range of permitted uses and developments, and no rights of resident notification or objection. </w:t>
      </w:r>
      <w:r w:rsidR="00CA150A">
        <w:rPr>
          <w:rFonts w:ascii="Arial" w:hAnsi="Arial" w:cs="Arial"/>
          <w:sz w:val="20"/>
          <w:szCs w:val="20"/>
        </w:rPr>
        <w:t xml:space="preserve">It </w:t>
      </w:r>
      <w:r w:rsidR="005016AA" w:rsidRPr="005F270C">
        <w:rPr>
          <w:rFonts w:ascii="Arial" w:hAnsi="Arial" w:cs="Arial"/>
          <w:sz w:val="20"/>
          <w:szCs w:val="20"/>
        </w:rPr>
        <w:t>has rapidly transformed central Melbourne. Between</w:t>
      </w:r>
      <w:r w:rsidR="00534C20" w:rsidRPr="005F270C">
        <w:rPr>
          <w:rFonts w:ascii="Arial" w:hAnsi="Arial" w:cs="Arial"/>
          <w:sz w:val="20"/>
          <w:szCs w:val="20"/>
        </w:rPr>
        <w:t xml:space="preserve"> </w:t>
      </w:r>
      <w:r w:rsidR="005016AA" w:rsidRPr="005F270C">
        <w:rPr>
          <w:rFonts w:ascii="Arial" w:hAnsi="Arial" w:cs="Arial"/>
          <w:sz w:val="20"/>
          <w:szCs w:val="20"/>
        </w:rPr>
        <w:t xml:space="preserve">2010-14, 180 residential high rise projects were approved or planned in the City of Melbourne and Fishermans Bend. </w:t>
      </w:r>
      <w:r w:rsidR="00CA150A">
        <w:rPr>
          <w:rFonts w:ascii="Arial" w:hAnsi="Arial" w:cs="Arial"/>
          <w:sz w:val="20"/>
          <w:szCs w:val="20"/>
        </w:rPr>
        <w:t>A</w:t>
      </w:r>
      <w:r w:rsidR="005016AA" w:rsidRPr="005F270C">
        <w:rPr>
          <w:rFonts w:ascii="Arial" w:hAnsi="Arial" w:cs="Arial"/>
          <w:sz w:val="20"/>
          <w:szCs w:val="20"/>
        </w:rPr>
        <w:t xml:space="preserve">nother 100 high rise buildings </w:t>
      </w:r>
      <w:r w:rsidR="003E454D">
        <w:rPr>
          <w:rFonts w:ascii="Arial" w:hAnsi="Arial" w:cs="Arial"/>
          <w:sz w:val="20"/>
          <w:szCs w:val="20"/>
        </w:rPr>
        <w:t xml:space="preserve">have been built, </w:t>
      </w:r>
      <w:r w:rsidR="00CA150A">
        <w:rPr>
          <w:rFonts w:ascii="Arial" w:hAnsi="Arial" w:cs="Arial"/>
          <w:sz w:val="20"/>
          <w:szCs w:val="20"/>
        </w:rPr>
        <w:t>are under construction or planned</w:t>
      </w:r>
      <w:r w:rsidR="003E454D">
        <w:rPr>
          <w:rFonts w:ascii="Arial" w:hAnsi="Arial" w:cs="Arial"/>
          <w:sz w:val="20"/>
          <w:szCs w:val="20"/>
        </w:rPr>
        <w:t>,</w:t>
      </w:r>
      <w:r w:rsidR="005016AA" w:rsidRPr="005F270C">
        <w:rPr>
          <w:rFonts w:ascii="Arial" w:hAnsi="Arial" w:cs="Arial"/>
          <w:sz w:val="20"/>
          <w:szCs w:val="20"/>
        </w:rPr>
        <w:t xml:space="preserve"> potentially doubling </w:t>
      </w:r>
      <w:r w:rsidR="00CA150A">
        <w:rPr>
          <w:rFonts w:ascii="Arial" w:hAnsi="Arial" w:cs="Arial"/>
          <w:sz w:val="20"/>
          <w:szCs w:val="20"/>
        </w:rPr>
        <w:t>t</w:t>
      </w:r>
      <w:r w:rsidR="005016AA" w:rsidRPr="005F270C">
        <w:rPr>
          <w:rFonts w:ascii="Arial" w:hAnsi="Arial" w:cs="Arial"/>
          <w:sz w:val="20"/>
          <w:szCs w:val="20"/>
        </w:rPr>
        <w:t>he number o</w:t>
      </w:r>
      <w:r w:rsidR="00CA150A">
        <w:rPr>
          <w:rFonts w:ascii="Arial" w:hAnsi="Arial" w:cs="Arial"/>
          <w:sz w:val="20"/>
          <w:szCs w:val="20"/>
        </w:rPr>
        <w:t>f high rise buildings</w:t>
      </w:r>
      <w:r w:rsidR="005016AA" w:rsidRPr="005F270C">
        <w:rPr>
          <w:rFonts w:ascii="Arial" w:hAnsi="Arial" w:cs="Arial"/>
          <w:sz w:val="20"/>
          <w:szCs w:val="20"/>
        </w:rPr>
        <w:t>. Government refusal to introduce mandatory height cont</w:t>
      </w:r>
      <w:r w:rsidR="00A24C6B" w:rsidRPr="005F270C">
        <w:rPr>
          <w:rFonts w:ascii="Arial" w:hAnsi="Arial" w:cs="Arial"/>
          <w:sz w:val="20"/>
          <w:szCs w:val="20"/>
        </w:rPr>
        <w:t>rols to other commercial centres is leading to high rise clusters in 16 major centres and potent</w:t>
      </w:r>
      <w:r w:rsidR="008350A6" w:rsidRPr="005F270C">
        <w:rPr>
          <w:rFonts w:ascii="Arial" w:hAnsi="Arial" w:cs="Arial"/>
          <w:sz w:val="20"/>
          <w:szCs w:val="20"/>
        </w:rPr>
        <w:t>i</w:t>
      </w:r>
      <w:r w:rsidR="00A24C6B" w:rsidRPr="005F270C">
        <w:rPr>
          <w:rFonts w:ascii="Arial" w:hAnsi="Arial" w:cs="Arial"/>
          <w:sz w:val="20"/>
          <w:szCs w:val="20"/>
        </w:rPr>
        <w:t xml:space="preserve">ally to </w:t>
      </w:r>
      <w:r w:rsidR="00534C20" w:rsidRPr="005F270C">
        <w:rPr>
          <w:rFonts w:ascii="Arial" w:hAnsi="Arial" w:cs="Arial"/>
          <w:sz w:val="20"/>
          <w:szCs w:val="20"/>
        </w:rPr>
        <w:t xml:space="preserve">over 100 other activity centres </w:t>
      </w:r>
      <w:r w:rsidR="00B50861">
        <w:rPr>
          <w:rFonts w:ascii="Arial" w:hAnsi="Arial" w:cs="Arial"/>
          <w:sz w:val="20"/>
          <w:szCs w:val="20"/>
        </w:rPr>
        <w:t xml:space="preserve">and main roads </w:t>
      </w:r>
      <w:r w:rsidR="00534C20" w:rsidRPr="005F270C">
        <w:rPr>
          <w:rFonts w:ascii="Arial" w:hAnsi="Arial" w:cs="Arial"/>
          <w:sz w:val="20"/>
          <w:szCs w:val="20"/>
        </w:rPr>
        <w:t xml:space="preserve">(Buxton 2016). </w:t>
      </w:r>
      <w:r w:rsidR="004F53BB" w:rsidRPr="005F270C">
        <w:rPr>
          <w:rFonts w:ascii="Arial" w:hAnsi="Arial" w:cs="Arial"/>
          <w:sz w:val="20"/>
          <w:szCs w:val="20"/>
        </w:rPr>
        <w:t>Ineffective regulation has resulting in the approval of some of t</w:t>
      </w:r>
      <w:r w:rsidR="00534C20" w:rsidRPr="005F270C">
        <w:rPr>
          <w:rFonts w:ascii="Arial" w:hAnsi="Arial" w:cs="Arial"/>
          <w:sz w:val="20"/>
          <w:szCs w:val="20"/>
        </w:rPr>
        <w:t xml:space="preserve">he world’s worst performing buildings on almost any criteria including construction materials, design and energy efficiency. </w:t>
      </w:r>
    </w:p>
    <w:p w14:paraId="38B353EF" w14:textId="77777777" w:rsidR="00534C20" w:rsidRPr="005F270C" w:rsidRDefault="00903C25" w:rsidP="00F203AC">
      <w:pPr>
        <w:jc w:val="both"/>
        <w:rPr>
          <w:rFonts w:ascii="Arial" w:hAnsi="Arial" w:cs="Arial"/>
          <w:sz w:val="20"/>
          <w:szCs w:val="20"/>
        </w:rPr>
      </w:pPr>
      <w:r w:rsidRPr="005F270C">
        <w:rPr>
          <w:rFonts w:ascii="Arial" w:hAnsi="Arial" w:cs="Arial"/>
          <w:sz w:val="20"/>
          <w:szCs w:val="20"/>
        </w:rPr>
        <w:t xml:space="preserve">In 2016, Labor’s planning minister, Richard Wynne, approved a new planning amendment for the CBD and Southbank, Amendment C270 to the Melbourne Planning Scheme. </w:t>
      </w:r>
      <w:r w:rsidR="00C31C24" w:rsidRPr="005F270C">
        <w:rPr>
          <w:rFonts w:ascii="Arial" w:hAnsi="Arial" w:cs="Arial"/>
          <w:sz w:val="20"/>
          <w:szCs w:val="20"/>
        </w:rPr>
        <w:t xml:space="preserve">This </w:t>
      </w:r>
      <w:r w:rsidR="004F53BB" w:rsidRPr="005F270C">
        <w:rPr>
          <w:rFonts w:ascii="Arial" w:hAnsi="Arial" w:cs="Arial"/>
          <w:sz w:val="20"/>
          <w:szCs w:val="20"/>
        </w:rPr>
        <w:t>contained</w:t>
      </w:r>
      <w:r w:rsidR="00937A4D" w:rsidRPr="005F270C">
        <w:rPr>
          <w:rFonts w:ascii="Arial" w:hAnsi="Arial" w:cs="Arial"/>
          <w:sz w:val="20"/>
          <w:szCs w:val="20"/>
        </w:rPr>
        <w:t xml:space="preserve"> a floor area (plot) ratio (FAR) of </w:t>
      </w:r>
      <w:r w:rsidR="004F53BB" w:rsidRPr="005F270C">
        <w:rPr>
          <w:rFonts w:ascii="Arial" w:hAnsi="Arial" w:cs="Arial"/>
          <w:sz w:val="20"/>
          <w:szCs w:val="20"/>
        </w:rPr>
        <w:t xml:space="preserve">18:1, </w:t>
      </w:r>
      <w:r w:rsidR="00937A4D" w:rsidRPr="005F270C">
        <w:rPr>
          <w:rFonts w:ascii="Arial" w:hAnsi="Arial" w:cs="Arial"/>
          <w:sz w:val="20"/>
          <w:szCs w:val="20"/>
        </w:rPr>
        <w:t xml:space="preserve">one of the highest in a developed </w:t>
      </w:r>
      <w:r w:rsidR="00037F17">
        <w:rPr>
          <w:rFonts w:ascii="Arial" w:hAnsi="Arial" w:cs="Arial"/>
          <w:sz w:val="20"/>
          <w:szCs w:val="20"/>
        </w:rPr>
        <w:t xml:space="preserve">country </w:t>
      </w:r>
      <w:r w:rsidR="00937A4D" w:rsidRPr="005F270C">
        <w:rPr>
          <w:rFonts w:ascii="Arial" w:hAnsi="Arial" w:cs="Arial"/>
          <w:sz w:val="20"/>
          <w:szCs w:val="20"/>
        </w:rPr>
        <w:t>city (</w:t>
      </w:r>
      <w:r w:rsidR="00A43896" w:rsidRPr="005F270C">
        <w:rPr>
          <w:rFonts w:ascii="Arial" w:hAnsi="Arial" w:cs="Arial"/>
          <w:sz w:val="20"/>
          <w:szCs w:val="20"/>
        </w:rPr>
        <w:t>Helen Day Urbanism, 2016</w:t>
      </w:r>
      <w:r w:rsidR="00937A4D" w:rsidRPr="005F270C">
        <w:rPr>
          <w:rFonts w:ascii="Arial" w:hAnsi="Arial" w:cs="Arial"/>
          <w:sz w:val="20"/>
          <w:szCs w:val="20"/>
        </w:rPr>
        <w:t xml:space="preserve">), and a ‘floor area uplift’ (FAU) which allows significant height </w:t>
      </w:r>
      <w:r w:rsidR="00A43896" w:rsidRPr="005F270C">
        <w:rPr>
          <w:rFonts w:ascii="Arial" w:hAnsi="Arial" w:cs="Arial"/>
          <w:sz w:val="20"/>
          <w:szCs w:val="20"/>
        </w:rPr>
        <w:t xml:space="preserve">bonuses </w:t>
      </w:r>
      <w:r w:rsidR="00937A4D" w:rsidRPr="005F270C">
        <w:rPr>
          <w:rFonts w:ascii="Arial" w:hAnsi="Arial" w:cs="Arial"/>
          <w:sz w:val="20"/>
          <w:szCs w:val="20"/>
        </w:rPr>
        <w:t xml:space="preserve">in return for providing poorly defined public benefits, </w:t>
      </w:r>
      <w:r w:rsidR="00037F17">
        <w:rPr>
          <w:rFonts w:ascii="Arial" w:hAnsi="Arial" w:cs="Arial"/>
          <w:sz w:val="20"/>
          <w:szCs w:val="20"/>
        </w:rPr>
        <w:t>enabling</w:t>
      </w:r>
      <w:r w:rsidR="00937A4D" w:rsidRPr="005F270C">
        <w:rPr>
          <w:rFonts w:ascii="Arial" w:hAnsi="Arial" w:cs="Arial"/>
          <w:sz w:val="20"/>
          <w:szCs w:val="20"/>
        </w:rPr>
        <w:t xml:space="preserve"> potential misuse and a lack of transparent decision making. The independent panel evaluating the amendment recommended</w:t>
      </w:r>
      <w:r w:rsidR="008316C6" w:rsidRPr="005F270C">
        <w:rPr>
          <w:rFonts w:ascii="Arial" w:hAnsi="Arial" w:cs="Arial"/>
          <w:sz w:val="20"/>
          <w:szCs w:val="20"/>
        </w:rPr>
        <w:t xml:space="preserve"> </w:t>
      </w:r>
      <w:r w:rsidR="00AF2BDA">
        <w:rPr>
          <w:rFonts w:ascii="Arial" w:hAnsi="Arial" w:cs="Arial"/>
          <w:sz w:val="20"/>
          <w:szCs w:val="20"/>
        </w:rPr>
        <w:t xml:space="preserve">the </w:t>
      </w:r>
      <w:r w:rsidR="00937A4D" w:rsidRPr="005F270C">
        <w:rPr>
          <w:rFonts w:ascii="Arial" w:hAnsi="Arial" w:cs="Arial"/>
          <w:sz w:val="20"/>
          <w:szCs w:val="20"/>
        </w:rPr>
        <w:t xml:space="preserve">abandonment of the FAU believing that community benefit should be built into the plot ratio and was ‘sympathetic’ to the view that the plot ratio is ‘clearly high compared </w:t>
      </w:r>
      <w:r w:rsidR="00A43896" w:rsidRPr="005F270C">
        <w:rPr>
          <w:rFonts w:ascii="Arial" w:hAnsi="Arial" w:cs="Arial"/>
          <w:sz w:val="20"/>
          <w:szCs w:val="20"/>
        </w:rPr>
        <w:t>to international standards’ (</w:t>
      </w:r>
      <w:r w:rsidR="008350A6" w:rsidRPr="005F270C">
        <w:rPr>
          <w:rFonts w:ascii="Arial" w:hAnsi="Arial" w:cs="Arial"/>
          <w:sz w:val="20"/>
          <w:szCs w:val="20"/>
        </w:rPr>
        <w:t xml:space="preserve">Amendment </w:t>
      </w:r>
      <w:r w:rsidR="00A43896" w:rsidRPr="005F270C">
        <w:rPr>
          <w:rFonts w:ascii="Arial" w:hAnsi="Arial" w:cs="Arial"/>
          <w:sz w:val="20"/>
          <w:szCs w:val="20"/>
        </w:rPr>
        <w:t>C270 Panel Report, 2016</w:t>
      </w:r>
      <w:r w:rsidR="00937A4D" w:rsidRPr="005F270C">
        <w:rPr>
          <w:rFonts w:ascii="Arial" w:hAnsi="Arial" w:cs="Arial"/>
          <w:sz w:val="20"/>
          <w:szCs w:val="20"/>
        </w:rPr>
        <w:t>). The minister ignored the panel recommendation on</w:t>
      </w:r>
      <w:r w:rsidR="00AF2BDA">
        <w:rPr>
          <w:rFonts w:ascii="Arial" w:hAnsi="Arial" w:cs="Arial"/>
          <w:sz w:val="20"/>
          <w:szCs w:val="20"/>
        </w:rPr>
        <w:t xml:space="preserve"> the FAU and comments on the FAR</w:t>
      </w:r>
      <w:r w:rsidR="00937A4D" w:rsidRPr="005F270C">
        <w:rPr>
          <w:rFonts w:ascii="Arial" w:hAnsi="Arial" w:cs="Arial"/>
          <w:sz w:val="20"/>
          <w:szCs w:val="20"/>
        </w:rPr>
        <w:t xml:space="preserve">. </w:t>
      </w:r>
    </w:p>
    <w:p w14:paraId="52A7B783" w14:textId="77777777" w:rsidR="002A115C" w:rsidRPr="005F270C" w:rsidRDefault="00FC28DC" w:rsidP="00F203AC">
      <w:pPr>
        <w:jc w:val="both"/>
        <w:rPr>
          <w:rFonts w:ascii="Arial" w:hAnsi="Arial" w:cs="Arial"/>
          <w:sz w:val="20"/>
          <w:szCs w:val="20"/>
        </w:rPr>
      </w:pPr>
      <w:r w:rsidRPr="005F270C">
        <w:rPr>
          <w:rFonts w:ascii="Arial" w:hAnsi="Arial" w:cs="Arial"/>
          <w:sz w:val="20"/>
          <w:szCs w:val="20"/>
        </w:rPr>
        <w:t xml:space="preserve">In recent years, successive governments have introduced even more powerful changes to further deregulate the planning system. </w:t>
      </w:r>
      <w:r w:rsidR="0019773B" w:rsidRPr="005F270C">
        <w:rPr>
          <w:rFonts w:ascii="Arial" w:hAnsi="Arial" w:cs="Arial"/>
          <w:sz w:val="20"/>
          <w:szCs w:val="20"/>
        </w:rPr>
        <w:t xml:space="preserve">The most effective of these is the </w:t>
      </w:r>
      <w:r w:rsidR="0019773B" w:rsidRPr="005F270C">
        <w:rPr>
          <w:rFonts w:ascii="Arial" w:hAnsi="Arial" w:cs="Arial"/>
          <w:i/>
          <w:sz w:val="20"/>
          <w:szCs w:val="20"/>
        </w:rPr>
        <w:t xml:space="preserve">VicSmart </w:t>
      </w:r>
      <w:r w:rsidR="0019773B" w:rsidRPr="005F270C">
        <w:rPr>
          <w:rFonts w:ascii="Arial" w:hAnsi="Arial" w:cs="Arial"/>
          <w:sz w:val="20"/>
          <w:szCs w:val="20"/>
        </w:rPr>
        <w:t xml:space="preserve">system for fast-tracking planning applications outside the normal planning process. </w:t>
      </w:r>
      <w:r w:rsidR="0036306F" w:rsidRPr="005F270C">
        <w:rPr>
          <w:rFonts w:ascii="Arial" w:hAnsi="Arial" w:cs="Arial"/>
          <w:i/>
          <w:sz w:val="20"/>
          <w:szCs w:val="20"/>
        </w:rPr>
        <w:t>VicSmart</w:t>
      </w:r>
      <w:r w:rsidR="0036306F" w:rsidRPr="005F270C">
        <w:rPr>
          <w:rFonts w:ascii="Arial" w:hAnsi="Arial" w:cs="Arial"/>
          <w:sz w:val="20"/>
          <w:szCs w:val="20"/>
        </w:rPr>
        <w:t xml:space="preserve"> is a legislated system element introduced through the </w:t>
      </w:r>
      <w:r w:rsidR="0036306F" w:rsidRPr="005F270C">
        <w:rPr>
          <w:rFonts w:ascii="Arial" w:hAnsi="Arial" w:cs="Arial"/>
          <w:i/>
          <w:sz w:val="20"/>
          <w:szCs w:val="20"/>
        </w:rPr>
        <w:t>Planning and Environment Amendment (VicSmart Planning Assessment) Act</w:t>
      </w:r>
      <w:r w:rsidR="0036306F" w:rsidRPr="005F270C">
        <w:rPr>
          <w:rFonts w:ascii="Arial" w:hAnsi="Arial" w:cs="Arial"/>
          <w:sz w:val="20"/>
          <w:szCs w:val="20"/>
        </w:rPr>
        <w:t xml:space="preserve"> in 2012 establishing a different approval procedure for a separate class of applications. </w:t>
      </w:r>
      <w:r w:rsidR="00E06D7B" w:rsidRPr="005F270C">
        <w:rPr>
          <w:rFonts w:ascii="Arial" w:hAnsi="Arial" w:cs="Arial"/>
          <w:sz w:val="20"/>
          <w:szCs w:val="20"/>
        </w:rPr>
        <w:t>App</w:t>
      </w:r>
      <w:r w:rsidR="00A14EC5" w:rsidRPr="005F270C">
        <w:rPr>
          <w:rFonts w:ascii="Arial" w:hAnsi="Arial" w:cs="Arial"/>
          <w:sz w:val="20"/>
          <w:szCs w:val="20"/>
        </w:rPr>
        <w:t>lications must be processed</w:t>
      </w:r>
      <w:r w:rsidR="00E06D7B" w:rsidRPr="005F270C">
        <w:rPr>
          <w:rFonts w:ascii="Arial" w:hAnsi="Arial" w:cs="Arial"/>
          <w:sz w:val="20"/>
          <w:szCs w:val="20"/>
        </w:rPr>
        <w:t xml:space="preserve"> within 10 business days and are exempt from notice, policies, and review rights. The responsible authority cannot r</w:t>
      </w:r>
      <w:r w:rsidR="00A14EC5" w:rsidRPr="005F270C">
        <w:rPr>
          <w:rFonts w:ascii="Arial" w:hAnsi="Arial" w:cs="Arial"/>
          <w:sz w:val="20"/>
          <w:szCs w:val="20"/>
        </w:rPr>
        <w:t>e</w:t>
      </w:r>
      <w:r w:rsidR="00E06D7B" w:rsidRPr="005F270C">
        <w:rPr>
          <w:rFonts w:ascii="Arial" w:hAnsi="Arial" w:cs="Arial"/>
          <w:sz w:val="20"/>
          <w:szCs w:val="20"/>
        </w:rPr>
        <w:t xml:space="preserve">quest further information, authorities cannot comment on the application, environmental impacts cannot be considered and councillors are excluded from decisions. The </w:t>
      </w:r>
      <w:r w:rsidR="00AF30D8">
        <w:rPr>
          <w:rFonts w:ascii="Arial" w:hAnsi="Arial" w:cs="Arial"/>
          <w:sz w:val="20"/>
          <w:szCs w:val="20"/>
        </w:rPr>
        <w:t xml:space="preserve">Coalition </w:t>
      </w:r>
      <w:r w:rsidR="00E06D7B" w:rsidRPr="005F270C">
        <w:rPr>
          <w:rFonts w:ascii="Arial" w:hAnsi="Arial" w:cs="Arial"/>
          <w:sz w:val="20"/>
          <w:szCs w:val="20"/>
        </w:rPr>
        <w:t>government justified a separate track by the need for a streamlined permit process aimed at “straightforward, low impact development proposals”, intended to “reduce frustratio</w:t>
      </w:r>
      <w:r w:rsidR="00A14EC5" w:rsidRPr="005F270C">
        <w:rPr>
          <w:rFonts w:ascii="Arial" w:hAnsi="Arial" w:cs="Arial"/>
          <w:sz w:val="20"/>
          <w:szCs w:val="20"/>
        </w:rPr>
        <w:t>n and unnecessary red tape for famil</w:t>
      </w:r>
      <w:r w:rsidR="00E06D7B" w:rsidRPr="005F270C">
        <w:rPr>
          <w:rFonts w:ascii="Arial" w:hAnsi="Arial" w:cs="Arial"/>
          <w:sz w:val="20"/>
          <w:szCs w:val="20"/>
        </w:rPr>
        <w:t>ies wanting to make simple improvement</w:t>
      </w:r>
      <w:r w:rsidR="00AF2BDA">
        <w:rPr>
          <w:rFonts w:ascii="Arial" w:hAnsi="Arial" w:cs="Arial"/>
          <w:sz w:val="20"/>
          <w:szCs w:val="20"/>
        </w:rPr>
        <w:t>s</w:t>
      </w:r>
      <w:r w:rsidR="00E06D7B" w:rsidRPr="005F270C">
        <w:rPr>
          <w:rFonts w:ascii="Arial" w:hAnsi="Arial" w:cs="Arial"/>
          <w:sz w:val="20"/>
          <w:szCs w:val="20"/>
        </w:rPr>
        <w:t xml:space="preserve"> to their homes”</w:t>
      </w:r>
      <w:r w:rsidR="00A14EC5" w:rsidRPr="005F270C">
        <w:rPr>
          <w:rFonts w:ascii="Arial" w:hAnsi="Arial" w:cs="Arial"/>
          <w:sz w:val="20"/>
          <w:szCs w:val="20"/>
        </w:rPr>
        <w:t xml:space="preserve"> and to “reduce unnecessary delays and costs in Victoria’s planning system” (DTPLI, 2013:1). </w:t>
      </w:r>
      <w:r w:rsidR="00A43896" w:rsidRPr="005F270C">
        <w:rPr>
          <w:rFonts w:ascii="Arial" w:hAnsi="Arial" w:cs="Arial"/>
          <w:sz w:val="20"/>
          <w:szCs w:val="20"/>
        </w:rPr>
        <w:t>However it did</w:t>
      </w:r>
      <w:r w:rsidR="0036306F" w:rsidRPr="005F270C">
        <w:rPr>
          <w:rFonts w:ascii="Arial" w:hAnsi="Arial" w:cs="Arial"/>
          <w:sz w:val="20"/>
          <w:szCs w:val="20"/>
        </w:rPr>
        <w:t xml:space="preserve"> not define this class or specify the applications</w:t>
      </w:r>
      <w:r w:rsidR="00E06D7B" w:rsidRPr="005F270C">
        <w:rPr>
          <w:rFonts w:ascii="Arial" w:hAnsi="Arial" w:cs="Arial"/>
          <w:sz w:val="20"/>
          <w:szCs w:val="20"/>
        </w:rPr>
        <w:t>, conferring on the minister the power to develop and alter the application list without further reference to parliament. The result has been incremental additions to application</w:t>
      </w:r>
      <w:r w:rsidR="00AF30D8">
        <w:rPr>
          <w:rFonts w:ascii="Arial" w:hAnsi="Arial" w:cs="Arial"/>
          <w:sz w:val="20"/>
          <w:szCs w:val="20"/>
        </w:rPr>
        <w:t xml:space="preserve"> types</w:t>
      </w:r>
      <w:r w:rsidR="00E06D7B" w:rsidRPr="005F270C">
        <w:rPr>
          <w:rFonts w:ascii="Arial" w:hAnsi="Arial" w:cs="Arial"/>
          <w:sz w:val="20"/>
          <w:szCs w:val="20"/>
        </w:rPr>
        <w:t xml:space="preserve"> exempted from normal planning procedure</w:t>
      </w:r>
      <w:r w:rsidR="00A14EC5" w:rsidRPr="005F270C">
        <w:rPr>
          <w:rFonts w:ascii="Arial" w:hAnsi="Arial" w:cs="Arial"/>
          <w:sz w:val="20"/>
          <w:szCs w:val="20"/>
        </w:rPr>
        <w:t>. The Labor</w:t>
      </w:r>
      <w:r w:rsidR="00E06D7B" w:rsidRPr="005F270C">
        <w:rPr>
          <w:rFonts w:ascii="Arial" w:hAnsi="Arial" w:cs="Arial"/>
          <w:sz w:val="20"/>
          <w:szCs w:val="20"/>
        </w:rPr>
        <w:t xml:space="preserve"> Shadow Planning Minister commented in the parliamentary debate on the bill that “we all know that this legislation is much broader in its scope; the sky is the limit (Tee, 2012). However</w:t>
      </w:r>
      <w:r w:rsidR="00AF30D8">
        <w:rPr>
          <w:rFonts w:ascii="Arial" w:hAnsi="Arial" w:cs="Arial"/>
          <w:sz w:val="20"/>
          <w:szCs w:val="20"/>
        </w:rPr>
        <w:t>,</w:t>
      </w:r>
      <w:r w:rsidR="00E06D7B" w:rsidRPr="005F270C">
        <w:rPr>
          <w:rFonts w:ascii="Arial" w:hAnsi="Arial" w:cs="Arial"/>
          <w:sz w:val="20"/>
          <w:szCs w:val="20"/>
        </w:rPr>
        <w:t xml:space="preserve"> </w:t>
      </w:r>
      <w:r w:rsidR="00A14EC5" w:rsidRPr="005F270C">
        <w:rPr>
          <w:rFonts w:ascii="Arial" w:hAnsi="Arial" w:cs="Arial"/>
          <w:sz w:val="20"/>
          <w:szCs w:val="20"/>
        </w:rPr>
        <w:t xml:space="preserve">in government, </w:t>
      </w:r>
      <w:r w:rsidR="00E06D7B" w:rsidRPr="005F270C">
        <w:rPr>
          <w:rFonts w:ascii="Arial" w:hAnsi="Arial" w:cs="Arial"/>
          <w:sz w:val="20"/>
          <w:szCs w:val="20"/>
        </w:rPr>
        <w:t>Labor</w:t>
      </w:r>
      <w:r w:rsidR="00A14EC5" w:rsidRPr="005F270C">
        <w:rPr>
          <w:rFonts w:ascii="Arial" w:hAnsi="Arial" w:cs="Arial"/>
          <w:sz w:val="20"/>
          <w:szCs w:val="20"/>
        </w:rPr>
        <w:t xml:space="preserve"> has expanded </w:t>
      </w:r>
      <w:r w:rsidR="00A14EC5" w:rsidRPr="005F270C">
        <w:rPr>
          <w:rFonts w:ascii="Arial" w:hAnsi="Arial" w:cs="Arial"/>
          <w:i/>
          <w:sz w:val="20"/>
          <w:szCs w:val="20"/>
        </w:rPr>
        <w:t>VicSmart</w:t>
      </w:r>
      <w:r w:rsidR="00A14EC5" w:rsidRPr="005F270C">
        <w:rPr>
          <w:rFonts w:ascii="Arial" w:hAnsi="Arial" w:cs="Arial"/>
          <w:sz w:val="20"/>
          <w:szCs w:val="20"/>
        </w:rPr>
        <w:t xml:space="preserve"> applications from three to seven per cent of all applications and now proposes to increase further the 2016-17 target to include “the targeted removal of permit requirements in commercial and industrial zones…[its] proportion of…applications will increase over time as reform aimed at streamlining the planning system take hold” (Victorian Parliament, 2016: 28).</w:t>
      </w:r>
      <w:r w:rsidR="000664AF" w:rsidRPr="005F270C">
        <w:rPr>
          <w:rFonts w:ascii="Arial" w:hAnsi="Arial" w:cs="Arial"/>
          <w:sz w:val="20"/>
          <w:szCs w:val="20"/>
        </w:rPr>
        <w:t xml:space="preserve"> The Property council’s (2012) recommendation that the government extend VicSmart to commercial and multi-unit development through the use of code assessment has already been partly met. </w:t>
      </w:r>
    </w:p>
    <w:p w14:paraId="07380591" w14:textId="77777777" w:rsidR="002C4088" w:rsidRPr="005F270C" w:rsidRDefault="006F6DCD" w:rsidP="00F203AC">
      <w:pPr>
        <w:jc w:val="both"/>
        <w:rPr>
          <w:rFonts w:ascii="Arial" w:hAnsi="Arial" w:cs="Arial"/>
          <w:sz w:val="20"/>
          <w:szCs w:val="20"/>
        </w:rPr>
      </w:pPr>
      <w:r w:rsidRPr="005F270C">
        <w:rPr>
          <w:rFonts w:ascii="Arial" w:hAnsi="Arial" w:cs="Arial"/>
          <w:sz w:val="20"/>
          <w:szCs w:val="20"/>
        </w:rPr>
        <w:t xml:space="preserve">The Labor government in 2017 </w:t>
      </w:r>
      <w:r w:rsidR="00A43896" w:rsidRPr="005F270C">
        <w:rPr>
          <w:rFonts w:ascii="Arial" w:hAnsi="Arial" w:cs="Arial"/>
          <w:sz w:val="20"/>
          <w:szCs w:val="20"/>
        </w:rPr>
        <w:t xml:space="preserve">also has </w:t>
      </w:r>
      <w:r w:rsidRPr="005F270C">
        <w:rPr>
          <w:rFonts w:ascii="Arial" w:hAnsi="Arial" w:cs="Arial"/>
          <w:sz w:val="20"/>
          <w:szCs w:val="20"/>
        </w:rPr>
        <w:t xml:space="preserve">embarked on the most ambitious and fundamental planning system change yet attempted in Victoria. Under its </w:t>
      </w:r>
      <w:r w:rsidRPr="005F270C">
        <w:rPr>
          <w:rFonts w:ascii="Arial" w:hAnsi="Arial" w:cs="Arial"/>
          <w:i/>
          <w:sz w:val="20"/>
          <w:szCs w:val="20"/>
        </w:rPr>
        <w:t>Smart Planning</w:t>
      </w:r>
      <w:r w:rsidRPr="005F270C">
        <w:rPr>
          <w:rFonts w:ascii="Arial" w:hAnsi="Arial" w:cs="Arial"/>
          <w:sz w:val="20"/>
          <w:szCs w:val="20"/>
        </w:rPr>
        <w:t xml:space="preserve"> program, </w:t>
      </w:r>
      <w:r w:rsidR="004044CA" w:rsidRPr="005F270C">
        <w:rPr>
          <w:rFonts w:ascii="Arial" w:hAnsi="Arial" w:cs="Arial"/>
          <w:sz w:val="20"/>
          <w:szCs w:val="20"/>
        </w:rPr>
        <w:t xml:space="preserve">the government has let a tender to a consulting firm to develop a new model planning scheme, including a new structure for the planning provisions including revised zones, overlays and particular provisions. </w:t>
      </w:r>
      <w:r w:rsidR="00F4790E" w:rsidRPr="005F270C">
        <w:rPr>
          <w:rFonts w:ascii="Arial" w:hAnsi="Arial" w:cs="Arial"/>
          <w:sz w:val="20"/>
          <w:szCs w:val="20"/>
        </w:rPr>
        <w:t>The contracting to a private supplier of the task of developing an entire new planning system for a function of government traditionally undertaken for notions of publ</w:t>
      </w:r>
      <w:r w:rsidR="00326A1A" w:rsidRPr="005F270C">
        <w:rPr>
          <w:rFonts w:ascii="Arial" w:hAnsi="Arial" w:cs="Arial"/>
          <w:sz w:val="20"/>
          <w:szCs w:val="20"/>
        </w:rPr>
        <w:t>ic good is a radical advance in Victorian neoliberal governance.</w:t>
      </w:r>
      <w:r w:rsidR="00F4790E" w:rsidRPr="005F270C">
        <w:rPr>
          <w:rFonts w:ascii="Arial" w:hAnsi="Arial" w:cs="Arial"/>
          <w:sz w:val="20"/>
          <w:szCs w:val="20"/>
        </w:rPr>
        <w:t xml:space="preserve">  </w:t>
      </w:r>
      <w:r w:rsidR="004044CA" w:rsidRPr="005F270C">
        <w:rPr>
          <w:rFonts w:ascii="Arial" w:hAnsi="Arial" w:cs="Arial"/>
          <w:sz w:val="20"/>
          <w:szCs w:val="20"/>
        </w:rPr>
        <w:t>Criteria governing the new provisions are the need to reduce r</w:t>
      </w:r>
      <w:r w:rsidR="00EE3578" w:rsidRPr="005F270C">
        <w:rPr>
          <w:rFonts w:ascii="Arial" w:hAnsi="Arial" w:cs="Arial"/>
          <w:sz w:val="20"/>
          <w:szCs w:val="20"/>
        </w:rPr>
        <w:t xml:space="preserve">egulation and regulatory costs, </w:t>
      </w:r>
      <w:r w:rsidR="004044CA" w:rsidRPr="005F270C">
        <w:rPr>
          <w:rFonts w:ascii="Arial" w:hAnsi="Arial" w:cs="Arial"/>
          <w:sz w:val="20"/>
          <w:szCs w:val="20"/>
        </w:rPr>
        <w:t>simplifying planning rules particularly through code assessment</w:t>
      </w:r>
      <w:r w:rsidR="00A43896" w:rsidRPr="005F270C">
        <w:rPr>
          <w:rFonts w:ascii="Arial" w:hAnsi="Arial" w:cs="Arial"/>
          <w:sz w:val="20"/>
          <w:szCs w:val="20"/>
        </w:rPr>
        <w:t>,</w:t>
      </w:r>
      <w:r w:rsidR="004044CA" w:rsidRPr="005F270C">
        <w:rPr>
          <w:rFonts w:ascii="Arial" w:hAnsi="Arial" w:cs="Arial"/>
          <w:sz w:val="20"/>
          <w:szCs w:val="20"/>
        </w:rPr>
        <w:t xml:space="preserve"> lowering the level of permit triggers, increasing the number of uses and developments not requiring permits and reducing local variations. </w:t>
      </w:r>
    </w:p>
    <w:p w14:paraId="0B3A5183" w14:textId="77777777" w:rsidR="004044CA" w:rsidRPr="005F270C" w:rsidRDefault="004044CA" w:rsidP="00F203AC">
      <w:pPr>
        <w:jc w:val="both"/>
        <w:rPr>
          <w:rFonts w:ascii="Arial" w:hAnsi="Arial" w:cs="Arial"/>
          <w:sz w:val="20"/>
          <w:szCs w:val="20"/>
        </w:rPr>
      </w:pPr>
      <w:r w:rsidRPr="005F270C">
        <w:rPr>
          <w:rFonts w:ascii="Arial" w:hAnsi="Arial" w:cs="Arial"/>
          <w:sz w:val="20"/>
          <w:szCs w:val="20"/>
        </w:rPr>
        <w:t>Again, the new system is being promoted on the need to “simplify and modernise Victoria’s planning rules”, reduce complexity and increase efficiency by reducing regulatory control over development. Property and professional groups are presented on technical and advisory groups for the program but resident representation is excluded.</w:t>
      </w:r>
      <w:r w:rsidR="00A43896" w:rsidRPr="005F270C">
        <w:rPr>
          <w:rFonts w:ascii="Arial" w:hAnsi="Arial" w:cs="Arial"/>
          <w:sz w:val="20"/>
          <w:szCs w:val="20"/>
        </w:rPr>
        <w:t xml:space="preserve"> T</w:t>
      </w:r>
      <w:r w:rsidRPr="005F270C">
        <w:rPr>
          <w:rFonts w:ascii="Arial" w:hAnsi="Arial" w:cs="Arial"/>
          <w:sz w:val="20"/>
          <w:szCs w:val="20"/>
        </w:rPr>
        <w:t>he pro</w:t>
      </w:r>
      <w:r w:rsidR="008A161B">
        <w:rPr>
          <w:rFonts w:ascii="Arial" w:hAnsi="Arial" w:cs="Arial"/>
          <w:sz w:val="20"/>
          <w:szCs w:val="20"/>
        </w:rPr>
        <w:t>perty industry publicly endorsed</w:t>
      </w:r>
      <w:r w:rsidRPr="005F270C">
        <w:rPr>
          <w:rFonts w:ascii="Arial" w:hAnsi="Arial" w:cs="Arial"/>
          <w:sz w:val="20"/>
          <w:szCs w:val="20"/>
        </w:rPr>
        <w:t xml:space="preserve"> the development of an even more deregulated system. The Property Council, for example, stated that the new system “is exactly what the doctor ordered…to cut red tape..and accelerate decision making” (Property Council, 2016:1).</w:t>
      </w:r>
    </w:p>
    <w:p w14:paraId="5755CD27" w14:textId="77777777" w:rsidR="002C4088" w:rsidRPr="000003D4" w:rsidRDefault="002C4088" w:rsidP="00F203AC">
      <w:pPr>
        <w:jc w:val="both"/>
        <w:rPr>
          <w:rFonts w:ascii="Arial" w:hAnsi="Arial" w:cs="Arial"/>
          <w:b/>
        </w:rPr>
      </w:pPr>
      <w:r w:rsidRPr="000003D4">
        <w:rPr>
          <w:rFonts w:ascii="Arial" w:hAnsi="Arial" w:cs="Arial"/>
          <w:b/>
        </w:rPr>
        <w:t>Conclusion</w:t>
      </w:r>
    </w:p>
    <w:p w14:paraId="11AC44B6" w14:textId="77777777" w:rsidR="002C4088" w:rsidRPr="005F270C" w:rsidRDefault="005E6312" w:rsidP="00F203AC">
      <w:pPr>
        <w:jc w:val="both"/>
        <w:rPr>
          <w:rFonts w:ascii="Arial" w:hAnsi="Arial" w:cs="Arial"/>
          <w:sz w:val="20"/>
          <w:szCs w:val="20"/>
        </w:rPr>
      </w:pPr>
      <w:r w:rsidRPr="005F270C">
        <w:rPr>
          <w:rFonts w:ascii="Arial" w:hAnsi="Arial" w:cs="Arial"/>
          <w:sz w:val="20"/>
          <w:szCs w:val="20"/>
        </w:rPr>
        <w:t>State governments have entered a new phase in the progressive deregul</w:t>
      </w:r>
      <w:r>
        <w:rPr>
          <w:rFonts w:ascii="Arial" w:hAnsi="Arial" w:cs="Arial"/>
          <w:sz w:val="20"/>
          <w:szCs w:val="20"/>
        </w:rPr>
        <w:t xml:space="preserve">ation of their planning systems. </w:t>
      </w:r>
      <w:r w:rsidR="00CB3255" w:rsidRPr="005F270C">
        <w:rPr>
          <w:rFonts w:ascii="Arial" w:hAnsi="Arial" w:cs="Arial"/>
          <w:sz w:val="20"/>
          <w:szCs w:val="20"/>
        </w:rPr>
        <w:t xml:space="preserve">All recent Victorian governments </w:t>
      </w:r>
      <w:r w:rsidR="00FA4E11" w:rsidRPr="005F270C">
        <w:rPr>
          <w:rFonts w:ascii="Arial" w:hAnsi="Arial" w:cs="Arial"/>
          <w:sz w:val="20"/>
          <w:szCs w:val="20"/>
        </w:rPr>
        <w:t xml:space="preserve">have discounted the importance of strong directive or guiding strategy, and instead have progressively deregulated the land use planning system by exercising </w:t>
      </w:r>
      <w:r w:rsidR="00CB3255" w:rsidRPr="005F270C">
        <w:rPr>
          <w:rFonts w:ascii="Arial" w:hAnsi="Arial" w:cs="Arial"/>
          <w:sz w:val="20"/>
          <w:szCs w:val="20"/>
        </w:rPr>
        <w:t xml:space="preserve">centralized </w:t>
      </w:r>
      <w:r w:rsidR="00FA4E11" w:rsidRPr="005F270C">
        <w:rPr>
          <w:rFonts w:ascii="Arial" w:hAnsi="Arial" w:cs="Arial"/>
          <w:sz w:val="20"/>
          <w:szCs w:val="20"/>
        </w:rPr>
        <w:t>control,</w:t>
      </w:r>
      <w:r w:rsidR="00CB3255" w:rsidRPr="005F270C">
        <w:rPr>
          <w:rFonts w:ascii="Arial" w:hAnsi="Arial" w:cs="Arial"/>
          <w:sz w:val="20"/>
          <w:szCs w:val="20"/>
        </w:rPr>
        <w:t xml:space="preserve"> incrementally increa</w:t>
      </w:r>
      <w:r w:rsidR="00FA4E11" w:rsidRPr="005F270C">
        <w:rPr>
          <w:rFonts w:ascii="Arial" w:hAnsi="Arial" w:cs="Arial"/>
          <w:sz w:val="20"/>
          <w:szCs w:val="20"/>
        </w:rPr>
        <w:t>sing deregulation; and restoring</w:t>
      </w:r>
      <w:r w:rsidR="00CB3255" w:rsidRPr="005F270C">
        <w:rPr>
          <w:rFonts w:ascii="Arial" w:hAnsi="Arial" w:cs="Arial"/>
          <w:sz w:val="20"/>
          <w:szCs w:val="20"/>
        </w:rPr>
        <w:t xml:space="preserve"> facilitative planning measures </w:t>
      </w:r>
      <w:r w:rsidR="00FA4E11" w:rsidRPr="005F270C">
        <w:rPr>
          <w:rFonts w:ascii="Arial" w:hAnsi="Arial" w:cs="Arial"/>
          <w:sz w:val="20"/>
          <w:szCs w:val="20"/>
        </w:rPr>
        <w:t>to remove any regulatory tendencies by previous governments.</w:t>
      </w:r>
      <w:r w:rsidR="00FD218E">
        <w:rPr>
          <w:rFonts w:ascii="Arial" w:hAnsi="Arial" w:cs="Arial"/>
          <w:sz w:val="20"/>
          <w:szCs w:val="20"/>
        </w:rPr>
        <w:t xml:space="preserve"> </w:t>
      </w:r>
    </w:p>
    <w:p w14:paraId="18D4B10B" w14:textId="77777777" w:rsidR="005E6312" w:rsidRDefault="005E6312" w:rsidP="00F203AC">
      <w:pPr>
        <w:jc w:val="both"/>
        <w:rPr>
          <w:rFonts w:ascii="Arial" w:hAnsi="Arial" w:cs="Arial"/>
          <w:sz w:val="20"/>
          <w:szCs w:val="20"/>
        </w:rPr>
      </w:pPr>
      <w:r>
        <w:rPr>
          <w:rFonts w:ascii="Arial" w:hAnsi="Arial" w:cs="Arial"/>
          <w:sz w:val="20"/>
          <w:szCs w:val="20"/>
        </w:rPr>
        <w:t>N</w:t>
      </w:r>
      <w:r w:rsidR="002C4088" w:rsidRPr="005F270C">
        <w:rPr>
          <w:rFonts w:ascii="Arial" w:hAnsi="Arial" w:cs="Arial"/>
          <w:sz w:val="20"/>
          <w:szCs w:val="20"/>
        </w:rPr>
        <w:t>eoliberalism</w:t>
      </w:r>
      <w:r>
        <w:rPr>
          <w:rFonts w:ascii="Arial" w:hAnsi="Arial" w:cs="Arial"/>
          <w:sz w:val="20"/>
          <w:szCs w:val="20"/>
        </w:rPr>
        <w:t xml:space="preserve">, with its weak strategy and deregulated </w:t>
      </w:r>
      <w:r w:rsidR="008A161B">
        <w:rPr>
          <w:rFonts w:ascii="Arial" w:hAnsi="Arial" w:cs="Arial"/>
          <w:sz w:val="20"/>
          <w:szCs w:val="20"/>
        </w:rPr>
        <w:t xml:space="preserve">planning </w:t>
      </w:r>
      <w:r>
        <w:rPr>
          <w:rFonts w:ascii="Arial" w:hAnsi="Arial" w:cs="Arial"/>
          <w:sz w:val="20"/>
          <w:szCs w:val="20"/>
        </w:rPr>
        <w:t>system elements, has allowed government</w:t>
      </w:r>
      <w:r w:rsidR="00FD218E">
        <w:rPr>
          <w:rFonts w:ascii="Arial" w:hAnsi="Arial" w:cs="Arial"/>
          <w:sz w:val="20"/>
          <w:szCs w:val="20"/>
        </w:rPr>
        <w:t>s</w:t>
      </w:r>
      <w:r>
        <w:rPr>
          <w:rFonts w:ascii="Arial" w:hAnsi="Arial" w:cs="Arial"/>
          <w:sz w:val="20"/>
          <w:szCs w:val="20"/>
        </w:rPr>
        <w:t xml:space="preserve"> to </w:t>
      </w:r>
      <w:r w:rsidR="008A161B">
        <w:rPr>
          <w:rFonts w:ascii="Arial" w:hAnsi="Arial" w:cs="Arial"/>
          <w:sz w:val="20"/>
          <w:szCs w:val="20"/>
        </w:rPr>
        <w:t>pursue</w:t>
      </w:r>
      <w:r>
        <w:rPr>
          <w:rFonts w:ascii="Arial" w:hAnsi="Arial" w:cs="Arial"/>
          <w:sz w:val="20"/>
          <w:szCs w:val="20"/>
        </w:rPr>
        <w:t xml:space="preserve"> privatization by stealth. Planning sy</w:t>
      </w:r>
      <w:r w:rsidR="002C4088" w:rsidRPr="005F270C">
        <w:rPr>
          <w:rFonts w:ascii="Arial" w:hAnsi="Arial" w:cs="Arial"/>
          <w:sz w:val="20"/>
          <w:szCs w:val="20"/>
        </w:rPr>
        <w:t>stems have been redrafted t</w:t>
      </w:r>
      <w:r>
        <w:rPr>
          <w:rFonts w:ascii="Arial" w:hAnsi="Arial" w:cs="Arial"/>
          <w:sz w:val="20"/>
          <w:szCs w:val="20"/>
        </w:rPr>
        <w:t xml:space="preserve">o facilitate development and </w:t>
      </w:r>
      <w:r w:rsidR="002C4088" w:rsidRPr="005F270C">
        <w:rPr>
          <w:rFonts w:ascii="Arial" w:hAnsi="Arial" w:cs="Arial"/>
          <w:sz w:val="20"/>
          <w:szCs w:val="20"/>
        </w:rPr>
        <w:t xml:space="preserve">transfer effective power and decision making to the private sector. </w:t>
      </w:r>
      <w:r w:rsidR="00C451F0" w:rsidRPr="005F270C">
        <w:rPr>
          <w:rFonts w:ascii="Arial" w:hAnsi="Arial" w:cs="Arial"/>
          <w:sz w:val="20"/>
          <w:szCs w:val="20"/>
        </w:rPr>
        <w:t xml:space="preserve">These objectives have usually been hidden by claims that new planning systems </w:t>
      </w:r>
      <w:r w:rsidR="006F6DCD" w:rsidRPr="005F270C">
        <w:rPr>
          <w:rFonts w:ascii="Arial" w:hAnsi="Arial" w:cs="Arial"/>
          <w:sz w:val="20"/>
          <w:szCs w:val="20"/>
        </w:rPr>
        <w:t xml:space="preserve">were designed </w:t>
      </w:r>
      <w:r w:rsidR="00C451F0" w:rsidRPr="005F270C">
        <w:rPr>
          <w:rFonts w:ascii="Arial" w:hAnsi="Arial" w:cs="Arial"/>
          <w:sz w:val="20"/>
          <w:szCs w:val="20"/>
        </w:rPr>
        <w:t xml:space="preserve">to reduce ‘red tape’, remove obstacles to reasonable </w:t>
      </w:r>
      <w:r w:rsidR="006F6DCD" w:rsidRPr="005F270C">
        <w:rPr>
          <w:rFonts w:ascii="Arial" w:hAnsi="Arial" w:cs="Arial"/>
          <w:sz w:val="20"/>
          <w:szCs w:val="20"/>
        </w:rPr>
        <w:t xml:space="preserve">citizen </w:t>
      </w:r>
      <w:r w:rsidR="00C451F0" w:rsidRPr="005F270C">
        <w:rPr>
          <w:rFonts w:ascii="Arial" w:hAnsi="Arial" w:cs="Arial"/>
          <w:sz w:val="20"/>
          <w:szCs w:val="20"/>
        </w:rPr>
        <w:t>expectations</w:t>
      </w:r>
      <w:r w:rsidR="006F6DCD" w:rsidRPr="005F270C">
        <w:rPr>
          <w:rFonts w:ascii="Arial" w:hAnsi="Arial" w:cs="Arial"/>
          <w:sz w:val="20"/>
          <w:szCs w:val="20"/>
        </w:rPr>
        <w:t>, increase certainty and efficiency</w:t>
      </w:r>
      <w:r w:rsidR="00310C98" w:rsidRPr="005F270C">
        <w:rPr>
          <w:rFonts w:ascii="Arial" w:hAnsi="Arial" w:cs="Arial"/>
          <w:sz w:val="20"/>
          <w:szCs w:val="20"/>
        </w:rPr>
        <w:t>,</w:t>
      </w:r>
      <w:r w:rsidR="006F6DCD" w:rsidRPr="005F270C">
        <w:rPr>
          <w:rFonts w:ascii="Arial" w:hAnsi="Arial" w:cs="Arial"/>
          <w:sz w:val="20"/>
          <w:szCs w:val="20"/>
        </w:rPr>
        <w:t xml:space="preserve"> and reduce costs.</w:t>
      </w:r>
      <w:r w:rsidRPr="005E6312">
        <w:rPr>
          <w:rFonts w:ascii="Arial" w:hAnsi="Arial" w:cs="Arial"/>
          <w:sz w:val="20"/>
          <w:szCs w:val="20"/>
        </w:rPr>
        <w:t xml:space="preserve"> </w:t>
      </w:r>
    </w:p>
    <w:p w14:paraId="3298ABF1" w14:textId="77777777" w:rsidR="002C4088" w:rsidRPr="005F270C" w:rsidRDefault="00310C98" w:rsidP="00F203AC">
      <w:pPr>
        <w:jc w:val="both"/>
        <w:rPr>
          <w:rFonts w:ascii="Arial" w:hAnsi="Arial" w:cs="Arial"/>
          <w:sz w:val="20"/>
          <w:szCs w:val="20"/>
        </w:rPr>
      </w:pPr>
      <w:r w:rsidRPr="005F270C">
        <w:rPr>
          <w:rFonts w:ascii="Arial" w:hAnsi="Arial" w:cs="Arial"/>
          <w:sz w:val="20"/>
          <w:szCs w:val="20"/>
        </w:rPr>
        <w:t xml:space="preserve">Healey’s analysis of the </w:t>
      </w:r>
      <w:r w:rsidR="00A87BC9" w:rsidRPr="005F270C">
        <w:rPr>
          <w:rFonts w:ascii="Arial" w:hAnsi="Arial" w:cs="Arial"/>
          <w:sz w:val="20"/>
          <w:szCs w:val="20"/>
        </w:rPr>
        <w:t>r</w:t>
      </w:r>
      <w:r w:rsidRPr="005F270C">
        <w:rPr>
          <w:rFonts w:ascii="Arial" w:hAnsi="Arial" w:cs="Arial"/>
          <w:sz w:val="20"/>
          <w:szCs w:val="20"/>
        </w:rPr>
        <w:t xml:space="preserve">ole of spatial strategy and planning systems after over a decade of UK neoliberal governance applies equally well to Australia after 20 years of </w:t>
      </w:r>
      <w:r w:rsidR="00A87BC9" w:rsidRPr="005F270C">
        <w:rPr>
          <w:rFonts w:ascii="Arial" w:hAnsi="Arial" w:cs="Arial"/>
          <w:sz w:val="20"/>
          <w:szCs w:val="20"/>
        </w:rPr>
        <w:t xml:space="preserve">cumulative and increasing </w:t>
      </w:r>
      <w:r w:rsidRPr="005F270C">
        <w:rPr>
          <w:rFonts w:ascii="Arial" w:hAnsi="Arial" w:cs="Arial"/>
          <w:sz w:val="20"/>
          <w:szCs w:val="20"/>
        </w:rPr>
        <w:t xml:space="preserve">planning deregulation. </w:t>
      </w:r>
      <w:r w:rsidR="0060396B">
        <w:rPr>
          <w:rFonts w:ascii="Arial" w:hAnsi="Arial" w:cs="Arial"/>
          <w:sz w:val="20"/>
          <w:szCs w:val="20"/>
        </w:rPr>
        <w:t>H</w:t>
      </w:r>
      <w:r w:rsidR="00A87BC9" w:rsidRPr="005F270C">
        <w:rPr>
          <w:rFonts w:ascii="Arial" w:hAnsi="Arial" w:cs="Arial"/>
          <w:sz w:val="20"/>
          <w:szCs w:val="20"/>
        </w:rPr>
        <w:t>er conclusion</w:t>
      </w:r>
      <w:r w:rsidR="00FD218E">
        <w:rPr>
          <w:rFonts w:ascii="Arial" w:hAnsi="Arial" w:cs="Arial"/>
          <w:sz w:val="20"/>
          <w:szCs w:val="20"/>
        </w:rPr>
        <w:t>s</w:t>
      </w:r>
      <w:r w:rsidR="00A87BC9" w:rsidRPr="005F270C">
        <w:rPr>
          <w:rFonts w:ascii="Arial" w:hAnsi="Arial" w:cs="Arial"/>
          <w:sz w:val="20"/>
          <w:szCs w:val="20"/>
        </w:rPr>
        <w:t xml:space="preserve"> that spatial s</w:t>
      </w:r>
      <w:r w:rsidR="00FD218E">
        <w:rPr>
          <w:rFonts w:ascii="Arial" w:hAnsi="Arial" w:cs="Arial"/>
          <w:sz w:val="20"/>
          <w:szCs w:val="20"/>
        </w:rPr>
        <w:t>trategy had become discredited and was</w:t>
      </w:r>
      <w:r w:rsidR="00A87BC9" w:rsidRPr="005F270C">
        <w:rPr>
          <w:rFonts w:ascii="Arial" w:hAnsi="Arial" w:cs="Arial"/>
          <w:sz w:val="20"/>
          <w:szCs w:val="20"/>
        </w:rPr>
        <w:t xml:space="preserve"> ignored</w:t>
      </w:r>
      <w:r w:rsidR="0060396B">
        <w:rPr>
          <w:rFonts w:ascii="Arial" w:hAnsi="Arial" w:cs="Arial"/>
          <w:sz w:val="20"/>
          <w:szCs w:val="20"/>
        </w:rPr>
        <w:t>,</w:t>
      </w:r>
      <w:r w:rsidR="00A87BC9" w:rsidRPr="005F270C">
        <w:rPr>
          <w:rFonts w:ascii="Arial" w:hAnsi="Arial" w:cs="Arial"/>
          <w:sz w:val="20"/>
          <w:szCs w:val="20"/>
        </w:rPr>
        <w:t xml:space="preserve"> that neoliberal governance had led to a shift away fr</w:t>
      </w:r>
      <w:r w:rsidR="00FD218E">
        <w:rPr>
          <w:rFonts w:ascii="Arial" w:hAnsi="Arial" w:cs="Arial"/>
          <w:sz w:val="20"/>
          <w:szCs w:val="20"/>
        </w:rPr>
        <w:t xml:space="preserve">om policy as a guiding framework, and </w:t>
      </w:r>
      <w:r w:rsidR="0060396B">
        <w:rPr>
          <w:rFonts w:ascii="Arial" w:hAnsi="Arial" w:cs="Arial"/>
          <w:sz w:val="20"/>
          <w:szCs w:val="20"/>
        </w:rPr>
        <w:t>that strategy plans are more like collections of political</w:t>
      </w:r>
      <w:r w:rsidR="008A161B">
        <w:rPr>
          <w:rFonts w:ascii="Arial" w:hAnsi="Arial" w:cs="Arial"/>
          <w:sz w:val="20"/>
          <w:szCs w:val="20"/>
        </w:rPr>
        <w:t>ly</w:t>
      </w:r>
      <w:r w:rsidR="0060396B">
        <w:rPr>
          <w:rFonts w:ascii="Arial" w:hAnsi="Arial" w:cs="Arial"/>
          <w:sz w:val="20"/>
          <w:szCs w:val="20"/>
        </w:rPr>
        <w:t xml:space="preserve"> derived statements</w:t>
      </w:r>
      <w:r w:rsidR="00FD218E">
        <w:rPr>
          <w:rFonts w:ascii="Arial" w:hAnsi="Arial" w:cs="Arial"/>
          <w:sz w:val="20"/>
          <w:szCs w:val="20"/>
        </w:rPr>
        <w:t>,</w:t>
      </w:r>
      <w:r w:rsidR="0060396B">
        <w:rPr>
          <w:rFonts w:ascii="Arial" w:hAnsi="Arial" w:cs="Arial"/>
          <w:sz w:val="20"/>
          <w:szCs w:val="20"/>
        </w:rPr>
        <w:t xml:space="preserve"> ha</w:t>
      </w:r>
      <w:r w:rsidR="00FD218E">
        <w:rPr>
          <w:rFonts w:ascii="Arial" w:hAnsi="Arial" w:cs="Arial"/>
          <w:sz w:val="20"/>
          <w:szCs w:val="20"/>
        </w:rPr>
        <w:t>ve</w:t>
      </w:r>
      <w:r w:rsidR="0060396B">
        <w:rPr>
          <w:rFonts w:ascii="Arial" w:hAnsi="Arial" w:cs="Arial"/>
          <w:sz w:val="20"/>
          <w:szCs w:val="20"/>
        </w:rPr>
        <w:t xml:space="preserve"> particular resonance for </w:t>
      </w:r>
      <w:r w:rsidR="00FD218E" w:rsidRPr="005F270C">
        <w:rPr>
          <w:rFonts w:ascii="Arial" w:hAnsi="Arial" w:cs="Arial"/>
          <w:sz w:val="20"/>
          <w:szCs w:val="20"/>
        </w:rPr>
        <w:t>for the future of Australian planning.</w:t>
      </w:r>
      <w:r w:rsidR="0060396B">
        <w:rPr>
          <w:rFonts w:ascii="Arial" w:hAnsi="Arial" w:cs="Arial"/>
          <w:sz w:val="20"/>
          <w:szCs w:val="20"/>
        </w:rPr>
        <w:t xml:space="preserve"> It is hard to avoid the conclusion that Australian spatial strategy, in general, is designed to mislead, confuse and deflect attention from the real intention of governments to empower private sector decision making by diverting planning systems </w:t>
      </w:r>
      <w:r w:rsidR="00FD218E">
        <w:rPr>
          <w:rFonts w:ascii="Arial" w:hAnsi="Arial" w:cs="Arial"/>
          <w:sz w:val="20"/>
          <w:szCs w:val="20"/>
        </w:rPr>
        <w:t>from their traditional function</w:t>
      </w:r>
      <w:r w:rsidR="0060396B">
        <w:rPr>
          <w:rFonts w:ascii="Arial" w:hAnsi="Arial" w:cs="Arial"/>
          <w:sz w:val="20"/>
          <w:szCs w:val="20"/>
        </w:rPr>
        <w:t xml:space="preserve"> of st</w:t>
      </w:r>
      <w:r w:rsidR="00FD218E">
        <w:rPr>
          <w:rFonts w:ascii="Arial" w:hAnsi="Arial" w:cs="Arial"/>
          <w:sz w:val="20"/>
          <w:szCs w:val="20"/>
        </w:rPr>
        <w:t xml:space="preserve">rategy implementation </w:t>
      </w:r>
      <w:r w:rsidR="008A161B">
        <w:rPr>
          <w:rFonts w:ascii="Arial" w:hAnsi="Arial" w:cs="Arial"/>
          <w:sz w:val="20"/>
          <w:szCs w:val="20"/>
        </w:rPr>
        <w:t>in the public interest</w:t>
      </w:r>
      <w:r w:rsidR="0060396B">
        <w:rPr>
          <w:rFonts w:ascii="Arial" w:hAnsi="Arial" w:cs="Arial"/>
          <w:sz w:val="20"/>
          <w:szCs w:val="20"/>
        </w:rPr>
        <w:t xml:space="preserve">. </w:t>
      </w:r>
      <w:r w:rsidR="00FD218E">
        <w:rPr>
          <w:rFonts w:ascii="Arial" w:hAnsi="Arial" w:cs="Arial"/>
          <w:sz w:val="20"/>
          <w:szCs w:val="20"/>
        </w:rPr>
        <w:t xml:space="preserve"> </w:t>
      </w:r>
    </w:p>
    <w:p w14:paraId="26091831" w14:textId="77777777" w:rsidR="00FD218E" w:rsidRPr="000003D4" w:rsidRDefault="00FD218E" w:rsidP="00F203AC">
      <w:pPr>
        <w:spacing w:after="0" w:line="240" w:lineRule="auto"/>
        <w:jc w:val="both"/>
        <w:rPr>
          <w:rFonts w:ascii="Arial" w:hAnsi="Arial" w:cs="Arial"/>
          <w:b/>
        </w:rPr>
      </w:pPr>
    </w:p>
    <w:p w14:paraId="45F1C8E5" w14:textId="77777777" w:rsidR="00BE462B" w:rsidRPr="000003D4" w:rsidRDefault="00BE462B" w:rsidP="00F203AC">
      <w:pPr>
        <w:spacing w:after="0" w:line="240" w:lineRule="auto"/>
        <w:jc w:val="both"/>
        <w:rPr>
          <w:rFonts w:ascii="Arial" w:hAnsi="Arial" w:cs="Arial"/>
          <w:b/>
        </w:rPr>
      </w:pPr>
      <w:r w:rsidRPr="000003D4">
        <w:rPr>
          <w:rFonts w:ascii="Arial" w:hAnsi="Arial" w:cs="Arial"/>
          <w:b/>
        </w:rPr>
        <w:t>References</w:t>
      </w:r>
    </w:p>
    <w:p w14:paraId="67B4E2C3" w14:textId="77777777" w:rsidR="00FD218E" w:rsidRDefault="00FD218E" w:rsidP="00F203AC">
      <w:pPr>
        <w:spacing w:after="0" w:line="240" w:lineRule="auto"/>
        <w:jc w:val="both"/>
        <w:rPr>
          <w:rFonts w:ascii="Arial" w:hAnsi="Arial" w:cs="Arial"/>
          <w:bCs/>
          <w:sz w:val="20"/>
          <w:szCs w:val="20"/>
        </w:rPr>
      </w:pPr>
    </w:p>
    <w:p w14:paraId="216C506C" w14:textId="77777777" w:rsidR="00BE462B" w:rsidRPr="005F270C" w:rsidRDefault="00BE462B" w:rsidP="00F203AC">
      <w:pPr>
        <w:spacing w:after="0" w:line="240" w:lineRule="auto"/>
        <w:jc w:val="both"/>
        <w:rPr>
          <w:rFonts w:ascii="Arial" w:hAnsi="Arial" w:cs="Arial"/>
          <w:bCs/>
          <w:sz w:val="20"/>
          <w:szCs w:val="20"/>
        </w:rPr>
      </w:pPr>
      <w:r w:rsidRPr="005F270C">
        <w:rPr>
          <w:rFonts w:ascii="Arial" w:hAnsi="Arial" w:cs="Arial"/>
          <w:bCs/>
          <w:sz w:val="20"/>
          <w:szCs w:val="20"/>
        </w:rPr>
        <w:t>Albrechts</w:t>
      </w:r>
      <w:r w:rsidR="003532CD">
        <w:rPr>
          <w:rFonts w:ascii="Arial" w:hAnsi="Arial" w:cs="Arial"/>
          <w:bCs/>
          <w:sz w:val="20"/>
          <w:szCs w:val="20"/>
        </w:rPr>
        <w:t>,</w:t>
      </w:r>
      <w:r w:rsidR="00B030E1">
        <w:rPr>
          <w:rFonts w:ascii="Arial" w:hAnsi="Arial" w:cs="Arial"/>
          <w:bCs/>
          <w:sz w:val="20"/>
          <w:szCs w:val="20"/>
        </w:rPr>
        <w:t xml:space="preserve"> L (2010) </w:t>
      </w:r>
      <w:r w:rsidRPr="005F270C">
        <w:rPr>
          <w:rFonts w:ascii="Arial" w:hAnsi="Arial" w:cs="Arial"/>
          <w:bCs/>
          <w:sz w:val="20"/>
          <w:szCs w:val="20"/>
        </w:rPr>
        <w:t>More of the same is not enough! How could strategic spatial planning be instrumental in dea</w:t>
      </w:r>
      <w:r w:rsidR="00B030E1">
        <w:rPr>
          <w:rFonts w:ascii="Arial" w:hAnsi="Arial" w:cs="Arial"/>
          <w:bCs/>
          <w:sz w:val="20"/>
          <w:szCs w:val="20"/>
        </w:rPr>
        <w:t>ling with the challenges ahead?</w:t>
      </w:r>
      <w:r w:rsidRPr="005F270C">
        <w:rPr>
          <w:rFonts w:ascii="Arial" w:hAnsi="Arial" w:cs="Arial"/>
          <w:bCs/>
          <w:sz w:val="20"/>
          <w:szCs w:val="20"/>
        </w:rPr>
        <w:t xml:space="preserve">, </w:t>
      </w:r>
      <w:r w:rsidRPr="005F270C">
        <w:rPr>
          <w:rFonts w:ascii="Arial" w:hAnsi="Arial" w:cs="Arial"/>
          <w:bCs/>
          <w:i/>
          <w:sz w:val="20"/>
          <w:szCs w:val="20"/>
        </w:rPr>
        <w:t>Environment and Planning B: Planning and Design</w:t>
      </w:r>
      <w:r w:rsidR="00B030E1">
        <w:rPr>
          <w:rFonts w:ascii="Arial" w:hAnsi="Arial" w:cs="Arial"/>
          <w:bCs/>
          <w:sz w:val="20"/>
          <w:szCs w:val="20"/>
        </w:rPr>
        <w:t xml:space="preserve">, </w:t>
      </w:r>
      <w:r w:rsidRPr="005F270C">
        <w:rPr>
          <w:rFonts w:ascii="Arial" w:hAnsi="Arial" w:cs="Arial"/>
          <w:bCs/>
          <w:sz w:val="20"/>
          <w:szCs w:val="20"/>
        </w:rPr>
        <w:t>37, pp</w:t>
      </w:r>
      <w:r w:rsidR="00B030E1">
        <w:rPr>
          <w:rFonts w:ascii="Arial" w:hAnsi="Arial" w:cs="Arial"/>
          <w:bCs/>
          <w:sz w:val="20"/>
          <w:szCs w:val="20"/>
        </w:rPr>
        <w:t>.</w:t>
      </w:r>
      <w:r w:rsidRPr="005F270C">
        <w:rPr>
          <w:rFonts w:ascii="Arial" w:hAnsi="Arial" w:cs="Arial"/>
          <w:bCs/>
          <w:sz w:val="20"/>
          <w:szCs w:val="20"/>
        </w:rPr>
        <w:t xml:space="preserve"> 1115-1127.</w:t>
      </w:r>
    </w:p>
    <w:p w14:paraId="53560332"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sz w:val="20"/>
          <w:szCs w:val="20"/>
        </w:rPr>
        <w:t>Allmendinge</w:t>
      </w:r>
      <w:r w:rsidR="00B030E1">
        <w:rPr>
          <w:rFonts w:ascii="Arial" w:hAnsi="Arial" w:cs="Arial"/>
          <w:sz w:val="20"/>
          <w:szCs w:val="20"/>
        </w:rPr>
        <w:t>,</w:t>
      </w:r>
      <w:r w:rsidRPr="005F270C">
        <w:rPr>
          <w:rFonts w:ascii="Arial" w:hAnsi="Arial" w:cs="Arial"/>
          <w:sz w:val="20"/>
          <w:szCs w:val="20"/>
        </w:rPr>
        <w:t>r P</w:t>
      </w:r>
      <w:r w:rsidR="00B030E1">
        <w:rPr>
          <w:rFonts w:ascii="Arial" w:hAnsi="Arial" w:cs="Arial"/>
          <w:sz w:val="20"/>
          <w:szCs w:val="20"/>
        </w:rPr>
        <w:t xml:space="preserve">. (1997) </w:t>
      </w:r>
      <w:r w:rsidRPr="005F270C">
        <w:rPr>
          <w:rFonts w:ascii="Arial" w:hAnsi="Arial" w:cs="Arial"/>
          <w:sz w:val="20"/>
          <w:szCs w:val="20"/>
        </w:rPr>
        <w:t>Thatcherism and Simplified Planning Zones</w:t>
      </w:r>
      <w:r w:rsidR="00B030E1">
        <w:rPr>
          <w:rFonts w:ascii="Arial" w:hAnsi="Arial" w:cs="Arial"/>
          <w:sz w:val="20"/>
          <w:szCs w:val="20"/>
        </w:rPr>
        <w:t>: An Implementation Perspective</w:t>
      </w:r>
      <w:r w:rsidRPr="005F270C">
        <w:rPr>
          <w:rFonts w:ascii="Arial" w:hAnsi="Arial" w:cs="Arial"/>
          <w:sz w:val="20"/>
          <w:szCs w:val="20"/>
        </w:rPr>
        <w:t xml:space="preserve">, </w:t>
      </w:r>
      <w:r w:rsidRPr="005F270C">
        <w:rPr>
          <w:rFonts w:ascii="Arial" w:hAnsi="Arial" w:cs="Arial"/>
          <w:i/>
          <w:sz w:val="20"/>
          <w:szCs w:val="20"/>
        </w:rPr>
        <w:t xml:space="preserve">Planning Practice and Research, </w:t>
      </w:r>
      <w:r w:rsidRPr="005F270C">
        <w:rPr>
          <w:rFonts w:ascii="Arial" w:hAnsi="Arial" w:cs="Arial"/>
          <w:sz w:val="20"/>
          <w:szCs w:val="20"/>
        </w:rPr>
        <w:t>12</w:t>
      </w:r>
      <w:r w:rsidR="00B030E1">
        <w:rPr>
          <w:rFonts w:ascii="Arial" w:hAnsi="Arial" w:cs="Arial"/>
          <w:sz w:val="20"/>
          <w:szCs w:val="20"/>
        </w:rPr>
        <w:t>(</w:t>
      </w:r>
      <w:r w:rsidRPr="005F270C">
        <w:rPr>
          <w:rFonts w:ascii="Arial" w:hAnsi="Arial" w:cs="Arial"/>
          <w:sz w:val="20"/>
          <w:szCs w:val="20"/>
        </w:rPr>
        <w:t>2</w:t>
      </w:r>
      <w:r w:rsidR="00B030E1">
        <w:rPr>
          <w:rFonts w:ascii="Arial" w:hAnsi="Arial" w:cs="Arial"/>
          <w:sz w:val="20"/>
          <w:szCs w:val="20"/>
        </w:rPr>
        <w:t>)</w:t>
      </w:r>
      <w:r w:rsidRPr="005F270C">
        <w:rPr>
          <w:rFonts w:ascii="Arial" w:hAnsi="Arial" w:cs="Arial"/>
          <w:sz w:val="20"/>
          <w:szCs w:val="20"/>
        </w:rPr>
        <w:t>, pp</w:t>
      </w:r>
      <w:r w:rsidR="00B030E1">
        <w:rPr>
          <w:rFonts w:ascii="Arial" w:hAnsi="Arial" w:cs="Arial"/>
          <w:sz w:val="20"/>
          <w:szCs w:val="20"/>
        </w:rPr>
        <w:t>.</w:t>
      </w:r>
      <w:r w:rsidRPr="005F270C">
        <w:rPr>
          <w:rFonts w:ascii="Arial" w:hAnsi="Arial" w:cs="Arial"/>
          <w:sz w:val="20"/>
          <w:szCs w:val="20"/>
        </w:rPr>
        <w:t xml:space="preserve"> 147–60</w:t>
      </w:r>
      <w:r w:rsidR="00B030E1">
        <w:rPr>
          <w:rFonts w:ascii="Arial" w:hAnsi="Arial" w:cs="Arial"/>
          <w:sz w:val="20"/>
          <w:szCs w:val="20"/>
        </w:rPr>
        <w:t>.</w:t>
      </w:r>
    </w:p>
    <w:p w14:paraId="25C56557"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sz w:val="20"/>
          <w:szCs w:val="20"/>
        </w:rPr>
        <w:t xml:space="preserve">Amendment C270 Panel Report, Melbourne Planning </w:t>
      </w:r>
      <w:r w:rsidR="00B030E1">
        <w:rPr>
          <w:rFonts w:ascii="Arial" w:hAnsi="Arial" w:cs="Arial"/>
          <w:sz w:val="20"/>
          <w:szCs w:val="20"/>
        </w:rPr>
        <w:t xml:space="preserve">Scheme Amendment. (2016) </w:t>
      </w:r>
      <w:r w:rsidR="00B030E1" w:rsidRPr="00B030E1">
        <w:rPr>
          <w:rFonts w:ascii="Arial" w:hAnsi="Arial" w:cs="Arial"/>
          <w:i/>
          <w:sz w:val="20"/>
          <w:szCs w:val="20"/>
        </w:rPr>
        <w:t>Central City B</w:t>
      </w:r>
      <w:r w:rsidRPr="00B030E1">
        <w:rPr>
          <w:rFonts w:ascii="Arial" w:hAnsi="Arial" w:cs="Arial"/>
          <w:i/>
          <w:sz w:val="20"/>
          <w:szCs w:val="20"/>
        </w:rPr>
        <w:t>uilt form Review</w:t>
      </w:r>
      <w:r w:rsidRPr="005F270C">
        <w:rPr>
          <w:rFonts w:ascii="Arial" w:hAnsi="Arial" w:cs="Arial"/>
          <w:sz w:val="20"/>
          <w:szCs w:val="20"/>
        </w:rPr>
        <w:t xml:space="preserve">, 26 October.  </w:t>
      </w:r>
    </w:p>
    <w:p w14:paraId="20CD7BB8" w14:textId="77777777" w:rsidR="00BE462B" w:rsidRPr="005F270C" w:rsidRDefault="00BE462B" w:rsidP="00F203AC">
      <w:pPr>
        <w:autoSpaceDE w:val="0"/>
        <w:autoSpaceDN w:val="0"/>
        <w:adjustRightInd w:val="0"/>
        <w:spacing w:after="0" w:line="240" w:lineRule="auto"/>
        <w:jc w:val="both"/>
        <w:rPr>
          <w:rFonts w:ascii="Arial" w:hAnsi="Arial" w:cs="Arial"/>
          <w:sz w:val="20"/>
          <w:szCs w:val="20"/>
        </w:rPr>
      </w:pPr>
      <w:r w:rsidRPr="005F270C">
        <w:rPr>
          <w:rFonts w:ascii="Arial" w:hAnsi="Arial" w:cs="Arial"/>
          <w:sz w:val="20"/>
          <w:szCs w:val="20"/>
        </w:rPr>
        <w:t>Buxton</w:t>
      </w:r>
      <w:r w:rsidR="00B030E1">
        <w:rPr>
          <w:rFonts w:ascii="Arial" w:hAnsi="Arial" w:cs="Arial"/>
          <w:sz w:val="20"/>
          <w:szCs w:val="20"/>
        </w:rPr>
        <w:t>, .</w:t>
      </w:r>
      <w:r w:rsidRPr="005F270C">
        <w:rPr>
          <w:rFonts w:ascii="Arial" w:hAnsi="Arial" w:cs="Arial"/>
          <w:sz w:val="20"/>
          <w:szCs w:val="20"/>
        </w:rPr>
        <w:t>, Goodman</w:t>
      </w:r>
      <w:r w:rsidR="00B030E1">
        <w:rPr>
          <w:rFonts w:ascii="Arial" w:hAnsi="Arial" w:cs="Arial"/>
          <w:sz w:val="20"/>
          <w:szCs w:val="20"/>
        </w:rPr>
        <w:t xml:space="preserve"> .Budge,</w:t>
      </w:r>
      <w:r w:rsidRPr="005F270C">
        <w:rPr>
          <w:rFonts w:ascii="Arial" w:hAnsi="Arial" w:cs="Arial"/>
          <w:sz w:val="20"/>
          <w:szCs w:val="20"/>
        </w:rPr>
        <w:t xml:space="preserve"> T</w:t>
      </w:r>
      <w:r w:rsidR="00B030E1">
        <w:rPr>
          <w:rFonts w:ascii="Arial" w:hAnsi="Arial" w:cs="Arial"/>
          <w:sz w:val="20"/>
          <w:szCs w:val="20"/>
        </w:rPr>
        <w:t>.</w:t>
      </w:r>
      <w:r w:rsidRPr="005F270C">
        <w:rPr>
          <w:rFonts w:ascii="Arial" w:hAnsi="Arial" w:cs="Arial"/>
          <w:sz w:val="20"/>
          <w:szCs w:val="20"/>
        </w:rPr>
        <w:t xml:space="preserve"> (2005) Planning and deregulation: the failure of the</w:t>
      </w:r>
    </w:p>
    <w:p w14:paraId="061015C4"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sz w:val="20"/>
          <w:szCs w:val="20"/>
        </w:rPr>
        <w:t xml:space="preserve">new Victorian planning system. </w:t>
      </w:r>
      <w:r w:rsidRPr="005F270C">
        <w:rPr>
          <w:rFonts w:ascii="Arial" w:hAnsi="Arial" w:cs="Arial"/>
          <w:i/>
          <w:iCs/>
          <w:sz w:val="20"/>
          <w:szCs w:val="20"/>
        </w:rPr>
        <w:t xml:space="preserve">Australian Planner </w:t>
      </w:r>
      <w:r w:rsidRPr="005F270C">
        <w:rPr>
          <w:rFonts w:ascii="Arial" w:hAnsi="Arial" w:cs="Arial"/>
          <w:bCs/>
          <w:sz w:val="20"/>
          <w:szCs w:val="20"/>
        </w:rPr>
        <w:t>42</w:t>
      </w:r>
      <w:r w:rsidRPr="005F270C">
        <w:rPr>
          <w:rFonts w:ascii="Arial" w:hAnsi="Arial" w:cs="Arial"/>
          <w:sz w:val="20"/>
          <w:szCs w:val="20"/>
        </w:rPr>
        <w:t xml:space="preserve">(2), </w:t>
      </w:r>
      <w:r w:rsidR="00B030E1">
        <w:rPr>
          <w:rFonts w:ascii="Arial" w:hAnsi="Arial" w:cs="Arial"/>
          <w:sz w:val="20"/>
          <w:szCs w:val="20"/>
        </w:rPr>
        <w:t xml:space="preserve">pp. </w:t>
      </w:r>
      <w:r w:rsidRPr="005F270C">
        <w:rPr>
          <w:rFonts w:ascii="Arial" w:hAnsi="Arial" w:cs="Arial"/>
          <w:sz w:val="20"/>
          <w:szCs w:val="20"/>
        </w:rPr>
        <w:t>52–58.</w:t>
      </w:r>
    </w:p>
    <w:p w14:paraId="321FC477"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sz w:val="20"/>
          <w:szCs w:val="20"/>
        </w:rPr>
        <w:t>Buxton, M</w:t>
      </w:r>
      <w:r w:rsidR="00B030E1">
        <w:rPr>
          <w:rFonts w:ascii="Arial" w:hAnsi="Arial" w:cs="Arial"/>
          <w:sz w:val="20"/>
          <w:szCs w:val="20"/>
        </w:rPr>
        <w:t>.</w:t>
      </w:r>
      <w:r w:rsidRPr="005F270C">
        <w:rPr>
          <w:rFonts w:ascii="Arial" w:hAnsi="Arial" w:cs="Arial"/>
          <w:sz w:val="20"/>
          <w:szCs w:val="20"/>
        </w:rPr>
        <w:t xml:space="preserve"> (2016) Submission to Melbourne Planning Scheme Amendment C270 Independent Panel, </w:t>
      </w:r>
      <w:r w:rsidR="00B030E1">
        <w:rPr>
          <w:rFonts w:ascii="Arial" w:hAnsi="Arial" w:cs="Arial"/>
          <w:sz w:val="20"/>
          <w:szCs w:val="20"/>
        </w:rPr>
        <w:t>(</w:t>
      </w:r>
      <w:r w:rsidRPr="005F270C">
        <w:rPr>
          <w:rFonts w:ascii="Arial" w:hAnsi="Arial" w:cs="Arial"/>
          <w:sz w:val="20"/>
          <w:szCs w:val="20"/>
        </w:rPr>
        <w:t>Melbourne</w:t>
      </w:r>
      <w:r w:rsidR="00B030E1">
        <w:rPr>
          <w:rFonts w:ascii="Arial" w:hAnsi="Arial" w:cs="Arial"/>
          <w:sz w:val="20"/>
          <w:szCs w:val="20"/>
        </w:rPr>
        <w:t xml:space="preserve">, </w:t>
      </w:r>
      <w:r w:rsidR="00B030E1" w:rsidRPr="005F270C">
        <w:rPr>
          <w:rFonts w:ascii="Arial" w:hAnsi="Arial" w:cs="Arial"/>
          <w:sz w:val="20"/>
          <w:szCs w:val="20"/>
        </w:rPr>
        <w:t>RMIT University</w:t>
      </w:r>
      <w:r w:rsidR="00B030E1">
        <w:rPr>
          <w:rFonts w:ascii="Arial" w:hAnsi="Arial" w:cs="Arial"/>
          <w:sz w:val="20"/>
          <w:szCs w:val="20"/>
        </w:rPr>
        <w:t>)</w:t>
      </w:r>
      <w:r w:rsidRPr="005F270C">
        <w:rPr>
          <w:rFonts w:ascii="Arial" w:hAnsi="Arial" w:cs="Arial"/>
          <w:sz w:val="20"/>
          <w:szCs w:val="20"/>
        </w:rPr>
        <w:t>.</w:t>
      </w:r>
      <w:r w:rsidR="00B030E1">
        <w:rPr>
          <w:rFonts w:ascii="Arial" w:hAnsi="Arial" w:cs="Arial"/>
          <w:sz w:val="20"/>
          <w:szCs w:val="20"/>
        </w:rPr>
        <w:t xml:space="preserve"> </w:t>
      </w:r>
    </w:p>
    <w:p w14:paraId="07C0CEEB"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sz w:val="20"/>
          <w:szCs w:val="20"/>
        </w:rPr>
        <w:t>Dowling, J. Lahey</w:t>
      </w:r>
      <w:r w:rsidR="00B030E1">
        <w:rPr>
          <w:rFonts w:ascii="Arial" w:hAnsi="Arial" w:cs="Arial"/>
          <w:sz w:val="20"/>
          <w:szCs w:val="20"/>
        </w:rPr>
        <w:t>,</w:t>
      </w:r>
      <w:r w:rsidRPr="005F270C">
        <w:rPr>
          <w:rFonts w:ascii="Arial" w:hAnsi="Arial" w:cs="Arial"/>
          <w:sz w:val="20"/>
          <w:szCs w:val="20"/>
        </w:rPr>
        <w:t xml:space="preserve"> K</w:t>
      </w:r>
      <w:r w:rsidR="00B030E1">
        <w:rPr>
          <w:rFonts w:ascii="Arial" w:hAnsi="Arial" w:cs="Arial"/>
          <w:sz w:val="20"/>
          <w:szCs w:val="20"/>
        </w:rPr>
        <w:t>.</w:t>
      </w:r>
      <w:r w:rsidRPr="005F270C">
        <w:rPr>
          <w:rFonts w:ascii="Arial" w:hAnsi="Arial" w:cs="Arial"/>
          <w:sz w:val="20"/>
          <w:szCs w:val="20"/>
        </w:rPr>
        <w:t xml:space="preserve"> (2009) Brumby tackled on urban sprawl, </w:t>
      </w:r>
      <w:r w:rsidRPr="00B030E1">
        <w:rPr>
          <w:rFonts w:ascii="Arial" w:hAnsi="Arial" w:cs="Arial"/>
          <w:i/>
          <w:sz w:val="20"/>
          <w:szCs w:val="20"/>
        </w:rPr>
        <w:t>The Age</w:t>
      </w:r>
      <w:r w:rsidRPr="005F270C">
        <w:rPr>
          <w:rFonts w:ascii="Arial" w:hAnsi="Arial" w:cs="Arial"/>
          <w:sz w:val="20"/>
          <w:szCs w:val="20"/>
        </w:rPr>
        <w:t>, June 9, p 1.</w:t>
      </w:r>
    </w:p>
    <w:p w14:paraId="0ACEBE01"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sz w:val="20"/>
          <w:szCs w:val="20"/>
        </w:rPr>
        <w:t>Department of Environment, Land, Water and Planning</w:t>
      </w:r>
      <w:r w:rsidR="00B030E1">
        <w:rPr>
          <w:rFonts w:ascii="Arial" w:hAnsi="Arial" w:cs="Arial"/>
          <w:sz w:val="20"/>
          <w:szCs w:val="20"/>
        </w:rPr>
        <w:t>.</w:t>
      </w:r>
      <w:r w:rsidRPr="005F270C">
        <w:rPr>
          <w:rFonts w:ascii="Arial" w:hAnsi="Arial" w:cs="Arial"/>
          <w:sz w:val="20"/>
          <w:szCs w:val="20"/>
        </w:rPr>
        <w:t xml:space="preserve"> (DELWP) (2017), </w:t>
      </w:r>
      <w:r w:rsidRPr="005F270C">
        <w:rPr>
          <w:rFonts w:ascii="Arial" w:hAnsi="Arial" w:cs="Arial"/>
          <w:i/>
          <w:sz w:val="20"/>
          <w:szCs w:val="20"/>
        </w:rPr>
        <w:t>Plan Melbourne Refresh</w:t>
      </w:r>
      <w:r w:rsidR="00B030E1">
        <w:rPr>
          <w:rFonts w:ascii="Arial" w:hAnsi="Arial" w:cs="Arial"/>
          <w:sz w:val="20"/>
          <w:szCs w:val="20"/>
        </w:rPr>
        <w:t>,</w:t>
      </w:r>
      <w:r w:rsidRPr="005F270C">
        <w:rPr>
          <w:rFonts w:ascii="Arial" w:hAnsi="Arial" w:cs="Arial"/>
          <w:sz w:val="20"/>
          <w:szCs w:val="20"/>
        </w:rPr>
        <w:t xml:space="preserve"> </w:t>
      </w:r>
      <w:r w:rsidR="00B030E1">
        <w:rPr>
          <w:rFonts w:ascii="Arial" w:hAnsi="Arial" w:cs="Arial"/>
          <w:sz w:val="20"/>
          <w:szCs w:val="20"/>
        </w:rPr>
        <w:t>(</w:t>
      </w:r>
      <w:r w:rsidRPr="005F270C">
        <w:rPr>
          <w:rFonts w:ascii="Arial" w:hAnsi="Arial" w:cs="Arial"/>
          <w:sz w:val="20"/>
          <w:szCs w:val="20"/>
        </w:rPr>
        <w:t>Melbourne</w:t>
      </w:r>
      <w:r w:rsidR="00B030E1">
        <w:rPr>
          <w:rFonts w:ascii="Arial" w:hAnsi="Arial" w:cs="Arial"/>
          <w:sz w:val="20"/>
          <w:szCs w:val="20"/>
        </w:rPr>
        <w:t xml:space="preserve">, </w:t>
      </w:r>
      <w:r w:rsidR="00B030E1" w:rsidRPr="005F270C">
        <w:rPr>
          <w:rFonts w:ascii="Arial" w:hAnsi="Arial" w:cs="Arial"/>
          <w:sz w:val="20"/>
          <w:szCs w:val="20"/>
        </w:rPr>
        <w:t>Government of Victoria</w:t>
      </w:r>
      <w:r w:rsidR="00B030E1">
        <w:rPr>
          <w:rFonts w:ascii="Arial" w:hAnsi="Arial" w:cs="Arial"/>
          <w:sz w:val="20"/>
          <w:szCs w:val="20"/>
        </w:rPr>
        <w:t>)</w:t>
      </w:r>
      <w:r w:rsidRPr="005F270C">
        <w:rPr>
          <w:rFonts w:ascii="Arial" w:hAnsi="Arial" w:cs="Arial"/>
          <w:sz w:val="20"/>
          <w:szCs w:val="20"/>
        </w:rPr>
        <w:t xml:space="preserve">. </w:t>
      </w:r>
    </w:p>
    <w:p w14:paraId="385BDB6B" w14:textId="77777777" w:rsidR="00BE462B" w:rsidRPr="005F270C" w:rsidRDefault="00BE462B" w:rsidP="00F203AC">
      <w:pPr>
        <w:autoSpaceDE w:val="0"/>
        <w:autoSpaceDN w:val="0"/>
        <w:adjustRightInd w:val="0"/>
        <w:spacing w:after="0" w:line="240" w:lineRule="auto"/>
        <w:jc w:val="both"/>
        <w:rPr>
          <w:rFonts w:ascii="Arial" w:hAnsi="Arial" w:cs="Arial"/>
          <w:i/>
          <w:iCs/>
          <w:sz w:val="20"/>
          <w:szCs w:val="20"/>
        </w:rPr>
      </w:pPr>
      <w:r w:rsidRPr="005F270C">
        <w:rPr>
          <w:rFonts w:ascii="Arial" w:hAnsi="Arial" w:cs="Arial"/>
          <w:sz w:val="20"/>
          <w:szCs w:val="20"/>
        </w:rPr>
        <w:t>Department of Infrastructure</w:t>
      </w:r>
      <w:r w:rsidR="00B030E1">
        <w:rPr>
          <w:rFonts w:ascii="Arial" w:hAnsi="Arial" w:cs="Arial"/>
          <w:sz w:val="20"/>
          <w:szCs w:val="20"/>
        </w:rPr>
        <w:t>.</w:t>
      </w:r>
      <w:r w:rsidRPr="005F270C">
        <w:rPr>
          <w:rFonts w:ascii="Arial" w:hAnsi="Arial" w:cs="Arial"/>
          <w:sz w:val="20"/>
          <w:szCs w:val="20"/>
        </w:rPr>
        <w:t xml:space="preserve"> (DoI) (1995) </w:t>
      </w:r>
      <w:r w:rsidRPr="005F270C">
        <w:rPr>
          <w:rFonts w:ascii="Arial" w:hAnsi="Arial" w:cs="Arial"/>
          <w:i/>
          <w:iCs/>
          <w:sz w:val="20"/>
          <w:szCs w:val="20"/>
        </w:rPr>
        <w:t>Living Suburbs. A policy for metropolitan Melbourne</w:t>
      </w:r>
    </w:p>
    <w:p w14:paraId="36FD7469"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i/>
          <w:iCs/>
          <w:sz w:val="20"/>
          <w:szCs w:val="20"/>
        </w:rPr>
        <w:t>into the 21st century</w:t>
      </w:r>
      <w:r w:rsidR="00B030E1">
        <w:rPr>
          <w:rFonts w:ascii="Arial" w:hAnsi="Arial" w:cs="Arial"/>
          <w:sz w:val="20"/>
          <w:szCs w:val="20"/>
        </w:rPr>
        <w:t>, (</w:t>
      </w:r>
      <w:r w:rsidRPr="005F270C">
        <w:rPr>
          <w:rFonts w:ascii="Arial" w:hAnsi="Arial" w:cs="Arial"/>
          <w:sz w:val="20"/>
          <w:szCs w:val="20"/>
        </w:rPr>
        <w:t>Melbourne</w:t>
      </w:r>
      <w:r w:rsidR="00B030E1">
        <w:rPr>
          <w:rFonts w:ascii="Arial" w:hAnsi="Arial" w:cs="Arial"/>
          <w:sz w:val="20"/>
          <w:szCs w:val="20"/>
        </w:rPr>
        <w:t xml:space="preserve">, </w:t>
      </w:r>
      <w:r w:rsidR="00B030E1" w:rsidRPr="005F270C">
        <w:rPr>
          <w:rFonts w:ascii="Arial" w:hAnsi="Arial" w:cs="Arial"/>
          <w:sz w:val="20"/>
          <w:szCs w:val="20"/>
        </w:rPr>
        <w:t>Government of Victoria</w:t>
      </w:r>
      <w:r w:rsidR="00B030E1">
        <w:rPr>
          <w:rFonts w:ascii="Arial" w:hAnsi="Arial" w:cs="Arial"/>
          <w:sz w:val="20"/>
          <w:szCs w:val="20"/>
        </w:rPr>
        <w:t>)</w:t>
      </w:r>
      <w:r w:rsidRPr="005F270C">
        <w:rPr>
          <w:rFonts w:ascii="Arial" w:hAnsi="Arial" w:cs="Arial"/>
          <w:sz w:val="20"/>
          <w:szCs w:val="20"/>
        </w:rPr>
        <w:t>.</w:t>
      </w:r>
    </w:p>
    <w:p w14:paraId="3467A022" w14:textId="77777777" w:rsidR="00BE462B" w:rsidRPr="00B030E1" w:rsidRDefault="00BE462B" w:rsidP="00F203AC">
      <w:pPr>
        <w:autoSpaceDE w:val="0"/>
        <w:autoSpaceDN w:val="0"/>
        <w:adjustRightInd w:val="0"/>
        <w:spacing w:after="0" w:line="240" w:lineRule="auto"/>
        <w:jc w:val="both"/>
        <w:rPr>
          <w:rFonts w:ascii="Arial" w:hAnsi="Arial" w:cs="Arial"/>
          <w:iCs/>
          <w:sz w:val="20"/>
          <w:szCs w:val="20"/>
        </w:rPr>
      </w:pPr>
      <w:r w:rsidRPr="005F270C">
        <w:rPr>
          <w:rFonts w:ascii="Arial" w:hAnsi="Arial" w:cs="Arial"/>
          <w:sz w:val="20"/>
          <w:szCs w:val="20"/>
        </w:rPr>
        <w:t>Department of Infrastructure</w:t>
      </w:r>
      <w:r w:rsidR="00B030E1">
        <w:rPr>
          <w:rFonts w:ascii="Arial" w:hAnsi="Arial" w:cs="Arial"/>
          <w:sz w:val="20"/>
          <w:szCs w:val="20"/>
        </w:rPr>
        <w:t>.</w:t>
      </w:r>
      <w:r w:rsidRPr="005F270C">
        <w:rPr>
          <w:rFonts w:ascii="Arial" w:hAnsi="Arial" w:cs="Arial"/>
          <w:sz w:val="20"/>
          <w:szCs w:val="20"/>
        </w:rPr>
        <w:t xml:space="preserve"> (DoI) (2002) </w:t>
      </w:r>
      <w:r w:rsidRPr="005F270C">
        <w:rPr>
          <w:rFonts w:ascii="Arial" w:hAnsi="Arial" w:cs="Arial"/>
          <w:i/>
          <w:iCs/>
          <w:sz w:val="20"/>
          <w:szCs w:val="20"/>
        </w:rPr>
        <w:t>Melbourne 2030: Planning for Sustainable</w:t>
      </w:r>
      <w:r w:rsidR="00B030E1">
        <w:rPr>
          <w:rFonts w:ascii="Arial" w:hAnsi="Arial" w:cs="Arial"/>
          <w:i/>
          <w:iCs/>
          <w:sz w:val="20"/>
          <w:szCs w:val="20"/>
        </w:rPr>
        <w:t xml:space="preserve"> Growth, </w:t>
      </w:r>
      <w:r w:rsidR="00B030E1">
        <w:rPr>
          <w:rFonts w:ascii="Arial" w:hAnsi="Arial" w:cs="Arial"/>
          <w:iCs/>
          <w:sz w:val="20"/>
          <w:szCs w:val="20"/>
        </w:rPr>
        <w:t>(Melbourne, Government of Victoria).</w:t>
      </w:r>
    </w:p>
    <w:p w14:paraId="067716D7" w14:textId="77777777" w:rsidR="00BE462B" w:rsidRPr="005F270C" w:rsidRDefault="00BE462B" w:rsidP="00F203AC">
      <w:pPr>
        <w:spacing w:after="0" w:line="240" w:lineRule="auto"/>
        <w:jc w:val="both"/>
        <w:rPr>
          <w:rFonts w:ascii="Arial" w:hAnsi="Arial" w:cs="Arial"/>
          <w:bCs/>
          <w:sz w:val="20"/>
          <w:szCs w:val="20"/>
        </w:rPr>
      </w:pPr>
      <w:r w:rsidRPr="005F270C">
        <w:rPr>
          <w:rFonts w:ascii="Arial" w:hAnsi="Arial" w:cs="Arial"/>
          <w:bCs/>
          <w:sz w:val="20"/>
          <w:szCs w:val="20"/>
        </w:rPr>
        <w:t>Healey</w:t>
      </w:r>
      <w:r w:rsidR="00B030E1">
        <w:rPr>
          <w:rFonts w:ascii="Arial" w:hAnsi="Arial" w:cs="Arial"/>
          <w:bCs/>
          <w:sz w:val="20"/>
          <w:szCs w:val="20"/>
        </w:rPr>
        <w:t>, P.</w:t>
      </w:r>
      <w:r w:rsidRPr="005F270C">
        <w:rPr>
          <w:rFonts w:ascii="Arial" w:hAnsi="Arial" w:cs="Arial"/>
          <w:bCs/>
          <w:sz w:val="20"/>
          <w:szCs w:val="20"/>
        </w:rPr>
        <w:t xml:space="preserve"> Khakee</w:t>
      </w:r>
      <w:r w:rsidR="00B030E1">
        <w:rPr>
          <w:rFonts w:ascii="Arial" w:hAnsi="Arial" w:cs="Arial"/>
          <w:bCs/>
          <w:sz w:val="20"/>
          <w:szCs w:val="20"/>
        </w:rPr>
        <w:t>.</w:t>
      </w:r>
      <w:r w:rsidRPr="005F270C">
        <w:rPr>
          <w:rFonts w:ascii="Arial" w:hAnsi="Arial" w:cs="Arial"/>
          <w:bCs/>
          <w:sz w:val="20"/>
          <w:szCs w:val="20"/>
        </w:rPr>
        <w:t xml:space="preserve"> Motte</w:t>
      </w:r>
      <w:r w:rsidR="00B030E1">
        <w:rPr>
          <w:rFonts w:ascii="Arial" w:hAnsi="Arial" w:cs="Arial"/>
          <w:bCs/>
          <w:sz w:val="20"/>
          <w:szCs w:val="20"/>
        </w:rPr>
        <w:t>, A.</w:t>
      </w:r>
      <w:r w:rsidRPr="005F270C">
        <w:rPr>
          <w:rFonts w:ascii="Arial" w:hAnsi="Arial" w:cs="Arial"/>
          <w:bCs/>
          <w:sz w:val="20"/>
          <w:szCs w:val="20"/>
        </w:rPr>
        <w:t xml:space="preserve"> Needham</w:t>
      </w:r>
      <w:r w:rsidR="00B030E1">
        <w:rPr>
          <w:rFonts w:ascii="Arial" w:hAnsi="Arial" w:cs="Arial"/>
          <w:bCs/>
          <w:sz w:val="20"/>
          <w:szCs w:val="20"/>
        </w:rPr>
        <w:t>,</w:t>
      </w:r>
      <w:r w:rsidRPr="005F270C">
        <w:rPr>
          <w:rFonts w:ascii="Arial" w:hAnsi="Arial" w:cs="Arial"/>
          <w:bCs/>
          <w:sz w:val="20"/>
          <w:szCs w:val="20"/>
        </w:rPr>
        <w:t xml:space="preserve"> B</w:t>
      </w:r>
      <w:r w:rsidR="00B030E1">
        <w:rPr>
          <w:rFonts w:ascii="Arial" w:hAnsi="Arial" w:cs="Arial"/>
          <w:bCs/>
          <w:sz w:val="20"/>
          <w:szCs w:val="20"/>
        </w:rPr>
        <w:t>.</w:t>
      </w:r>
      <w:r w:rsidRPr="005F270C">
        <w:rPr>
          <w:rFonts w:ascii="Arial" w:hAnsi="Arial" w:cs="Arial"/>
          <w:bCs/>
          <w:sz w:val="20"/>
          <w:szCs w:val="20"/>
        </w:rPr>
        <w:t xml:space="preserve"> (1997) </w:t>
      </w:r>
      <w:r w:rsidRPr="005F270C">
        <w:rPr>
          <w:rFonts w:ascii="Arial" w:hAnsi="Arial" w:cs="Arial"/>
          <w:bCs/>
          <w:i/>
          <w:sz w:val="20"/>
          <w:szCs w:val="20"/>
        </w:rPr>
        <w:t xml:space="preserve">Making Strategic Spatial Plans, </w:t>
      </w:r>
      <w:r w:rsidR="00B030E1">
        <w:rPr>
          <w:rFonts w:ascii="Arial" w:hAnsi="Arial" w:cs="Arial"/>
          <w:bCs/>
          <w:sz w:val="20"/>
          <w:szCs w:val="20"/>
        </w:rPr>
        <w:t>(</w:t>
      </w:r>
      <w:r w:rsidRPr="005F270C">
        <w:rPr>
          <w:rFonts w:ascii="Arial" w:hAnsi="Arial" w:cs="Arial"/>
          <w:bCs/>
          <w:sz w:val="20"/>
          <w:szCs w:val="20"/>
        </w:rPr>
        <w:t xml:space="preserve">London, </w:t>
      </w:r>
      <w:r w:rsidR="00B030E1" w:rsidRPr="005F270C">
        <w:rPr>
          <w:rFonts w:ascii="Arial" w:hAnsi="Arial" w:cs="Arial"/>
          <w:bCs/>
          <w:sz w:val="20"/>
          <w:szCs w:val="20"/>
        </w:rPr>
        <w:t>UCL Press</w:t>
      </w:r>
      <w:r w:rsidR="00B030E1">
        <w:rPr>
          <w:rFonts w:ascii="Arial" w:hAnsi="Arial" w:cs="Arial"/>
          <w:bCs/>
          <w:sz w:val="20"/>
          <w:szCs w:val="20"/>
        </w:rPr>
        <w:t>)</w:t>
      </w:r>
      <w:r w:rsidRPr="005F270C">
        <w:rPr>
          <w:rFonts w:ascii="Arial" w:hAnsi="Arial" w:cs="Arial"/>
          <w:bCs/>
          <w:sz w:val="20"/>
          <w:szCs w:val="20"/>
        </w:rPr>
        <w:t>.</w:t>
      </w:r>
    </w:p>
    <w:p w14:paraId="21B3EB75"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sz w:val="20"/>
          <w:szCs w:val="20"/>
        </w:rPr>
        <w:t>Department of Transport, Planning and Local Infrastructure</w:t>
      </w:r>
      <w:r w:rsidR="00B030E1">
        <w:rPr>
          <w:rFonts w:ascii="Arial" w:hAnsi="Arial" w:cs="Arial"/>
          <w:sz w:val="20"/>
          <w:szCs w:val="20"/>
        </w:rPr>
        <w:t>.</w:t>
      </w:r>
      <w:r w:rsidRPr="005F270C">
        <w:rPr>
          <w:rFonts w:ascii="Arial" w:hAnsi="Arial" w:cs="Arial"/>
          <w:sz w:val="20"/>
          <w:szCs w:val="20"/>
        </w:rPr>
        <w:t xml:space="preserve"> (DTPLI) </w:t>
      </w:r>
      <w:r w:rsidR="00B030E1">
        <w:rPr>
          <w:rFonts w:ascii="Arial" w:hAnsi="Arial" w:cs="Arial"/>
          <w:sz w:val="20"/>
          <w:szCs w:val="20"/>
        </w:rPr>
        <w:t>(</w:t>
      </w:r>
      <w:r w:rsidRPr="005F270C">
        <w:rPr>
          <w:rFonts w:ascii="Arial" w:hAnsi="Arial" w:cs="Arial"/>
          <w:sz w:val="20"/>
          <w:szCs w:val="20"/>
        </w:rPr>
        <w:t>2013</w:t>
      </w:r>
      <w:r w:rsidR="00B030E1">
        <w:rPr>
          <w:rFonts w:ascii="Arial" w:hAnsi="Arial" w:cs="Arial"/>
          <w:sz w:val="20"/>
          <w:szCs w:val="20"/>
        </w:rPr>
        <w:t>)</w:t>
      </w:r>
      <w:r w:rsidRPr="005F270C">
        <w:rPr>
          <w:rFonts w:ascii="Arial" w:hAnsi="Arial" w:cs="Arial"/>
          <w:sz w:val="20"/>
          <w:szCs w:val="20"/>
        </w:rPr>
        <w:t xml:space="preserve"> </w:t>
      </w:r>
      <w:r w:rsidRPr="005F270C">
        <w:rPr>
          <w:rFonts w:ascii="Arial" w:hAnsi="Arial" w:cs="Arial"/>
          <w:i/>
          <w:sz w:val="20"/>
          <w:szCs w:val="20"/>
        </w:rPr>
        <w:t xml:space="preserve">VicSmart, A New Planning Permit Process for Victoria, Consultation Draft, </w:t>
      </w:r>
      <w:r w:rsidR="00B030E1">
        <w:rPr>
          <w:rFonts w:ascii="Arial" w:hAnsi="Arial" w:cs="Arial"/>
          <w:i/>
          <w:sz w:val="20"/>
          <w:szCs w:val="20"/>
        </w:rPr>
        <w:t>(</w:t>
      </w:r>
      <w:r w:rsidR="00B030E1">
        <w:rPr>
          <w:rFonts w:ascii="Arial" w:hAnsi="Arial" w:cs="Arial"/>
          <w:sz w:val="20"/>
          <w:szCs w:val="20"/>
        </w:rPr>
        <w:t>Melbourne,</w:t>
      </w:r>
      <w:r w:rsidRPr="005F270C">
        <w:rPr>
          <w:rFonts w:ascii="Arial" w:hAnsi="Arial" w:cs="Arial"/>
          <w:sz w:val="20"/>
          <w:szCs w:val="20"/>
        </w:rPr>
        <w:t xml:space="preserve"> Victorian Government</w:t>
      </w:r>
      <w:r w:rsidR="00B030E1">
        <w:rPr>
          <w:rFonts w:ascii="Arial" w:hAnsi="Arial" w:cs="Arial"/>
          <w:sz w:val="20"/>
          <w:szCs w:val="20"/>
        </w:rPr>
        <w:t>)</w:t>
      </w:r>
      <w:r w:rsidRPr="005F270C">
        <w:rPr>
          <w:rFonts w:ascii="Arial" w:hAnsi="Arial" w:cs="Arial"/>
          <w:sz w:val="20"/>
          <w:szCs w:val="20"/>
        </w:rPr>
        <w:t>.</w:t>
      </w:r>
    </w:p>
    <w:p w14:paraId="0E5CA792"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sz w:val="20"/>
          <w:szCs w:val="20"/>
        </w:rPr>
        <w:t>England, P</w:t>
      </w:r>
      <w:r w:rsidR="00B030E1">
        <w:rPr>
          <w:rFonts w:ascii="Arial" w:hAnsi="Arial" w:cs="Arial"/>
          <w:sz w:val="20"/>
          <w:szCs w:val="20"/>
        </w:rPr>
        <w:t xml:space="preserve">. (2010) </w:t>
      </w:r>
      <w:r w:rsidRPr="005F270C">
        <w:rPr>
          <w:rFonts w:ascii="Arial" w:hAnsi="Arial" w:cs="Arial"/>
          <w:sz w:val="20"/>
          <w:szCs w:val="20"/>
        </w:rPr>
        <w:t xml:space="preserve">From revolution to evolution: Two decades of planning in Queensland, </w:t>
      </w:r>
      <w:r w:rsidRPr="005F270C">
        <w:rPr>
          <w:rFonts w:ascii="Arial" w:hAnsi="Arial" w:cs="Arial"/>
          <w:i/>
          <w:sz w:val="20"/>
          <w:szCs w:val="20"/>
        </w:rPr>
        <w:t>Environment and Planning Law Journal</w:t>
      </w:r>
      <w:r w:rsidRPr="005F270C">
        <w:rPr>
          <w:rFonts w:ascii="Arial" w:hAnsi="Arial" w:cs="Arial"/>
          <w:sz w:val="20"/>
          <w:szCs w:val="20"/>
        </w:rPr>
        <w:t>, 27 EPLJ 53.</w:t>
      </w:r>
    </w:p>
    <w:p w14:paraId="13954B22" w14:textId="77777777" w:rsidR="00BE462B" w:rsidRPr="005F270C" w:rsidRDefault="00BE462B" w:rsidP="00F203AC">
      <w:pPr>
        <w:autoSpaceDE w:val="0"/>
        <w:autoSpaceDN w:val="0"/>
        <w:adjustRightInd w:val="0"/>
        <w:spacing w:after="0" w:line="240" w:lineRule="auto"/>
        <w:jc w:val="both"/>
        <w:rPr>
          <w:rFonts w:ascii="Arial" w:hAnsi="Arial" w:cs="Arial"/>
          <w:i/>
          <w:iCs/>
          <w:sz w:val="20"/>
          <w:szCs w:val="20"/>
        </w:rPr>
      </w:pPr>
      <w:r w:rsidRPr="005F270C">
        <w:rPr>
          <w:rFonts w:ascii="Arial" w:hAnsi="Arial" w:cs="Arial"/>
          <w:sz w:val="20"/>
          <w:szCs w:val="20"/>
        </w:rPr>
        <w:t>Goodman</w:t>
      </w:r>
      <w:r w:rsidR="00B030E1">
        <w:rPr>
          <w:rFonts w:ascii="Arial" w:hAnsi="Arial" w:cs="Arial"/>
          <w:sz w:val="20"/>
          <w:szCs w:val="20"/>
        </w:rPr>
        <w:t>, R.</w:t>
      </w:r>
      <w:r w:rsidRPr="005F270C">
        <w:rPr>
          <w:rFonts w:ascii="Arial" w:hAnsi="Arial" w:cs="Arial"/>
          <w:sz w:val="20"/>
          <w:szCs w:val="20"/>
        </w:rPr>
        <w:t xml:space="preserve"> Moloney</w:t>
      </w:r>
      <w:r w:rsidR="00B030E1">
        <w:rPr>
          <w:rFonts w:ascii="Arial" w:hAnsi="Arial" w:cs="Arial"/>
          <w:sz w:val="20"/>
          <w:szCs w:val="20"/>
        </w:rPr>
        <w:t>,</w:t>
      </w:r>
      <w:r w:rsidRPr="005F270C">
        <w:rPr>
          <w:rFonts w:ascii="Arial" w:hAnsi="Arial" w:cs="Arial"/>
          <w:sz w:val="20"/>
          <w:szCs w:val="20"/>
        </w:rPr>
        <w:t xml:space="preserve"> S</w:t>
      </w:r>
      <w:r w:rsidR="00B030E1">
        <w:rPr>
          <w:rFonts w:ascii="Arial" w:hAnsi="Arial" w:cs="Arial"/>
          <w:sz w:val="20"/>
          <w:szCs w:val="20"/>
        </w:rPr>
        <w:t>.</w:t>
      </w:r>
      <w:r w:rsidRPr="005F270C">
        <w:rPr>
          <w:rFonts w:ascii="Arial" w:hAnsi="Arial" w:cs="Arial"/>
          <w:sz w:val="20"/>
          <w:szCs w:val="20"/>
        </w:rPr>
        <w:t xml:space="preserve"> (2004) Activity centre planning in Melbourne revisited. </w:t>
      </w:r>
      <w:r w:rsidRPr="005F270C">
        <w:rPr>
          <w:rFonts w:ascii="Arial" w:hAnsi="Arial" w:cs="Arial"/>
          <w:i/>
          <w:iCs/>
          <w:sz w:val="20"/>
          <w:szCs w:val="20"/>
        </w:rPr>
        <w:t>Australian</w:t>
      </w:r>
    </w:p>
    <w:p w14:paraId="61700894"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i/>
          <w:iCs/>
          <w:sz w:val="20"/>
          <w:szCs w:val="20"/>
        </w:rPr>
        <w:t xml:space="preserve">Planner </w:t>
      </w:r>
      <w:r w:rsidRPr="005F270C">
        <w:rPr>
          <w:rFonts w:ascii="Arial" w:hAnsi="Arial" w:cs="Arial"/>
          <w:bCs/>
          <w:sz w:val="20"/>
          <w:szCs w:val="20"/>
        </w:rPr>
        <w:t>41</w:t>
      </w:r>
      <w:r w:rsidRPr="005F270C">
        <w:rPr>
          <w:rFonts w:ascii="Arial" w:hAnsi="Arial" w:cs="Arial"/>
          <w:sz w:val="20"/>
          <w:szCs w:val="20"/>
        </w:rPr>
        <w:t xml:space="preserve">(2), </w:t>
      </w:r>
      <w:r w:rsidR="00B030E1">
        <w:rPr>
          <w:rFonts w:ascii="Arial" w:hAnsi="Arial" w:cs="Arial"/>
          <w:sz w:val="20"/>
          <w:szCs w:val="20"/>
        </w:rPr>
        <w:t xml:space="preserve">pp. </w:t>
      </w:r>
      <w:r w:rsidRPr="005F270C">
        <w:rPr>
          <w:rFonts w:ascii="Arial" w:hAnsi="Arial" w:cs="Arial"/>
          <w:sz w:val="20"/>
          <w:szCs w:val="20"/>
        </w:rPr>
        <w:t>47–54.</w:t>
      </w:r>
    </w:p>
    <w:p w14:paraId="2205FC92"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sz w:val="20"/>
          <w:szCs w:val="20"/>
        </w:rPr>
        <w:t>Government of Victoria</w:t>
      </w:r>
      <w:r w:rsidR="00B030E1">
        <w:rPr>
          <w:rFonts w:ascii="Arial" w:hAnsi="Arial" w:cs="Arial"/>
          <w:sz w:val="20"/>
          <w:szCs w:val="20"/>
        </w:rPr>
        <w:t>.</w:t>
      </w:r>
      <w:r w:rsidRPr="005F270C">
        <w:rPr>
          <w:rFonts w:ascii="Arial" w:hAnsi="Arial" w:cs="Arial"/>
          <w:sz w:val="20"/>
          <w:szCs w:val="20"/>
        </w:rPr>
        <w:t xml:space="preserve"> (1987) </w:t>
      </w:r>
      <w:r w:rsidRPr="005F270C">
        <w:rPr>
          <w:rFonts w:ascii="Arial" w:hAnsi="Arial" w:cs="Arial"/>
          <w:i/>
          <w:sz w:val="20"/>
          <w:szCs w:val="20"/>
        </w:rPr>
        <w:t>Shaping Melbourne's Future - The Government's Metropolitan Policy</w:t>
      </w:r>
      <w:r w:rsidRPr="005F270C">
        <w:rPr>
          <w:rFonts w:ascii="Arial" w:hAnsi="Arial" w:cs="Arial"/>
          <w:sz w:val="20"/>
          <w:szCs w:val="20"/>
        </w:rPr>
        <w:t xml:space="preserve">, </w:t>
      </w:r>
      <w:r w:rsidR="00B030E1">
        <w:rPr>
          <w:rFonts w:ascii="Arial" w:hAnsi="Arial" w:cs="Arial"/>
          <w:sz w:val="20"/>
          <w:szCs w:val="20"/>
        </w:rPr>
        <w:t>(</w:t>
      </w:r>
      <w:r w:rsidRPr="005F270C">
        <w:rPr>
          <w:rFonts w:ascii="Arial" w:hAnsi="Arial" w:cs="Arial"/>
          <w:sz w:val="20"/>
          <w:szCs w:val="20"/>
        </w:rPr>
        <w:t>Melbourne, Government of Victoria</w:t>
      </w:r>
      <w:r w:rsidR="00B030E1">
        <w:rPr>
          <w:rFonts w:ascii="Arial" w:hAnsi="Arial" w:cs="Arial"/>
          <w:sz w:val="20"/>
          <w:szCs w:val="20"/>
        </w:rPr>
        <w:t>)</w:t>
      </w:r>
      <w:r w:rsidRPr="005F270C">
        <w:rPr>
          <w:rFonts w:ascii="Arial" w:hAnsi="Arial" w:cs="Arial"/>
          <w:sz w:val="20"/>
          <w:szCs w:val="20"/>
        </w:rPr>
        <w:t>.</w:t>
      </w:r>
    </w:p>
    <w:p w14:paraId="5AB7289B" w14:textId="77777777" w:rsidR="00BE462B" w:rsidRPr="005F270C" w:rsidRDefault="00BE462B" w:rsidP="00F203AC">
      <w:pPr>
        <w:spacing w:after="0" w:line="240" w:lineRule="auto"/>
        <w:ind w:left="720" w:hanging="720"/>
        <w:jc w:val="both"/>
        <w:rPr>
          <w:rFonts w:ascii="Arial" w:hAnsi="Arial" w:cs="Arial"/>
          <w:sz w:val="20"/>
          <w:szCs w:val="20"/>
        </w:rPr>
      </w:pPr>
      <w:r w:rsidRPr="005F270C">
        <w:rPr>
          <w:rFonts w:ascii="Arial" w:hAnsi="Arial" w:cs="Arial"/>
          <w:sz w:val="20"/>
          <w:szCs w:val="20"/>
        </w:rPr>
        <w:t>Government of Victoria</w:t>
      </w:r>
      <w:r w:rsidR="00B030E1">
        <w:rPr>
          <w:rFonts w:ascii="Arial" w:hAnsi="Arial" w:cs="Arial"/>
          <w:sz w:val="20"/>
          <w:szCs w:val="20"/>
        </w:rPr>
        <w:t>.</w:t>
      </w:r>
      <w:r w:rsidRPr="005F270C">
        <w:rPr>
          <w:rFonts w:ascii="Arial" w:hAnsi="Arial" w:cs="Arial"/>
          <w:sz w:val="20"/>
          <w:szCs w:val="20"/>
        </w:rPr>
        <w:t xml:space="preserve"> (1995) </w:t>
      </w:r>
      <w:r w:rsidRPr="005F270C">
        <w:rPr>
          <w:rFonts w:ascii="Arial" w:hAnsi="Arial" w:cs="Arial"/>
          <w:i/>
          <w:sz w:val="20"/>
          <w:szCs w:val="20"/>
        </w:rPr>
        <w:t>Living Suburbs,</w:t>
      </w:r>
      <w:r w:rsidRPr="005F270C">
        <w:rPr>
          <w:rFonts w:ascii="Arial" w:hAnsi="Arial" w:cs="Arial"/>
          <w:sz w:val="20"/>
          <w:szCs w:val="20"/>
        </w:rPr>
        <w:t xml:space="preserve"> </w:t>
      </w:r>
      <w:r w:rsidR="00B030E1">
        <w:rPr>
          <w:rFonts w:ascii="Arial" w:hAnsi="Arial" w:cs="Arial"/>
          <w:sz w:val="20"/>
          <w:szCs w:val="20"/>
        </w:rPr>
        <w:t xml:space="preserve">(Melbourne, </w:t>
      </w:r>
      <w:r w:rsidRPr="005F270C">
        <w:rPr>
          <w:rFonts w:ascii="Arial" w:hAnsi="Arial" w:cs="Arial"/>
          <w:sz w:val="20"/>
          <w:szCs w:val="20"/>
        </w:rPr>
        <w:t>Government of Victoria</w:t>
      </w:r>
      <w:r w:rsidR="00B030E1">
        <w:rPr>
          <w:rFonts w:ascii="Arial" w:hAnsi="Arial" w:cs="Arial"/>
          <w:sz w:val="20"/>
          <w:szCs w:val="20"/>
        </w:rPr>
        <w:t>)</w:t>
      </w:r>
      <w:r w:rsidRPr="005F270C">
        <w:rPr>
          <w:rFonts w:ascii="Arial" w:hAnsi="Arial" w:cs="Arial"/>
          <w:sz w:val="20"/>
          <w:szCs w:val="20"/>
        </w:rPr>
        <w:t>.</w:t>
      </w:r>
    </w:p>
    <w:p w14:paraId="3F9DABA8"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sz w:val="20"/>
          <w:szCs w:val="20"/>
        </w:rPr>
        <w:t>Helen Day Urbanism</w:t>
      </w:r>
      <w:r w:rsidR="00B030E1">
        <w:rPr>
          <w:rFonts w:ascii="Arial" w:hAnsi="Arial" w:cs="Arial"/>
          <w:sz w:val="20"/>
          <w:szCs w:val="20"/>
        </w:rPr>
        <w:t>.</w:t>
      </w:r>
      <w:r w:rsidRPr="005F270C">
        <w:rPr>
          <w:rFonts w:ascii="Arial" w:hAnsi="Arial" w:cs="Arial"/>
          <w:sz w:val="20"/>
          <w:szCs w:val="20"/>
        </w:rPr>
        <w:t xml:space="preserve"> (2016) Comparative Planning Controls Research, Inter-city Research, </w:t>
      </w:r>
      <w:r w:rsidRPr="00B030E1">
        <w:rPr>
          <w:rFonts w:ascii="Arial" w:hAnsi="Arial" w:cs="Arial"/>
          <w:i/>
          <w:sz w:val="20"/>
          <w:szCs w:val="20"/>
        </w:rPr>
        <w:t xml:space="preserve">Central City Built </w:t>
      </w:r>
      <w:r w:rsidR="00B030E1">
        <w:rPr>
          <w:rFonts w:ascii="Arial" w:hAnsi="Arial" w:cs="Arial"/>
          <w:i/>
          <w:sz w:val="20"/>
          <w:szCs w:val="20"/>
        </w:rPr>
        <w:t>F</w:t>
      </w:r>
      <w:r w:rsidRPr="00B030E1">
        <w:rPr>
          <w:rFonts w:ascii="Arial" w:hAnsi="Arial" w:cs="Arial"/>
          <w:i/>
          <w:sz w:val="20"/>
          <w:szCs w:val="20"/>
        </w:rPr>
        <w:t>orm Review</w:t>
      </w:r>
      <w:r w:rsidRPr="005F270C">
        <w:rPr>
          <w:rFonts w:ascii="Arial" w:hAnsi="Arial" w:cs="Arial"/>
          <w:sz w:val="20"/>
          <w:szCs w:val="20"/>
        </w:rPr>
        <w:t xml:space="preserve">, Melbourne. </w:t>
      </w:r>
    </w:p>
    <w:p w14:paraId="1ECF34B5"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sz w:val="20"/>
          <w:szCs w:val="20"/>
        </w:rPr>
        <w:t>Maclellan</w:t>
      </w:r>
      <w:r w:rsidR="00B030E1">
        <w:rPr>
          <w:rFonts w:ascii="Arial" w:hAnsi="Arial" w:cs="Arial"/>
          <w:sz w:val="20"/>
          <w:szCs w:val="20"/>
        </w:rPr>
        <w:t>,</w:t>
      </w:r>
      <w:r w:rsidRPr="005F270C">
        <w:rPr>
          <w:rFonts w:ascii="Arial" w:hAnsi="Arial" w:cs="Arial"/>
          <w:sz w:val="20"/>
          <w:szCs w:val="20"/>
        </w:rPr>
        <w:t xml:space="preserve"> R</w:t>
      </w:r>
      <w:r w:rsidR="00B030E1">
        <w:rPr>
          <w:rFonts w:ascii="Arial" w:hAnsi="Arial" w:cs="Arial"/>
          <w:sz w:val="20"/>
          <w:szCs w:val="20"/>
        </w:rPr>
        <w:t>.</w:t>
      </w:r>
      <w:r w:rsidRPr="005F270C">
        <w:rPr>
          <w:rFonts w:ascii="Arial" w:hAnsi="Arial" w:cs="Arial"/>
          <w:sz w:val="20"/>
          <w:szCs w:val="20"/>
        </w:rPr>
        <w:t xml:space="preserve"> (1993) </w:t>
      </w:r>
      <w:r w:rsidRPr="005F270C">
        <w:rPr>
          <w:rFonts w:ascii="Arial" w:hAnsi="Arial" w:cs="Arial"/>
          <w:i/>
          <w:sz w:val="20"/>
          <w:szCs w:val="20"/>
        </w:rPr>
        <w:t xml:space="preserve">Planning Better Future for Victorians: New Directions for Development and Economic Growth. </w:t>
      </w:r>
      <w:r w:rsidR="00B030E1">
        <w:rPr>
          <w:rFonts w:ascii="Arial" w:hAnsi="Arial" w:cs="Arial"/>
          <w:sz w:val="20"/>
          <w:szCs w:val="20"/>
        </w:rPr>
        <w:t xml:space="preserve">(Melbourne, </w:t>
      </w:r>
      <w:r w:rsidRPr="005F270C">
        <w:rPr>
          <w:rFonts w:ascii="Arial" w:hAnsi="Arial" w:cs="Arial"/>
          <w:sz w:val="20"/>
          <w:szCs w:val="20"/>
        </w:rPr>
        <w:t>Department of Pl</w:t>
      </w:r>
      <w:r w:rsidR="00B030E1">
        <w:rPr>
          <w:rFonts w:ascii="Arial" w:hAnsi="Arial" w:cs="Arial"/>
          <w:sz w:val="20"/>
          <w:szCs w:val="20"/>
        </w:rPr>
        <w:t>anning and Development)</w:t>
      </w:r>
      <w:r w:rsidRPr="005F270C">
        <w:rPr>
          <w:rFonts w:ascii="Arial" w:hAnsi="Arial" w:cs="Arial"/>
          <w:sz w:val="20"/>
          <w:szCs w:val="20"/>
        </w:rPr>
        <w:t xml:space="preserve">. </w:t>
      </w:r>
    </w:p>
    <w:p w14:paraId="0E25D415" w14:textId="77777777" w:rsidR="00BE462B" w:rsidRPr="005F270C" w:rsidRDefault="00BE462B" w:rsidP="00443A1C">
      <w:pPr>
        <w:autoSpaceDE w:val="0"/>
        <w:autoSpaceDN w:val="0"/>
        <w:adjustRightInd w:val="0"/>
        <w:spacing w:after="0" w:line="240" w:lineRule="auto"/>
        <w:jc w:val="both"/>
        <w:rPr>
          <w:rFonts w:ascii="Arial" w:hAnsi="Arial" w:cs="Arial"/>
          <w:sz w:val="20"/>
          <w:szCs w:val="20"/>
        </w:rPr>
      </w:pPr>
      <w:r w:rsidRPr="005F270C">
        <w:rPr>
          <w:rFonts w:ascii="Arial" w:hAnsi="Arial" w:cs="Arial"/>
          <w:sz w:val="20"/>
          <w:szCs w:val="20"/>
        </w:rPr>
        <w:t>McLoughlin</w:t>
      </w:r>
      <w:r w:rsidR="00B030E1">
        <w:rPr>
          <w:rFonts w:ascii="Arial" w:hAnsi="Arial" w:cs="Arial"/>
          <w:sz w:val="20"/>
          <w:szCs w:val="20"/>
        </w:rPr>
        <w:t>, J.</w:t>
      </w:r>
      <w:r w:rsidRPr="005F270C">
        <w:rPr>
          <w:rFonts w:ascii="Arial" w:hAnsi="Arial" w:cs="Arial"/>
          <w:sz w:val="20"/>
          <w:szCs w:val="20"/>
        </w:rPr>
        <w:t xml:space="preserve"> (1992) </w:t>
      </w:r>
      <w:r w:rsidRPr="005F270C">
        <w:rPr>
          <w:rFonts w:ascii="Arial" w:hAnsi="Arial" w:cs="Arial"/>
          <w:i/>
          <w:iCs/>
          <w:sz w:val="20"/>
          <w:szCs w:val="20"/>
        </w:rPr>
        <w:t>Shaping Melbourne’s Future</w:t>
      </w:r>
      <w:r w:rsidR="00443A1C">
        <w:rPr>
          <w:rFonts w:ascii="Arial" w:hAnsi="Arial" w:cs="Arial"/>
          <w:sz w:val="20"/>
          <w:szCs w:val="20"/>
        </w:rPr>
        <w:t>,</w:t>
      </w:r>
      <w:r w:rsidRPr="005F270C">
        <w:rPr>
          <w:rFonts w:ascii="Arial" w:hAnsi="Arial" w:cs="Arial"/>
          <w:sz w:val="20"/>
          <w:szCs w:val="20"/>
        </w:rPr>
        <w:t xml:space="preserve"> </w:t>
      </w:r>
      <w:r w:rsidR="00443A1C">
        <w:rPr>
          <w:rFonts w:ascii="Arial" w:hAnsi="Arial" w:cs="Arial"/>
          <w:sz w:val="20"/>
          <w:szCs w:val="20"/>
        </w:rPr>
        <w:t>(</w:t>
      </w:r>
      <w:r w:rsidR="00443A1C" w:rsidRPr="005F270C">
        <w:rPr>
          <w:rFonts w:ascii="Arial" w:hAnsi="Arial" w:cs="Arial"/>
          <w:sz w:val="20"/>
          <w:szCs w:val="20"/>
        </w:rPr>
        <w:t>Melbourne</w:t>
      </w:r>
      <w:r w:rsidR="00443A1C">
        <w:rPr>
          <w:rFonts w:ascii="Arial" w:hAnsi="Arial" w:cs="Arial"/>
          <w:sz w:val="20"/>
          <w:szCs w:val="20"/>
        </w:rPr>
        <w:t>,</w:t>
      </w:r>
      <w:r w:rsidR="00443A1C" w:rsidRPr="005F270C">
        <w:rPr>
          <w:rFonts w:ascii="Arial" w:hAnsi="Arial" w:cs="Arial"/>
          <w:sz w:val="20"/>
          <w:szCs w:val="20"/>
        </w:rPr>
        <w:t xml:space="preserve"> </w:t>
      </w:r>
      <w:r w:rsidRPr="005F270C">
        <w:rPr>
          <w:rFonts w:ascii="Arial" w:hAnsi="Arial" w:cs="Arial"/>
          <w:sz w:val="20"/>
          <w:szCs w:val="20"/>
        </w:rPr>
        <w:t>Cambridge University Press</w:t>
      </w:r>
      <w:r w:rsidR="00443A1C">
        <w:rPr>
          <w:rFonts w:ascii="Arial" w:hAnsi="Arial" w:cs="Arial"/>
          <w:sz w:val="20"/>
          <w:szCs w:val="20"/>
        </w:rPr>
        <w:t>).</w:t>
      </w:r>
      <w:r w:rsidRPr="005F270C">
        <w:rPr>
          <w:rFonts w:ascii="Arial" w:hAnsi="Arial" w:cs="Arial"/>
          <w:sz w:val="20"/>
          <w:szCs w:val="20"/>
        </w:rPr>
        <w:t>.</w:t>
      </w:r>
    </w:p>
    <w:p w14:paraId="5C45D250" w14:textId="77777777" w:rsidR="00BE462B" w:rsidRPr="005F270C" w:rsidRDefault="00BE462B" w:rsidP="00F203AC">
      <w:pPr>
        <w:autoSpaceDE w:val="0"/>
        <w:autoSpaceDN w:val="0"/>
        <w:adjustRightInd w:val="0"/>
        <w:spacing w:after="0" w:line="240" w:lineRule="auto"/>
        <w:jc w:val="both"/>
        <w:rPr>
          <w:rFonts w:ascii="Arial" w:hAnsi="Arial" w:cs="Arial"/>
          <w:sz w:val="20"/>
          <w:szCs w:val="20"/>
        </w:rPr>
      </w:pPr>
      <w:r w:rsidRPr="005F270C">
        <w:rPr>
          <w:rFonts w:ascii="Arial" w:hAnsi="Arial" w:cs="Arial"/>
          <w:sz w:val="20"/>
          <w:szCs w:val="20"/>
        </w:rPr>
        <w:t>Mees</w:t>
      </w:r>
      <w:r w:rsidR="00443A1C">
        <w:rPr>
          <w:rFonts w:ascii="Arial" w:hAnsi="Arial" w:cs="Arial"/>
          <w:sz w:val="20"/>
          <w:szCs w:val="20"/>
        </w:rPr>
        <w:t>,</w:t>
      </w:r>
      <w:r w:rsidRPr="005F270C">
        <w:rPr>
          <w:rFonts w:ascii="Arial" w:hAnsi="Arial" w:cs="Arial"/>
          <w:sz w:val="20"/>
          <w:szCs w:val="20"/>
        </w:rPr>
        <w:t xml:space="preserve"> P</w:t>
      </w:r>
      <w:r w:rsidR="00443A1C">
        <w:rPr>
          <w:rFonts w:ascii="Arial" w:hAnsi="Arial" w:cs="Arial"/>
          <w:sz w:val="20"/>
          <w:szCs w:val="20"/>
        </w:rPr>
        <w:t>.</w:t>
      </w:r>
      <w:r w:rsidRPr="005F270C">
        <w:rPr>
          <w:rFonts w:ascii="Arial" w:hAnsi="Arial" w:cs="Arial"/>
          <w:sz w:val="20"/>
          <w:szCs w:val="20"/>
        </w:rPr>
        <w:t xml:space="preserve"> (2003) Paterson’s curse: the attempt to revive metropolitan planning in Melbourne.</w:t>
      </w:r>
    </w:p>
    <w:p w14:paraId="7DA2391A"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i/>
          <w:iCs/>
          <w:sz w:val="20"/>
          <w:szCs w:val="20"/>
        </w:rPr>
        <w:t xml:space="preserve">Urban Policy and Research </w:t>
      </w:r>
      <w:r w:rsidRPr="005F270C">
        <w:rPr>
          <w:rFonts w:ascii="Arial" w:hAnsi="Arial" w:cs="Arial"/>
          <w:bCs/>
          <w:sz w:val="20"/>
          <w:szCs w:val="20"/>
        </w:rPr>
        <w:t>21</w:t>
      </w:r>
      <w:r w:rsidRPr="005F270C">
        <w:rPr>
          <w:rFonts w:ascii="Arial" w:hAnsi="Arial" w:cs="Arial"/>
          <w:sz w:val="20"/>
          <w:szCs w:val="20"/>
        </w:rPr>
        <w:t xml:space="preserve">(3), </w:t>
      </w:r>
      <w:r w:rsidR="00443A1C">
        <w:rPr>
          <w:rFonts w:ascii="Arial" w:hAnsi="Arial" w:cs="Arial"/>
          <w:sz w:val="20"/>
          <w:szCs w:val="20"/>
        </w:rPr>
        <w:t xml:space="preserve">pp. </w:t>
      </w:r>
      <w:r w:rsidRPr="005F270C">
        <w:rPr>
          <w:rFonts w:ascii="Arial" w:hAnsi="Arial" w:cs="Arial"/>
          <w:sz w:val="20"/>
          <w:szCs w:val="20"/>
        </w:rPr>
        <w:t xml:space="preserve">287–299. </w:t>
      </w:r>
    </w:p>
    <w:p w14:paraId="537585D1" w14:textId="77777777" w:rsidR="00BE462B" w:rsidRPr="005F270C" w:rsidRDefault="00BE462B" w:rsidP="00F203AC">
      <w:pPr>
        <w:autoSpaceDE w:val="0"/>
        <w:autoSpaceDN w:val="0"/>
        <w:adjustRightInd w:val="0"/>
        <w:spacing w:after="0" w:line="240" w:lineRule="auto"/>
        <w:jc w:val="both"/>
        <w:rPr>
          <w:rFonts w:ascii="Arial" w:hAnsi="Arial" w:cs="Arial"/>
          <w:i/>
          <w:iCs/>
          <w:sz w:val="20"/>
          <w:szCs w:val="20"/>
        </w:rPr>
      </w:pPr>
      <w:r w:rsidRPr="005F270C">
        <w:rPr>
          <w:rFonts w:ascii="Arial" w:hAnsi="Arial" w:cs="Arial"/>
          <w:sz w:val="20"/>
          <w:szCs w:val="20"/>
        </w:rPr>
        <w:t>Melbourne and Metropolitan Board of Work</w:t>
      </w:r>
      <w:r w:rsidR="00443A1C">
        <w:rPr>
          <w:rFonts w:ascii="Arial" w:hAnsi="Arial" w:cs="Arial"/>
          <w:sz w:val="20"/>
          <w:szCs w:val="20"/>
        </w:rPr>
        <w:t>.</w:t>
      </w:r>
      <w:r w:rsidRPr="005F270C">
        <w:rPr>
          <w:rFonts w:ascii="Arial" w:hAnsi="Arial" w:cs="Arial"/>
          <w:sz w:val="20"/>
          <w:szCs w:val="20"/>
        </w:rPr>
        <w:t xml:space="preserve">s (MMBW) (1953a) </w:t>
      </w:r>
      <w:r w:rsidRPr="005F270C">
        <w:rPr>
          <w:rFonts w:ascii="Arial" w:hAnsi="Arial" w:cs="Arial"/>
          <w:i/>
          <w:iCs/>
          <w:sz w:val="20"/>
          <w:szCs w:val="20"/>
        </w:rPr>
        <w:t>Surveys and Analysis.</w:t>
      </w:r>
    </w:p>
    <w:p w14:paraId="5E9B8801" w14:textId="77777777" w:rsidR="00BE462B" w:rsidRPr="005F270C" w:rsidRDefault="00443A1C" w:rsidP="00F203AC">
      <w:pPr>
        <w:spacing w:after="0" w:line="240" w:lineRule="auto"/>
        <w:jc w:val="both"/>
        <w:rPr>
          <w:rFonts w:ascii="Arial" w:hAnsi="Arial" w:cs="Arial"/>
          <w:sz w:val="20"/>
          <w:szCs w:val="20"/>
        </w:rPr>
      </w:pPr>
      <w:r>
        <w:rPr>
          <w:rFonts w:ascii="Arial" w:hAnsi="Arial" w:cs="Arial"/>
          <w:sz w:val="20"/>
          <w:szCs w:val="20"/>
        </w:rPr>
        <w:t>(Melbourne, MMBW).</w:t>
      </w:r>
      <w:r w:rsidR="00BE462B" w:rsidRPr="005F270C">
        <w:rPr>
          <w:rFonts w:ascii="Arial" w:hAnsi="Arial" w:cs="Arial"/>
          <w:sz w:val="20"/>
          <w:szCs w:val="20"/>
        </w:rPr>
        <w:t xml:space="preserve"> </w:t>
      </w:r>
    </w:p>
    <w:p w14:paraId="0FBD697B" w14:textId="77777777" w:rsidR="00BE462B" w:rsidRPr="005F270C" w:rsidRDefault="00BE462B" w:rsidP="00F203AC">
      <w:pPr>
        <w:autoSpaceDE w:val="0"/>
        <w:autoSpaceDN w:val="0"/>
        <w:adjustRightInd w:val="0"/>
        <w:spacing w:after="0" w:line="240" w:lineRule="auto"/>
        <w:jc w:val="both"/>
        <w:rPr>
          <w:rFonts w:ascii="Arial" w:hAnsi="Arial" w:cs="Arial"/>
          <w:i/>
          <w:iCs/>
          <w:sz w:val="20"/>
          <w:szCs w:val="20"/>
        </w:rPr>
      </w:pPr>
      <w:r w:rsidRPr="005F270C">
        <w:rPr>
          <w:rFonts w:ascii="Arial" w:hAnsi="Arial" w:cs="Arial"/>
          <w:sz w:val="20"/>
          <w:szCs w:val="20"/>
        </w:rPr>
        <w:t>Melbourne and Metropolitan Board of Works</w:t>
      </w:r>
      <w:r w:rsidR="00443A1C">
        <w:rPr>
          <w:rFonts w:ascii="Arial" w:hAnsi="Arial" w:cs="Arial"/>
          <w:sz w:val="20"/>
          <w:szCs w:val="20"/>
        </w:rPr>
        <w:t>.</w:t>
      </w:r>
      <w:r w:rsidRPr="005F270C">
        <w:rPr>
          <w:rFonts w:ascii="Arial" w:hAnsi="Arial" w:cs="Arial"/>
          <w:sz w:val="20"/>
          <w:szCs w:val="20"/>
        </w:rPr>
        <w:t xml:space="preserve"> (MMBW) (1953b) </w:t>
      </w:r>
      <w:r w:rsidRPr="005F270C">
        <w:rPr>
          <w:rFonts w:ascii="Arial" w:hAnsi="Arial" w:cs="Arial"/>
          <w:i/>
          <w:iCs/>
          <w:sz w:val="20"/>
          <w:szCs w:val="20"/>
        </w:rPr>
        <w:t>Melbourne Metropolitan</w:t>
      </w:r>
    </w:p>
    <w:p w14:paraId="7084425C" w14:textId="77777777" w:rsidR="00BE462B" w:rsidRPr="005F270C" w:rsidRDefault="00BE462B" w:rsidP="00F203AC">
      <w:pPr>
        <w:autoSpaceDE w:val="0"/>
        <w:autoSpaceDN w:val="0"/>
        <w:adjustRightInd w:val="0"/>
        <w:spacing w:after="0" w:line="240" w:lineRule="auto"/>
        <w:jc w:val="both"/>
        <w:rPr>
          <w:rFonts w:ascii="Arial" w:hAnsi="Arial" w:cs="Arial"/>
          <w:sz w:val="20"/>
          <w:szCs w:val="20"/>
        </w:rPr>
      </w:pPr>
      <w:r w:rsidRPr="005F270C">
        <w:rPr>
          <w:rFonts w:ascii="Arial" w:hAnsi="Arial" w:cs="Arial"/>
          <w:i/>
          <w:iCs/>
          <w:sz w:val="20"/>
          <w:szCs w:val="20"/>
        </w:rPr>
        <w:t>Planning Scheme 1954: Report</w:t>
      </w:r>
      <w:r w:rsidR="00443A1C">
        <w:rPr>
          <w:rFonts w:ascii="Arial" w:hAnsi="Arial" w:cs="Arial"/>
          <w:iCs/>
          <w:sz w:val="20"/>
          <w:szCs w:val="20"/>
        </w:rPr>
        <w:t>,</w:t>
      </w:r>
      <w:r w:rsidR="00443A1C">
        <w:rPr>
          <w:rFonts w:ascii="Arial" w:hAnsi="Arial" w:cs="Arial"/>
          <w:sz w:val="20"/>
          <w:szCs w:val="20"/>
        </w:rPr>
        <w:t>(</w:t>
      </w:r>
      <w:r w:rsidR="00443A1C" w:rsidRPr="005F270C">
        <w:rPr>
          <w:rFonts w:ascii="Arial" w:hAnsi="Arial" w:cs="Arial"/>
          <w:sz w:val="20"/>
          <w:szCs w:val="20"/>
        </w:rPr>
        <w:t>Melbourne</w:t>
      </w:r>
      <w:r w:rsidR="00443A1C">
        <w:rPr>
          <w:rFonts w:ascii="Arial" w:hAnsi="Arial" w:cs="Arial"/>
          <w:sz w:val="20"/>
          <w:szCs w:val="20"/>
        </w:rPr>
        <w:t>, MMBW).</w:t>
      </w:r>
    </w:p>
    <w:p w14:paraId="1CF2C9D9"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sz w:val="20"/>
          <w:szCs w:val="20"/>
        </w:rPr>
        <w:t>.</w:t>
      </w:r>
    </w:p>
    <w:p w14:paraId="29363837"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sz w:val="20"/>
          <w:szCs w:val="20"/>
        </w:rPr>
        <w:t>Melbourne and Metropolitan Board of Works</w:t>
      </w:r>
      <w:r w:rsidR="00443A1C">
        <w:rPr>
          <w:rFonts w:ascii="Arial" w:hAnsi="Arial" w:cs="Arial"/>
          <w:sz w:val="20"/>
          <w:szCs w:val="20"/>
        </w:rPr>
        <w:t>.</w:t>
      </w:r>
      <w:r w:rsidRPr="005F270C">
        <w:rPr>
          <w:rFonts w:ascii="Arial" w:hAnsi="Arial" w:cs="Arial"/>
          <w:sz w:val="20"/>
          <w:szCs w:val="20"/>
        </w:rPr>
        <w:t xml:space="preserve"> (MMBW) (1971) </w:t>
      </w:r>
      <w:r w:rsidRPr="005F270C">
        <w:rPr>
          <w:rFonts w:ascii="Arial" w:hAnsi="Arial" w:cs="Arial"/>
          <w:i/>
          <w:sz w:val="20"/>
          <w:szCs w:val="20"/>
        </w:rPr>
        <w:t>Planning Policies for the Melbourne Metropolitan Region</w:t>
      </w:r>
      <w:r w:rsidRPr="005F270C">
        <w:rPr>
          <w:rFonts w:ascii="Arial" w:hAnsi="Arial" w:cs="Arial"/>
          <w:sz w:val="20"/>
          <w:szCs w:val="20"/>
        </w:rPr>
        <w:t xml:space="preserve">, </w:t>
      </w:r>
      <w:r w:rsidR="00443A1C">
        <w:rPr>
          <w:rFonts w:ascii="Arial" w:hAnsi="Arial" w:cs="Arial"/>
          <w:sz w:val="20"/>
          <w:szCs w:val="20"/>
        </w:rPr>
        <w:t>(</w:t>
      </w:r>
      <w:r w:rsidRPr="005F270C">
        <w:rPr>
          <w:rFonts w:ascii="Arial" w:hAnsi="Arial" w:cs="Arial"/>
          <w:sz w:val="20"/>
          <w:szCs w:val="20"/>
        </w:rPr>
        <w:t>Melbourne, MMBW</w:t>
      </w:r>
      <w:r w:rsidR="00443A1C">
        <w:rPr>
          <w:rFonts w:ascii="Arial" w:hAnsi="Arial" w:cs="Arial"/>
          <w:sz w:val="20"/>
          <w:szCs w:val="20"/>
        </w:rPr>
        <w:t>)</w:t>
      </w:r>
      <w:r w:rsidRPr="005F270C">
        <w:rPr>
          <w:rFonts w:ascii="Arial" w:hAnsi="Arial" w:cs="Arial"/>
          <w:sz w:val="20"/>
          <w:szCs w:val="20"/>
        </w:rPr>
        <w:t>.</w:t>
      </w:r>
    </w:p>
    <w:p w14:paraId="20175A2B" w14:textId="77777777" w:rsidR="00BE462B" w:rsidRPr="005F270C" w:rsidRDefault="00BE462B" w:rsidP="00F203AC">
      <w:pPr>
        <w:autoSpaceDE w:val="0"/>
        <w:autoSpaceDN w:val="0"/>
        <w:adjustRightInd w:val="0"/>
        <w:spacing w:after="0" w:line="240" w:lineRule="auto"/>
        <w:jc w:val="both"/>
        <w:rPr>
          <w:rFonts w:ascii="Arial" w:hAnsi="Arial" w:cs="Arial"/>
          <w:i/>
          <w:iCs/>
          <w:sz w:val="20"/>
          <w:szCs w:val="20"/>
        </w:rPr>
      </w:pPr>
      <w:r w:rsidRPr="005F270C">
        <w:rPr>
          <w:rFonts w:ascii="Arial" w:hAnsi="Arial" w:cs="Arial"/>
          <w:sz w:val="20"/>
          <w:szCs w:val="20"/>
        </w:rPr>
        <w:t xml:space="preserve">Melbourne and Metropolitan Board of Works (MMBW) (1981) </w:t>
      </w:r>
      <w:r w:rsidRPr="005F270C">
        <w:rPr>
          <w:rFonts w:ascii="Arial" w:hAnsi="Arial" w:cs="Arial"/>
          <w:i/>
          <w:iCs/>
          <w:sz w:val="20"/>
          <w:szCs w:val="20"/>
        </w:rPr>
        <w:t>Metropolitan Strategy Implementation</w:t>
      </w:r>
      <w:r w:rsidR="00443A1C">
        <w:rPr>
          <w:rFonts w:ascii="Arial" w:hAnsi="Arial" w:cs="Arial"/>
          <w:i/>
          <w:iCs/>
          <w:sz w:val="20"/>
          <w:szCs w:val="20"/>
        </w:rPr>
        <w:t>,</w:t>
      </w:r>
    </w:p>
    <w:p w14:paraId="3AEAE256" w14:textId="77777777" w:rsidR="00443A1C" w:rsidRPr="005F270C" w:rsidRDefault="00443A1C" w:rsidP="00443A1C">
      <w:pPr>
        <w:spacing w:after="0" w:line="240" w:lineRule="auto"/>
        <w:jc w:val="both"/>
        <w:rPr>
          <w:rFonts w:ascii="Arial" w:hAnsi="Arial" w:cs="Arial"/>
          <w:sz w:val="20"/>
          <w:szCs w:val="20"/>
        </w:rPr>
      </w:pPr>
      <w:r w:rsidRPr="005F270C">
        <w:rPr>
          <w:rFonts w:ascii="Arial" w:hAnsi="Arial" w:cs="Arial"/>
          <w:sz w:val="20"/>
          <w:szCs w:val="20"/>
        </w:rPr>
        <w:t>Melbourne, MMBW</w:t>
      </w:r>
      <w:r>
        <w:rPr>
          <w:rFonts w:ascii="Arial" w:hAnsi="Arial" w:cs="Arial"/>
          <w:sz w:val="20"/>
          <w:szCs w:val="20"/>
        </w:rPr>
        <w:t>)</w:t>
      </w:r>
      <w:r w:rsidRPr="005F270C">
        <w:rPr>
          <w:rFonts w:ascii="Arial" w:hAnsi="Arial" w:cs="Arial"/>
          <w:sz w:val="20"/>
          <w:szCs w:val="20"/>
        </w:rPr>
        <w:t>.</w:t>
      </w:r>
    </w:p>
    <w:p w14:paraId="5FF9D85A" w14:textId="77777777" w:rsidR="00BE462B" w:rsidRPr="005F270C" w:rsidRDefault="00BE462B" w:rsidP="00F203AC">
      <w:pPr>
        <w:autoSpaceDE w:val="0"/>
        <w:autoSpaceDN w:val="0"/>
        <w:adjustRightInd w:val="0"/>
        <w:spacing w:after="0" w:line="240" w:lineRule="auto"/>
        <w:jc w:val="both"/>
        <w:rPr>
          <w:rFonts w:ascii="Arial" w:hAnsi="Arial" w:cs="Arial"/>
          <w:i/>
          <w:iCs/>
          <w:sz w:val="20"/>
          <w:szCs w:val="20"/>
        </w:rPr>
      </w:pPr>
      <w:r w:rsidRPr="005F270C">
        <w:rPr>
          <w:rFonts w:ascii="Arial" w:hAnsi="Arial" w:cs="Arial"/>
          <w:sz w:val="20"/>
          <w:szCs w:val="20"/>
        </w:rPr>
        <w:t>Metropolitan Town Planning Commission</w:t>
      </w:r>
      <w:r w:rsidR="00443A1C">
        <w:rPr>
          <w:rFonts w:ascii="Arial" w:hAnsi="Arial" w:cs="Arial"/>
          <w:sz w:val="20"/>
          <w:szCs w:val="20"/>
        </w:rPr>
        <w:t>.</w:t>
      </w:r>
      <w:r w:rsidRPr="005F270C">
        <w:rPr>
          <w:rFonts w:ascii="Arial" w:hAnsi="Arial" w:cs="Arial"/>
          <w:sz w:val="20"/>
          <w:szCs w:val="20"/>
        </w:rPr>
        <w:t xml:space="preserve"> (MTPC) (1929) </w:t>
      </w:r>
      <w:r w:rsidRPr="005F270C">
        <w:rPr>
          <w:rFonts w:ascii="Arial" w:hAnsi="Arial" w:cs="Arial"/>
          <w:i/>
          <w:iCs/>
          <w:sz w:val="20"/>
          <w:szCs w:val="20"/>
        </w:rPr>
        <w:t>Plan of General Development</w:t>
      </w:r>
    </w:p>
    <w:p w14:paraId="0EEDF01B"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i/>
          <w:iCs/>
          <w:sz w:val="20"/>
          <w:szCs w:val="20"/>
        </w:rPr>
        <w:t>Melbourne</w:t>
      </w:r>
      <w:r w:rsidR="00443A1C">
        <w:rPr>
          <w:rFonts w:ascii="Arial" w:hAnsi="Arial" w:cs="Arial"/>
          <w:sz w:val="20"/>
          <w:szCs w:val="20"/>
        </w:rPr>
        <w:t>,</w:t>
      </w:r>
      <w:r w:rsidRPr="005F270C">
        <w:rPr>
          <w:rFonts w:ascii="Arial" w:hAnsi="Arial" w:cs="Arial"/>
          <w:sz w:val="20"/>
          <w:szCs w:val="20"/>
        </w:rPr>
        <w:t xml:space="preserve"> </w:t>
      </w:r>
      <w:r w:rsidR="00443A1C">
        <w:rPr>
          <w:rFonts w:ascii="Arial" w:hAnsi="Arial" w:cs="Arial"/>
          <w:sz w:val="20"/>
          <w:szCs w:val="20"/>
        </w:rPr>
        <w:t xml:space="preserve">(Melbourne, </w:t>
      </w:r>
      <w:r w:rsidRPr="005F270C">
        <w:rPr>
          <w:rFonts w:ascii="Arial" w:hAnsi="Arial" w:cs="Arial"/>
          <w:sz w:val="20"/>
          <w:szCs w:val="20"/>
        </w:rPr>
        <w:t>Metrop</w:t>
      </w:r>
      <w:r w:rsidR="00443A1C">
        <w:rPr>
          <w:rFonts w:ascii="Arial" w:hAnsi="Arial" w:cs="Arial"/>
          <w:sz w:val="20"/>
          <w:szCs w:val="20"/>
        </w:rPr>
        <w:t>olitan Town Planning Commission).</w:t>
      </w:r>
      <w:r w:rsidRPr="005F270C">
        <w:rPr>
          <w:rFonts w:ascii="Arial" w:hAnsi="Arial" w:cs="Arial"/>
          <w:sz w:val="20"/>
          <w:szCs w:val="20"/>
        </w:rPr>
        <w:t xml:space="preserve"> </w:t>
      </w:r>
    </w:p>
    <w:p w14:paraId="5920F581" w14:textId="77777777" w:rsidR="00BE462B" w:rsidRPr="005F270C" w:rsidRDefault="00BE462B" w:rsidP="00F203AC">
      <w:pPr>
        <w:autoSpaceDE w:val="0"/>
        <w:autoSpaceDN w:val="0"/>
        <w:adjustRightInd w:val="0"/>
        <w:spacing w:after="0" w:line="240" w:lineRule="auto"/>
        <w:jc w:val="both"/>
        <w:rPr>
          <w:rFonts w:ascii="Arial" w:hAnsi="Arial" w:cs="Arial"/>
          <w:i/>
          <w:iCs/>
          <w:sz w:val="20"/>
          <w:szCs w:val="20"/>
        </w:rPr>
      </w:pPr>
      <w:r w:rsidRPr="005F270C">
        <w:rPr>
          <w:rFonts w:ascii="Arial" w:hAnsi="Arial" w:cs="Arial"/>
          <w:sz w:val="20"/>
          <w:szCs w:val="20"/>
        </w:rPr>
        <w:t>Ministerial Advisory Committee</w:t>
      </w:r>
      <w:r w:rsidR="00443A1C">
        <w:rPr>
          <w:rFonts w:ascii="Arial" w:hAnsi="Arial" w:cs="Arial"/>
          <w:sz w:val="20"/>
          <w:szCs w:val="20"/>
        </w:rPr>
        <w:t>.</w:t>
      </w:r>
      <w:r w:rsidRPr="005F270C">
        <w:rPr>
          <w:rFonts w:ascii="Arial" w:hAnsi="Arial" w:cs="Arial"/>
          <w:sz w:val="20"/>
          <w:szCs w:val="20"/>
        </w:rPr>
        <w:t xml:space="preserve"> (2011) </w:t>
      </w:r>
      <w:r w:rsidRPr="005F270C">
        <w:rPr>
          <w:rFonts w:ascii="Arial" w:hAnsi="Arial" w:cs="Arial"/>
          <w:i/>
          <w:iCs/>
          <w:sz w:val="20"/>
          <w:szCs w:val="20"/>
        </w:rPr>
        <w:t>Victorian Planning System Ministerial Advisory</w:t>
      </w:r>
    </w:p>
    <w:p w14:paraId="60772A75" w14:textId="77777777" w:rsidR="00BE462B" w:rsidRPr="005F270C" w:rsidRDefault="00BE462B" w:rsidP="00443A1C">
      <w:pPr>
        <w:spacing w:after="0" w:line="240" w:lineRule="auto"/>
        <w:jc w:val="both"/>
        <w:rPr>
          <w:rFonts w:ascii="Arial" w:hAnsi="Arial" w:cs="Arial"/>
          <w:sz w:val="20"/>
          <w:szCs w:val="20"/>
        </w:rPr>
      </w:pPr>
      <w:r w:rsidRPr="005F270C">
        <w:rPr>
          <w:rFonts w:ascii="Arial" w:hAnsi="Arial" w:cs="Arial"/>
          <w:i/>
          <w:iCs/>
          <w:sz w:val="20"/>
          <w:szCs w:val="20"/>
        </w:rPr>
        <w:t>Committee Initial Report</w:t>
      </w:r>
      <w:r w:rsidR="00443A1C">
        <w:rPr>
          <w:rFonts w:ascii="Arial" w:hAnsi="Arial" w:cs="Arial"/>
          <w:sz w:val="20"/>
          <w:szCs w:val="20"/>
        </w:rPr>
        <w:t>,</w:t>
      </w:r>
      <w:r w:rsidR="00443A1C" w:rsidRPr="00443A1C">
        <w:rPr>
          <w:rFonts w:ascii="Arial" w:hAnsi="Arial" w:cs="Arial"/>
          <w:sz w:val="20"/>
          <w:szCs w:val="20"/>
        </w:rPr>
        <w:t xml:space="preserve"> </w:t>
      </w:r>
      <w:r w:rsidR="00443A1C">
        <w:rPr>
          <w:rFonts w:ascii="Arial" w:hAnsi="Arial" w:cs="Arial"/>
          <w:sz w:val="20"/>
          <w:szCs w:val="20"/>
        </w:rPr>
        <w:t xml:space="preserve">(Melbourne, </w:t>
      </w:r>
      <w:r w:rsidRPr="005F270C">
        <w:rPr>
          <w:rFonts w:ascii="Arial" w:hAnsi="Arial" w:cs="Arial"/>
          <w:sz w:val="20"/>
          <w:szCs w:val="20"/>
        </w:rPr>
        <w:t>Department of Pla</w:t>
      </w:r>
      <w:r w:rsidR="00443A1C">
        <w:rPr>
          <w:rFonts w:ascii="Arial" w:hAnsi="Arial" w:cs="Arial"/>
          <w:sz w:val="20"/>
          <w:szCs w:val="20"/>
        </w:rPr>
        <w:t>nning and Community Development).</w:t>
      </w:r>
    </w:p>
    <w:p w14:paraId="56A4A71D" w14:textId="77777777" w:rsidR="00BE462B" w:rsidRPr="005F270C" w:rsidRDefault="00BE462B" w:rsidP="00F203AC">
      <w:pPr>
        <w:spacing w:after="0" w:line="240" w:lineRule="auto"/>
        <w:ind w:left="720" w:hanging="720"/>
        <w:jc w:val="both"/>
        <w:rPr>
          <w:rFonts w:ascii="Arial" w:hAnsi="Arial" w:cs="Arial"/>
          <w:sz w:val="20"/>
          <w:szCs w:val="20"/>
        </w:rPr>
      </w:pPr>
      <w:r w:rsidRPr="005F270C">
        <w:rPr>
          <w:rFonts w:ascii="Arial" w:hAnsi="Arial" w:cs="Arial"/>
          <w:sz w:val="20"/>
          <w:szCs w:val="20"/>
        </w:rPr>
        <w:t>Montgomery</w:t>
      </w:r>
      <w:r w:rsidR="00443A1C">
        <w:rPr>
          <w:rFonts w:ascii="Arial" w:hAnsi="Arial" w:cs="Arial"/>
          <w:sz w:val="20"/>
          <w:szCs w:val="20"/>
        </w:rPr>
        <w:t>, J.</w:t>
      </w:r>
      <w:r w:rsidRPr="005F270C">
        <w:rPr>
          <w:rFonts w:ascii="Arial" w:hAnsi="Arial" w:cs="Arial"/>
          <w:sz w:val="20"/>
          <w:szCs w:val="20"/>
        </w:rPr>
        <w:t xml:space="preserve"> Thornley</w:t>
      </w:r>
      <w:r w:rsidR="00443A1C">
        <w:rPr>
          <w:rFonts w:ascii="Arial" w:hAnsi="Arial" w:cs="Arial"/>
          <w:sz w:val="20"/>
          <w:szCs w:val="20"/>
        </w:rPr>
        <w:t>,</w:t>
      </w:r>
      <w:r w:rsidRPr="005F270C">
        <w:rPr>
          <w:rFonts w:ascii="Arial" w:hAnsi="Arial" w:cs="Arial"/>
          <w:sz w:val="20"/>
          <w:szCs w:val="20"/>
        </w:rPr>
        <w:t xml:space="preserve"> A</w:t>
      </w:r>
      <w:r w:rsidR="00443A1C">
        <w:rPr>
          <w:rFonts w:ascii="Arial" w:hAnsi="Arial" w:cs="Arial"/>
          <w:sz w:val="20"/>
          <w:szCs w:val="20"/>
        </w:rPr>
        <w:t>.</w:t>
      </w:r>
      <w:r w:rsidRPr="005F270C">
        <w:rPr>
          <w:rFonts w:ascii="Arial" w:hAnsi="Arial" w:cs="Arial"/>
          <w:sz w:val="20"/>
          <w:szCs w:val="20"/>
        </w:rPr>
        <w:t xml:space="preserve"> (Eds) (1990) </w:t>
      </w:r>
      <w:r w:rsidRPr="005F270C">
        <w:rPr>
          <w:rFonts w:ascii="Arial" w:hAnsi="Arial" w:cs="Arial"/>
          <w:i/>
          <w:iCs/>
          <w:sz w:val="20"/>
          <w:szCs w:val="20"/>
        </w:rPr>
        <w:t>Radical Planning Initiatives</w:t>
      </w:r>
      <w:r w:rsidR="00443A1C">
        <w:rPr>
          <w:rFonts w:ascii="Arial" w:hAnsi="Arial" w:cs="Arial"/>
          <w:i/>
          <w:iCs/>
          <w:sz w:val="20"/>
          <w:szCs w:val="20"/>
        </w:rPr>
        <w:t xml:space="preserve"> </w:t>
      </w:r>
      <w:r w:rsidR="00443A1C">
        <w:rPr>
          <w:rFonts w:ascii="Arial" w:hAnsi="Arial" w:cs="Arial"/>
          <w:iCs/>
          <w:sz w:val="20"/>
          <w:szCs w:val="20"/>
        </w:rPr>
        <w:t>(</w:t>
      </w:r>
      <w:r w:rsidR="00443A1C" w:rsidRPr="005F270C">
        <w:rPr>
          <w:rFonts w:ascii="Arial" w:hAnsi="Arial" w:cs="Arial"/>
          <w:sz w:val="20"/>
          <w:szCs w:val="20"/>
        </w:rPr>
        <w:t>Aldershot</w:t>
      </w:r>
      <w:r w:rsidR="00443A1C">
        <w:rPr>
          <w:rFonts w:ascii="Arial" w:hAnsi="Arial" w:cs="Arial"/>
          <w:sz w:val="20"/>
          <w:szCs w:val="20"/>
        </w:rPr>
        <w:t>,</w:t>
      </w:r>
      <w:r w:rsidR="00443A1C" w:rsidRPr="005F270C">
        <w:rPr>
          <w:rFonts w:ascii="Arial" w:hAnsi="Arial" w:cs="Arial"/>
          <w:sz w:val="20"/>
          <w:szCs w:val="20"/>
        </w:rPr>
        <w:t xml:space="preserve"> </w:t>
      </w:r>
      <w:r w:rsidRPr="005F270C">
        <w:rPr>
          <w:rFonts w:ascii="Arial" w:hAnsi="Arial" w:cs="Arial"/>
          <w:sz w:val="20"/>
          <w:szCs w:val="20"/>
        </w:rPr>
        <w:t>Gower</w:t>
      </w:r>
      <w:r w:rsidR="00443A1C">
        <w:rPr>
          <w:rFonts w:ascii="Arial" w:hAnsi="Arial" w:cs="Arial"/>
          <w:sz w:val="20"/>
          <w:szCs w:val="20"/>
        </w:rPr>
        <w:t>)</w:t>
      </w:r>
      <w:r w:rsidRPr="005F270C">
        <w:rPr>
          <w:rFonts w:ascii="Arial" w:hAnsi="Arial" w:cs="Arial"/>
          <w:sz w:val="20"/>
          <w:szCs w:val="20"/>
        </w:rPr>
        <w:t>.</w:t>
      </w:r>
    </w:p>
    <w:p w14:paraId="05ABF0DC"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sz w:val="20"/>
          <w:szCs w:val="20"/>
        </w:rPr>
        <w:t>Newman</w:t>
      </w:r>
      <w:r w:rsidR="00443A1C">
        <w:rPr>
          <w:rFonts w:ascii="Arial" w:hAnsi="Arial" w:cs="Arial"/>
          <w:sz w:val="20"/>
          <w:szCs w:val="20"/>
        </w:rPr>
        <w:t>, P.</w:t>
      </w:r>
      <w:r w:rsidRPr="005F270C">
        <w:rPr>
          <w:rFonts w:ascii="Arial" w:hAnsi="Arial" w:cs="Arial"/>
          <w:sz w:val="20"/>
          <w:szCs w:val="20"/>
        </w:rPr>
        <w:t xml:space="preserve"> Thornley</w:t>
      </w:r>
      <w:r w:rsidR="00443A1C">
        <w:rPr>
          <w:rFonts w:ascii="Arial" w:hAnsi="Arial" w:cs="Arial"/>
          <w:sz w:val="20"/>
          <w:szCs w:val="20"/>
        </w:rPr>
        <w:t>,</w:t>
      </w:r>
      <w:r w:rsidRPr="005F270C">
        <w:rPr>
          <w:rFonts w:ascii="Arial" w:hAnsi="Arial" w:cs="Arial"/>
          <w:sz w:val="20"/>
          <w:szCs w:val="20"/>
        </w:rPr>
        <w:t xml:space="preserve"> A</w:t>
      </w:r>
      <w:r w:rsidR="00443A1C">
        <w:rPr>
          <w:rFonts w:ascii="Arial" w:hAnsi="Arial" w:cs="Arial"/>
          <w:sz w:val="20"/>
          <w:szCs w:val="20"/>
        </w:rPr>
        <w:t>.</w:t>
      </w:r>
      <w:r w:rsidRPr="005F270C">
        <w:rPr>
          <w:rFonts w:ascii="Arial" w:hAnsi="Arial" w:cs="Arial"/>
          <w:sz w:val="20"/>
          <w:szCs w:val="20"/>
        </w:rPr>
        <w:t xml:space="preserve"> (1996) </w:t>
      </w:r>
      <w:r w:rsidRPr="005F270C">
        <w:rPr>
          <w:rFonts w:ascii="Arial" w:hAnsi="Arial" w:cs="Arial"/>
          <w:i/>
          <w:sz w:val="20"/>
          <w:szCs w:val="20"/>
        </w:rPr>
        <w:t>Urban Planning in Europe,</w:t>
      </w:r>
      <w:r w:rsidR="00443A1C">
        <w:rPr>
          <w:rFonts w:ascii="Arial" w:hAnsi="Arial" w:cs="Arial"/>
          <w:sz w:val="20"/>
          <w:szCs w:val="20"/>
        </w:rPr>
        <w:t>(</w:t>
      </w:r>
      <w:r w:rsidRPr="005F270C">
        <w:rPr>
          <w:rFonts w:ascii="Arial" w:hAnsi="Arial" w:cs="Arial"/>
          <w:i/>
          <w:sz w:val="20"/>
          <w:szCs w:val="20"/>
        </w:rPr>
        <w:t xml:space="preserve"> </w:t>
      </w:r>
      <w:r w:rsidRPr="005F270C">
        <w:rPr>
          <w:rFonts w:ascii="Arial" w:hAnsi="Arial" w:cs="Arial"/>
          <w:sz w:val="20"/>
          <w:szCs w:val="20"/>
        </w:rPr>
        <w:t>London, Routledge</w:t>
      </w:r>
      <w:r w:rsidR="00443A1C">
        <w:rPr>
          <w:rFonts w:ascii="Arial" w:hAnsi="Arial" w:cs="Arial"/>
          <w:sz w:val="20"/>
          <w:szCs w:val="20"/>
        </w:rPr>
        <w:t>)</w:t>
      </w:r>
      <w:r w:rsidRPr="005F270C">
        <w:rPr>
          <w:rFonts w:ascii="Arial" w:hAnsi="Arial" w:cs="Arial"/>
          <w:sz w:val="20"/>
          <w:szCs w:val="20"/>
        </w:rPr>
        <w:t>.</w:t>
      </w:r>
    </w:p>
    <w:p w14:paraId="3043DBEC"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sz w:val="20"/>
          <w:szCs w:val="20"/>
        </w:rPr>
        <w:t xml:space="preserve">Productivity Commission. </w:t>
      </w:r>
      <w:r w:rsidR="00443A1C">
        <w:rPr>
          <w:rFonts w:ascii="Arial" w:hAnsi="Arial" w:cs="Arial"/>
          <w:sz w:val="20"/>
          <w:szCs w:val="20"/>
        </w:rPr>
        <w:t>(</w:t>
      </w:r>
      <w:r w:rsidRPr="005F270C">
        <w:rPr>
          <w:rFonts w:ascii="Arial" w:hAnsi="Arial" w:cs="Arial"/>
          <w:sz w:val="20"/>
          <w:szCs w:val="20"/>
        </w:rPr>
        <w:t>2011</w:t>
      </w:r>
      <w:r w:rsidR="00443A1C">
        <w:rPr>
          <w:rFonts w:ascii="Arial" w:hAnsi="Arial" w:cs="Arial"/>
          <w:sz w:val="20"/>
          <w:szCs w:val="20"/>
        </w:rPr>
        <w:t>)</w:t>
      </w:r>
      <w:r w:rsidRPr="005F270C">
        <w:rPr>
          <w:rFonts w:ascii="Arial" w:hAnsi="Arial" w:cs="Arial"/>
          <w:sz w:val="20"/>
          <w:szCs w:val="20"/>
        </w:rPr>
        <w:t xml:space="preserve"> </w:t>
      </w:r>
      <w:r w:rsidRPr="005F270C">
        <w:rPr>
          <w:rFonts w:ascii="Arial" w:hAnsi="Arial" w:cs="Arial"/>
          <w:i/>
          <w:sz w:val="20"/>
          <w:szCs w:val="20"/>
        </w:rPr>
        <w:t>Performance Benchmarking of Australian Business Regulation: Planning, Zoning and Development Assessments, Volume 1</w:t>
      </w:r>
      <w:r w:rsidR="00443A1C">
        <w:rPr>
          <w:rFonts w:ascii="Arial" w:hAnsi="Arial" w:cs="Arial"/>
          <w:sz w:val="20"/>
          <w:szCs w:val="20"/>
        </w:rPr>
        <w:t>, (Canberra,</w:t>
      </w:r>
      <w:r w:rsidRPr="005F270C">
        <w:rPr>
          <w:rFonts w:ascii="Arial" w:hAnsi="Arial" w:cs="Arial"/>
          <w:sz w:val="20"/>
          <w:szCs w:val="20"/>
        </w:rPr>
        <w:t xml:space="preserve"> Australian Government</w:t>
      </w:r>
      <w:r w:rsidR="00443A1C">
        <w:rPr>
          <w:rFonts w:ascii="Arial" w:hAnsi="Arial" w:cs="Arial"/>
          <w:sz w:val="20"/>
          <w:szCs w:val="20"/>
        </w:rPr>
        <w:t>)</w:t>
      </w:r>
      <w:r w:rsidRPr="005F270C">
        <w:rPr>
          <w:rFonts w:ascii="Arial" w:hAnsi="Arial" w:cs="Arial"/>
          <w:sz w:val="20"/>
          <w:szCs w:val="20"/>
        </w:rPr>
        <w:t>.</w:t>
      </w:r>
    </w:p>
    <w:p w14:paraId="3658C8D2"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sz w:val="20"/>
          <w:szCs w:val="20"/>
        </w:rPr>
        <w:t xml:space="preserve">Property Council of Australia. </w:t>
      </w:r>
      <w:r w:rsidR="00443A1C">
        <w:rPr>
          <w:rFonts w:ascii="Arial" w:hAnsi="Arial" w:cs="Arial"/>
          <w:sz w:val="20"/>
          <w:szCs w:val="20"/>
        </w:rPr>
        <w:t>(</w:t>
      </w:r>
      <w:r w:rsidRPr="005F270C">
        <w:rPr>
          <w:rFonts w:ascii="Arial" w:hAnsi="Arial" w:cs="Arial"/>
          <w:sz w:val="20"/>
          <w:szCs w:val="20"/>
        </w:rPr>
        <w:t>2012</w:t>
      </w:r>
      <w:r w:rsidR="00443A1C">
        <w:rPr>
          <w:rFonts w:ascii="Arial" w:hAnsi="Arial" w:cs="Arial"/>
          <w:sz w:val="20"/>
          <w:szCs w:val="20"/>
        </w:rPr>
        <w:t>)</w:t>
      </w:r>
      <w:r w:rsidRPr="005F270C">
        <w:rPr>
          <w:rFonts w:ascii="Arial" w:hAnsi="Arial" w:cs="Arial"/>
          <w:sz w:val="20"/>
          <w:szCs w:val="20"/>
        </w:rPr>
        <w:t xml:space="preserve"> </w:t>
      </w:r>
      <w:r w:rsidRPr="005F270C">
        <w:rPr>
          <w:rFonts w:ascii="Arial" w:hAnsi="Arial" w:cs="Arial"/>
          <w:i/>
          <w:sz w:val="20"/>
          <w:szCs w:val="20"/>
        </w:rPr>
        <w:t>Submission to the Reformed Zones for Victoria</w:t>
      </w:r>
      <w:r w:rsidR="00443A1C">
        <w:rPr>
          <w:rFonts w:ascii="Arial" w:hAnsi="Arial" w:cs="Arial"/>
          <w:sz w:val="20"/>
          <w:szCs w:val="20"/>
        </w:rPr>
        <w:t>,</w:t>
      </w:r>
      <w:r w:rsidRPr="005F270C">
        <w:rPr>
          <w:rFonts w:ascii="Arial" w:hAnsi="Arial" w:cs="Arial"/>
          <w:sz w:val="20"/>
          <w:szCs w:val="20"/>
        </w:rPr>
        <w:t xml:space="preserve"> Melbourne.</w:t>
      </w:r>
    </w:p>
    <w:p w14:paraId="071D0333"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sz w:val="20"/>
          <w:szCs w:val="20"/>
        </w:rPr>
        <w:t>Property Council of Australia</w:t>
      </w:r>
      <w:r w:rsidR="00443A1C">
        <w:rPr>
          <w:rFonts w:ascii="Arial" w:hAnsi="Arial" w:cs="Arial"/>
          <w:sz w:val="20"/>
          <w:szCs w:val="20"/>
        </w:rPr>
        <w:t>.</w:t>
      </w:r>
      <w:r w:rsidRPr="005F270C">
        <w:rPr>
          <w:rFonts w:ascii="Arial" w:hAnsi="Arial" w:cs="Arial"/>
          <w:sz w:val="20"/>
          <w:szCs w:val="20"/>
        </w:rPr>
        <w:t xml:space="preserve"> </w:t>
      </w:r>
      <w:r w:rsidR="00443A1C">
        <w:rPr>
          <w:rFonts w:ascii="Arial" w:hAnsi="Arial" w:cs="Arial"/>
          <w:sz w:val="20"/>
          <w:szCs w:val="20"/>
        </w:rPr>
        <w:t>(</w:t>
      </w:r>
      <w:r w:rsidRPr="005F270C">
        <w:rPr>
          <w:rFonts w:ascii="Arial" w:hAnsi="Arial" w:cs="Arial"/>
          <w:sz w:val="20"/>
          <w:szCs w:val="20"/>
        </w:rPr>
        <w:t>2016</w:t>
      </w:r>
      <w:r w:rsidR="00443A1C">
        <w:rPr>
          <w:rFonts w:ascii="Arial" w:hAnsi="Arial" w:cs="Arial"/>
          <w:sz w:val="20"/>
          <w:szCs w:val="20"/>
        </w:rPr>
        <w:t xml:space="preserve">) </w:t>
      </w:r>
      <w:r w:rsidRPr="005F270C">
        <w:rPr>
          <w:rFonts w:ascii="Arial" w:hAnsi="Arial" w:cs="Arial"/>
          <w:sz w:val="20"/>
          <w:szCs w:val="20"/>
        </w:rPr>
        <w:t>“</w:t>
      </w:r>
      <w:r w:rsidR="00443A1C">
        <w:rPr>
          <w:rFonts w:ascii="Arial" w:hAnsi="Arial" w:cs="Arial"/>
          <w:sz w:val="20"/>
          <w:szCs w:val="20"/>
        </w:rPr>
        <w:t>Forward Step with Smart Plannin</w:t>
      </w:r>
      <w:r w:rsidRPr="005F270C">
        <w:rPr>
          <w:rFonts w:ascii="Arial" w:hAnsi="Arial" w:cs="Arial"/>
          <w:sz w:val="20"/>
          <w:szCs w:val="20"/>
        </w:rPr>
        <w:t>”, 27 April.</w:t>
      </w:r>
    </w:p>
    <w:p w14:paraId="7F106602"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sz w:val="20"/>
          <w:szCs w:val="20"/>
        </w:rPr>
        <w:t>Stoker</w:t>
      </w:r>
      <w:r w:rsidR="00443A1C">
        <w:rPr>
          <w:rFonts w:ascii="Arial" w:hAnsi="Arial" w:cs="Arial"/>
          <w:sz w:val="20"/>
          <w:szCs w:val="20"/>
        </w:rPr>
        <w:t>,</w:t>
      </w:r>
      <w:r w:rsidRPr="005F270C">
        <w:rPr>
          <w:rFonts w:ascii="Arial" w:hAnsi="Arial" w:cs="Arial"/>
          <w:sz w:val="20"/>
          <w:szCs w:val="20"/>
        </w:rPr>
        <w:t xml:space="preserve"> G</w:t>
      </w:r>
      <w:r w:rsidR="00443A1C">
        <w:rPr>
          <w:rFonts w:ascii="Arial" w:hAnsi="Arial" w:cs="Arial"/>
          <w:sz w:val="20"/>
          <w:szCs w:val="20"/>
        </w:rPr>
        <w:t xml:space="preserve">. </w:t>
      </w:r>
      <w:r w:rsidRPr="005F270C">
        <w:rPr>
          <w:rFonts w:ascii="Arial" w:hAnsi="Arial" w:cs="Arial"/>
          <w:sz w:val="20"/>
          <w:szCs w:val="20"/>
        </w:rPr>
        <w:t>Young</w:t>
      </w:r>
      <w:r w:rsidR="00443A1C">
        <w:rPr>
          <w:rFonts w:ascii="Arial" w:hAnsi="Arial" w:cs="Arial"/>
          <w:sz w:val="20"/>
          <w:szCs w:val="20"/>
        </w:rPr>
        <w:t>,</w:t>
      </w:r>
      <w:r w:rsidRPr="005F270C">
        <w:rPr>
          <w:rFonts w:ascii="Arial" w:hAnsi="Arial" w:cs="Arial"/>
          <w:sz w:val="20"/>
          <w:szCs w:val="20"/>
        </w:rPr>
        <w:t xml:space="preserve"> S</w:t>
      </w:r>
      <w:r w:rsidR="00443A1C">
        <w:rPr>
          <w:rFonts w:ascii="Arial" w:hAnsi="Arial" w:cs="Arial"/>
          <w:sz w:val="20"/>
          <w:szCs w:val="20"/>
        </w:rPr>
        <w:t>.</w:t>
      </w:r>
      <w:r w:rsidRPr="005F270C">
        <w:rPr>
          <w:rFonts w:ascii="Arial" w:hAnsi="Arial" w:cs="Arial"/>
          <w:sz w:val="20"/>
          <w:szCs w:val="20"/>
        </w:rPr>
        <w:t xml:space="preserve"> (1993) </w:t>
      </w:r>
      <w:r w:rsidRPr="005F270C">
        <w:rPr>
          <w:rFonts w:ascii="Arial" w:hAnsi="Arial" w:cs="Arial"/>
          <w:i/>
          <w:sz w:val="20"/>
          <w:szCs w:val="20"/>
        </w:rPr>
        <w:t>Cities in the 1990s</w:t>
      </w:r>
      <w:r w:rsidRPr="005F270C">
        <w:rPr>
          <w:rFonts w:ascii="Arial" w:hAnsi="Arial" w:cs="Arial"/>
          <w:sz w:val="20"/>
          <w:szCs w:val="20"/>
        </w:rPr>
        <w:t xml:space="preserve">, </w:t>
      </w:r>
      <w:r w:rsidR="00443A1C">
        <w:rPr>
          <w:rFonts w:ascii="Arial" w:hAnsi="Arial" w:cs="Arial"/>
          <w:sz w:val="20"/>
          <w:szCs w:val="20"/>
        </w:rPr>
        <w:t>(</w:t>
      </w:r>
      <w:r w:rsidRPr="005F270C">
        <w:rPr>
          <w:rFonts w:ascii="Arial" w:hAnsi="Arial" w:cs="Arial"/>
          <w:sz w:val="20"/>
          <w:szCs w:val="20"/>
        </w:rPr>
        <w:t>London, Longman</w:t>
      </w:r>
      <w:r w:rsidR="00443A1C">
        <w:rPr>
          <w:rFonts w:ascii="Arial" w:hAnsi="Arial" w:cs="Arial"/>
          <w:sz w:val="20"/>
          <w:szCs w:val="20"/>
        </w:rPr>
        <w:t>)</w:t>
      </w:r>
      <w:r w:rsidRPr="005F270C">
        <w:rPr>
          <w:rFonts w:ascii="Arial" w:hAnsi="Arial" w:cs="Arial"/>
          <w:sz w:val="20"/>
          <w:szCs w:val="20"/>
        </w:rPr>
        <w:t>.</w:t>
      </w:r>
    </w:p>
    <w:p w14:paraId="33265A8E"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sz w:val="20"/>
          <w:szCs w:val="20"/>
        </w:rPr>
        <w:t xml:space="preserve">Tee, B. </w:t>
      </w:r>
      <w:r w:rsidR="00443A1C">
        <w:rPr>
          <w:rFonts w:ascii="Arial" w:hAnsi="Arial" w:cs="Arial"/>
          <w:sz w:val="20"/>
          <w:szCs w:val="20"/>
        </w:rPr>
        <w:t>(</w:t>
      </w:r>
      <w:r w:rsidRPr="005F270C">
        <w:rPr>
          <w:rFonts w:ascii="Arial" w:hAnsi="Arial" w:cs="Arial"/>
          <w:sz w:val="20"/>
          <w:szCs w:val="20"/>
        </w:rPr>
        <w:t>2012</w:t>
      </w:r>
      <w:r w:rsidR="00443A1C">
        <w:rPr>
          <w:rFonts w:ascii="Arial" w:hAnsi="Arial" w:cs="Arial"/>
          <w:sz w:val="20"/>
          <w:szCs w:val="20"/>
        </w:rPr>
        <w:t xml:space="preserve">). </w:t>
      </w:r>
      <w:r w:rsidRPr="005F270C">
        <w:rPr>
          <w:rFonts w:ascii="Arial" w:hAnsi="Arial" w:cs="Arial"/>
          <w:sz w:val="20"/>
          <w:szCs w:val="20"/>
        </w:rPr>
        <w:t>Debate on the Planning and Environment Amendment (Vi</w:t>
      </w:r>
      <w:r w:rsidR="00443A1C">
        <w:rPr>
          <w:rFonts w:ascii="Arial" w:hAnsi="Arial" w:cs="Arial"/>
          <w:sz w:val="20"/>
          <w:szCs w:val="20"/>
        </w:rPr>
        <w:t>cSmart Planning Assessment) Bil</w:t>
      </w:r>
      <w:r w:rsidRPr="005F270C">
        <w:rPr>
          <w:rFonts w:ascii="Arial" w:hAnsi="Arial" w:cs="Arial"/>
          <w:sz w:val="20"/>
          <w:szCs w:val="20"/>
        </w:rPr>
        <w:t xml:space="preserve">”, </w:t>
      </w:r>
      <w:r w:rsidRPr="005F270C">
        <w:rPr>
          <w:rFonts w:ascii="Arial" w:hAnsi="Arial" w:cs="Arial"/>
          <w:i/>
          <w:sz w:val="20"/>
          <w:szCs w:val="20"/>
        </w:rPr>
        <w:t>Hansard</w:t>
      </w:r>
      <w:r w:rsidRPr="005F270C">
        <w:rPr>
          <w:rFonts w:ascii="Arial" w:hAnsi="Arial" w:cs="Arial"/>
          <w:sz w:val="20"/>
          <w:szCs w:val="20"/>
        </w:rPr>
        <w:t>, 12 September.</w:t>
      </w:r>
    </w:p>
    <w:p w14:paraId="616CCEED" w14:textId="77777777" w:rsidR="00BE462B" w:rsidRPr="005F270C" w:rsidRDefault="00BE462B" w:rsidP="00F203AC">
      <w:pPr>
        <w:spacing w:after="0" w:line="240" w:lineRule="auto"/>
        <w:jc w:val="both"/>
        <w:rPr>
          <w:rFonts w:ascii="Arial" w:hAnsi="Arial" w:cs="Arial"/>
          <w:sz w:val="20"/>
          <w:szCs w:val="20"/>
        </w:rPr>
      </w:pPr>
      <w:r w:rsidRPr="005F270C">
        <w:rPr>
          <w:rFonts w:ascii="Arial" w:hAnsi="Arial" w:cs="Arial"/>
          <w:sz w:val="20"/>
          <w:szCs w:val="20"/>
        </w:rPr>
        <w:t>Thornley</w:t>
      </w:r>
      <w:r w:rsidR="00443A1C">
        <w:rPr>
          <w:rFonts w:ascii="Arial" w:hAnsi="Arial" w:cs="Arial"/>
          <w:sz w:val="20"/>
          <w:szCs w:val="20"/>
        </w:rPr>
        <w:t>,</w:t>
      </w:r>
      <w:r w:rsidRPr="005F270C">
        <w:rPr>
          <w:rFonts w:ascii="Arial" w:hAnsi="Arial" w:cs="Arial"/>
          <w:sz w:val="20"/>
          <w:szCs w:val="20"/>
        </w:rPr>
        <w:t xml:space="preserve"> A</w:t>
      </w:r>
      <w:r w:rsidR="00443A1C">
        <w:rPr>
          <w:rFonts w:ascii="Arial" w:hAnsi="Arial" w:cs="Arial"/>
          <w:sz w:val="20"/>
          <w:szCs w:val="20"/>
        </w:rPr>
        <w:t>.</w:t>
      </w:r>
      <w:r w:rsidRPr="005F270C">
        <w:rPr>
          <w:rFonts w:ascii="Arial" w:hAnsi="Arial" w:cs="Arial"/>
          <w:sz w:val="20"/>
          <w:szCs w:val="20"/>
        </w:rPr>
        <w:t xml:space="preserve"> (1993) </w:t>
      </w:r>
      <w:r w:rsidRPr="005F270C">
        <w:rPr>
          <w:rFonts w:ascii="Arial" w:hAnsi="Arial" w:cs="Arial"/>
          <w:i/>
          <w:sz w:val="20"/>
          <w:szCs w:val="20"/>
        </w:rPr>
        <w:t xml:space="preserve">Urban Planning under Thatcherism: The Challenge of the Market, </w:t>
      </w:r>
      <w:r w:rsidR="00443A1C">
        <w:rPr>
          <w:rFonts w:ascii="Arial" w:hAnsi="Arial" w:cs="Arial"/>
          <w:sz w:val="20"/>
          <w:szCs w:val="20"/>
        </w:rPr>
        <w:t>(</w:t>
      </w:r>
      <w:r w:rsidRPr="005F270C">
        <w:rPr>
          <w:rFonts w:ascii="Arial" w:hAnsi="Arial" w:cs="Arial"/>
          <w:sz w:val="20"/>
          <w:szCs w:val="20"/>
        </w:rPr>
        <w:t>London, Routledge</w:t>
      </w:r>
      <w:r w:rsidR="00443A1C">
        <w:rPr>
          <w:rFonts w:ascii="Arial" w:hAnsi="Arial" w:cs="Arial"/>
          <w:sz w:val="20"/>
          <w:szCs w:val="20"/>
        </w:rPr>
        <w:t>)</w:t>
      </w:r>
      <w:r w:rsidRPr="005F270C">
        <w:rPr>
          <w:rFonts w:ascii="Arial" w:hAnsi="Arial" w:cs="Arial"/>
          <w:sz w:val="20"/>
          <w:szCs w:val="20"/>
        </w:rPr>
        <w:t>.</w:t>
      </w:r>
    </w:p>
    <w:p w14:paraId="264B5608" w14:textId="77777777" w:rsidR="00BE462B" w:rsidRPr="005F270C" w:rsidRDefault="00443A1C" w:rsidP="00F203AC">
      <w:pPr>
        <w:spacing w:after="0" w:line="240" w:lineRule="auto"/>
        <w:jc w:val="both"/>
        <w:rPr>
          <w:rFonts w:ascii="Arial" w:hAnsi="Arial" w:cs="Arial"/>
          <w:sz w:val="20"/>
          <w:szCs w:val="20"/>
        </w:rPr>
      </w:pPr>
      <w:r>
        <w:rPr>
          <w:rFonts w:ascii="Arial" w:hAnsi="Arial" w:cs="Arial"/>
          <w:sz w:val="20"/>
          <w:szCs w:val="20"/>
        </w:rPr>
        <w:t>Victorian Parliament.</w:t>
      </w:r>
      <w:r w:rsidR="00BE462B" w:rsidRPr="005F270C">
        <w:rPr>
          <w:rFonts w:ascii="Arial" w:hAnsi="Arial" w:cs="Arial"/>
          <w:sz w:val="20"/>
          <w:szCs w:val="20"/>
        </w:rPr>
        <w:t xml:space="preserve"> </w:t>
      </w:r>
      <w:r>
        <w:rPr>
          <w:rFonts w:ascii="Arial" w:hAnsi="Arial" w:cs="Arial"/>
          <w:sz w:val="20"/>
          <w:szCs w:val="20"/>
        </w:rPr>
        <w:t>(</w:t>
      </w:r>
      <w:r w:rsidR="00BE462B" w:rsidRPr="005F270C">
        <w:rPr>
          <w:rFonts w:ascii="Arial" w:hAnsi="Arial" w:cs="Arial"/>
          <w:sz w:val="20"/>
          <w:szCs w:val="20"/>
        </w:rPr>
        <w:t>2016</w:t>
      </w:r>
      <w:r>
        <w:rPr>
          <w:rFonts w:ascii="Arial" w:hAnsi="Arial" w:cs="Arial"/>
          <w:sz w:val="20"/>
          <w:szCs w:val="20"/>
        </w:rPr>
        <w:t>)</w:t>
      </w:r>
      <w:r w:rsidR="00BE462B" w:rsidRPr="005F270C">
        <w:rPr>
          <w:rFonts w:ascii="Arial" w:hAnsi="Arial" w:cs="Arial"/>
          <w:sz w:val="20"/>
          <w:szCs w:val="20"/>
        </w:rPr>
        <w:t xml:space="preserve"> Public Accounts and Estimates Committee, 2016-17 Budget estimates questionnaire, p 28.</w:t>
      </w:r>
    </w:p>
    <w:p w14:paraId="33303504" w14:textId="77777777" w:rsidR="00BE462B" w:rsidRPr="005F270C" w:rsidRDefault="00BE462B" w:rsidP="00F203AC">
      <w:pPr>
        <w:spacing w:after="0" w:line="240" w:lineRule="auto"/>
        <w:jc w:val="both"/>
        <w:rPr>
          <w:rFonts w:ascii="Arial" w:hAnsi="Arial" w:cs="Arial"/>
          <w:sz w:val="20"/>
          <w:szCs w:val="20"/>
        </w:rPr>
      </w:pPr>
    </w:p>
    <w:p w14:paraId="5B6EB890" w14:textId="77777777" w:rsidR="00297A08" w:rsidRPr="005F270C" w:rsidRDefault="00297A08" w:rsidP="00F203AC">
      <w:pPr>
        <w:spacing w:after="0" w:line="240" w:lineRule="auto"/>
        <w:jc w:val="both"/>
        <w:rPr>
          <w:rFonts w:ascii="Arial" w:hAnsi="Arial" w:cs="Arial"/>
          <w:sz w:val="20"/>
          <w:szCs w:val="20"/>
        </w:rPr>
      </w:pPr>
    </w:p>
    <w:sectPr w:rsidR="00297A08" w:rsidRPr="005F270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ED81C" w14:textId="77777777" w:rsidR="00F32AFF" w:rsidRDefault="00F32AFF" w:rsidP="00B73AB7">
      <w:pPr>
        <w:spacing w:after="0" w:line="240" w:lineRule="auto"/>
      </w:pPr>
      <w:r>
        <w:separator/>
      </w:r>
    </w:p>
  </w:endnote>
  <w:endnote w:type="continuationSeparator" w:id="0">
    <w:p w14:paraId="62A5A8AC" w14:textId="77777777" w:rsidR="00F32AFF" w:rsidRDefault="00F32AFF" w:rsidP="00B73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988144"/>
      <w:docPartObj>
        <w:docPartGallery w:val="Page Numbers (Bottom of Page)"/>
        <w:docPartUnique/>
      </w:docPartObj>
    </w:sdtPr>
    <w:sdtEndPr>
      <w:rPr>
        <w:noProof/>
      </w:rPr>
    </w:sdtEndPr>
    <w:sdtContent>
      <w:p w14:paraId="4CF769F4" w14:textId="77777777" w:rsidR="00B73AB7" w:rsidRDefault="00B73AB7">
        <w:pPr>
          <w:pStyle w:val="Footer"/>
          <w:jc w:val="right"/>
        </w:pPr>
        <w:r>
          <w:fldChar w:fldCharType="begin"/>
        </w:r>
        <w:r>
          <w:instrText xml:space="preserve"> PAGE   \* MERGEFORMAT </w:instrText>
        </w:r>
        <w:r>
          <w:fldChar w:fldCharType="separate"/>
        </w:r>
        <w:r w:rsidR="00AB2818">
          <w:rPr>
            <w:noProof/>
          </w:rPr>
          <w:t>5</w:t>
        </w:r>
        <w:r>
          <w:rPr>
            <w:noProof/>
          </w:rPr>
          <w:fldChar w:fldCharType="end"/>
        </w:r>
      </w:p>
    </w:sdtContent>
  </w:sdt>
  <w:p w14:paraId="4AA89327" w14:textId="77777777" w:rsidR="00B73AB7" w:rsidRDefault="00B73AB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B4B8C" w14:textId="77777777" w:rsidR="00F32AFF" w:rsidRDefault="00F32AFF" w:rsidP="00B73AB7">
      <w:pPr>
        <w:spacing w:after="0" w:line="240" w:lineRule="auto"/>
      </w:pPr>
      <w:r>
        <w:separator/>
      </w:r>
    </w:p>
  </w:footnote>
  <w:footnote w:type="continuationSeparator" w:id="0">
    <w:p w14:paraId="7600349F" w14:textId="77777777" w:rsidR="00F32AFF" w:rsidRDefault="00F32AFF" w:rsidP="00B73AB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E60DB" w14:textId="77777777" w:rsidR="00AB2818" w:rsidRPr="00AC034E" w:rsidRDefault="00AB2818" w:rsidP="00AB2818">
    <w:pPr>
      <w:pStyle w:val="Header"/>
      <w:rPr>
        <w:rFonts w:ascii="Arial" w:hAnsi="Arial" w:cs="Arial"/>
        <w:sz w:val="20"/>
      </w:rPr>
    </w:pPr>
    <w:r w:rsidRPr="00AC034E">
      <w:rPr>
        <w:rFonts w:ascii="Arial" w:hAnsi="Arial" w:cs="Arial"/>
        <w:sz w:val="20"/>
      </w:rPr>
      <w:t>SOAC 2017</w:t>
    </w:r>
  </w:p>
  <w:p w14:paraId="0E957A4A" w14:textId="77777777" w:rsidR="00AB2818" w:rsidRDefault="00AB281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C3DA2"/>
    <w:multiLevelType w:val="hybridMultilevel"/>
    <w:tmpl w:val="BDD2C5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1DE6FCB"/>
    <w:multiLevelType w:val="hybridMultilevel"/>
    <w:tmpl w:val="21A29E30"/>
    <w:lvl w:ilvl="0" w:tplc="0952F30C">
      <w:start w:val="1"/>
      <w:numFmt w:val="bullet"/>
      <w:lvlText w:val="•"/>
      <w:lvlJc w:val="left"/>
      <w:pPr>
        <w:tabs>
          <w:tab w:val="num" w:pos="720"/>
        </w:tabs>
        <w:ind w:left="720" w:hanging="360"/>
      </w:pPr>
      <w:rPr>
        <w:rFonts w:ascii="Arial" w:hAnsi="Arial" w:hint="default"/>
      </w:rPr>
    </w:lvl>
    <w:lvl w:ilvl="1" w:tplc="B394CE3C" w:tentative="1">
      <w:start w:val="1"/>
      <w:numFmt w:val="bullet"/>
      <w:lvlText w:val="•"/>
      <w:lvlJc w:val="left"/>
      <w:pPr>
        <w:tabs>
          <w:tab w:val="num" w:pos="1440"/>
        </w:tabs>
        <w:ind w:left="1440" w:hanging="360"/>
      </w:pPr>
      <w:rPr>
        <w:rFonts w:ascii="Arial" w:hAnsi="Arial" w:hint="default"/>
      </w:rPr>
    </w:lvl>
    <w:lvl w:ilvl="2" w:tplc="5B123908" w:tentative="1">
      <w:start w:val="1"/>
      <w:numFmt w:val="bullet"/>
      <w:lvlText w:val="•"/>
      <w:lvlJc w:val="left"/>
      <w:pPr>
        <w:tabs>
          <w:tab w:val="num" w:pos="2160"/>
        </w:tabs>
        <w:ind w:left="2160" w:hanging="360"/>
      </w:pPr>
      <w:rPr>
        <w:rFonts w:ascii="Arial" w:hAnsi="Arial" w:hint="default"/>
      </w:rPr>
    </w:lvl>
    <w:lvl w:ilvl="3" w:tplc="51D49764" w:tentative="1">
      <w:start w:val="1"/>
      <w:numFmt w:val="bullet"/>
      <w:lvlText w:val="•"/>
      <w:lvlJc w:val="left"/>
      <w:pPr>
        <w:tabs>
          <w:tab w:val="num" w:pos="2880"/>
        </w:tabs>
        <w:ind w:left="2880" w:hanging="360"/>
      </w:pPr>
      <w:rPr>
        <w:rFonts w:ascii="Arial" w:hAnsi="Arial" w:hint="default"/>
      </w:rPr>
    </w:lvl>
    <w:lvl w:ilvl="4" w:tplc="78A24AEE" w:tentative="1">
      <w:start w:val="1"/>
      <w:numFmt w:val="bullet"/>
      <w:lvlText w:val="•"/>
      <w:lvlJc w:val="left"/>
      <w:pPr>
        <w:tabs>
          <w:tab w:val="num" w:pos="3600"/>
        </w:tabs>
        <w:ind w:left="3600" w:hanging="360"/>
      </w:pPr>
      <w:rPr>
        <w:rFonts w:ascii="Arial" w:hAnsi="Arial" w:hint="default"/>
      </w:rPr>
    </w:lvl>
    <w:lvl w:ilvl="5" w:tplc="E2765E5E" w:tentative="1">
      <w:start w:val="1"/>
      <w:numFmt w:val="bullet"/>
      <w:lvlText w:val="•"/>
      <w:lvlJc w:val="left"/>
      <w:pPr>
        <w:tabs>
          <w:tab w:val="num" w:pos="4320"/>
        </w:tabs>
        <w:ind w:left="4320" w:hanging="360"/>
      </w:pPr>
      <w:rPr>
        <w:rFonts w:ascii="Arial" w:hAnsi="Arial" w:hint="default"/>
      </w:rPr>
    </w:lvl>
    <w:lvl w:ilvl="6" w:tplc="C6DA4898" w:tentative="1">
      <w:start w:val="1"/>
      <w:numFmt w:val="bullet"/>
      <w:lvlText w:val="•"/>
      <w:lvlJc w:val="left"/>
      <w:pPr>
        <w:tabs>
          <w:tab w:val="num" w:pos="5040"/>
        </w:tabs>
        <w:ind w:left="5040" w:hanging="360"/>
      </w:pPr>
      <w:rPr>
        <w:rFonts w:ascii="Arial" w:hAnsi="Arial" w:hint="default"/>
      </w:rPr>
    </w:lvl>
    <w:lvl w:ilvl="7" w:tplc="51E2C8B4" w:tentative="1">
      <w:start w:val="1"/>
      <w:numFmt w:val="bullet"/>
      <w:lvlText w:val="•"/>
      <w:lvlJc w:val="left"/>
      <w:pPr>
        <w:tabs>
          <w:tab w:val="num" w:pos="5760"/>
        </w:tabs>
        <w:ind w:left="5760" w:hanging="360"/>
      </w:pPr>
      <w:rPr>
        <w:rFonts w:ascii="Arial" w:hAnsi="Arial" w:hint="default"/>
      </w:rPr>
    </w:lvl>
    <w:lvl w:ilvl="8" w:tplc="31CAA080" w:tentative="1">
      <w:start w:val="1"/>
      <w:numFmt w:val="bullet"/>
      <w:lvlText w:val="•"/>
      <w:lvlJc w:val="left"/>
      <w:pPr>
        <w:tabs>
          <w:tab w:val="num" w:pos="6480"/>
        </w:tabs>
        <w:ind w:left="6480" w:hanging="360"/>
      </w:pPr>
      <w:rPr>
        <w:rFonts w:ascii="Arial" w:hAnsi="Arial" w:hint="default"/>
      </w:rPr>
    </w:lvl>
  </w:abstractNum>
  <w:abstractNum w:abstractNumId="2">
    <w:nsid w:val="537577C8"/>
    <w:multiLevelType w:val="hybridMultilevel"/>
    <w:tmpl w:val="0186AA9E"/>
    <w:lvl w:ilvl="0" w:tplc="1A1CFD0C">
      <w:start w:val="1"/>
      <w:numFmt w:val="bullet"/>
      <w:lvlText w:val="•"/>
      <w:lvlJc w:val="left"/>
      <w:pPr>
        <w:tabs>
          <w:tab w:val="num" w:pos="720"/>
        </w:tabs>
        <w:ind w:left="720" w:hanging="360"/>
      </w:pPr>
      <w:rPr>
        <w:rFonts w:ascii="Arial" w:hAnsi="Arial" w:hint="default"/>
      </w:rPr>
    </w:lvl>
    <w:lvl w:ilvl="1" w:tplc="4EC07FD0" w:tentative="1">
      <w:start w:val="1"/>
      <w:numFmt w:val="bullet"/>
      <w:lvlText w:val="•"/>
      <w:lvlJc w:val="left"/>
      <w:pPr>
        <w:tabs>
          <w:tab w:val="num" w:pos="1440"/>
        </w:tabs>
        <w:ind w:left="1440" w:hanging="360"/>
      </w:pPr>
      <w:rPr>
        <w:rFonts w:ascii="Arial" w:hAnsi="Arial" w:hint="default"/>
      </w:rPr>
    </w:lvl>
    <w:lvl w:ilvl="2" w:tplc="B6E2B4D2" w:tentative="1">
      <w:start w:val="1"/>
      <w:numFmt w:val="bullet"/>
      <w:lvlText w:val="•"/>
      <w:lvlJc w:val="left"/>
      <w:pPr>
        <w:tabs>
          <w:tab w:val="num" w:pos="2160"/>
        </w:tabs>
        <w:ind w:left="2160" w:hanging="360"/>
      </w:pPr>
      <w:rPr>
        <w:rFonts w:ascii="Arial" w:hAnsi="Arial" w:hint="default"/>
      </w:rPr>
    </w:lvl>
    <w:lvl w:ilvl="3" w:tplc="53B84E1E" w:tentative="1">
      <w:start w:val="1"/>
      <w:numFmt w:val="bullet"/>
      <w:lvlText w:val="•"/>
      <w:lvlJc w:val="left"/>
      <w:pPr>
        <w:tabs>
          <w:tab w:val="num" w:pos="2880"/>
        </w:tabs>
        <w:ind w:left="2880" w:hanging="360"/>
      </w:pPr>
      <w:rPr>
        <w:rFonts w:ascii="Arial" w:hAnsi="Arial" w:hint="default"/>
      </w:rPr>
    </w:lvl>
    <w:lvl w:ilvl="4" w:tplc="259650F2" w:tentative="1">
      <w:start w:val="1"/>
      <w:numFmt w:val="bullet"/>
      <w:lvlText w:val="•"/>
      <w:lvlJc w:val="left"/>
      <w:pPr>
        <w:tabs>
          <w:tab w:val="num" w:pos="3600"/>
        </w:tabs>
        <w:ind w:left="3600" w:hanging="360"/>
      </w:pPr>
      <w:rPr>
        <w:rFonts w:ascii="Arial" w:hAnsi="Arial" w:hint="default"/>
      </w:rPr>
    </w:lvl>
    <w:lvl w:ilvl="5" w:tplc="A5AC4C2E" w:tentative="1">
      <w:start w:val="1"/>
      <w:numFmt w:val="bullet"/>
      <w:lvlText w:val="•"/>
      <w:lvlJc w:val="left"/>
      <w:pPr>
        <w:tabs>
          <w:tab w:val="num" w:pos="4320"/>
        </w:tabs>
        <w:ind w:left="4320" w:hanging="360"/>
      </w:pPr>
      <w:rPr>
        <w:rFonts w:ascii="Arial" w:hAnsi="Arial" w:hint="default"/>
      </w:rPr>
    </w:lvl>
    <w:lvl w:ilvl="6" w:tplc="E3CCB23E" w:tentative="1">
      <w:start w:val="1"/>
      <w:numFmt w:val="bullet"/>
      <w:lvlText w:val="•"/>
      <w:lvlJc w:val="left"/>
      <w:pPr>
        <w:tabs>
          <w:tab w:val="num" w:pos="5040"/>
        </w:tabs>
        <w:ind w:left="5040" w:hanging="360"/>
      </w:pPr>
      <w:rPr>
        <w:rFonts w:ascii="Arial" w:hAnsi="Arial" w:hint="default"/>
      </w:rPr>
    </w:lvl>
    <w:lvl w:ilvl="7" w:tplc="A6D4AA16" w:tentative="1">
      <w:start w:val="1"/>
      <w:numFmt w:val="bullet"/>
      <w:lvlText w:val="•"/>
      <w:lvlJc w:val="left"/>
      <w:pPr>
        <w:tabs>
          <w:tab w:val="num" w:pos="5760"/>
        </w:tabs>
        <w:ind w:left="5760" w:hanging="360"/>
      </w:pPr>
      <w:rPr>
        <w:rFonts w:ascii="Arial" w:hAnsi="Arial" w:hint="default"/>
      </w:rPr>
    </w:lvl>
    <w:lvl w:ilvl="8" w:tplc="95403032" w:tentative="1">
      <w:start w:val="1"/>
      <w:numFmt w:val="bullet"/>
      <w:lvlText w:val="•"/>
      <w:lvlJc w:val="left"/>
      <w:pPr>
        <w:tabs>
          <w:tab w:val="num" w:pos="6480"/>
        </w:tabs>
        <w:ind w:left="6480" w:hanging="360"/>
      </w:pPr>
      <w:rPr>
        <w:rFonts w:ascii="Arial" w:hAnsi="Arial" w:hint="default"/>
      </w:rPr>
    </w:lvl>
  </w:abstractNum>
  <w:abstractNum w:abstractNumId="3">
    <w:nsid w:val="57407B7A"/>
    <w:multiLevelType w:val="hybridMultilevel"/>
    <w:tmpl w:val="B67A0384"/>
    <w:lvl w:ilvl="0" w:tplc="249A869E">
      <w:start w:val="1"/>
      <w:numFmt w:val="bullet"/>
      <w:lvlText w:val="•"/>
      <w:lvlJc w:val="left"/>
      <w:pPr>
        <w:tabs>
          <w:tab w:val="num" w:pos="720"/>
        </w:tabs>
        <w:ind w:left="720" w:hanging="360"/>
      </w:pPr>
      <w:rPr>
        <w:rFonts w:ascii="Arial" w:hAnsi="Arial" w:hint="default"/>
      </w:rPr>
    </w:lvl>
    <w:lvl w:ilvl="1" w:tplc="E5766066" w:tentative="1">
      <w:start w:val="1"/>
      <w:numFmt w:val="bullet"/>
      <w:lvlText w:val="•"/>
      <w:lvlJc w:val="left"/>
      <w:pPr>
        <w:tabs>
          <w:tab w:val="num" w:pos="1440"/>
        </w:tabs>
        <w:ind w:left="1440" w:hanging="360"/>
      </w:pPr>
      <w:rPr>
        <w:rFonts w:ascii="Arial" w:hAnsi="Arial" w:hint="default"/>
      </w:rPr>
    </w:lvl>
    <w:lvl w:ilvl="2" w:tplc="B8AAE16A" w:tentative="1">
      <w:start w:val="1"/>
      <w:numFmt w:val="bullet"/>
      <w:lvlText w:val="•"/>
      <w:lvlJc w:val="left"/>
      <w:pPr>
        <w:tabs>
          <w:tab w:val="num" w:pos="2160"/>
        </w:tabs>
        <w:ind w:left="2160" w:hanging="360"/>
      </w:pPr>
      <w:rPr>
        <w:rFonts w:ascii="Arial" w:hAnsi="Arial" w:hint="default"/>
      </w:rPr>
    </w:lvl>
    <w:lvl w:ilvl="3" w:tplc="650E4746" w:tentative="1">
      <w:start w:val="1"/>
      <w:numFmt w:val="bullet"/>
      <w:lvlText w:val="•"/>
      <w:lvlJc w:val="left"/>
      <w:pPr>
        <w:tabs>
          <w:tab w:val="num" w:pos="2880"/>
        </w:tabs>
        <w:ind w:left="2880" w:hanging="360"/>
      </w:pPr>
      <w:rPr>
        <w:rFonts w:ascii="Arial" w:hAnsi="Arial" w:hint="default"/>
      </w:rPr>
    </w:lvl>
    <w:lvl w:ilvl="4" w:tplc="B92206E0" w:tentative="1">
      <w:start w:val="1"/>
      <w:numFmt w:val="bullet"/>
      <w:lvlText w:val="•"/>
      <w:lvlJc w:val="left"/>
      <w:pPr>
        <w:tabs>
          <w:tab w:val="num" w:pos="3600"/>
        </w:tabs>
        <w:ind w:left="3600" w:hanging="360"/>
      </w:pPr>
      <w:rPr>
        <w:rFonts w:ascii="Arial" w:hAnsi="Arial" w:hint="default"/>
      </w:rPr>
    </w:lvl>
    <w:lvl w:ilvl="5" w:tplc="35F67872" w:tentative="1">
      <w:start w:val="1"/>
      <w:numFmt w:val="bullet"/>
      <w:lvlText w:val="•"/>
      <w:lvlJc w:val="left"/>
      <w:pPr>
        <w:tabs>
          <w:tab w:val="num" w:pos="4320"/>
        </w:tabs>
        <w:ind w:left="4320" w:hanging="360"/>
      </w:pPr>
      <w:rPr>
        <w:rFonts w:ascii="Arial" w:hAnsi="Arial" w:hint="default"/>
      </w:rPr>
    </w:lvl>
    <w:lvl w:ilvl="6" w:tplc="35148EE2" w:tentative="1">
      <w:start w:val="1"/>
      <w:numFmt w:val="bullet"/>
      <w:lvlText w:val="•"/>
      <w:lvlJc w:val="left"/>
      <w:pPr>
        <w:tabs>
          <w:tab w:val="num" w:pos="5040"/>
        </w:tabs>
        <w:ind w:left="5040" w:hanging="360"/>
      </w:pPr>
      <w:rPr>
        <w:rFonts w:ascii="Arial" w:hAnsi="Arial" w:hint="default"/>
      </w:rPr>
    </w:lvl>
    <w:lvl w:ilvl="7" w:tplc="FA620ED6" w:tentative="1">
      <w:start w:val="1"/>
      <w:numFmt w:val="bullet"/>
      <w:lvlText w:val="•"/>
      <w:lvlJc w:val="left"/>
      <w:pPr>
        <w:tabs>
          <w:tab w:val="num" w:pos="5760"/>
        </w:tabs>
        <w:ind w:left="5760" w:hanging="360"/>
      </w:pPr>
      <w:rPr>
        <w:rFonts w:ascii="Arial" w:hAnsi="Arial" w:hint="default"/>
      </w:rPr>
    </w:lvl>
    <w:lvl w:ilvl="8" w:tplc="A1F25B2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7E5"/>
    <w:rsid w:val="000003D4"/>
    <w:rsid w:val="00000D0D"/>
    <w:rsid w:val="0000227B"/>
    <w:rsid w:val="00015E60"/>
    <w:rsid w:val="0002072A"/>
    <w:rsid w:val="00030490"/>
    <w:rsid w:val="00036182"/>
    <w:rsid w:val="00037F17"/>
    <w:rsid w:val="0005421C"/>
    <w:rsid w:val="0006292B"/>
    <w:rsid w:val="00064659"/>
    <w:rsid w:val="000664AF"/>
    <w:rsid w:val="00070ABF"/>
    <w:rsid w:val="00073FA9"/>
    <w:rsid w:val="000A75FB"/>
    <w:rsid w:val="000C1896"/>
    <w:rsid w:val="000D3397"/>
    <w:rsid w:val="000D7587"/>
    <w:rsid w:val="000E2DA4"/>
    <w:rsid w:val="000E3B70"/>
    <w:rsid w:val="000E7B2B"/>
    <w:rsid w:val="000F39B7"/>
    <w:rsid w:val="000F58DB"/>
    <w:rsid w:val="00130FEE"/>
    <w:rsid w:val="001376E7"/>
    <w:rsid w:val="00181038"/>
    <w:rsid w:val="0019773B"/>
    <w:rsid w:val="001A7D90"/>
    <w:rsid w:val="001B62F9"/>
    <w:rsid w:val="001C54E0"/>
    <w:rsid w:val="001F1A4E"/>
    <w:rsid w:val="0020471C"/>
    <w:rsid w:val="002100E8"/>
    <w:rsid w:val="002253A1"/>
    <w:rsid w:val="00234C85"/>
    <w:rsid w:val="0023526A"/>
    <w:rsid w:val="0025357A"/>
    <w:rsid w:val="0025662E"/>
    <w:rsid w:val="0029314B"/>
    <w:rsid w:val="00297A08"/>
    <w:rsid w:val="002A115C"/>
    <w:rsid w:val="002A7A1D"/>
    <w:rsid w:val="002C4088"/>
    <w:rsid w:val="002C767C"/>
    <w:rsid w:val="002D7086"/>
    <w:rsid w:val="002E0359"/>
    <w:rsid w:val="002E3787"/>
    <w:rsid w:val="002F550C"/>
    <w:rsid w:val="002F7B25"/>
    <w:rsid w:val="00303DFD"/>
    <w:rsid w:val="00310C98"/>
    <w:rsid w:val="00311051"/>
    <w:rsid w:val="00311268"/>
    <w:rsid w:val="00313325"/>
    <w:rsid w:val="00322978"/>
    <w:rsid w:val="003264FC"/>
    <w:rsid w:val="00326A1A"/>
    <w:rsid w:val="00336C03"/>
    <w:rsid w:val="00337A3C"/>
    <w:rsid w:val="0034465B"/>
    <w:rsid w:val="003532CD"/>
    <w:rsid w:val="0036306F"/>
    <w:rsid w:val="00363180"/>
    <w:rsid w:val="0036640C"/>
    <w:rsid w:val="00366CDA"/>
    <w:rsid w:val="00371DD3"/>
    <w:rsid w:val="00390070"/>
    <w:rsid w:val="003A082D"/>
    <w:rsid w:val="003A7E01"/>
    <w:rsid w:val="003C2AB3"/>
    <w:rsid w:val="003C758B"/>
    <w:rsid w:val="003D163D"/>
    <w:rsid w:val="003E454D"/>
    <w:rsid w:val="003F09AF"/>
    <w:rsid w:val="003F0A2C"/>
    <w:rsid w:val="004006C0"/>
    <w:rsid w:val="004044CA"/>
    <w:rsid w:val="00440619"/>
    <w:rsid w:val="00443A1C"/>
    <w:rsid w:val="00476392"/>
    <w:rsid w:val="004821E7"/>
    <w:rsid w:val="004C1068"/>
    <w:rsid w:val="004C1266"/>
    <w:rsid w:val="004C45F0"/>
    <w:rsid w:val="004F1AC1"/>
    <w:rsid w:val="004F53BB"/>
    <w:rsid w:val="005016AA"/>
    <w:rsid w:val="005024EF"/>
    <w:rsid w:val="00523BC0"/>
    <w:rsid w:val="005264D3"/>
    <w:rsid w:val="005324D9"/>
    <w:rsid w:val="00534C20"/>
    <w:rsid w:val="005467E5"/>
    <w:rsid w:val="00546DE4"/>
    <w:rsid w:val="0055178F"/>
    <w:rsid w:val="00552E66"/>
    <w:rsid w:val="005903EB"/>
    <w:rsid w:val="005953CD"/>
    <w:rsid w:val="005B60B9"/>
    <w:rsid w:val="005C321C"/>
    <w:rsid w:val="005D3EF1"/>
    <w:rsid w:val="005E6312"/>
    <w:rsid w:val="005F270C"/>
    <w:rsid w:val="005F72ED"/>
    <w:rsid w:val="0060011A"/>
    <w:rsid w:val="0060396B"/>
    <w:rsid w:val="00604A5B"/>
    <w:rsid w:val="00604B86"/>
    <w:rsid w:val="00607A8C"/>
    <w:rsid w:val="00610C88"/>
    <w:rsid w:val="006161D8"/>
    <w:rsid w:val="00630B31"/>
    <w:rsid w:val="006376C4"/>
    <w:rsid w:val="006418A7"/>
    <w:rsid w:val="00644F7D"/>
    <w:rsid w:val="00646052"/>
    <w:rsid w:val="00655F22"/>
    <w:rsid w:val="00657FAD"/>
    <w:rsid w:val="006601C6"/>
    <w:rsid w:val="00683AEB"/>
    <w:rsid w:val="006B7477"/>
    <w:rsid w:val="006D0057"/>
    <w:rsid w:val="006E2BE3"/>
    <w:rsid w:val="006E6199"/>
    <w:rsid w:val="006E7297"/>
    <w:rsid w:val="006F6DCD"/>
    <w:rsid w:val="00705D55"/>
    <w:rsid w:val="00717DD1"/>
    <w:rsid w:val="0074348B"/>
    <w:rsid w:val="00746FA3"/>
    <w:rsid w:val="00755A45"/>
    <w:rsid w:val="00764C55"/>
    <w:rsid w:val="0076685A"/>
    <w:rsid w:val="00771498"/>
    <w:rsid w:val="007A09F8"/>
    <w:rsid w:val="007A3F7D"/>
    <w:rsid w:val="007B4169"/>
    <w:rsid w:val="007C70F7"/>
    <w:rsid w:val="007D2350"/>
    <w:rsid w:val="007D54C3"/>
    <w:rsid w:val="007F1626"/>
    <w:rsid w:val="007F2E16"/>
    <w:rsid w:val="007F3EC0"/>
    <w:rsid w:val="007F4ECC"/>
    <w:rsid w:val="00801FF5"/>
    <w:rsid w:val="008079A2"/>
    <w:rsid w:val="008150CB"/>
    <w:rsid w:val="0081755E"/>
    <w:rsid w:val="00820C46"/>
    <w:rsid w:val="0082267C"/>
    <w:rsid w:val="00824040"/>
    <w:rsid w:val="008309C4"/>
    <w:rsid w:val="008316C6"/>
    <w:rsid w:val="008350A6"/>
    <w:rsid w:val="00841129"/>
    <w:rsid w:val="00860920"/>
    <w:rsid w:val="00865120"/>
    <w:rsid w:val="00871809"/>
    <w:rsid w:val="00874C4D"/>
    <w:rsid w:val="00884DE4"/>
    <w:rsid w:val="008A086E"/>
    <w:rsid w:val="008A161B"/>
    <w:rsid w:val="008B15E8"/>
    <w:rsid w:val="008B22B9"/>
    <w:rsid w:val="008B2DAA"/>
    <w:rsid w:val="00900369"/>
    <w:rsid w:val="009035B5"/>
    <w:rsid w:val="00903C25"/>
    <w:rsid w:val="00907573"/>
    <w:rsid w:val="00907AD0"/>
    <w:rsid w:val="00912D07"/>
    <w:rsid w:val="00937A4D"/>
    <w:rsid w:val="009516CC"/>
    <w:rsid w:val="0095216F"/>
    <w:rsid w:val="00955E30"/>
    <w:rsid w:val="00966F83"/>
    <w:rsid w:val="009670D9"/>
    <w:rsid w:val="009828E9"/>
    <w:rsid w:val="009940C8"/>
    <w:rsid w:val="009A2F8A"/>
    <w:rsid w:val="009D0534"/>
    <w:rsid w:val="009D0E59"/>
    <w:rsid w:val="009D2DBC"/>
    <w:rsid w:val="009E4B11"/>
    <w:rsid w:val="00A14EC5"/>
    <w:rsid w:val="00A21AE3"/>
    <w:rsid w:val="00A23BDF"/>
    <w:rsid w:val="00A24C6B"/>
    <w:rsid w:val="00A31E28"/>
    <w:rsid w:val="00A348E1"/>
    <w:rsid w:val="00A3621E"/>
    <w:rsid w:val="00A36F14"/>
    <w:rsid w:val="00A43896"/>
    <w:rsid w:val="00A47400"/>
    <w:rsid w:val="00A50611"/>
    <w:rsid w:val="00A757F7"/>
    <w:rsid w:val="00A87BC9"/>
    <w:rsid w:val="00A92185"/>
    <w:rsid w:val="00A9385D"/>
    <w:rsid w:val="00AB2818"/>
    <w:rsid w:val="00AD03AA"/>
    <w:rsid w:val="00AE1BEB"/>
    <w:rsid w:val="00AF2BDA"/>
    <w:rsid w:val="00AF30D8"/>
    <w:rsid w:val="00AF3B3B"/>
    <w:rsid w:val="00B030E1"/>
    <w:rsid w:val="00B04EBC"/>
    <w:rsid w:val="00B17DFD"/>
    <w:rsid w:val="00B27D37"/>
    <w:rsid w:val="00B35DEF"/>
    <w:rsid w:val="00B3698E"/>
    <w:rsid w:val="00B36D0E"/>
    <w:rsid w:val="00B43F45"/>
    <w:rsid w:val="00B50861"/>
    <w:rsid w:val="00B51341"/>
    <w:rsid w:val="00B527D9"/>
    <w:rsid w:val="00B608F9"/>
    <w:rsid w:val="00B73AB7"/>
    <w:rsid w:val="00B75BAA"/>
    <w:rsid w:val="00B97F4D"/>
    <w:rsid w:val="00BB2804"/>
    <w:rsid w:val="00BC003F"/>
    <w:rsid w:val="00BC719B"/>
    <w:rsid w:val="00BD4DFF"/>
    <w:rsid w:val="00BD525F"/>
    <w:rsid w:val="00BE17E0"/>
    <w:rsid w:val="00BE462B"/>
    <w:rsid w:val="00C06A75"/>
    <w:rsid w:val="00C22E94"/>
    <w:rsid w:val="00C310BB"/>
    <w:rsid w:val="00C31C24"/>
    <w:rsid w:val="00C320C3"/>
    <w:rsid w:val="00C34501"/>
    <w:rsid w:val="00C4231E"/>
    <w:rsid w:val="00C451F0"/>
    <w:rsid w:val="00C468F5"/>
    <w:rsid w:val="00C53285"/>
    <w:rsid w:val="00C647C8"/>
    <w:rsid w:val="00CA150A"/>
    <w:rsid w:val="00CA3E42"/>
    <w:rsid w:val="00CB0C19"/>
    <w:rsid w:val="00CB239F"/>
    <w:rsid w:val="00CB3255"/>
    <w:rsid w:val="00CC0371"/>
    <w:rsid w:val="00CD5792"/>
    <w:rsid w:val="00CD6D62"/>
    <w:rsid w:val="00CE1F18"/>
    <w:rsid w:val="00CE3FD3"/>
    <w:rsid w:val="00CE6A32"/>
    <w:rsid w:val="00D13B09"/>
    <w:rsid w:val="00D23450"/>
    <w:rsid w:val="00D74CDF"/>
    <w:rsid w:val="00D74E31"/>
    <w:rsid w:val="00D838CE"/>
    <w:rsid w:val="00D90EA8"/>
    <w:rsid w:val="00DA7671"/>
    <w:rsid w:val="00DC5002"/>
    <w:rsid w:val="00DC515A"/>
    <w:rsid w:val="00DD4D78"/>
    <w:rsid w:val="00DE6C86"/>
    <w:rsid w:val="00DF0FF7"/>
    <w:rsid w:val="00DF5715"/>
    <w:rsid w:val="00DF6388"/>
    <w:rsid w:val="00DF77C9"/>
    <w:rsid w:val="00E05E7C"/>
    <w:rsid w:val="00E06D7B"/>
    <w:rsid w:val="00E11C70"/>
    <w:rsid w:val="00E209ED"/>
    <w:rsid w:val="00E31DAC"/>
    <w:rsid w:val="00E338EC"/>
    <w:rsid w:val="00E45B09"/>
    <w:rsid w:val="00E53218"/>
    <w:rsid w:val="00E620A4"/>
    <w:rsid w:val="00E62CB9"/>
    <w:rsid w:val="00E65ECD"/>
    <w:rsid w:val="00EA5AE0"/>
    <w:rsid w:val="00EA67F7"/>
    <w:rsid w:val="00EA7975"/>
    <w:rsid w:val="00EB33E8"/>
    <w:rsid w:val="00ED1696"/>
    <w:rsid w:val="00ED539F"/>
    <w:rsid w:val="00EE3578"/>
    <w:rsid w:val="00F01D43"/>
    <w:rsid w:val="00F041DC"/>
    <w:rsid w:val="00F13AE7"/>
    <w:rsid w:val="00F203AC"/>
    <w:rsid w:val="00F20EE6"/>
    <w:rsid w:val="00F25100"/>
    <w:rsid w:val="00F32AFF"/>
    <w:rsid w:val="00F33970"/>
    <w:rsid w:val="00F33DE6"/>
    <w:rsid w:val="00F34624"/>
    <w:rsid w:val="00F4117D"/>
    <w:rsid w:val="00F4790E"/>
    <w:rsid w:val="00F53920"/>
    <w:rsid w:val="00F82F07"/>
    <w:rsid w:val="00F8644C"/>
    <w:rsid w:val="00FA4E11"/>
    <w:rsid w:val="00FA767A"/>
    <w:rsid w:val="00FB1546"/>
    <w:rsid w:val="00FC12F7"/>
    <w:rsid w:val="00FC1E7C"/>
    <w:rsid w:val="00FC28DC"/>
    <w:rsid w:val="00FD218E"/>
    <w:rsid w:val="00FD535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55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D43"/>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Reference">
    <w:name w:val="Reference"/>
    <w:basedOn w:val="Normal"/>
    <w:link w:val="ReferenceChar"/>
    <w:rsid w:val="00F01D43"/>
    <w:pPr>
      <w:spacing w:before="120" w:after="0" w:line="360" w:lineRule="auto"/>
      <w:ind w:left="230" w:hanging="230"/>
    </w:pPr>
    <w:rPr>
      <w:rFonts w:ascii="Times New Roman" w:eastAsia="Times New Roman" w:hAnsi="Times New Roman" w:cs="Times New Roman"/>
      <w:sz w:val="20"/>
      <w:szCs w:val="20"/>
    </w:rPr>
  </w:style>
  <w:style w:type="character" w:customStyle="1" w:styleId="ReferenceChar">
    <w:name w:val="Reference Char"/>
    <w:basedOn w:val="DefaultParagraphFont"/>
    <w:link w:val="Reference"/>
    <w:rsid w:val="00F01D4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C1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2F7"/>
    <w:rPr>
      <w:rFonts w:ascii="Tahoma" w:hAnsi="Tahoma" w:cs="Tahoma"/>
      <w:sz w:val="16"/>
      <w:szCs w:val="16"/>
    </w:rPr>
  </w:style>
  <w:style w:type="paragraph" w:styleId="NormalWeb">
    <w:name w:val="Normal (Web)"/>
    <w:basedOn w:val="Normal"/>
    <w:uiPriority w:val="99"/>
    <w:semiHidden/>
    <w:unhideWhenUsed/>
    <w:rsid w:val="009D053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B73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AB7"/>
  </w:style>
  <w:style w:type="paragraph" w:styleId="Footer">
    <w:name w:val="footer"/>
    <w:basedOn w:val="Normal"/>
    <w:link w:val="FooterChar"/>
    <w:uiPriority w:val="99"/>
    <w:unhideWhenUsed/>
    <w:rsid w:val="00B73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AB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D43"/>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Reference">
    <w:name w:val="Reference"/>
    <w:basedOn w:val="Normal"/>
    <w:link w:val="ReferenceChar"/>
    <w:rsid w:val="00F01D43"/>
    <w:pPr>
      <w:spacing w:before="120" w:after="0" w:line="360" w:lineRule="auto"/>
      <w:ind w:left="230" w:hanging="230"/>
    </w:pPr>
    <w:rPr>
      <w:rFonts w:ascii="Times New Roman" w:eastAsia="Times New Roman" w:hAnsi="Times New Roman" w:cs="Times New Roman"/>
      <w:sz w:val="20"/>
      <w:szCs w:val="20"/>
    </w:rPr>
  </w:style>
  <w:style w:type="character" w:customStyle="1" w:styleId="ReferenceChar">
    <w:name w:val="Reference Char"/>
    <w:basedOn w:val="DefaultParagraphFont"/>
    <w:link w:val="Reference"/>
    <w:rsid w:val="00F01D4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C1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2F7"/>
    <w:rPr>
      <w:rFonts w:ascii="Tahoma" w:hAnsi="Tahoma" w:cs="Tahoma"/>
      <w:sz w:val="16"/>
      <w:szCs w:val="16"/>
    </w:rPr>
  </w:style>
  <w:style w:type="paragraph" w:styleId="NormalWeb">
    <w:name w:val="Normal (Web)"/>
    <w:basedOn w:val="Normal"/>
    <w:uiPriority w:val="99"/>
    <w:semiHidden/>
    <w:unhideWhenUsed/>
    <w:rsid w:val="009D053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B73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AB7"/>
  </w:style>
  <w:style w:type="paragraph" w:styleId="Footer">
    <w:name w:val="footer"/>
    <w:basedOn w:val="Normal"/>
    <w:link w:val="FooterChar"/>
    <w:uiPriority w:val="99"/>
    <w:unhideWhenUsed/>
    <w:rsid w:val="00B73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1757">
      <w:bodyDiv w:val="1"/>
      <w:marLeft w:val="0"/>
      <w:marRight w:val="0"/>
      <w:marTop w:val="0"/>
      <w:marBottom w:val="0"/>
      <w:divBdr>
        <w:top w:val="none" w:sz="0" w:space="0" w:color="auto"/>
        <w:left w:val="none" w:sz="0" w:space="0" w:color="auto"/>
        <w:bottom w:val="none" w:sz="0" w:space="0" w:color="auto"/>
        <w:right w:val="none" w:sz="0" w:space="0" w:color="auto"/>
      </w:divBdr>
      <w:divsChild>
        <w:div w:id="2047753307">
          <w:marLeft w:val="0"/>
          <w:marRight w:val="0"/>
          <w:marTop w:val="0"/>
          <w:marBottom w:val="0"/>
          <w:divBdr>
            <w:top w:val="none" w:sz="0" w:space="0" w:color="auto"/>
            <w:left w:val="none" w:sz="0" w:space="0" w:color="auto"/>
            <w:bottom w:val="none" w:sz="0" w:space="0" w:color="auto"/>
            <w:right w:val="none" w:sz="0" w:space="0" w:color="auto"/>
          </w:divBdr>
        </w:div>
        <w:div w:id="107938295">
          <w:marLeft w:val="0"/>
          <w:marRight w:val="0"/>
          <w:marTop w:val="0"/>
          <w:marBottom w:val="0"/>
          <w:divBdr>
            <w:top w:val="none" w:sz="0" w:space="0" w:color="auto"/>
            <w:left w:val="none" w:sz="0" w:space="0" w:color="auto"/>
            <w:bottom w:val="none" w:sz="0" w:space="0" w:color="auto"/>
            <w:right w:val="none" w:sz="0" w:space="0" w:color="auto"/>
          </w:divBdr>
        </w:div>
        <w:div w:id="1599218875">
          <w:marLeft w:val="0"/>
          <w:marRight w:val="0"/>
          <w:marTop w:val="0"/>
          <w:marBottom w:val="0"/>
          <w:divBdr>
            <w:top w:val="none" w:sz="0" w:space="0" w:color="auto"/>
            <w:left w:val="none" w:sz="0" w:space="0" w:color="auto"/>
            <w:bottom w:val="none" w:sz="0" w:space="0" w:color="auto"/>
            <w:right w:val="none" w:sz="0" w:space="0" w:color="auto"/>
          </w:divBdr>
        </w:div>
        <w:div w:id="712080269">
          <w:marLeft w:val="0"/>
          <w:marRight w:val="0"/>
          <w:marTop w:val="0"/>
          <w:marBottom w:val="0"/>
          <w:divBdr>
            <w:top w:val="none" w:sz="0" w:space="0" w:color="auto"/>
            <w:left w:val="none" w:sz="0" w:space="0" w:color="auto"/>
            <w:bottom w:val="none" w:sz="0" w:space="0" w:color="auto"/>
            <w:right w:val="none" w:sz="0" w:space="0" w:color="auto"/>
          </w:divBdr>
        </w:div>
      </w:divsChild>
    </w:div>
    <w:div w:id="179972029">
      <w:bodyDiv w:val="1"/>
      <w:marLeft w:val="0"/>
      <w:marRight w:val="0"/>
      <w:marTop w:val="0"/>
      <w:marBottom w:val="0"/>
      <w:divBdr>
        <w:top w:val="none" w:sz="0" w:space="0" w:color="auto"/>
        <w:left w:val="none" w:sz="0" w:space="0" w:color="auto"/>
        <w:bottom w:val="none" w:sz="0" w:space="0" w:color="auto"/>
        <w:right w:val="none" w:sz="0" w:space="0" w:color="auto"/>
      </w:divBdr>
    </w:div>
    <w:div w:id="517696287">
      <w:bodyDiv w:val="1"/>
      <w:marLeft w:val="0"/>
      <w:marRight w:val="0"/>
      <w:marTop w:val="0"/>
      <w:marBottom w:val="0"/>
      <w:divBdr>
        <w:top w:val="none" w:sz="0" w:space="0" w:color="auto"/>
        <w:left w:val="none" w:sz="0" w:space="0" w:color="auto"/>
        <w:bottom w:val="none" w:sz="0" w:space="0" w:color="auto"/>
        <w:right w:val="none" w:sz="0" w:space="0" w:color="auto"/>
      </w:divBdr>
    </w:div>
    <w:div w:id="670332715">
      <w:bodyDiv w:val="1"/>
      <w:marLeft w:val="0"/>
      <w:marRight w:val="0"/>
      <w:marTop w:val="0"/>
      <w:marBottom w:val="0"/>
      <w:divBdr>
        <w:top w:val="none" w:sz="0" w:space="0" w:color="auto"/>
        <w:left w:val="none" w:sz="0" w:space="0" w:color="auto"/>
        <w:bottom w:val="none" w:sz="0" w:space="0" w:color="auto"/>
        <w:right w:val="none" w:sz="0" w:space="0" w:color="auto"/>
      </w:divBdr>
      <w:divsChild>
        <w:div w:id="56828655">
          <w:marLeft w:val="0"/>
          <w:marRight w:val="0"/>
          <w:marTop w:val="0"/>
          <w:marBottom w:val="0"/>
          <w:divBdr>
            <w:top w:val="none" w:sz="0" w:space="0" w:color="auto"/>
            <w:left w:val="none" w:sz="0" w:space="0" w:color="auto"/>
            <w:bottom w:val="none" w:sz="0" w:space="0" w:color="auto"/>
            <w:right w:val="none" w:sz="0" w:space="0" w:color="auto"/>
          </w:divBdr>
        </w:div>
        <w:div w:id="705983854">
          <w:marLeft w:val="0"/>
          <w:marRight w:val="0"/>
          <w:marTop w:val="0"/>
          <w:marBottom w:val="0"/>
          <w:divBdr>
            <w:top w:val="none" w:sz="0" w:space="0" w:color="auto"/>
            <w:left w:val="none" w:sz="0" w:space="0" w:color="auto"/>
            <w:bottom w:val="none" w:sz="0" w:space="0" w:color="auto"/>
            <w:right w:val="none" w:sz="0" w:space="0" w:color="auto"/>
          </w:divBdr>
        </w:div>
      </w:divsChild>
    </w:div>
    <w:div w:id="688875480">
      <w:bodyDiv w:val="1"/>
      <w:marLeft w:val="0"/>
      <w:marRight w:val="0"/>
      <w:marTop w:val="0"/>
      <w:marBottom w:val="0"/>
      <w:divBdr>
        <w:top w:val="none" w:sz="0" w:space="0" w:color="auto"/>
        <w:left w:val="none" w:sz="0" w:space="0" w:color="auto"/>
        <w:bottom w:val="none" w:sz="0" w:space="0" w:color="auto"/>
        <w:right w:val="none" w:sz="0" w:space="0" w:color="auto"/>
      </w:divBdr>
      <w:divsChild>
        <w:div w:id="672727408">
          <w:marLeft w:val="288"/>
          <w:marRight w:val="0"/>
          <w:marTop w:val="144"/>
          <w:marBottom w:val="0"/>
          <w:divBdr>
            <w:top w:val="none" w:sz="0" w:space="0" w:color="auto"/>
            <w:left w:val="none" w:sz="0" w:space="0" w:color="auto"/>
            <w:bottom w:val="none" w:sz="0" w:space="0" w:color="auto"/>
            <w:right w:val="none" w:sz="0" w:space="0" w:color="auto"/>
          </w:divBdr>
        </w:div>
      </w:divsChild>
    </w:div>
    <w:div w:id="821317191">
      <w:bodyDiv w:val="1"/>
      <w:marLeft w:val="0"/>
      <w:marRight w:val="0"/>
      <w:marTop w:val="0"/>
      <w:marBottom w:val="0"/>
      <w:divBdr>
        <w:top w:val="none" w:sz="0" w:space="0" w:color="auto"/>
        <w:left w:val="none" w:sz="0" w:space="0" w:color="auto"/>
        <w:bottom w:val="none" w:sz="0" w:space="0" w:color="auto"/>
        <w:right w:val="none" w:sz="0" w:space="0" w:color="auto"/>
      </w:divBdr>
      <w:divsChild>
        <w:div w:id="567958822">
          <w:marLeft w:val="288"/>
          <w:marRight w:val="0"/>
          <w:marTop w:val="144"/>
          <w:marBottom w:val="0"/>
          <w:divBdr>
            <w:top w:val="none" w:sz="0" w:space="0" w:color="auto"/>
            <w:left w:val="none" w:sz="0" w:space="0" w:color="auto"/>
            <w:bottom w:val="none" w:sz="0" w:space="0" w:color="auto"/>
            <w:right w:val="none" w:sz="0" w:space="0" w:color="auto"/>
          </w:divBdr>
        </w:div>
      </w:divsChild>
    </w:div>
    <w:div w:id="1551310327">
      <w:bodyDiv w:val="1"/>
      <w:marLeft w:val="0"/>
      <w:marRight w:val="0"/>
      <w:marTop w:val="0"/>
      <w:marBottom w:val="0"/>
      <w:divBdr>
        <w:top w:val="none" w:sz="0" w:space="0" w:color="auto"/>
        <w:left w:val="none" w:sz="0" w:space="0" w:color="auto"/>
        <w:bottom w:val="none" w:sz="0" w:space="0" w:color="auto"/>
        <w:right w:val="none" w:sz="0" w:space="0" w:color="auto"/>
      </w:divBdr>
    </w:div>
    <w:div w:id="1606840992">
      <w:bodyDiv w:val="1"/>
      <w:marLeft w:val="0"/>
      <w:marRight w:val="0"/>
      <w:marTop w:val="0"/>
      <w:marBottom w:val="0"/>
      <w:divBdr>
        <w:top w:val="none" w:sz="0" w:space="0" w:color="auto"/>
        <w:left w:val="none" w:sz="0" w:space="0" w:color="auto"/>
        <w:bottom w:val="none" w:sz="0" w:space="0" w:color="auto"/>
        <w:right w:val="none" w:sz="0" w:space="0" w:color="auto"/>
      </w:divBdr>
      <w:divsChild>
        <w:div w:id="569075184">
          <w:marLeft w:val="0"/>
          <w:marRight w:val="0"/>
          <w:marTop w:val="0"/>
          <w:marBottom w:val="0"/>
          <w:divBdr>
            <w:top w:val="none" w:sz="0" w:space="0" w:color="auto"/>
            <w:left w:val="none" w:sz="0" w:space="0" w:color="auto"/>
            <w:bottom w:val="none" w:sz="0" w:space="0" w:color="auto"/>
            <w:right w:val="none" w:sz="0" w:space="0" w:color="auto"/>
          </w:divBdr>
        </w:div>
        <w:div w:id="1593931842">
          <w:marLeft w:val="0"/>
          <w:marRight w:val="0"/>
          <w:marTop w:val="0"/>
          <w:marBottom w:val="0"/>
          <w:divBdr>
            <w:top w:val="none" w:sz="0" w:space="0" w:color="auto"/>
            <w:left w:val="none" w:sz="0" w:space="0" w:color="auto"/>
            <w:bottom w:val="none" w:sz="0" w:space="0" w:color="auto"/>
            <w:right w:val="none" w:sz="0" w:space="0" w:color="auto"/>
          </w:divBdr>
        </w:div>
        <w:div w:id="808278663">
          <w:marLeft w:val="0"/>
          <w:marRight w:val="0"/>
          <w:marTop w:val="0"/>
          <w:marBottom w:val="0"/>
          <w:divBdr>
            <w:top w:val="none" w:sz="0" w:space="0" w:color="auto"/>
            <w:left w:val="none" w:sz="0" w:space="0" w:color="auto"/>
            <w:bottom w:val="none" w:sz="0" w:space="0" w:color="auto"/>
            <w:right w:val="none" w:sz="0" w:space="0" w:color="auto"/>
          </w:divBdr>
        </w:div>
        <w:div w:id="383332227">
          <w:marLeft w:val="0"/>
          <w:marRight w:val="0"/>
          <w:marTop w:val="0"/>
          <w:marBottom w:val="0"/>
          <w:divBdr>
            <w:top w:val="none" w:sz="0" w:space="0" w:color="auto"/>
            <w:left w:val="none" w:sz="0" w:space="0" w:color="auto"/>
            <w:bottom w:val="none" w:sz="0" w:space="0" w:color="auto"/>
            <w:right w:val="none" w:sz="0" w:space="0" w:color="auto"/>
          </w:divBdr>
        </w:div>
        <w:div w:id="1568032182">
          <w:marLeft w:val="0"/>
          <w:marRight w:val="0"/>
          <w:marTop w:val="0"/>
          <w:marBottom w:val="0"/>
          <w:divBdr>
            <w:top w:val="none" w:sz="0" w:space="0" w:color="auto"/>
            <w:left w:val="none" w:sz="0" w:space="0" w:color="auto"/>
            <w:bottom w:val="none" w:sz="0" w:space="0" w:color="auto"/>
            <w:right w:val="none" w:sz="0" w:space="0" w:color="auto"/>
          </w:divBdr>
        </w:div>
        <w:div w:id="1999771672">
          <w:marLeft w:val="0"/>
          <w:marRight w:val="0"/>
          <w:marTop w:val="0"/>
          <w:marBottom w:val="0"/>
          <w:divBdr>
            <w:top w:val="none" w:sz="0" w:space="0" w:color="auto"/>
            <w:left w:val="none" w:sz="0" w:space="0" w:color="auto"/>
            <w:bottom w:val="none" w:sz="0" w:space="0" w:color="auto"/>
            <w:right w:val="none" w:sz="0" w:space="0" w:color="auto"/>
          </w:divBdr>
        </w:div>
        <w:div w:id="1375545282">
          <w:marLeft w:val="0"/>
          <w:marRight w:val="0"/>
          <w:marTop w:val="0"/>
          <w:marBottom w:val="0"/>
          <w:divBdr>
            <w:top w:val="none" w:sz="0" w:space="0" w:color="auto"/>
            <w:left w:val="none" w:sz="0" w:space="0" w:color="auto"/>
            <w:bottom w:val="none" w:sz="0" w:space="0" w:color="auto"/>
            <w:right w:val="none" w:sz="0" w:space="0" w:color="auto"/>
          </w:divBdr>
        </w:div>
        <w:div w:id="1170876424">
          <w:marLeft w:val="0"/>
          <w:marRight w:val="0"/>
          <w:marTop w:val="0"/>
          <w:marBottom w:val="0"/>
          <w:divBdr>
            <w:top w:val="none" w:sz="0" w:space="0" w:color="auto"/>
            <w:left w:val="none" w:sz="0" w:space="0" w:color="auto"/>
            <w:bottom w:val="none" w:sz="0" w:space="0" w:color="auto"/>
            <w:right w:val="none" w:sz="0" w:space="0" w:color="auto"/>
          </w:divBdr>
        </w:div>
      </w:divsChild>
    </w:div>
    <w:div w:id="1917864458">
      <w:bodyDiv w:val="1"/>
      <w:marLeft w:val="0"/>
      <w:marRight w:val="0"/>
      <w:marTop w:val="0"/>
      <w:marBottom w:val="0"/>
      <w:divBdr>
        <w:top w:val="none" w:sz="0" w:space="0" w:color="auto"/>
        <w:left w:val="none" w:sz="0" w:space="0" w:color="auto"/>
        <w:bottom w:val="none" w:sz="0" w:space="0" w:color="auto"/>
        <w:right w:val="none" w:sz="0" w:space="0" w:color="auto"/>
      </w:divBdr>
      <w:divsChild>
        <w:div w:id="1733430223">
          <w:marLeft w:val="0"/>
          <w:marRight w:val="0"/>
          <w:marTop w:val="0"/>
          <w:marBottom w:val="0"/>
          <w:divBdr>
            <w:top w:val="none" w:sz="0" w:space="0" w:color="auto"/>
            <w:left w:val="none" w:sz="0" w:space="0" w:color="auto"/>
            <w:bottom w:val="none" w:sz="0" w:space="0" w:color="auto"/>
            <w:right w:val="none" w:sz="0" w:space="0" w:color="auto"/>
          </w:divBdr>
        </w:div>
        <w:div w:id="370958359">
          <w:marLeft w:val="0"/>
          <w:marRight w:val="0"/>
          <w:marTop w:val="0"/>
          <w:marBottom w:val="0"/>
          <w:divBdr>
            <w:top w:val="none" w:sz="0" w:space="0" w:color="auto"/>
            <w:left w:val="none" w:sz="0" w:space="0" w:color="auto"/>
            <w:bottom w:val="none" w:sz="0" w:space="0" w:color="auto"/>
            <w:right w:val="none" w:sz="0" w:space="0" w:color="auto"/>
          </w:divBdr>
        </w:div>
      </w:divsChild>
    </w:div>
    <w:div w:id="2143649326">
      <w:bodyDiv w:val="1"/>
      <w:marLeft w:val="0"/>
      <w:marRight w:val="0"/>
      <w:marTop w:val="0"/>
      <w:marBottom w:val="0"/>
      <w:divBdr>
        <w:top w:val="none" w:sz="0" w:space="0" w:color="auto"/>
        <w:left w:val="none" w:sz="0" w:space="0" w:color="auto"/>
        <w:bottom w:val="none" w:sz="0" w:space="0" w:color="auto"/>
        <w:right w:val="none" w:sz="0" w:space="0" w:color="auto"/>
      </w:divBdr>
      <w:divsChild>
        <w:div w:id="894514486">
          <w:marLeft w:val="288"/>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E2BF0-213A-B74C-872E-6B24C1859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5937</Words>
  <Characters>33846</Characters>
  <Application>Microsoft Macintosh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39704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Buxton</dc:creator>
  <cp:lastModifiedBy>Lesley K  Woods</cp:lastModifiedBy>
  <cp:revision>4</cp:revision>
  <cp:lastPrinted>2017-07-21T05:34:00Z</cp:lastPrinted>
  <dcterms:created xsi:type="dcterms:W3CDTF">2017-07-24T02:53:00Z</dcterms:created>
  <dcterms:modified xsi:type="dcterms:W3CDTF">2018-04-24T04:23:00Z</dcterms:modified>
</cp:coreProperties>
</file>