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F13" w:rsidRDefault="00726F13" w:rsidP="00726F13">
      <w:pPr>
        <w:jc w:val="center"/>
        <w:rPr>
          <w:rFonts w:ascii="Arial" w:hAnsi="Arial" w:cs="Arial"/>
          <w:b/>
          <w:sz w:val="28"/>
          <w:szCs w:val="28"/>
        </w:rPr>
      </w:pPr>
      <w:r w:rsidRPr="00726F13">
        <w:rPr>
          <w:rFonts w:ascii="Arial" w:hAnsi="Arial" w:cs="Arial"/>
          <w:b/>
          <w:sz w:val="28"/>
          <w:szCs w:val="28"/>
        </w:rPr>
        <w:t>Supporting evidence-informed urban policy and practice: a role for digital collections</w:t>
      </w:r>
    </w:p>
    <w:p w:rsidR="00B1127C" w:rsidRPr="00DD25F6" w:rsidRDefault="00B1127C" w:rsidP="00B1127C">
      <w:pPr>
        <w:spacing w:after="0" w:line="240" w:lineRule="auto"/>
        <w:jc w:val="center"/>
        <w:rPr>
          <w:rFonts w:ascii="Arial" w:hAnsi="Arial" w:cs="Arial"/>
          <w:sz w:val="24"/>
          <w:szCs w:val="20"/>
        </w:rPr>
      </w:pPr>
      <w:r w:rsidRPr="00DD25F6">
        <w:rPr>
          <w:rFonts w:ascii="Arial" w:hAnsi="Arial" w:cs="Arial"/>
          <w:sz w:val="24"/>
          <w:szCs w:val="20"/>
        </w:rPr>
        <w:t>Anna Hyland</w:t>
      </w:r>
    </w:p>
    <w:p w:rsidR="00B1127C" w:rsidRDefault="00B1127C" w:rsidP="00B1127C">
      <w:pPr>
        <w:spacing w:after="0" w:line="240" w:lineRule="auto"/>
        <w:jc w:val="center"/>
        <w:rPr>
          <w:rFonts w:ascii="Arial" w:hAnsi="Arial" w:cs="Arial"/>
          <w:sz w:val="24"/>
          <w:szCs w:val="20"/>
        </w:rPr>
      </w:pPr>
      <w:r w:rsidRPr="00DD25F6">
        <w:rPr>
          <w:rFonts w:ascii="Arial" w:hAnsi="Arial" w:cs="Arial"/>
          <w:sz w:val="24"/>
          <w:szCs w:val="20"/>
        </w:rPr>
        <w:t>RMIT University</w:t>
      </w:r>
    </w:p>
    <w:p w:rsidR="00B1127C" w:rsidRPr="00DD25F6" w:rsidRDefault="00B1127C" w:rsidP="00B1127C">
      <w:pPr>
        <w:spacing w:after="0" w:line="240" w:lineRule="auto"/>
        <w:jc w:val="center"/>
        <w:rPr>
          <w:rFonts w:ascii="Arial" w:hAnsi="Arial" w:cs="Arial"/>
          <w:sz w:val="24"/>
          <w:szCs w:val="20"/>
        </w:rPr>
      </w:pPr>
    </w:p>
    <w:p w:rsidR="005730FF" w:rsidRPr="00726F13" w:rsidRDefault="00F768F1" w:rsidP="00726F13">
      <w:pPr>
        <w:jc w:val="both"/>
        <w:rPr>
          <w:rFonts w:ascii="Arial" w:hAnsi="Arial" w:cs="Arial"/>
        </w:rPr>
      </w:pPr>
      <w:r w:rsidRPr="00726F13">
        <w:rPr>
          <w:rFonts w:ascii="Arial" w:hAnsi="Arial" w:cs="Arial"/>
        </w:rPr>
        <w:t xml:space="preserve">Abstract: </w:t>
      </w:r>
      <w:r w:rsidR="005730FF" w:rsidRPr="00726F13">
        <w:rPr>
          <w:rFonts w:ascii="Arial" w:hAnsi="Arial" w:cs="Arial"/>
        </w:rPr>
        <w:t xml:space="preserve">Access to current and historical urban policy resources is important—for informed decision-making and democratic </w:t>
      </w:r>
      <w:bookmarkStart w:id="0" w:name="_GoBack"/>
      <w:bookmarkEnd w:id="0"/>
      <w:r w:rsidR="005730FF" w:rsidRPr="00726F13">
        <w:rPr>
          <w:rFonts w:ascii="Arial" w:hAnsi="Arial" w:cs="Arial"/>
        </w:rPr>
        <w:t>debate. Systematic historical analysis can be an important tool for planning practitioners (Abbott &amp; Sydler 1989; Ward, Freestone &amp; Silver: 2011). Access to policy resources is critical to understanding policy context, analysing path dependencies and critiquing accepted knowledge of what is possible for Australian cities.</w:t>
      </w:r>
    </w:p>
    <w:p w:rsidR="005730FF" w:rsidRPr="00726F13" w:rsidRDefault="005730FF" w:rsidP="00726F13">
      <w:pPr>
        <w:jc w:val="both"/>
        <w:rPr>
          <w:rFonts w:ascii="Arial" w:hAnsi="Arial" w:cs="Arial"/>
        </w:rPr>
      </w:pPr>
      <w:r w:rsidRPr="00726F13">
        <w:rPr>
          <w:rFonts w:ascii="Arial" w:hAnsi="Arial" w:cs="Arial"/>
        </w:rPr>
        <w:t xml:space="preserve">Despite this, there is little research on strategies for management or use of </w:t>
      </w:r>
      <w:r w:rsidRPr="00726F13">
        <w:rPr>
          <w:rFonts w:ascii="Arial" w:hAnsi="Arial" w:cs="Arial"/>
          <w:color w:val="222222"/>
          <w:shd w:val="clear" w:color="auto" w:fill="FFFFFF"/>
        </w:rPr>
        <w:t>historic policy resources,</w:t>
      </w:r>
      <w:r w:rsidRPr="00726F13">
        <w:rPr>
          <w:rFonts w:ascii="Arial" w:hAnsi="Arial" w:cs="Arial"/>
        </w:rPr>
        <w:t xml:space="preserve"> especially ‘grey literature’—material published directly by government, universities, think tanks and commercial consultants (Lawrence et al 2014). Collection of key historic urban policy material is inconsistent across jurisdictions and levels of government. Contemporary resources that are ‘born digital’ are removed from the internet in ad hoc ways, raising concerns of a ‘digital dark age’. Barriers to practitioner use of evidence (Taylor &amp; Hurley 2015) and the closure of specialist libraries underscore the need for a more strategic approach.</w:t>
      </w:r>
    </w:p>
    <w:p w:rsidR="005730FF" w:rsidRPr="00726F13" w:rsidRDefault="005730FF" w:rsidP="00726F13">
      <w:pPr>
        <w:jc w:val="both"/>
        <w:rPr>
          <w:rFonts w:ascii="Arial" w:hAnsi="Arial" w:cs="Arial"/>
        </w:rPr>
      </w:pPr>
      <w:r w:rsidRPr="00726F13">
        <w:rPr>
          <w:rFonts w:ascii="Arial" w:hAnsi="Arial" w:cs="Arial"/>
        </w:rPr>
        <w:t>In this context, Australian Policy Online and university partners embarked on the Urban Policy and Practice collection, funded by an Australian Research Council grant. The project sought to develop a curated, free, online collection of significant urban policy material.</w:t>
      </w:r>
    </w:p>
    <w:p w:rsidR="005730FF" w:rsidRDefault="005730FF" w:rsidP="00726F13">
      <w:pPr>
        <w:jc w:val="both"/>
        <w:rPr>
          <w:rFonts w:ascii="Arial" w:hAnsi="Arial" w:cs="Arial"/>
        </w:rPr>
      </w:pPr>
      <w:r w:rsidRPr="00726F13">
        <w:rPr>
          <w:rFonts w:ascii="Arial" w:hAnsi="Arial" w:cs="Arial"/>
        </w:rPr>
        <w:t xml:space="preserve">This paper briefly reviews literature on the role of historical analysis </w:t>
      </w:r>
      <w:r w:rsidR="00726F13" w:rsidRPr="00726F13">
        <w:rPr>
          <w:rFonts w:ascii="Arial" w:hAnsi="Arial" w:cs="Arial"/>
        </w:rPr>
        <w:t>and evidence-informed planning</w:t>
      </w:r>
      <w:r w:rsidRPr="00726F13">
        <w:rPr>
          <w:rFonts w:ascii="Arial" w:hAnsi="Arial" w:cs="Arial"/>
        </w:rPr>
        <w:t>. It describes the processes undertaken to develop the Urban Policy and Practice collection. Ultimately, it argues that strategic digital collections can play a role in supporting informed policy making, analysis and debate about Australian cities.</w:t>
      </w:r>
    </w:p>
    <w:p w:rsidR="00726F13" w:rsidRPr="00726F13" w:rsidRDefault="00726F13" w:rsidP="00726F13">
      <w:pPr>
        <w:jc w:val="both"/>
        <w:rPr>
          <w:rFonts w:ascii="Arial" w:hAnsi="Arial" w:cs="Arial"/>
        </w:rPr>
      </w:pPr>
      <w:r>
        <w:rPr>
          <w:rFonts w:ascii="Arial" w:hAnsi="Arial" w:cs="Arial"/>
        </w:rPr>
        <w:t>Key words: Urban policy; Information resources management; Evidence-informed planning</w:t>
      </w:r>
    </w:p>
    <w:p w:rsidR="005730FF" w:rsidRPr="00726F13" w:rsidRDefault="005730FF" w:rsidP="00726F13">
      <w:pPr>
        <w:jc w:val="both"/>
        <w:rPr>
          <w:rFonts w:ascii="Arial" w:hAnsi="Arial" w:cs="Arial"/>
          <w:b/>
        </w:rPr>
      </w:pPr>
      <w:r w:rsidRPr="00726F13">
        <w:rPr>
          <w:rFonts w:ascii="Arial" w:hAnsi="Arial" w:cs="Arial"/>
          <w:b/>
        </w:rPr>
        <w:t>Introduction</w:t>
      </w:r>
    </w:p>
    <w:p w:rsidR="005A73A5" w:rsidRPr="00726F13" w:rsidRDefault="005730FF" w:rsidP="00726F13">
      <w:pPr>
        <w:jc w:val="both"/>
        <w:rPr>
          <w:rFonts w:ascii="Arial" w:hAnsi="Arial" w:cs="Arial"/>
          <w:sz w:val="20"/>
          <w:szCs w:val="20"/>
        </w:rPr>
      </w:pPr>
      <w:r w:rsidRPr="00726F13">
        <w:rPr>
          <w:rFonts w:ascii="Arial" w:hAnsi="Arial" w:cs="Arial"/>
          <w:sz w:val="20"/>
          <w:szCs w:val="20"/>
        </w:rPr>
        <w:t xml:space="preserve">In </w:t>
      </w:r>
      <w:r w:rsidR="007C1002" w:rsidRPr="00726F13">
        <w:rPr>
          <w:rFonts w:ascii="Arial" w:hAnsi="Arial" w:cs="Arial"/>
          <w:sz w:val="20"/>
          <w:szCs w:val="20"/>
        </w:rPr>
        <w:t>2012</w:t>
      </w:r>
      <w:r w:rsidRPr="00726F13">
        <w:rPr>
          <w:rFonts w:ascii="Arial" w:hAnsi="Arial" w:cs="Arial"/>
          <w:sz w:val="20"/>
          <w:szCs w:val="20"/>
        </w:rPr>
        <w:t xml:space="preserve">, the late Paul Mees wrote a strident critique of Canberra’s </w:t>
      </w:r>
      <w:r w:rsidR="00DD03E8" w:rsidRPr="00726F13">
        <w:rPr>
          <w:rFonts w:ascii="Arial" w:hAnsi="Arial" w:cs="Arial"/>
          <w:sz w:val="20"/>
          <w:szCs w:val="20"/>
        </w:rPr>
        <w:t xml:space="preserve">fatalistic acceptance of car dominance, drawing </w:t>
      </w:r>
      <w:r w:rsidRPr="00726F13">
        <w:rPr>
          <w:rFonts w:ascii="Arial" w:hAnsi="Arial" w:cs="Arial"/>
          <w:sz w:val="20"/>
          <w:szCs w:val="20"/>
        </w:rPr>
        <w:t xml:space="preserve">on a </w:t>
      </w:r>
      <w:r w:rsidR="005A73A5" w:rsidRPr="00726F13">
        <w:rPr>
          <w:rFonts w:ascii="Arial" w:hAnsi="Arial" w:cs="Arial"/>
          <w:sz w:val="20"/>
          <w:szCs w:val="20"/>
        </w:rPr>
        <w:t>missing</w:t>
      </w:r>
      <w:r w:rsidRPr="00726F13">
        <w:rPr>
          <w:rFonts w:ascii="Arial" w:hAnsi="Arial" w:cs="Arial"/>
          <w:sz w:val="20"/>
          <w:szCs w:val="20"/>
        </w:rPr>
        <w:t xml:space="preserve"> policy strategy. </w:t>
      </w:r>
      <w:r w:rsidR="007C1002" w:rsidRPr="00726F13">
        <w:rPr>
          <w:rFonts w:ascii="Arial" w:hAnsi="Arial" w:cs="Arial"/>
          <w:sz w:val="20"/>
          <w:szCs w:val="20"/>
        </w:rPr>
        <w:t>The Canberra Short Term Transport Planning Study of 1976 had advocated a ‘‘travel demand management’ policy package comprising increased investment in public transport, reduced investment in roads, increased traffic congestion…and charging for parking’ (Mees 2012: 5-6). Despite apparent success in increasing public transport decreasing car use, Mees argues that the report was suppressed by the National Capital Development Commission as ‘it was never published, and never publicly mentioned again. All copies mysteriously vanished from the Commission’s library and even its archives.’ (Mees 2012: 9)</w:t>
      </w:r>
      <w:r w:rsidR="00DD03E8" w:rsidRPr="00726F13">
        <w:rPr>
          <w:rFonts w:ascii="Arial" w:hAnsi="Arial" w:cs="Arial"/>
          <w:sz w:val="20"/>
          <w:szCs w:val="20"/>
        </w:rPr>
        <w:t>. He suggests that policy makers took a limited view of what was possible for their city, because of their ignorance of the recent past.</w:t>
      </w:r>
    </w:p>
    <w:p w:rsidR="005730FF" w:rsidRPr="00726F13" w:rsidRDefault="005730FF" w:rsidP="00726F13">
      <w:pPr>
        <w:jc w:val="both"/>
        <w:rPr>
          <w:rFonts w:ascii="Arial" w:hAnsi="Arial" w:cs="Arial"/>
          <w:sz w:val="20"/>
          <w:szCs w:val="20"/>
        </w:rPr>
      </w:pPr>
      <w:r w:rsidRPr="00726F13">
        <w:rPr>
          <w:rFonts w:ascii="Arial" w:hAnsi="Arial" w:cs="Arial"/>
          <w:sz w:val="20"/>
          <w:szCs w:val="20"/>
        </w:rPr>
        <w:t xml:space="preserve">More recently </w:t>
      </w:r>
      <w:r w:rsidR="00306A39" w:rsidRPr="00726F13">
        <w:rPr>
          <w:rFonts w:ascii="Arial" w:hAnsi="Arial" w:cs="Arial"/>
          <w:sz w:val="20"/>
          <w:szCs w:val="20"/>
        </w:rPr>
        <w:t xml:space="preserve">I heard </w:t>
      </w:r>
      <w:r w:rsidRPr="00726F13">
        <w:rPr>
          <w:rFonts w:ascii="Arial" w:hAnsi="Arial" w:cs="Arial"/>
          <w:sz w:val="20"/>
          <w:szCs w:val="20"/>
        </w:rPr>
        <w:t xml:space="preserve">an anecdote about a strategy, written over six months by a government department. There had been a recent restructure, but the new team was enthusiastic </w:t>
      </w:r>
      <w:r w:rsidR="005A73A5" w:rsidRPr="00726F13">
        <w:rPr>
          <w:rFonts w:ascii="Arial" w:hAnsi="Arial" w:cs="Arial"/>
          <w:sz w:val="20"/>
          <w:szCs w:val="20"/>
        </w:rPr>
        <w:t xml:space="preserve">about using </w:t>
      </w:r>
      <w:r w:rsidRPr="00726F13">
        <w:rPr>
          <w:rFonts w:ascii="Arial" w:hAnsi="Arial" w:cs="Arial"/>
          <w:sz w:val="20"/>
          <w:szCs w:val="20"/>
        </w:rPr>
        <w:t>eviden</w:t>
      </w:r>
      <w:r w:rsidR="00306A39" w:rsidRPr="00726F13">
        <w:rPr>
          <w:rFonts w:ascii="Arial" w:hAnsi="Arial" w:cs="Arial"/>
          <w:sz w:val="20"/>
          <w:szCs w:val="20"/>
        </w:rPr>
        <w:t xml:space="preserve">ce </w:t>
      </w:r>
      <w:r w:rsidR="005A73A5" w:rsidRPr="00726F13">
        <w:rPr>
          <w:rFonts w:ascii="Arial" w:hAnsi="Arial" w:cs="Arial"/>
          <w:sz w:val="20"/>
          <w:szCs w:val="20"/>
        </w:rPr>
        <w:t xml:space="preserve">to develop </w:t>
      </w:r>
      <w:r w:rsidR="00306A39" w:rsidRPr="00726F13">
        <w:rPr>
          <w:rFonts w:ascii="Arial" w:hAnsi="Arial" w:cs="Arial"/>
          <w:sz w:val="20"/>
          <w:szCs w:val="20"/>
        </w:rPr>
        <w:t>their policy. However, s</w:t>
      </w:r>
      <w:r w:rsidRPr="00726F13">
        <w:rPr>
          <w:rFonts w:ascii="Arial" w:hAnsi="Arial" w:cs="Arial"/>
          <w:sz w:val="20"/>
          <w:szCs w:val="20"/>
        </w:rPr>
        <w:t xml:space="preserve">hortly prior to release, one of the team members </w:t>
      </w:r>
      <w:r w:rsidR="00306A39" w:rsidRPr="00726F13">
        <w:rPr>
          <w:rFonts w:ascii="Arial" w:hAnsi="Arial" w:cs="Arial"/>
          <w:sz w:val="20"/>
          <w:szCs w:val="20"/>
        </w:rPr>
        <w:t xml:space="preserve">stumbled </w:t>
      </w:r>
      <w:r w:rsidRPr="00726F13">
        <w:rPr>
          <w:rFonts w:ascii="Arial" w:hAnsi="Arial" w:cs="Arial"/>
          <w:sz w:val="20"/>
          <w:szCs w:val="20"/>
        </w:rPr>
        <w:t xml:space="preserve">across a </w:t>
      </w:r>
      <w:r w:rsidR="00306A39" w:rsidRPr="00726F13">
        <w:rPr>
          <w:rFonts w:ascii="Arial" w:hAnsi="Arial" w:cs="Arial"/>
          <w:sz w:val="20"/>
          <w:szCs w:val="20"/>
        </w:rPr>
        <w:t>detailed report</w:t>
      </w:r>
      <w:r w:rsidRPr="00726F13">
        <w:rPr>
          <w:rFonts w:ascii="Arial" w:hAnsi="Arial" w:cs="Arial"/>
          <w:sz w:val="20"/>
          <w:szCs w:val="20"/>
        </w:rPr>
        <w:t xml:space="preserve"> written by the Department just three years earlier. It dealt with the same issue, </w:t>
      </w:r>
      <w:r w:rsidR="007C1002" w:rsidRPr="00726F13">
        <w:rPr>
          <w:rFonts w:ascii="Arial" w:hAnsi="Arial" w:cs="Arial"/>
          <w:sz w:val="20"/>
          <w:szCs w:val="20"/>
        </w:rPr>
        <w:t>backed up with research</w:t>
      </w:r>
      <w:r w:rsidRPr="00726F13">
        <w:rPr>
          <w:rFonts w:ascii="Arial" w:hAnsi="Arial" w:cs="Arial"/>
          <w:sz w:val="20"/>
          <w:szCs w:val="20"/>
        </w:rPr>
        <w:t>, and with (fortunately?) identical conclusions.</w:t>
      </w:r>
      <w:r w:rsidR="00306A39" w:rsidRPr="00726F13">
        <w:rPr>
          <w:rFonts w:ascii="Arial" w:hAnsi="Arial" w:cs="Arial"/>
          <w:sz w:val="20"/>
          <w:szCs w:val="20"/>
        </w:rPr>
        <w:t xml:space="preserve"> Six months of </w:t>
      </w:r>
      <w:r w:rsidR="005A73A5" w:rsidRPr="00726F13">
        <w:rPr>
          <w:rFonts w:ascii="Arial" w:hAnsi="Arial" w:cs="Arial"/>
          <w:sz w:val="20"/>
          <w:szCs w:val="20"/>
        </w:rPr>
        <w:t>research and analysis</w:t>
      </w:r>
      <w:r w:rsidR="00306A39" w:rsidRPr="00726F13">
        <w:rPr>
          <w:rFonts w:ascii="Arial" w:hAnsi="Arial" w:cs="Arial"/>
          <w:sz w:val="20"/>
          <w:szCs w:val="20"/>
        </w:rPr>
        <w:t xml:space="preserve"> became, almost by chance, redundant. </w:t>
      </w:r>
    </w:p>
    <w:p w:rsidR="005730FF" w:rsidRPr="00726F13" w:rsidRDefault="005730FF" w:rsidP="00726F13">
      <w:pPr>
        <w:jc w:val="both"/>
        <w:rPr>
          <w:rFonts w:ascii="Arial" w:hAnsi="Arial" w:cs="Arial"/>
          <w:sz w:val="20"/>
          <w:szCs w:val="20"/>
        </w:rPr>
      </w:pPr>
      <w:r w:rsidRPr="00726F13">
        <w:rPr>
          <w:rFonts w:ascii="Arial" w:hAnsi="Arial" w:cs="Arial"/>
          <w:sz w:val="20"/>
          <w:szCs w:val="20"/>
        </w:rPr>
        <w:t>In this age of internet based research, w</w:t>
      </w:r>
      <w:r w:rsidR="00DD03E8" w:rsidRPr="00726F13">
        <w:rPr>
          <w:rFonts w:ascii="Arial" w:hAnsi="Arial" w:cs="Arial"/>
          <w:sz w:val="20"/>
          <w:szCs w:val="20"/>
        </w:rPr>
        <w:t xml:space="preserve">e are conditioned to think that access </w:t>
      </w:r>
      <w:r w:rsidR="00306A39" w:rsidRPr="00726F13">
        <w:rPr>
          <w:rFonts w:ascii="Arial" w:hAnsi="Arial" w:cs="Arial"/>
          <w:sz w:val="20"/>
          <w:szCs w:val="20"/>
        </w:rPr>
        <w:t xml:space="preserve">to evidence for good urban planning is no longer at issue. However, </w:t>
      </w:r>
      <w:r w:rsidR="007422B4" w:rsidRPr="00726F13">
        <w:rPr>
          <w:rFonts w:ascii="Arial" w:hAnsi="Arial" w:cs="Arial"/>
          <w:sz w:val="20"/>
          <w:szCs w:val="20"/>
        </w:rPr>
        <w:t xml:space="preserve">as </w:t>
      </w:r>
      <w:r w:rsidR="00306A39" w:rsidRPr="00726F13">
        <w:rPr>
          <w:rFonts w:ascii="Arial" w:hAnsi="Arial" w:cs="Arial"/>
          <w:sz w:val="20"/>
          <w:szCs w:val="20"/>
        </w:rPr>
        <w:t xml:space="preserve">these </w:t>
      </w:r>
      <w:r w:rsidR="00BB2572" w:rsidRPr="00726F13">
        <w:rPr>
          <w:rFonts w:ascii="Arial" w:hAnsi="Arial" w:cs="Arial"/>
          <w:sz w:val="20"/>
          <w:szCs w:val="20"/>
        </w:rPr>
        <w:t xml:space="preserve">examples </w:t>
      </w:r>
      <w:r w:rsidR="00267910" w:rsidRPr="00726F13">
        <w:rPr>
          <w:rFonts w:ascii="Arial" w:hAnsi="Arial" w:cs="Arial"/>
          <w:sz w:val="20"/>
          <w:szCs w:val="20"/>
        </w:rPr>
        <w:t>suggest</w:t>
      </w:r>
      <w:r w:rsidR="007422B4" w:rsidRPr="00726F13">
        <w:rPr>
          <w:rFonts w:ascii="Arial" w:hAnsi="Arial" w:cs="Arial"/>
          <w:sz w:val="20"/>
          <w:szCs w:val="20"/>
        </w:rPr>
        <w:t xml:space="preserve">, it can be difficult to access </w:t>
      </w:r>
      <w:r w:rsidR="007422B4" w:rsidRPr="00726F13">
        <w:rPr>
          <w:rFonts w:ascii="Arial" w:hAnsi="Arial" w:cs="Arial"/>
          <w:sz w:val="20"/>
          <w:szCs w:val="20"/>
        </w:rPr>
        <w:lastRenderedPageBreak/>
        <w:t>i</w:t>
      </w:r>
      <w:r w:rsidR="00306A39" w:rsidRPr="00726F13">
        <w:rPr>
          <w:rFonts w:ascii="Arial" w:hAnsi="Arial" w:cs="Arial"/>
          <w:sz w:val="20"/>
          <w:szCs w:val="20"/>
        </w:rPr>
        <w:t xml:space="preserve">nformation about past government decisions, </w:t>
      </w:r>
      <w:r w:rsidR="00267910" w:rsidRPr="00726F13">
        <w:rPr>
          <w:rFonts w:ascii="Arial" w:hAnsi="Arial" w:cs="Arial"/>
          <w:sz w:val="20"/>
          <w:szCs w:val="20"/>
        </w:rPr>
        <w:t xml:space="preserve">policy reasoning </w:t>
      </w:r>
      <w:r w:rsidR="00306A39" w:rsidRPr="00726F13">
        <w:rPr>
          <w:rFonts w:ascii="Arial" w:hAnsi="Arial" w:cs="Arial"/>
          <w:sz w:val="20"/>
          <w:szCs w:val="20"/>
        </w:rPr>
        <w:t>and alternatives</w:t>
      </w:r>
      <w:r w:rsidR="007422B4" w:rsidRPr="00726F13">
        <w:rPr>
          <w:rFonts w:ascii="Arial" w:hAnsi="Arial" w:cs="Arial"/>
          <w:sz w:val="20"/>
          <w:szCs w:val="20"/>
        </w:rPr>
        <w:t xml:space="preserve">. </w:t>
      </w:r>
      <w:r w:rsidR="00AE43A3" w:rsidRPr="00726F13">
        <w:rPr>
          <w:rFonts w:ascii="Arial" w:hAnsi="Arial" w:cs="Arial"/>
          <w:sz w:val="20"/>
          <w:szCs w:val="20"/>
        </w:rPr>
        <w:t xml:space="preserve">More than deliberate suppression of past plans and policies, this reflects the lack of a systematic approach to evidence production, management and use by government. The barriers to evidence-informed planning and to information exchange between researchers and practitioners </w:t>
      </w:r>
      <w:r w:rsidR="00BB2572" w:rsidRPr="00726F13">
        <w:rPr>
          <w:rFonts w:ascii="Arial" w:hAnsi="Arial" w:cs="Arial"/>
          <w:sz w:val="20"/>
          <w:szCs w:val="20"/>
        </w:rPr>
        <w:t xml:space="preserve">also contribute to a </w:t>
      </w:r>
      <w:r w:rsidR="00AE43A3" w:rsidRPr="00726F13">
        <w:rPr>
          <w:rFonts w:ascii="Arial" w:hAnsi="Arial" w:cs="Arial"/>
          <w:sz w:val="20"/>
          <w:szCs w:val="20"/>
        </w:rPr>
        <w:t>.</w:t>
      </w:r>
    </w:p>
    <w:p w:rsidR="00BB2572" w:rsidRPr="00726F13" w:rsidRDefault="00BB2572" w:rsidP="00726F13">
      <w:pPr>
        <w:jc w:val="both"/>
        <w:rPr>
          <w:rFonts w:ascii="Arial" w:hAnsi="Arial" w:cs="Arial"/>
          <w:sz w:val="20"/>
          <w:szCs w:val="20"/>
        </w:rPr>
      </w:pPr>
      <w:r w:rsidRPr="00726F13">
        <w:rPr>
          <w:rFonts w:ascii="Arial" w:hAnsi="Arial" w:cs="Arial"/>
          <w:sz w:val="20"/>
          <w:szCs w:val="20"/>
        </w:rPr>
        <w:t xml:space="preserve">In this context, Analysis &amp; Policy </w:t>
      </w:r>
      <w:r w:rsidR="002B7B03" w:rsidRPr="00726F13">
        <w:rPr>
          <w:rFonts w:ascii="Arial" w:hAnsi="Arial" w:cs="Arial"/>
          <w:sz w:val="20"/>
          <w:szCs w:val="20"/>
        </w:rPr>
        <w:t>Observatory</w:t>
      </w:r>
      <w:r w:rsidRPr="00726F13">
        <w:rPr>
          <w:rFonts w:ascii="Arial" w:hAnsi="Arial" w:cs="Arial"/>
          <w:sz w:val="20"/>
          <w:szCs w:val="20"/>
        </w:rPr>
        <w:t xml:space="preserve"> (formerly Australian Policy Online) and university partners embarked on the Urban Policy and Practice collection, funded by an Australian Research Council grant. The project sought to develop a curated, free, online collection of significant urban policy material. In the process, it provided an opportunity to consider the kind of digital infrastructure that might support evidence-informed planning into the future.</w:t>
      </w:r>
    </w:p>
    <w:p w:rsidR="00BB2572" w:rsidRPr="00726F13" w:rsidRDefault="00BB2572" w:rsidP="00726F13">
      <w:pPr>
        <w:jc w:val="both"/>
        <w:rPr>
          <w:rFonts w:ascii="Arial" w:hAnsi="Arial" w:cs="Arial"/>
          <w:sz w:val="20"/>
          <w:szCs w:val="20"/>
        </w:rPr>
      </w:pPr>
      <w:r w:rsidRPr="00726F13">
        <w:rPr>
          <w:rFonts w:ascii="Arial" w:hAnsi="Arial" w:cs="Arial"/>
          <w:sz w:val="20"/>
          <w:szCs w:val="20"/>
        </w:rPr>
        <w:t>This paper briefly reviews literature on evidence use within urban planning and policy making. It describes the processes undertaken to develop the Urban Policy and Practice collection. Ultimately, it argues that strategic digital collections can play a role in supporting informed policy making, analysis and debate about Australian cities</w:t>
      </w:r>
    </w:p>
    <w:p w:rsidR="00F768F1" w:rsidRPr="00726F13" w:rsidRDefault="00F768F1" w:rsidP="00726F13">
      <w:pPr>
        <w:jc w:val="both"/>
        <w:rPr>
          <w:rFonts w:ascii="Arial" w:hAnsi="Arial" w:cs="Arial"/>
          <w:b/>
        </w:rPr>
      </w:pPr>
      <w:r w:rsidRPr="00726F13">
        <w:rPr>
          <w:rFonts w:ascii="Arial" w:hAnsi="Arial" w:cs="Arial"/>
          <w:b/>
        </w:rPr>
        <w:t>What is evidence-informed policy</w:t>
      </w:r>
      <w:r w:rsidR="002E0E84" w:rsidRPr="00726F13">
        <w:rPr>
          <w:rFonts w:ascii="Arial" w:hAnsi="Arial" w:cs="Arial"/>
          <w:b/>
        </w:rPr>
        <w:t xml:space="preserve"> and how is it relevant to planning</w:t>
      </w:r>
      <w:r w:rsidRPr="00726F13">
        <w:rPr>
          <w:rFonts w:ascii="Arial" w:hAnsi="Arial" w:cs="Arial"/>
          <w:b/>
        </w:rPr>
        <w:t>?</w:t>
      </w:r>
    </w:p>
    <w:p w:rsidR="00BB2572" w:rsidRPr="00726F13" w:rsidRDefault="00BB2572" w:rsidP="00726F13">
      <w:pPr>
        <w:jc w:val="both"/>
        <w:rPr>
          <w:rFonts w:ascii="Arial" w:hAnsi="Arial" w:cs="Arial"/>
          <w:sz w:val="20"/>
          <w:szCs w:val="20"/>
        </w:rPr>
      </w:pPr>
      <w:r w:rsidRPr="00726F13">
        <w:rPr>
          <w:rFonts w:ascii="Arial" w:hAnsi="Arial" w:cs="Arial"/>
          <w:sz w:val="20"/>
          <w:szCs w:val="20"/>
        </w:rPr>
        <w:t>The idea of using evidence to inform urban planning is not new. In the early 20</w:t>
      </w:r>
      <w:r w:rsidRPr="00726F13">
        <w:rPr>
          <w:rFonts w:ascii="Arial" w:hAnsi="Arial" w:cs="Arial"/>
          <w:sz w:val="20"/>
          <w:szCs w:val="20"/>
          <w:vertAlign w:val="superscript"/>
        </w:rPr>
        <w:t>th</w:t>
      </w:r>
      <w:r w:rsidRPr="00726F13">
        <w:rPr>
          <w:rFonts w:ascii="Arial" w:hAnsi="Arial" w:cs="Arial"/>
          <w:sz w:val="20"/>
          <w:szCs w:val="20"/>
        </w:rPr>
        <w:t xml:space="preserve"> century Patrick Geddes advocated the practice of ‘survey before plan’ (Davoudi 2006: 16). In the 1960s, the idea of cities as complex systems led to demand for ‘spatial interaction models capable of measuring and predicting patterns of social change, particularly in the area of transport planning’ (Davoudi 2006: 18). In the UK, the late 1990s push for a renewed evidence base for policy, including in the area of planning, was seen as a strategy by New Labour to push for reform of established bureaucratic and political practices (Solesbury 2002). Looking historically, it is evident that the role of evidence within planning varies with changing political, social, institutional and professional contexts.</w:t>
      </w:r>
    </w:p>
    <w:p w:rsidR="00C86999" w:rsidRPr="00726F13" w:rsidRDefault="003D3838" w:rsidP="00726F13">
      <w:pPr>
        <w:jc w:val="both"/>
        <w:rPr>
          <w:rFonts w:ascii="Arial" w:hAnsi="Arial" w:cs="Arial"/>
          <w:sz w:val="20"/>
          <w:szCs w:val="20"/>
        </w:rPr>
      </w:pPr>
      <w:r w:rsidRPr="00726F13">
        <w:rPr>
          <w:rFonts w:ascii="Arial" w:hAnsi="Arial" w:cs="Arial"/>
          <w:sz w:val="20"/>
          <w:szCs w:val="20"/>
        </w:rPr>
        <w:t>Most people would</w:t>
      </w:r>
      <w:r w:rsidR="00BB2572" w:rsidRPr="00726F13">
        <w:rPr>
          <w:rFonts w:ascii="Arial" w:hAnsi="Arial" w:cs="Arial"/>
          <w:sz w:val="20"/>
          <w:szCs w:val="20"/>
        </w:rPr>
        <w:t xml:space="preserve"> continue to</w:t>
      </w:r>
      <w:r w:rsidRPr="00726F13">
        <w:rPr>
          <w:rFonts w:ascii="Arial" w:hAnsi="Arial" w:cs="Arial"/>
          <w:sz w:val="20"/>
          <w:szCs w:val="20"/>
        </w:rPr>
        <w:t xml:space="preserve"> acknowledge that policy should be informed by some kind of information gathering and analysis – although there are disagreements about what kind of information should be used and how formal this analysis should be. </w:t>
      </w:r>
      <w:r w:rsidR="00BB2572" w:rsidRPr="00726F13">
        <w:rPr>
          <w:rFonts w:ascii="Arial" w:hAnsi="Arial" w:cs="Arial"/>
          <w:sz w:val="20"/>
          <w:szCs w:val="20"/>
        </w:rPr>
        <w:t>Most formally</w:t>
      </w:r>
      <w:r w:rsidRPr="00726F13">
        <w:rPr>
          <w:rFonts w:ascii="Arial" w:hAnsi="Arial" w:cs="Arial"/>
          <w:sz w:val="20"/>
          <w:szCs w:val="20"/>
        </w:rPr>
        <w:t xml:space="preserve">, evidence-based policy advocates argue for greater use of scientific methods such as randomised control trials and systematic reviews to establish hierarchies of evidence (Parkhurst 2017: 17). </w:t>
      </w:r>
      <w:r w:rsidR="002E0E84" w:rsidRPr="00726F13">
        <w:rPr>
          <w:rFonts w:ascii="Arial" w:hAnsi="Arial" w:cs="Arial"/>
          <w:sz w:val="20"/>
          <w:szCs w:val="20"/>
        </w:rPr>
        <w:t>However, many writers accept a</w:t>
      </w:r>
      <w:r w:rsidRPr="00726F13">
        <w:rPr>
          <w:rFonts w:ascii="Arial" w:hAnsi="Arial" w:cs="Arial"/>
          <w:sz w:val="20"/>
          <w:szCs w:val="20"/>
        </w:rPr>
        <w:t xml:space="preserve"> broader </w:t>
      </w:r>
      <w:r w:rsidR="002E0E84" w:rsidRPr="00726F13">
        <w:rPr>
          <w:rFonts w:ascii="Arial" w:hAnsi="Arial" w:cs="Arial"/>
          <w:sz w:val="20"/>
          <w:szCs w:val="20"/>
        </w:rPr>
        <w:t xml:space="preserve">definition </w:t>
      </w:r>
      <w:r w:rsidRPr="00726F13">
        <w:rPr>
          <w:rFonts w:ascii="Arial" w:hAnsi="Arial" w:cs="Arial"/>
          <w:sz w:val="20"/>
          <w:szCs w:val="20"/>
        </w:rPr>
        <w:t xml:space="preserve">of evidence-informed </w:t>
      </w:r>
      <w:r w:rsidR="002E0E84" w:rsidRPr="00726F13">
        <w:rPr>
          <w:rFonts w:ascii="Arial" w:hAnsi="Arial" w:cs="Arial"/>
          <w:sz w:val="20"/>
          <w:szCs w:val="20"/>
        </w:rPr>
        <w:t xml:space="preserve">decision making as </w:t>
      </w:r>
      <w:r w:rsidRPr="00726F13">
        <w:rPr>
          <w:rFonts w:ascii="Arial" w:hAnsi="Arial" w:cs="Arial"/>
          <w:sz w:val="20"/>
          <w:szCs w:val="20"/>
        </w:rPr>
        <w:t xml:space="preserve">‘informed by a range of relevant “best available” evidence accepting a broad conception of usable knowledge and recognizing the value of relevant professional expertise’ (Head 2016: 473-4). </w:t>
      </w:r>
      <w:r w:rsidR="002E0E84" w:rsidRPr="00726F13">
        <w:rPr>
          <w:rFonts w:ascii="Arial" w:hAnsi="Arial" w:cs="Arial"/>
          <w:sz w:val="20"/>
          <w:szCs w:val="20"/>
        </w:rPr>
        <w:t>In particular in the context of planning for cities and regions, local knowledge of relationships, priorities, organisations and places, must also be considered usable knowledge.</w:t>
      </w:r>
    </w:p>
    <w:p w:rsidR="00665F24" w:rsidRPr="00726F13" w:rsidRDefault="00BB2572" w:rsidP="00726F13">
      <w:pPr>
        <w:jc w:val="both"/>
        <w:rPr>
          <w:rFonts w:ascii="Arial" w:hAnsi="Arial" w:cs="Arial"/>
          <w:sz w:val="20"/>
          <w:szCs w:val="20"/>
        </w:rPr>
      </w:pPr>
      <w:r w:rsidRPr="00726F13">
        <w:rPr>
          <w:rFonts w:ascii="Arial" w:hAnsi="Arial" w:cs="Arial"/>
          <w:sz w:val="20"/>
          <w:szCs w:val="20"/>
        </w:rPr>
        <w:t xml:space="preserve">There is also a case </w:t>
      </w:r>
      <w:r w:rsidR="00665F24" w:rsidRPr="00726F13">
        <w:rPr>
          <w:rFonts w:ascii="Arial" w:hAnsi="Arial" w:cs="Arial"/>
          <w:sz w:val="20"/>
          <w:szCs w:val="20"/>
        </w:rPr>
        <w:t xml:space="preserve">for </w:t>
      </w:r>
      <w:r w:rsidRPr="00726F13">
        <w:rPr>
          <w:rFonts w:ascii="Arial" w:hAnsi="Arial" w:cs="Arial"/>
          <w:sz w:val="20"/>
          <w:szCs w:val="20"/>
        </w:rPr>
        <w:t xml:space="preserve">considering </w:t>
      </w:r>
      <w:r w:rsidR="00665F24" w:rsidRPr="00726F13">
        <w:rPr>
          <w:rFonts w:ascii="Arial" w:hAnsi="Arial" w:cs="Arial"/>
          <w:sz w:val="20"/>
          <w:szCs w:val="20"/>
        </w:rPr>
        <w:t xml:space="preserve">historical analysis </w:t>
      </w:r>
      <w:r w:rsidRPr="00726F13">
        <w:rPr>
          <w:rFonts w:ascii="Arial" w:hAnsi="Arial" w:cs="Arial"/>
          <w:sz w:val="20"/>
          <w:szCs w:val="20"/>
        </w:rPr>
        <w:t xml:space="preserve">as usable knowledge for urban </w:t>
      </w:r>
      <w:r w:rsidR="00665F24" w:rsidRPr="00726F13">
        <w:rPr>
          <w:rFonts w:ascii="Arial" w:hAnsi="Arial" w:cs="Arial"/>
          <w:sz w:val="20"/>
          <w:szCs w:val="20"/>
        </w:rPr>
        <w:t xml:space="preserve">planning. As the anecdotes at the start of this essay illustrate, there are many potential benefits to accessing and understanding policy documentation from the past. Avoiding duplication, understanding historical context and building on past research are all potential objectives for both policy makers and researchers. For community members, they might also be resources for holding governments to account for promises made or for questioning the validity of ‘accepted’ knowledge. Abbott and Adler contend that historical analysis is an important tool for understanding the external and internal dynamics of urban planning problems (1989). They argue that a systematic consideration of the past helps planners to understand people and their motivations, planning organisations and their limitations and the evolution of policies through implementation (Abbott and Adler 1989) Drawing on these arguments, Freestone and Hutchings argue that </w:t>
      </w:r>
      <w:r w:rsidRPr="00726F13">
        <w:rPr>
          <w:rFonts w:ascii="Arial" w:hAnsi="Arial" w:cs="Arial"/>
          <w:sz w:val="20"/>
          <w:szCs w:val="20"/>
        </w:rPr>
        <w:t xml:space="preserve">applying </w:t>
      </w:r>
      <w:r w:rsidR="00665F24" w:rsidRPr="00726F13">
        <w:rPr>
          <w:rFonts w:ascii="Arial" w:hAnsi="Arial" w:cs="Arial"/>
          <w:sz w:val="20"/>
          <w:szCs w:val="20"/>
        </w:rPr>
        <w:t xml:space="preserve">a historical perspective </w:t>
      </w:r>
      <w:r w:rsidRPr="00726F13">
        <w:rPr>
          <w:rFonts w:ascii="Arial" w:hAnsi="Arial" w:cs="Arial"/>
          <w:sz w:val="20"/>
          <w:szCs w:val="20"/>
        </w:rPr>
        <w:t xml:space="preserve">to urban planning </w:t>
      </w:r>
      <w:r w:rsidR="00665F24" w:rsidRPr="00726F13">
        <w:rPr>
          <w:rFonts w:ascii="Arial" w:hAnsi="Arial" w:cs="Arial"/>
          <w:sz w:val="20"/>
          <w:szCs w:val="20"/>
        </w:rPr>
        <w:t xml:space="preserve">can ‘among other things… define precedents, expand humility and lead to more considered environmental assessments’ (1993: 83). However, historical analysis requires a degree of proficiency with accessing and analysing historical </w:t>
      </w:r>
      <w:r w:rsidRPr="00726F13">
        <w:rPr>
          <w:rFonts w:ascii="Arial" w:hAnsi="Arial" w:cs="Arial"/>
          <w:sz w:val="20"/>
          <w:szCs w:val="20"/>
        </w:rPr>
        <w:t xml:space="preserve">policy </w:t>
      </w:r>
      <w:r w:rsidR="00665F24" w:rsidRPr="00726F13">
        <w:rPr>
          <w:rFonts w:ascii="Arial" w:hAnsi="Arial" w:cs="Arial"/>
          <w:sz w:val="20"/>
          <w:szCs w:val="20"/>
        </w:rPr>
        <w:t>information.</w:t>
      </w:r>
    </w:p>
    <w:p w:rsidR="001A0120" w:rsidRPr="00726F13" w:rsidRDefault="001A0120" w:rsidP="00726F13">
      <w:pPr>
        <w:jc w:val="both"/>
        <w:rPr>
          <w:rFonts w:ascii="Arial" w:hAnsi="Arial" w:cs="Arial"/>
          <w:b/>
        </w:rPr>
      </w:pPr>
      <w:r w:rsidRPr="00726F13">
        <w:rPr>
          <w:rFonts w:ascii="Arial" w:hAnsi="Arial" w:cs="Arial"/>
          <w:b/>
        </w:rPr>
        <w:t>Criticisms of evidence-based policy and planning</w:t>
      </w:r>
    </w:p>
    <w:p w:rsidR="002E0E84" w:rsidRPr="00726F13" w:rsidRDefault="003D3838" w:rsidP="00726F13">
      <w:pPr>
        <w:jc w:val="both"/>
        <w:rPr>
          <w:rFonts w:ascii="Arial" w:hAnsi="Arial" w:cs="Arial"/>
          <w:sz w:val="20"/>
          <w:szCs w:val="20"/>
        </w:rPr>
      </w:pPr>
      <w:r w:rsidRPr="00726F13">
        <w:rPr>
          <w:rFonts w:ascii="Arial" w:hAnsi="Arial" w:cs="Arial"/>
          <w:sz w:val="20"/>
          <w:szCs w:val="20"/>
        </w:rPr>
        <w:lastRenderedPageBreak/>
        <w:t xml:space="preserve">Critics of evidence-based policy have often focused on the </w:t>
      </w:r>
      <w:r w:rsidR="001D4C9A" w:rsidRPr="00726F13">
        <w:rPr>
          <w:rFonts w:ascii="Arial" w:hAnsi="Arial" w:cs="Arial"/>
          <w:sz w:val="20"/>
          <w:szCs w:val="20"/>
        </w:rPr>
        <w:t xml:space="preserve">extremes of </w:t>
      </w:r>
      <w:r w:rsidRPr="00726F13">
        <w:rPr>
          <w:rFonts w:ascii="Arial" w:hAnsi="Arial" w:cs="Arial"/>
          <w:sz w:val="20"/>
          <w:szCs w:val="20"/>
        </w:rPr>
        <w:t xml:space="preserve">technocratic and </w:t>
      </w:r>
      <w:r w:rsidR="001D4C9A" w:rsidRPr="00726F13">
        <w:rPr>
          <w:rFonts w:ascii="Arial" w:hAnsi="Arial" w:cs="Arial"/>
          <w:sz w:val="20"/>
          <w:szCs w:val="20"/>
        </w:rPr>
        <w:t xml:space="preserve">political </w:t>
      </w:r>
      <w:r w:rsidRPr="00726F13">
        <w:rPr>
          <w:rFonts w:ascii="Arial" w:hAnsi="Arial" w:cs="Arial"/>
          <w:sz w:val="20"/>
          <w:szCs w:val="20"/>
        </w:rPr>
        <w:t xml:space="preserve">decision-making. On the one hand, </w:t>
      </w:r>
      <w:r w:rsidR="00A854C4" w:rsidRPr="00726F13">
        <w:rPr>
          <w:rFonts w:ascii="Arial" w:hAnsi="Arial" w:cs="Arial"/>
          <w:sz w:val="20"/>
          <w:szCs w:val="20"/>
        </w:rPr>
        <w:t xml:space="preserve">decision-makers </w:t>
      </w:r>
      <w:r w:rsidRPr="00726F13">
        <w:rPr>
          <w:rFonts w:ascii="Arial" w:hAnsi="Arial" w:cs="Arial"/>
          <w:sz w:val="20"/>
          <w:szCs w:val="20"/>
        </w:rPr>
        <w:t>are criticised for</w:t>
      </w:r>
      <w:r w:rsidR="00A854C4" w:rsidRPr="00726F13">
        <w:rPr>
          <w:rFonts w:ascii="Arial" w:hAnsi="Arial" w:cs="Arial"/>
          <w:sz w:val="20"/>
          <w:szCs w:val="20"/>
        </w:rPr>
        <w:t xml:space="preserve"> being too political—for example,</w:t>
      </w:r>
      <w:r w:rsidRPr="00726F13">
        <w:rPr>
          <w:rFonts w:ascii="Arial" w:hAnsi="Arial" w:cs="Arial"/>
          <w:sz w:val="20"/>
          <w:szCs w:val="20"/>
        </w:rPr>
        <w:t xml:space="preserve"> </w:t>
      </w:r>
      <w:r w:rsidR="00A854C4" w:rsidRPr="00726F13">
        <w:rPr>
          <w:rFonts w:ascii="Arial" w:hAnsi="Arial" w:cs="Arial"/>
          <w:sz w:val="20"/>
          <w:szCs w:val="20"/>
        </w:rPr>
        <w:t xml:space="preserve">by marshalling </w:t>
      </w:r>
      <w:r w:rsidRPr="00726F13">
        <w:rPr>
          <w:rFonts w:ascii="Arial" w:hAnsi="Arial" w:cs="Arial"/>
          <w:sz w:val="20"/>
          <w:szCs w:val="20"/>
        </w:rPr>
        <w:t>evidence to support pre-ordained decisions</w:t>
      </w:r>
      <w:r w:rsidR="00A854C4" w:rsidRPr="00726F13">
        <w:rPr>
          <w:rFonts w:ascii="Arial" w:hAnsi="Arial" w:cs="Arial"/>
          <w:sz w:val="20"/>
          <w:szCs w:val="20"/>
        </w:rPr>
        <w:t xml:space="preserve"> (Davoudi 2006; Taylor and Hurley 2015; Parkhurst 2017)</w:t>
      </w:r>
      <w:r w:rsidRPr="00726F13">
        <w:rPr>
          <w:rFonts w:ascii="Arial" w:hAnsi="Arial" w:cs="Arial"/>
          <w:sz w:val="20"/>
          <w:szCs w:val="20"/>
        </w:rPr>
        <w:t xml:space="preserve">. On the other, technocratic decision-makers are accused of shifting policy debates to fit narrow criteria of what can be measured </w:t>
      </w:r>
      <w:r w:rsidR="00A854C4" w:rsidRPr="00726F13">
        <w:rPr>
          <w:rFonts w:ascii="Arial" w:hAnsi="Arial" w:cs="Arial"/>
          <w:sz w:val="20"/>
          <w:szCs w:val="20"/>
        </w:rPr>
        <w:t xml:space="preserve">using ‘scientific’ models of evidence </w:t>
      </w:r>
      <w:r w:rsidRPr="00726F13">
        <w:rPr>
          <w:rFonts w:ascii="Arial" w:hAnsi="Arial" w:cs="Arial"/>
          <w:sz w:val="20"/>
          <w:szCs w:val="20"/>
        </w:rPr>
        <w:t xml:space="preserve">(Parkhurst 2017: 7-8). </w:t>
      </w:r>
      <w:r w:rsidR="00BB2572" w:rsidRPr="00726F13">
        <w:rPr>
          <w:rFonts w:ascii="Arial" w:hAnsi="Arial" w:cs="Arial"/>
          <w:sz w:val="20"/>
          <w:szCs w:val="20"/>
        </w:rPr>
        <w:t>For example, Jane Jacobs’s writing expresses a d</w:t>
      </w:r>
      <w:r w:rsidR="001D4C9A" w:rsidRPr="00726F13">
        <w:rPr>
          <w:rFonts w:ascii="Arial" w:hAnsi="Arial" w:cs="Arial"/>
          <w:sz w:val="20"/>
          <w:szCs w:val="20"/>
        </w:rPr>
        <w:t>istrust of rational, scientific analysis of cities in favour of messy, organic and small-scale development</w:t>
      </w:r>
      <w:r w:rsidR="00BB2572" w:rsidRPr="00726F13">
        <w:rPr>
          <w:rFonts w:ascii="Arial" w:hAnsi="Arial" w:cs="Arial"/>
          <w:sz w:val="20"/>
          <w:szCs w:val="20"/>
        </w:rPr>
        <w:t xml:space="preserve"> (Jacobs</w:t>
      </w:r>
      <w:r w:rsidR="00C07436" w:rsidRPr="00726F13">
        <w:rPr>
          <w:rFonts w:ascii="Arial" w:hAnsi="Arial" w:cs="Arial"/>
          <w:sz w:val="20"/>
          <w:szCs w:val="20"/>
        </w:rPr>
        <w:t xml:space="preserve"> 1961</w:t>
      </w:r>
      <w:r w:rsidR="00BB2572" w:rsidRPr="00726F13">
        <w:rPr>
          <w:rFonts w:ascii="Arial" w:hAnsi="Arial" w:cs="Arial"/>
          <w:sz w:val="20"/>
          <w:szCs w:val="20"/>
        </w:rPr>
        <w:t>)</w:t>
      </w:r>
      <w:r w:rsidR="001D4C9A" w:rsidRPr="00726F13">
        <w:rPr>
          <w:rFonts w:ascii="Arial" w:hAnsi="Arial" w:cs="Arial"/>
          <w:sz w:val="20"/>
          <w:szCs w:val="20"/>
        </w:rPr>
        <w:t>.</w:t>
      </w:r>
    </w:p>
    <w:p w:rsidR="00A854C4" w:rsidRPr="00726F13" w:rsidRDefault="007C2B25" w:rsidP="00726F13">
      <w:pPr>
        <w:jc w:val="both"/>
        <w:rPr>
          <w:rFonts w:ascii="Arial" w:hAnsi="Arial" w:cs="Arial"/>
          <w:sz w:val="20"/>
          <w:szCs w:val="20"/>
        </w:rPr>
      </w:pPr>
      <w:r w:rsidRPr="00726F13">
        <w:rPr>
          <w:rFonts w:ascii="Arial" w:hAnsi="Arial" w:cs="Arial"/>
          <w:sz w:val="20"/>
          <w:szCs w:val="20"/>
        </w:rPr>
        <w:t xml:space="preserve">One of the key criticisms of evidence-based policy is that it undermines democratic and participatory approaches. Most planning decisions involve the balancing of competing economic, social and political interests. As Parkhurst argues, ‘evidence cannot tell us which is the </w:t>
      </w:r>
      <w:r w:rsidRPr="00726F13">
        <w:rPr>
          <w:rFonts w:ascii="Arial" w:hAnsi="Arial" w:cs="Arial"/>
          <w:i/>
          <w:sz w:val="20"/>
          <w:szCs w:val="20"/>
        </w:rPr>
        <w:t xml:space="preserve">right </w:t>
      </w:r>
      <w:r w:rsidRPr="00726F13">
        <w:rPr>
          <w:rFonts w:ascii="Arial" w:hAnsi="Arial" w:cs="Arial"/>
          <w:sz w:val="20"/>
          <w:szCs w:val="20"/>
        </w:rPr>
        <w:t xml:space="preserve">choice between different arrangements of benefits or which social outcomes should be pursued over others’ (2017:9). These are political choices that arguably should be made through deliberative processes. </w:t>
      </w:r>
      <w:r w:rsidR="00636771" w:rsidRPr="00726F13">
        <w:rPr>
          <w:rFonts w:ascii="Arial" w:hAnsi="Arial" w:cs="Arial"/>
          <w:sz w:val="20"/>
          <w:szCs w:val="20"/>
        </w:rPr>
        <w:t>These processes</w:t>
      </w:r>
      <w:r w:rsidRPr="00726F13">
        <w:rPr>
          <w:rFonts w:ascii="Arial" w:hAnsi="Arial" w:cs="Arial"/>
          <w:sz w:val="20"/>
          <w:szCs w:val="20"/>
        </w:rPr>
        <w:t xml:space="preserve"> might also offer the potential for innovative and locally relevant ideas, which could be stifled with too much emphasis on proven interventions </w:t>
      </w:r>
      <w:r w:rsidR="003D3838" w:rsidRPr="00726F13">
        <w:rPr>
          <w:rFonts w:ascii="Arial" w:hAnsi="Arial" w:cs="Arial"/>
          <w:sz w:val="20"/>
          <w:szCs w:val="20"/>
        </w:rPr>
        <w:t xml:space="preserve">(Krizek et al 2009). </w:t>
      </w:r>
    </w:p>
    <w:p w:rsidR="00151E94" w:rsidRPr="00726F13" w:rsidRDefault="007C2B25" w:rsidP="00726F13">
      <w:pPr>
        <w:jc w:val="both"/>
        <w:rPr>
          <w:rFonts w:ascii="Arial" w:hAnsi="Arial" w:cs="Arial"/>
          <w:sz w:val="20"/>
          <w:szCs w:val="20"/>
        </w:rPr>
      </w:pPr>
      <w:r w:rsidRPr="00726F13">
        <w:rPr>
          <w:rFonts w:ascii="Arial" w:hAnsi="Arial" w:cs="Arial"/>
          <w:sz w:val="20"/>
          <w:szCs w:val="20"/>
        </w:rPr>
        <w:t xml:space="preserve">Particularly in the context of planning, </w:t>
      </w:r>
      <w:r w:rsidR="00151E94" w:rsidRPr="00726F13">
        <w:rPr>
          <w:rFonts w:ascii="Arial" w:hAnsi="Arial" w:cs="Arial"/>
          <w:sz w:val="20"/>
          <w:szCs w:val="20"/>
        </w:rPr>
        <w:t xml:space="preserve">it is also worth noting that evidence-based policy sometimes purports to offer universally generalizable interventions. Given the complex interactions of places, organisations and people, this is sometimes simply not possible </w:t>
      </w:r>
      <w:r w:rsidR="003D3838" w:rsidRPr="00726F13">
        <w:rPr>
          <w:rFonts w:ascii="Arial" w:hAnsi="Arial" w:cs="Arial"/>
          <w:sz w:val="20"/>
          <w:szCs w:val="20"/>
        </w:rPr>
        <w:t>(Parkhurst 2017)</w:t>
      </w:r>
      <w:r w:rsidR="00151E94" w:rsidRPr="00726F13">
        <w:rPr>
          <w:rFonts w:ascii="Arial" w:hAnsi="Arial" w:cs="Arial"/>
          <w:sz w:val="20"/>
          <w:szCs w:val="20"/>
        </w:rPr>
        <w:t>. What works in one place, may simply not work the same way in another. Decision-makers need a complex and varied set of information at different stages of planning and policy-making processes including ‘what’s going on? What’s the problem? Is it better or worse than…? What causes it? What might be done about it? At what cost? By whose agency?’ (Solesbury 2002: 94).</w:t>
      </w:r>
      <w:r w:rsidR="00C31C9B" w:rsidRPr="00726F13">
        <w:rPr>
          <w:rFonts w:ascii="Arial" w:hAnsi="Arial" w:cs="Arial"/>
          <w:sz w:val="20"/>
          <w:szCs w:val="20"/>
        </w:rPr>
        <w:t xml:space="preserve"> This is to not to undermine the value of evidence—instead, it acknowledges that what counts as evidence is not limited to academic research, but could encompass a broad range of activities that help form a better understanding of a problem. </w:t>
      </w:r>
    </w:p>
    <w:p w:rsidR="00151E94" w:rsidRPr="00726F13" w:rsidRDefault="00151E94" w:rsidP="00726F13">
      <w:pPr>
        <w:jc w:val="both"/>
        <w:rPr>
          <w:rFonts w:ascii="Arial" w:hAnsi="Arial" w:cs="Arial"/>
          <w:b/>
        </w:rPr>
      </w:pPr>
      <w:r w:rsidRPr="00726F13">
        <w:rPr>
          <w:rFonts w:ascii="Arial" w:hAnsi="Arial" w:cs="Arial"/>
          <w:b/>
        </w:rPr>
        <w:t>Realities of evidence-use within planning</w:t>
      </w:r>
    </w:p>
    <w:p w:rsidR="00290585" w:rsidRPr="00726F13" w:rsidRDefault="00290585" w:rsidP="00726F13">
      <w:pPr>
        <w:jc w:val="both"/>
        <w:rPr>
          <w:rFonts w:ascii="Arial" w:hAnsi="Arial" w:cs="Arial"/>
          <w:sz w:val="20"/>
          <w:szCs w:val="20"/>
        </w:rPr>
      </w:pPr>
      <w:r w:rsidRPr="00726F13">
        <w:rPr>
          <w:rFonts w:ascii="Arial" w:hAnsi="Arial" w:cs="Arial"/>
          <w:sz w:val="20"/>
          <w:szCs w:val="20"/>
        </w:rPr>
        <w:t>A</w:t>
      </w:r>
      <w:r w:rsidR="00A85727" w:rsidRPr="00726F13">
        <w:rPr>
          <w:rFonts w:ascii="Arial" w:hAnsi="Arial" w:cs="Arial"/>
          <w:sz w:val="20"/>
          <w:szCs w:val="20"/>
        </w:rPr>
        <w:t xml:space="preserve"> number of writers have discussed the practical realities of evidence use by planners</w:t>
      </w:r>
      <w:r w:rsidRPr="00726F13">
        <w:rPr>
          <w:rFonts w:ascii="Arial" w:hAnsi="Arial" w:cs="Arial"/>
          <w:sz w:val="20"/>
          <w:szCs w:val="20"/>
        </w:rPr>
        <w:t xml:space="preserve"> and policy makers</w:t>
      </w:r>
      <w:r w:rsidR="00A85727" w:rsidRPr="00726F13">
        <w:rPr>
          <w:rFonts w:ascii="Arial" w:hAnsi="Arial" w:cs="Arial"/>
          <w:sz w:val="20"/>
          <w:szCs w:val="20"/>
        </w:rPr>
        <w:t xml:space="preserve">, </w:t>
      </w:r>
      <w:r w:rsidRPr="00726F13">
        <w:rPr>
          <w:rFonts w:ascii="Arial" w:hAnsi="Arial" w:cs="Arial"/>
          <w:sz w:val="20"/>
          <w:szCs w:val="20"/>
        </w:rPr>
        <w:t xml:space="preserve">focusing often on barriers to </w:t>
      </w:r>
      <w:r w:rsidR="00CE3609" w:rsidRPr="00726F13">
        <w:rPr>
          <w:rFonts w:ascii="Arial" w:hAnsi="Arial" w:cs="Arial"/>
          <w:sz w:val="20"/>
          <w:szCs w:val="20"/>
        </w:rPr>
        <w:t xml:space="preserve">engagement with </w:t>
      </w:r>
      <w:r w:rsidRPr="00726F13">
        <w:rPr>
          <w:rFonts w:ascii="Arial" w:hAnsi="Arial" w:cs="Arial"/>
          <w:sz w:val="20"/>
          <w:szCs w:val="20"/>
        </w:rPr>
        <w:t>research</w:t>
      </w:r>
      <w:r w:rsidR="00A85727" w:rsidRPr="00726F13">
        <w:rPr>
          <w:rFonts w:ascii="Arial" w:hAnsi="Arial" w:cs="Arial"/>
          <w:sz w:val="20"/>
          <w:szCs w:val="20"/>
        </w:rPr>
        <w:t>.</w:t>
      </w:r>
      <w:r w:rsidR="00CE3609" w:rsidRPr="00726F13">
        <w:rPr>
          <w:rFonts w:ascii="Arial" w:hAnsi="Arial" w:cs="Arial"/>
          <w:sz w:val="20"/>
          <w:szCs w:val="20"/>
        </w:rPr>
        <w:t xml:space="preserve"> For example, Rowe summarises key barriers to include ‘time and capacity pressures on the public service; perceptions of usefulness of research outputs; and open conversations about the problems practitioners are facing’ (2016: 460). Taylor and Hurley identify a range of additional barriers, including a culture of accepted knowledge within planning, political context, </w:t>
      </w:r>
      <w:r w:rsidR="001A6305" w:rsidRPr="00726F13">
        <w:rPr>
          <w:rFonts w:ascii="Arial" w:hAnsi="Arial" w:cs="Arial"/>
          <w:sz w:val="20"/>
          <w:szCs w:val="20"/>
        </w:rPr>
        <w:t xml:space="preserve">obtuse research language and the challenge of sifting through and applying the vast quantity of available research (2015). A number of writers point out that research can create uncertainties and reveal gaps in knowledge, making decision-making more difficult </w:t>
      </w:r>
      <w:r w:rsidRPr="00726F13">
        <w:rPr>
          <w:rFonts w:ascii="Arial" w:hAnsi="Arial" w:cs="Arial"/>
          <w:sz w:val="20"/>
          <w:szCs w:val="20"/>
        </w:rPr>
        <w:t>(Head 2016</w:t>
      </w:r>
      <w:r w:rsidR="001A6305" w:rsidRPr="00726F13">
        <w:rPr>
          <w:rFonts w:ascii="Arial" w:hAnsi="Arial" w:cs="Arial"/>
          <w:sz w:val="20"/>
          <w:szCs w:val="20"/>
        </w:rPr>
        <w:t>; Taylor and Hurley 2015</w:t>
      </w:r>
      <w:r w:rsidRPr="00726F13">
        <w:rPr>
          <w:rFonts w:ascii="Arial" w:hAnsi="Arial" w:cs="Arial"/>
          <w:sz w:val="20"/>
          <w:szCs w:val="20"/>
        </w:rPr>
        <w:t>)</w:t>
      </w:r>
      <w:r w:rsidR="001A6305" w:rsidRPr="00726F13">
        <w:rPr>
          <w:rFonts w:ascii="Arial" w:hAnsi="Arial" w:cs="Arial"/>
          <w:sz w:val="20"/>
          <w:szCs w:val="20"/>
        </w:rPr>
        <w:t>. In contrast, most decision makers want to know simply ‘what, based on the research evidence, they should do’ (Alexander 2015: 15).</w:t>
      </w:r>
    </w:p>
    <w:p w:rsidR="00565D14" w:rsidRPr="00726F13" w:rsidRDefault="00565D14" w:rsidP="00726F13">
      <w:pPr>
        <w:jc w:val="both"/>
        <w:rPr>
          <w:rFonts w:ascii="Arial" w:hAnsi="Arial" w:cs="Arial"/>
          <w:sz w:val="20"/>
          <w:szCs w:val="20"/>
        </w:rPr>
      </w:pPr>
      <w:r w:rsidRPr="00726F13">
        <w:rPr>
          <w:rFonts w:ascii="Arial" w:hAnsi="Arial" w:cs="Arial"/>
          <w:sz w:val="20"/>
          <w:szCs w:val="20"/>
        </w:rPr>
        <w:t xml:space="preserve">There are also indications of situations that are more likely to result in use of research. For example Stead observes that </w:t>
      </w:r>
      <w:r w:rsidR="00290585" w:rsidRPr="00726F13">
        <w:rPr>
          <w:rFonts w:ascii="Arial" w:hAnsi="Arial" w:cs="Arial"/>
          <w:sz w:val="20"/>
          <w:szCs w:val="20"/>
        </w:rPr>
        <w:t xml:space="preserve">practitioners are more likely to pay attention to research ‘when they face specific situations, such as changes in political power, policy crisis or failure, or changes in public opinion’(2016: 455). </w:t>
      </w:r>
      <w:r w:rsidRPr="00726F13">
        <w:rPr>
          <w:rFonts w:ascii="Arial" w:hAnsi="Arial" w:cs="Arial"/>
          <w:sz w:val="20"/>
          <w:szCs w:val="20"/>
        </w:rPr>
        <w:t xml:space="preserve">Taylor and Hurley found </w:t>
      </w:r>
      <w:r w:rsidR="00BF1370" w:rsidRPr="00726F13">
        <w:rPr>
          <w:rFonts w:ascii="Arial" w:hAnsi="Arial" w:cs="Arial"/>
          <w:sz w:val="20"/>
          <w:szCs w:val="20"/>
        </w:rPr>
        <w:t>planners sought curated, summarised information on current issues, but also would seek out new information when faced with a new or ‘left field’ issue</w:t>
      </w:r>
      <w:r w:rsidRPr="00726F13">
        <w:rPr>
          <w:rFonts w:ascii="Arial" w:hAnsi="Arial" w:cs="Arial"/>
          <w:sz w:val="20"/>
          <w:szCs w:val="20"/>
        </w:rPr>
        <w:t>. They were also more likely to engage with research if they were studying or recently graduated (Taylor and Hurley 2015).</w:t>
      </w:r>
    </w:p>
    <w:p w:rsidR="00056AB0" w:rsidRPr="00726F13" w:rsidRDefault="00056AB0" w:rsidP="00726F13">
      <w:pPr>
        <w:jc w:val="both"/>
        <w:rPr>
          <w:rFonts w:ascii="Arial" w:hAnsi="Arial" w:cs="Arial"/>
          <w:sz w:val="20"/>
          <w:szCs w:val="20"/>
        </w:rPr>
      </w:pPr>
      <w:r w:rsidRPr="00726F13">
        <w:rPr>
          <w:rFonts w:ascii="Arial" w:hAnsi="Arial" w:cs="Arial"/>
          <w:sz w:val="20"/>
          <w:szCs w:val="20"/>
        </w:rPr>
        <w:t xml:space="preserve">There are many factors that can influence evidence use at a personal, organisational and systemic level. Krizek et al </w:t>
      </w:r>
      <w:r w:rsidR="00C76A6C" w:rsidRPr="00726F13">
        <w:rPr>
          <w:rFonts w:ascii="Arial" w:hAnsi="Arial" w:cs="Arial"/>
          <w:sz w:val="20"/>
          <w:szCs w:val="20"/>
        </w:rPr>
        <w:t xml:space="preserve">describe the Design for Health project that aimed to provide planners with tools ‘to integrate health into into…comprehensive plans and policies’ </w:t>
      </w:r>
      <w:r w:rsidRPr="00726F13">
        <w:rPr>
          <w:rFonts w:ascii="Arial" w:hAnsi="Arial" w:cs="Arial"/>
          <w:sz w:val="20"/>
          <w:szCs w:val="20"/>
        </w:rPr>
        <w:t>(2009</w:t>
      </w:r>
      <w:r w:rsidR="00C76A6C" w:rsidRPr="00726F13">
        <w:rPr>
          <w:rFonts w:ascii="Arial" w:hAnsi="Arial" w:cs="Arial"/>
          <w:sz w:val="20"/>
          <w:szCs w:val="20"/>
        </w:rPr>
        <w:t>: 471</w:t>
      </w:r>
      <w:r w:rsidRPr="00726F13">
        <w:rPr>
          <w:rFonts w:ascii="Arial" w:hAnsi="Arial" w:cs="Arial"/>
          <w:sz w:val="20"/>
          <w:szCs w:val="20"/>
        </w:rPr>
        <w:t>).</w:t>
      </w:r>
      <w:r w:rsidR="00C76A6C" w:rsidRPr="00726F13">
        <w:rPr>
          <w:rFonts w:ascii="Arial" w:hAnsi="Arial" w:cs="Arial"/>
          <w:sz w:val="20"/>
          <w:szCs w:val="20"/>
        </w:rPr>
        <w:t xml:space="preserve"> The tools included research summaries, health impact assessment tools, an event series, a website an</w:t>
      </w:r>
      <w:r w:rsidR="00634045" w:rsidRPr="00726F13">
        <w:rPr>
          <w:rFonts w:ascii="Arial" w:hAnsi="Arial" w:cs="Arial"/>
          <w:sz w:val="20"/>
          <w:szCs w:val="20"/>
        </w:rPr>
        <w:t>d</w:t>
      </w:r>
      <w:r w:rsidR="00C76A6C" w:rsidRPr="00726F13">
        <w:rPr>
          <w:rFonts w:ascii="Arial" w:hAnsi="Arial" w:cs="Arial"/>
          <w:sz w:val="20"/>
          <w:szCs w:val="20"/>
        </w:rPr>
        <w:t xml:space="preserve"> on-call technical assistance. Even with targeted tools, the authors identified challenges for practitioners in assembling and assessing the evidence, particularly where the research revealed conflicts or ambigu</w:t>
      </w:r>
      <w:r w:rsidR="00634045" w:rsidRPr="00726F13">
        <w:rPr>
          <w:rFonts w:ascii="Arial" w:hAnsi="Arial" w:cs="Arial"/>
          <w:sz w:val="20"/>
          <w:szCs w:val="20"/>
        </w:rPr>
        <w:t xml:space="preserve">ities. In addition, there was </w:t>
      </w:r>
      <w:r w:rsidR="00C76A6C" w:rsidRPr="00726F13">
        <w:rPr>
          <w:rFonts w:ascii="Arial" w:hAnsi="Arial" w:cs="Arial"/>
          <w:sz w:val="20"/>
          <w:szCs w:val="20"/>
        </w:rPr>
        <w:t xml:space="preserve">great variety in appetite for research varying from enthusiasm to reluctance, and from widespread use to </w:t>
      </w:r>
      <w:r w:rsidR="00634045" w:rsidRPr="00726F13">
        <w:rPr>
          <w:rFonts w:ascii="Arial" w:hAnsi="Arial" w:cs="Arial"/>
          <w:sz w:val="20"/>
          <w:szCs w:val="20"/>
        </w:rPr>
        <w:t xml:space="preserve">selective use ‘of single studies that supported their pre-existing positions’ (Krizek et al 2009: 473). They suggest that these differences might stem from ‘organizational culture </w:t>
      </w:r>
      <w:r w:rsidR="00634045" w:rsidRPr="00726F13">
        <w:rPr>
          <w:rFonts w:ascii="Arial" w:hAnsi="Arial" w:cs="Arial"/>
          <w:sz w:val="20"/>
          <w:szCs w:val="20"/>
        </w:rPr>
        <w:lastRenderedPageBreak/>
        <w:t>and po</w:t>
      </w:r>
      <w:r w:rsidR="00C07436" w:rsidRPr="00726F13">
        <w:rPr>
          <w:rFonts w:ascii="Arial" w:hAnsi="Arial" w:cs="Arial"/>
          <w:sz w:val="20"/>
          <w:szCs w:val="20"/>
        </w:rPr>
        <w:t>litical goals…[and professional</w:t>
      </w:r>
      <w:r w:rsidR="00634045" w:rsidRPr="00726F13">
        <w:rPr>
          <w:rFonts w:ascii="Arial" w:hAnsi="Arial" w:cs="Arial"/>
          <w:sz w:val="20"/>
          <w:szCs w:val="20"/>
        </w:rPr>
        <w:t>s</w:t>
      </w:r>
      <w:r w:rsidR="00C07436" w:rsidRPr="00726F13">
        <w:rPr>
          <w:rFonts w:ascii="Arial" w:hAnsi="Arial" w:cs="Arial"/>
          <w:sz w:val="20"/>
          <w:szCs w:val="20"/>
        </w:rPr>
        <w:t>’</w:t>
      </w:r>
      <w:r w:rsidR="00634045" w:rsidRPr="00726F13">
        <w:rPr>
          <w:rFonts w:ascii="Arial" w:hAnsi="Arial" w:cs="Arial"/>
          <w:sz w:val="20"/>
          <w:szCs w:val="20"/>
        </w:rPr>
        <w:t xml:space="preserve"> willingness] to question their own beliefs’ (Krizek et al 2009: 473).</w:t>
      </w:r>
    </w:p>
    <w:p w:rsidR="00665F24" w:rsidRPr="00726F13" w:rsidRDefault="00665F24" w:rsidP="00726F13">
      <w:pPr>
        <w:jc w:val="both"/>
        <w:rPr>
          <w:rFonts w:ascii="Arial" w:hAnsi="Arial" w:cs="Arial"/>
          <w:sz w:val="20"/>
          <w:szCs w:val="20"/>
        </w:rPr>
      </w:pPr>
      <w:r w:rsidRPr="00726F13">
        <w:rPr>
          <w:rFonts w:ascii="Arial" w:hAnsi="Arial" w:cs="Arial"/>
          <w:sz w:val="20"/>
          <w:szCs w:val="20"/>
        </w:rPr>
        <w:t>With regard to historic analysis, anecdotally, the practitioners I have approached look for historical context by speaking to longer-serving members of staff. However, in the context of frequent restructuring of government departments, the trend towards generalist managers (Stead 2016), and the high mobility of younger planners (Edmunds 2017), there arguably needs to be some thought given to other sources of policy-relevant historical information.</w:t>
      </w:r>
    </w:p>
    <w:p w:rsidR="002E0E84" w:rsidRPr="00726F13" w:rsidRDefault="002E0E84" w:rsidP="00726F13">
      <w:pPr>
        <w:jc w:val="both"/>
        <w:rPr>
          <w:rFonts w:ascii="Arial" w:hAnsi="Arial" w:cs="Arial"/>
          <w:b/>
        </w:rPr>
      </w:pPr>
      <w:r w:rsidRPr="00726F13">
        <w:rPr>
          <w:rFonts w:ascii="Arial" w:hAnsi="Arial" w:cs="Arial"/>
          <w:b/>
        </w:rPr>
        <w:t>A systematic approach to information use within planning?</w:t>
      </w:r>
    </w:p>
    <w:p w:rsidR="001372C4" w:rsidRPr="00726F13" w:rsidRDefault="003D3838" w:rsidP="00726F13">
      <w:pPr>
        <w:jc w:val="both"/>
        <w:rPr>
          <w:rFonts w:ascii="Arial" w:hAnsi="Arial" w:cs="Arial"/>
          <w:sz w:val="20"/>
          <w:szCs w:val="20"/>
        </w:rPr>
      </w:pPr>
      <w:r w:rsidRPr="00726F13">
        <w:rPr>
          <w:rFonts w:ascii="Arial" w:hAnsi="Arial" w:cs="Arial"/>
          <w:sz w:val="20"/>
          <w:szCs w:val="20"/>
        </w:rPr>
        <w:t>In response to criticisms</w:t>
      </w:r>
      <w:r w:rsidR="00C31C9B" w:rsidRPr="00726F13">
        <w:rPr>
          <w:rFonts w:ascii="Arial" w:hAnsi="Arial" w:cs="Arial"/>
          <w:sz w:val="20"/>
          <w:szCs w:val="20"/>
        </w:rPr>
        <w:t xml:space="preserve"> of evidence-based policy</w:t>
      </w:r>
      <w:r w:rsidRPr="00726F13">
        <w:rPr>
          <w:rFonts w:ascii="Arial" w:hAnsi="Arial" w:cs="Arial"/>
          <w:sz w:val="20"/>
          <w:szCs w:val="20"/>
        </w:rPr>
        <w:t>, Parkhurst argues that we should move</w:t>
      </w:r>
      <w:r w:rsidR="00C31C9B" w:rsidRPr="00726F13">
        <w:rPr>
          <w:rFonts w:ascii="Arial" w:hAnsi="Arial" w:cs="Arial"/>
          <w:sz w:val="20"/>
          <w:szCs w:val="20"/>
        </w:rPr>
        <w:t xml:space="preserve"> towards a politically informed, systematic approach </w:t>
      </w:r>
      <w:r w:rsidRPr="00726F13">
        <w:rPr>
          <w:rFonts w:ascii="Arial" w:hAnsi="Arial" w:cs="Arial"/>
          <w:sz w:val="20"/>
          <w:szCs w:val="20"/>
        </w:rPr>
        <w:t>to evidence for policy making</w:t>
      </w:r>
      <w:r w:rsidR="00C31C9B" w:rsidRPr="00726F13">
        <w:rPr>
          <w:rFonts w:ascii="Arial" w:hAnsi="Arial" w:cs="Arial"/>
          <w:sz w:val="20"/>
          <w:szCs w:val="20"/>
        </w:rPr>
        <w:t xml:space="preserve"> (2017).</w:t>
      </w:r>
      <w:r w:rsidRPr="00726F13">
        <w:rPr>
          <w:rFonts w:ascii="Arial" w:hAnsi="Arial" w:cs="Arial"/>
          <w:sz w:val="20"/>
          <w:szCs w:val="20"/>
        </w:rPr>
        <w:t xml:space="preserve"> </w:t>
      </w:r>
      <w:r w:rsidR="00C31C9B" w:rsidRPr="00726F13">
        <w:rPr>
          <w:rFonts w:ascii="Arial" w:hAnsi="Arial" w:cs="Arial"/>
          <w:sz w:val="20"/>
          <w:szCs w:val="20"/>
        </w:rPr>
        <w:t xml:space="preserve">Parkhurst argues </w:t>
      </w:r>
      <w:r w:rsidRPr="00726F13">
        <w:rPr>
          <w:rFonts w:ascii="Arial" w:hAnsi="Arial" w:cs="Arial"/>
          <w:sz w:val="20"/>
          <w:szCs w:val="20"/>
        </w:rPr>
        <w:t>that evidence is only appropriate for policy making if it addresses key policy concerns, in a way that is useful to policy makers</w:t>
      </w:r>
      <w:r w:rsidR="00C31C9B" w:rsidRPr="00726F13">
        <w:rPr>
          <w:rFonts w:ascii="Arial" w:hAnsi="Arial" w:cs="Arial"/>
          <w:sz w:val="20"/>
          <w:szCs w:val="20"/>
        </w:rPr>
        <w:t>,</w:t>
      </w:r>
      <w:r w:rsidRPr="00726F13">
        <w:rPr>
          <w:rFonts w:ascii="Arial" w:hAnsi="Arial" w:cs="Arial"/>
          <w:sz w:val="20"/>
          <w:szCs w:val="20"/>
        </w:rPr>
        <w:t xml:space="preserve"> in a way that is applicable to the local context (Parkhurst 2017: 118) This requires a </w:t>
      </w:r>
      <w:r w:rsidR="00A7344F" w:rsidRPr="00726F13">
        <w:rPr>
          <w:rFonts w:ascii="Arial" w:hAnsi="Arial" w:cs="Arial"/>
          <w:sz w:val="20"/>
          <w:szCs w:val="20"/>
        </w:rPr>
        <w:t xml:space="preserve">range of sources of information, </w:t>
      </w:r>
      <w:r w:rsidRPr="00726F13">
        <w:rPr>
          <w:rFonts w:ascii="Arial" w:hAnsi="Arial" w:cs="Arial"/>
          <w:sz w:val="20"/>
          <w:szCs w:val="20"/>
        </w:rPr>
        <w:t xml:space="preserve">a range of </w:t>
      </w:r>
      <w:r w:rsidR="005A1CBC" w:rsidRPr="00726F13">
        <w:rPr>
          <w:rFonts w:ascii="Arial" w:hAnsi="Arial" w:cs="Arial"/>
          <w:sz w:val="20"/>
          <w:szCs w:val="20"/>
        </w:rPr>
        <w:t xml:space="preserve">research </w:t>
      </w:r>
      <w:r w:rsidRPr="00726F13">
        <w:rPr>
          <w:rFonts w:ascii="Arial" w:hAnsi="Arial" w:cs="Arial"/>
          <w:sz w:val="20"/>
          <w:szCs w:val="20"/>
        </w:rPr>
        <w:t xml:space="preserve">methods </w:t>
      </w:r>
      <w:r w:rsidR="00A7344F" w:rsidRPr="00726F13">
        <w:rPr>
          <w:rFonts w:ascii="Arial" w:hAnsi="Arial" w:cs="Arial"/>
          <w:sz w:val="20"/>
          <w:szCs w:val="20"/>
        </w:rPr>
        <w:t xml:space="preserve">and clear definition of policy goals </w:t>
      </w:r>
      <w:r w:rsidRPr="00726F13">
        <w:rPr>
          <w:rFonts w:ascii="Arial" w:hAnsi="Arial" w:cs="Arial"/>
          <w:sz w:val="20"/>
          <w:szCs w:val="20"/>
        </w:rPr>
        <w:t xml:space="preserve">(Parkhurst 2017: 119) </w:t>
      </w:r>
      <w:r w:rsidR="00A7344F" w:rsidRPr="00726F13">
        <w:rPr>
          <w:rFonts w:ascii="Arial" w:hAnsi="Arial" w:cs="Arial"/>
          <w:sz w:val="20"/>
          <w:szCs w:val="20"/>
        </w:rPr>
        <w:t xml:space="preserve">Kelly also argues for a system of evidence use, both in relation to the effectiveness of policy interventions and to the operation of the policy system—the infrastructure, relationships and capacity to improve (2016). </w:t>
      </w:r>
    </w:p>
    <w:p w:rsidR="001372C4" w:rsidRPr="00726F13" w:rsidRDefault="00A7344F" w:rsidP="00726F13">
      <w:pPr>
        <w:jc w:val="both"/>
        <w:rPr>
          <w:rFonts w:ascii="Arial" w:hAnsi="Arial" w:cs="Arial"/>
          <w:sz w:val="20"/>
          <w:szCs w:val="20"/>
        </w:rPr>
      </w:pPr>
      <w:r w:rsidRPr="00726F13">
        <w:rPr>
          <w:rFonts w:ascii="Arial" w:hAnsi="Arial" w:cs="Arial"/>
          <w:sz w:val="20"/>
          <w:szCs w:val="20"/>
        </w:rPr>
        <w:t>In relation to urban policy</w:t>
      </w:r>
      <w:r w:rsidR="001372C4" w:rsidRPr="00726F13">
        <w:rPr>
          <w:rFonts w:ascii="Arial" w:hAnsi="Arial" w:cs="Arial"/>
          <w:sz w:val="20"/>
          <w:szCs w:val="20"/>
        </w:rPr>
        <w:t xml:space="preserve">, Taylor and Hurley argue that there is a need to clarify ‘the spectrum of planning practice and the elements that could or should connect to an evidence base’ (2015: 126). This is likely to vary according to level of government, organisation type, and decision-making context (Stead 2016; Head 2016). By making the need for information explicit, there might be more opportunity for changing organisational cultures around engagement with research or for encouraging more targeted research outputs. However, as Rowe observes, there is currently little discussion around </w:t>
      </w:r>
      <w:r w:rsidR="006E44A5" w:rsidRPr="00726F13">
        <w:rPr>
          <w:rFonts w:ascii="Arial" w:hAnsi="Arial" w:cs="Arial"/>
          <w:sz w:val="20"/>
          <w:szCs w:val="20"/>
        </w:rPr>
        <w:t>longer term evidence needs, which sits within ‘</w:t>
      </w:r>
      <w:r w:rsidR="001372C4" w:rsidRPr="00726F13">
        <w:rPr>
          <w:rFonts w:ascii="Arial" w:hAnsi="Arial" w:cs="Arial"/>
          <w:sz w:val="20"/>
          <w:szCs w:val="20"/>
        </w:rPr>
        <w:t>a broader trend of immediate issues and projects crowding out strategic planning in highly p</w:t>
      </w:r>
      <w:r w:rsidR="006E44A5" w:rsidRPr="00726F13">
        <w:rPr>
          <w:rFonts w:ascii="Arial" w:hAnsi="Arial" w:cs="Arial"/>
          <w:sz w:val="20"/>
          <w:szCs w:val="20"/>
        </w:rPr>
        <w:t>olitical operating environments’</w:t>
      </w:r>
      <w:r w:rsidR="001372C4" w:rsidRPr="00726F13">
        <w:rPr>
          <w:rFonts w:ascii="Arial" w:hAnsi="Arial" w:cs="Arial"/>
          <w:sz w:val="20"/>
          <w:szCs w:val="20"/>
        </w:rPr>
        <w:t xml:space="preserve"> (2016: 460)</w:t>
      </w:r>
      <w:r w:rsidR="006E44A5" w:rsidRPr="00726F13">
        <w:rPr>
          <w:rFonts w:ascii="Arial" w:hAnsi="Arial" w:cs="Arial"/>
          <w:sz w:val="20"/>
          <w:szCs w:val="20"/>
        </w:rPr>
        <w:t>.</w:t>
      </w:r>
    </w:p>
    <w:p w:rsidR="00665F24" w:rsidRPr="00726F13" w:rsidRDefault="007B34B5" w:rsidP="00726F13">
      <w:pPr>
        <w:jc w:val="both"/>
        <w:rPr>
          <w:rFonts w:ascii="Arial" w:hAnsi="Arial" w:cs="Arial"/>
          <w:b/>
        </w:rPr>
      </w:pPr>
      <w:r w:rsidRPr="00726F13">
        <w:rPr>
          <w:rFonts w:ascii="Arial" w:hAnsi="Arial" w:cs="Arial"/>
          <w:b/>
        </w:rPr>
        <w:t>What digital tools support information use in planning?</w:t>
      </w:r>
    </w:p>
    <w:p w:rsidR="00665F24" w:rsidRPr="00726F13" w:rsidRDefault="00665F24" w:rsidP="00726F13">
      <w:pPr>
        <w:jc w:val="both"/>
        <w:rPr>
          <w:rFonts w:ascii="Arial" w:hAnsi="Arial" w:cs="Arial"/>
          <w:sz w:val="20"/>
          <w:szCs w:val="20"/>
        </w:rPr>
      </w:pPr>
      <w:r w:rsidRPr="00726F13">
        <w:rPr>
          <w:rFonts w:ascii="Arial" w:hAnsi="Arial" w:cs="Arial"/>
          <w:sz w:val="20"/>
          <w:szCs w:val="20"/>
        </w:rPr>
        <w:t xml:space="preserve">There </w:t>
      </w:r>
      <w:r w:rsidR="007B34B5" w:rsidRPr="00726F13">
        <w:rPr>
          <w:rFonts w:ascii="Arial" w:hAnsi="Arial" w:cs="Arial"/>
          <w:sz w:val="20"/>
          <w:szCs w:val="20"/>
        </w:rPr>
        <w:t xml:space="preserve">are </w:t>
      </w:r>
      <w:r w:rsidRPr="00726F13">
        <w:rPr>
          <w:rFonts w:ascii="Arial" w:hAnsi="Arial" w:cs="Arial"/>
          <w:sz w:val="20"/>
          <w:szCs w:val="20"/>
        </w:rPr>
        <w:t xml:space="preserve">a wide range of information resources </w:t>
      </w:r>
      <w:r w:rsidR="007B34B5" w:rsidRPr="00726F13">
        <w:rPr>
          <w:rFonts w:ascii="Arial" w:hAnsi="Arial" w:cs="Arial"/>
          <w:sz w:val="20"/>
          <w:szCs w:val="20"/>
        </w:rPr>
        <w:t xml:space="preserve">on the internet </w:t>
      </w:r>
      <w:r w:rsidRPr="00726F13">
        <w:rPr>
          <w:rFonts w:ascii="Arial" w:hAnsi="Arial" w:cs="Arial"/>
          <w:sz w:val="20"/>
          <w:szCs w:val="20"/>
        </w:rPr>
        <w:t>that are potentially relevant to urban policy making and research. Taylor and Hurley provide examples:</w:t>
      </w:r>
    </w:p>
    <w:p w:rsidR="00665F24" w:rsidRPr="00726F13" w:rsidRDefault="00665F24" w:rsidP="00726F13">
      <w:pPr>
        <w:pStyle w:val="Quote"/>
        <w:ind w:left="720"/>
        <w:jc w:val="both"/>
        <w:rPr>
          <w:rFonts w:ascii="Arial" w:hAnsi="Arial" w:cs="Arial"/>
          <w:sz w:val="20"/>
          <w:szCs w:val="20"/>
        </w:rPr>
      </w:pPr>
      <w:r w:rsidRPr="00726F13">
        <w:rPr>
          <w:rFonts w:ascii="Arial" w:hAnsi="Arial" w:cs="Arial"/>
          <w:sz w:val="20"/>
          <w:szCs w:val="20"/>
        </w:rPr>
        <w:t>‘data on the urban environment; empirical research and analysis; practice advice; case studies of projects and policy innovations; and opinion, interpretation or reporting of any of these. Further, information can originate from a variety of sources: different levels of government; the private sector; peak bodies; lobbyists and think tanks; community or interest groups; university researchers; the media and the public.’ (Taylor &amp; Hurley: 2015: 121)</w:t>
      </w:r>
    </w:p>
    <w:p w:rsidR="007B34B5" w:rsidRPr="00726F13" w:rsidRDefault="007B34B5" w:rsidP="00726F13">
      <w:pPr>
        <w:jc w:val="both"/>
        <w:rPr>
          <w:rFonts w:ascii="Arial" w:hAnsi="Arial" w:cs="Arial"/>
          <w:sz w:val="20"/>
          <w:szCs w:val="20"/>
        </w:rPr>
      </w:pPr>
      <w:r w:rsidRPr="00726F13">
        <w:rPr>
          <w:rFonts w:ascii="Arial" w:hAnsi="Arial" w:cs="Arial"/>
          <w:sz w:val="20"/>
          <w:szCs w:val="20"/>
        </w:rPr>
        <w:t>There are a number of alert services that summarise and distribute information relevant to planning, urban development or policy.</w:t>
      </w:r>
      <w:r w:rsidRPr="00726F13">
        <w:rPr>
          <w:rStyle w:val="FootnoteReference"/>
          <w:rFonts w:ascii="Arial" w:hAnsi="Arial" w:cs="Arial"/>
          <w:sz w:val="20"/>
          <w:szCs w:val="20"/>
        </w:rPr>
        <w:footnoteReference w:id="1"/>
      </w:r>
      <w:r w:rsidRPr="00726F13">
        <w:rPr>
          <w:rFonts w:ascii="Arial" w:hAnsi="Arial" w:cs="Arial"/>
          <w:sz w:val="20"/>
          <w:szCs w:val="20"/>
        </w:rPr>
        <w:t xml:space="preserve"> There are also a range of formal and informal social media channels that share and discuss information relevant to cities.</w:t>
      </w:r>
      <w:r w:rsidR="00AB12F5" w:rsidRPr="00726F13">
        <w:rPr>
          <w:rStyle w:val="FootnoteReference"/>
          <w:rFonts w:ascii="Arial" w:hAnsi="Arial" w:cs="Arial"/>
          <w:sz w:val="20"/>
          <w:szCs w:val="20"/>
        </w:rPr>
        <w:footnoteReference w:id="2"/>
      </w:r>
      <w:r w:rsidRPr="00726F13">
        <w:rPr>
          <w:rFonts w:ascii="Arial" w:hAnsi="Arial" w:cs="Arial"/>
          <w:sz w:val="20"/>
          <w:szCs w:val="20"/>
        </w:rPr>
        <w:t xml:space="preserve"> </w:t>
      </w:r>
    </w:p>
    <w:p w:rsidR="00665F24" w:rsidRPr="00726F13" w:rsidRDefault="007B34B5" w:rsidP="00726F13">
      <w:pPr>
        <w:jc w:val="both"/>
        <w:rPr>
          <w:rFonts w:ascii="Arial" w:hAnsi="Arial" w:cs="Arial"/>
          <w:sz w:val="20"/>
          <w:szCs w:val="20"/>
        </w:rPr>
      </w:pPr>
      <w:r w:rsidRPr="00726F13">
        <w:rPr>
          <w:rFonts w:ascii="Arial" w:hAnsi="Arial" w:cs="Arial"/>
          <w:sz w:val="20"/>
          <w:szCs w:val="20"/>
        </w:rPr>
        <w:t>I</w:t>
      </w:r>
      <w:r w:rsidR="00665F24" w:rsidRPr="00726F13">
        <w:rPr>
          <w:rFonts w:ascii="Arial" w:hAnsi="Arial" w:cs="Arial"/>
          <w:sz w:val="20"/>
          <w:szCs w:val="20"/>
        </w:rPr>
        <w:t xml:space="preserve">nformation sources are not limited to formal research. In fact, as barriers to publishing have decreased, </w:t>
      </w:r>
      <w:r w:rsidR="003B632D" w:rsidRPr="00726F13">
        <w:rPr>
          <w:rFonts w:ascii="Arial" w:hAnsi="Arial" w:cs="Arial"/>
          <w:sz w:val="20"/>
          <w:szCs w:val="20"/>
        </w:rPr>
        <w:t xml:space="preserve">the range of </w:t>
      </w:r>
      <w:r w:rsidR="00665F24" w:rsidRPr="00726F13">
        <w:rPr>
          <w:rFonts w:ascii="Arial" w:hAnsi="Arial" w:cs="Arial"/>
          <w:sz w:val="20"/>
          <w:szCs w:val="20"/>
        </w:rPr>
        <w:t>actors involved in the production and consumption of policy material</w:t>
      </w:r>
      <w:r w:rsidR="003B632D" w:rsidRPr="00726F13">
        <w:rPr>
          <w:rFonts w:ascii="Arial" w:hAnsi="Arial" w:cs="Arial"/>
          <w:sz w:val="20"/>
          <w:szCs w:val="20"/>
        </w:rPr>
        <w:t xml:space="preserve"> has increased</w:t>
      </w:r>
      <w:r w:rsidR="00665F24" w:rsidRPr="00726F13">
        <w:rPr>
          <w:rFonts w:ascii="Arial" w:hAnsi="Arial" w:cs="Arial"/>
          <w:sz w:val="20"/>
          <w:szCs w:val="20"/>
        </w:rPr>
        <w:t xml:space="preserve">. These actors often publish informally as grey literature in the form of ‘reports, discussion papers, working papers, briefings, literature reviews, white and green papers, submissions, evaluations, fact sheets and guides, position papers and procedures’ (Lawrence et al 2014: 5). These are all potential information sources about cities, </w:t>
      </w:r>
      <w:r w:rsidR="00A7344F" w:rsidRPr="00726F13">
        <w:rPr>
          <w:rFonts w:ascii="Arial" w:hAnsi="Arial" w:cs="Arial"/>
          <w:sz w:val="20"/>
          <w:szCs w:val="20"/>
        </w:rPr>
        <w:t xml:space="preserve">about </w:t>
      </w:r>
      <w:r w:rsidR="00665F24" w:rsidRPr="00726F13">
        <w:rPr>
          <w:rFonts w:ascii="Arial" w:hAnsi="Arial" w:cs="Arial"/>
          <w:sz w:val="20"/>
          <w:szCs w:val="20"/>
        </w:rPr>
        <w:t xml:space="preserve">political context and </w:t>
      </w:r>
      <w:r w:rsidR="00A7344F" w:rsidRPr="00726F13">
        <w:rPr>
          <w:rFonts w:ascii="Arial" w:hAnsi="Arial" w:cs="Arial"/>
          <w:sz w:val="20"/>
          <w:szCs w:val="20"/>
        </w:rPr>
        <w:t xml:space="preserve">about the </w:t>
      </w:r>
      <w:r w:rsidR="00665F24" w:rsidRPr="00726F13">
        <w:rPr>
          <w:rFonts w:ascii="Arial" w:hAnsi="Arial" w:cs="Arial"/>
          <w:sz w:val="20"/>
          <w:szCs w:val="20"/>
        </w:rPr>
        <w:t>processes of decision-making.</w:t>
      </w:r>
    </w:p>
    <w:p w:rsidR="00416945" w:rsidRPr="00726F13" w:rsidRDefault="003B632D" w:rsidP="00726F13">
      <w:pPr>
        <w:jc w:val="both"/>
        <w:rPr>
          <w:rFonts w:ascii="Arial" w:hAnsi="Arial" w:cs="Arial"/>
          <w:sz w:val="20"/>
          <w:szCs w:val="20"/>
        </w:rPr>
      </w:pPr>
      <w:r w:rsidRPr="00726F13">
        <w:rPr>
          <w:rFonts w:ascii="Arial" w:hAnsi="Arial" w:cs="Arial"/>
          <w:sz w:val="20"/>
          <w:szCs w:val="20"/>
        </w:rPr>
        <w:lastRenderedPageBreak/>
        <w:t xml:space="preserve">The internet has changed our preferences for research. A number of studies indicate that search engines are the research tool of choice for policy makers (Taylor and Hurley 2015; Lawrence et al 2014). However, the internet is also </w:t>
      </w:r>
      <w:r w:rsidR="00A7344F" w:rsidRPr="00726F13">
        <w:rPr>
          <w:rFonts w:ascii="Arial" w:hAnsi="Arial" w:cs="Arial"/>
          <w:sz w:val="20"/>
          <w:szCs w:val="20"/>
        </w:rPr>
        <w:t xml:space="preserve">a </w:t>
      </w:r>
      <w:r w:rsidRPr="00726F13">
        <w:rPr>
          <w:rFonts w:ascii="Arial" w:hAnsi="Arial" w:cs="Arial"/>
          <w:sz w:val="20"/>
          <w:szCs w:val="20"/>
        </w:rPr>
        <w:t>volatile</w:t>
      </w:r>
      <w:r w:rsidR="00A7344F" w:rsidRPr="00726F13">
        <w:rPr>
          <w:rFonts w:ascii="Arial" w:hAnsi="Arial" w:cs="Arial"/>
          <w:sz w:val="20"/>
          <w:szCs w:val="20"/>
        </w:rPr>
        <w:t xml:space="preserve"> medium</w:t>
      </w:r>
      <w:r w:rsidRPr="00726F13">
        <w:rPr>
          <w:rFonts w:ascii="Arial" w:hAnsi="Arial" w:cs="Arial"/>
          <w:sz w:val="20"/>
          <w:szCs w:val="20"/>
        </w:rPr>
        <w:t>. Policy information can be easily created, but can just as easily be removed as research centres are disbanded, governments change or departments restructure. Lawrence et al observe that ‘infrastructure and standards for digital collecting are insufficiently developed’ and that ‘website content that is managed in a haphazard way causes deadlinks…undermining the evidence base and making research inaccessible’ (Lawrence et al 2014: 7).</w:t>
      </w:r>
      <w:r w:rsidR="00A40363" w:rsidRPr="00726F13">
        <w:rPr>
          <w:rFonts w:ascii="Arial" w:hAnsi="Arial" w:cs="Arial"/>
          <w:sz w:val="20"/>
          <w:szCs w:val="20"/>
        </w:rPr>
        <w:t xml:space="preserve"> </w:t>
      </w:r>
      <w:r w:rsidR="00A7344F" w:rsidRPr="00726F13">
        <w:rPr>
          <w:rFonts w:ascii="Arial" w:hAnsi="Arial" w:cs="Arial"/>
          <w:sz w:val="20"/>
          <w:szCs w:val="20"/>
        </w:rPr>
        <w:t xml:space="preserve">As illustrated in my opening examples, </w:t>
      </w:r>
      <w:r w:rsidR="00813E90" w:rsidRPr="00726F13">
        <w:rPr>
          <w:rFonts w:ascii="Arial" w:hAnsi="Arial" w:cs="Arial"/>
          <w:sz w:val="20"/>
          <w:szCs w:val="20"/>
        </w:rPr>
        <w:t xml:space="preserve">policy </w:t>
      </w:r>
      <w:r w:rsidR="00A7344F" w:rsidRPr="00726F13">
        <w:rPr>
          <w:rFonts w:ascii="Arial" w:hAnsi="Arial" w:cs="Arial"/>
          <w:sz w:val="20"/>
          <w:szCs w:val="20"/>
        </w:rPr>
        <w:t xml:space="preserve">resources that are </w:t>
      </w:r>
      <w:r w:rsidR="00813E90" w:rsidRPr="00726F13">
        <w:rPr>
          <w:rFonts w:ascii="Arial" w:hAnsi="Arial" w:cs="Arial"/>
          <w:sz w:val="20"/>
          <w:szCs w:val="20"/>
        </w:rPr>
        <w:t>relevant to cities might still be lost</w:t>
      </w:r>
      <w:r w:rsidR="00A7344F" w:rsidRPr="00726F13">
        <w:rPr>
          <w:rFonts w:ascii="Arial" w:hAnsi="Arial" w:cs="Arial"/>
          <w:sz w:val="20"/>
          <w:szCs w:val="20"/>
        </w:rPr>
        <w:t xml:space="preserve"> or suppressed</w:t>
      </w:r>
      <w:r w:rsidR="00813E90" w:rsidRPr="00726F13">
        <w:rPr>
          <w:rFonts w:ascii="Arial" w:hAnsi="Arial" w:cs="Arial"/>
          <w:sz w:val="20"/>
          <w:szCs w:val="20"/>
        </w:rPr>
        <w:t>—even by the department that originally produced them.</w:t>
      </w:r>
      <w:r w:rsidRPr="00726F13">
        <w:rPr>
          <w:rFonts w:ascii="Arial" w:hAnsi="Arial" w:cs="Arial"/>
          <w:sz w:val="20"/>
          <w:szCs w:val="20"/>
        </w:rPr>
        <w:t xml:space="preserve"> </w:t>
      </w:r>
    </w:p>
    <w:p w:rsidR="002B7B03" w:rsidRPr="00726F13" w:rsidRDefault="002B7B03" w:rsidP="00726F13">
      <w:pPr>
        <w:jc w:val="both"/>
        <w:rPr>
          <w:rFonts w:ascii="Arial" w:hAnsi="Arial" w:cs="Arial"/>
          <w:b/>
        </w:rPr>
      </w:pPr>
      <w:r w:rsidRPr="00726F13">
        <w:rPr>
          <w:rFonts w:ascii="Arial" w:hAnsi="Arial" w:cs="Arial"/>
          <w:b/>
        </w:rPr>
        <w:t>Developing the APO Urban Policy and Practice collection</w:t>
      </w:r>
    </w:p>
    <w:p w:rsidR="004914DA" w:rsidRPr="00726F13" w:rsidRDefault="0052222B" w:rsidP="00726F13">
      <w:pPr>
        <w:jc w:val="both"/>
        <w:rPr>
          <w:rFonts w:ascii="Arial" w:hAnsi="Arial" w:cs="Arial"/>
          <w:sz w:val="20"/>
          <w:szCs w:val="20"/>
        </w:rPr>
      </w:pPr>
      <w:r w:rsidRPr="00726F13">
        <w:rPr>
          <w:rFonts w:ascii="Arial" w:hAnsi="Arial" w:cs="Arial"/>
          <w:sz w:val="20"/>
          <w:szCs w:val="20"/>
        </w:rPr>
        <w:t xml:space="preserve">When we make policies for cities, we need a range of information sources. </w:t>
      </w:r>
      <w:r w:rsidR="002B7B03" w:rsidRPr="00726F13">
        <w:rPr>
          <w:rFonts w:ascii="Arial" w:hAnsi="Arial" w:cs="Arial"/>
          <w:sz w:val="20"/>
          <w:szCs w:val="20"/>
        </w:rPr>
        <w:t>We need information sources that give us historical context of previous attempts to address the problem, as well as potential options outside established thinking. Unfortunately, as discussed above, there are a range of systemic barriers to accessing and using relevant information for policy making. Analysis &amp; Policy Observatory (APO) is actively engaged in developing digital tools that aim to overcome some of these barriers to information use.</w:t>
      </w:r>
    </w:p>
    <w:p w:rsidR="0031655E" w:rsidRPr="00726F13" w:rsidRDefault="00962185" w:rsidP="00726F13">
      <w:pPr>
        <w:jc w:val="both"/>
        <w:rPr>
          <w:rFonts w:ascii="Arial" w:hAnsi="Arial" w:cs="Arial"/>
          <w:sz w:val="20"/>
          <w:szCs w:val="20"/>
        </w:rPr>
      </w:pPr>
      <w:r w:rsidRPr="00726F13">
        <w:rPr>
          <w:rFonts w:ascii="Arial" w:hAnsi="Arial" w:cs="Arial"/>
          <w:sz w:val="20"/>
          <w:szCs w:val="20"/>
        </w:rPr>
        <w:t xml:space="preserve">APO is </w:t>
      </w:r>
      <w:r w:rsidR="0031655E" w:rsidRPr="00726F13">
        <w:rPr>
          <w:rFonts w:ascii="Arial" w:hAnsi="Arial" w:cs="Arial"/>
          <w:sz w:val="20"/>
          <w:szCs w:val="20"/>
        </w:rPr>
        <w:t>‘an award-winning research collection and information service curating key resources to support evidence-informed policy and practice’ (APO 2017)</w:t>
      </w:r>
      <w:r w:rsidRPr="00726F13">
        <w:rPr>
          <w:rFonts w:ascii="Arial" w:hAnsi="Arial" w:cs="Arial"/>
          <w:sz w:val="20"/>
          <w:szCs w:val="20"/>
        </w:rPr>
        <w:t xml:space="preserve">. </w:t>
      </w:r>
      <w:r w:rsidR="0031655E" w:rsidRPr="00726F13">
        <w:rPr>
          <w:rFonts w:ascii="Arial" w:hAnsi="Arial" w:cs="Arial"/>
          <w:sz w:val="20"/>
          <w:szCs w:val="20"/>
        </w:rPr>
        <w:t>It offers free hosting of policy and practice materials, open access to a range of materials, regular curated newsletters and a searchable database (APO 2017)</w:t>
      </w:r>
      <w:r w:rsidRPr="00726F13">
        <w:rPr>
          <w:rFonts w:ascii="Arial" w:hAnsi="Arial" w:cs="Arial"/>
          <w:sz w:val="20"/>
          <w:szCs w:val="20"/>
        </w:rPr>
        <w:t xml:space="preserve">. </w:t>
      </w:r>
    </w:p>
    <w:p w:rsidR="005B5269" w:rsidRPr="00726F13" w:rsidRDefault="0031655E" w:rsidP="00726F13">
      <w:pPr>
        <w:jc w:val="both"/>
        <w:rPr>
          <w:rFonts w:ascii="Arial" w:hAnsi="Arial" w:cs="Arial"/>
          <w:sz w:val="20"/>
          <w:szCs w:val="20"/>
        </w:rPr>
      </w:pPr>
      <w:r w:rsidRPr="00726F13">
        <w:rPr>
          <w:rFonts w:ascii="Arial" w:hAnsi="Arial" w:cs="Arial"/>
          <w:sz w:val="20"/>
          <w:szCs w:val="20"/>
        </w:rPr>
        <w:t>In 2016, APO and university partners took steps to develop a collection of Urban Policy &amp; Practice materials. This activity was funded by an Australian Research Council grant that aimed to ‘develop collections of policy documentation and data and new tools for problem solving and analysis</w:t>
      </w:r>
      <w:r w:rsidR="005B5269" w:rsidRPr="00726F13">
        <w:rPr>
          <w:rFonts w:ascii="Arial" w:hAnsi="Arial" w:cs="Arial"/>
          <w:sz w:val="20"/>
          <w:szCs w:val="20"/>
        </w:rPr>
        <w:t>’ (ARC 2017)</w:t>
      </w:r>
      <w:r w:rsidRPr="00726F13">
        <w:rPr>
          <w:rFonts w:ascii="Arial" w:hAnsi="Arial" w:cs="Arial"/>
          <w:sz w:val="20"/>
          <w:szCs w:val="20"/>
        </w:rPr>
        <w:t xml:space="preserve">. </w:t>
      </w:r>
      <w:r w:rsidR="005B5269" w:rsidRPr="00726F13">
        <w:rPr>
          <w:rFonts w:ascii="Arial" w:hAnsi="Arial" w:cs="Arial"/>
          <w:sz w:val="20"/>
          <w:szCs w:val="20"/>
        </w:rPr>
        <w:t>The project aimed ‘</w:t>
      </w:r>
      <w:r w:rsidRPr="00726F13">
        <w:rPr>
          <w:rFonts w:ascii="Arial" w:hAnsi="Arial" w:cs="Arial"/>
          <w:sz w:val="20"/>
          <w:szCs w:val="20"/>
        </w:rPr>
        <w:t>to provide critical research infrastructure that supports innovative approaches to Australian public policy research</w:t>
      </w:r>
      <w:r w:rsidR="005B5269" w:rsidRPr="00726F13">
        <w:rPr>
          <w:rFonts w:ascii="Arial" w:hAnsi="Arial" w:cs="Arial"/>
          <w:sz w:val="20"/>
          <w:szCs w:val="20"/>
        </w:rPr>
        <w:t>’ by ‘enabling efficient universal access to historical and archived policy material’ (ARC 2017)</w:t>
      </w:r>
      <w:r w:rsidRPr="00726F13">
        <w:rPr>
          <w:rFonts w:ascii="Arial" w:hAnsi="Arial" w:cs="Arial"/>
          <w:sz w:val="20"/>
          <w:szCs w:val="20"/>
        </w:rPr>
        <w:t xml:space="preserve">. </w:t>
      </w:r>
    </w:p>
    <w:p w:rsidR="0031655E" w:rsidRPr="00726F13" w:rsidRDefault="005B5269" w:rsidP="00726F13">
      <w:pPr>
        <w:jc w:val="both"/>
        <w:rPr>
          <w:rFonts w:ascii="Arial" w:hAnsi="Arial" w:cs="Arial"/>
          <w:sz w:val="20"/>
          <w:szCs w:val="20"/>
        </w:rPr>
      </w:pPr>
      <w:r w:rsidRPr="00726F13">
        <w:rPr>
          <w:rFonts w:ascii="Arial" w:hAnsi="Arial" w:cs="Arial"/>
          <w:sz w:val="20"/>
          <w:szCs w:val="20"/>
        </w:rPr>
        <w:t>The Urban Policy &amp; Practice (UPP) collection was established as a special collection within APO. It was intended to include both contemporary and historic urban policy material. In order to prioritise development of the collection, the curator undertook a significance assessment process: researching, com</w:t>
      </w:r>
      <w:r w:rsidR="00D92D19" w:rsidRPr="00726F13">
        <w:rPr>
          <w:rFonts w:ascii="Arial" w:hAnsi="Arial" w:cs="Arial"/>
          <w:sz w:val="20"/>
          <w:szCs w:val="20"/>
        </w:rPr>
        <w:t>paring with similar collections, consulting with potential users and assessing significance, in order to prioritise collection activities.</w:t>
      </w:r>
    </w:p>
    <w:p w:rsidR="00D92D19" w:rsidRPr="00726F13" w:rsidRDefault="00D92D19" w:rsidP="00726F13">
      <w:pPr>
        <w:jc w:val="both"/>
        <w:rPr>
          <w:rFonts w:ascii="Arial" w:hAnsi="Arial" w:cs="Arial"/>
          <w:b/>
        </w:rPr>
      </w:pPr>
      <w:r w:rsidRPr="00726F13">
        <w:rPr>
          <w:rFonts w:ascii="Arial" w:hAnsi="Arial" w:cs="Arial"/>
          <w:b/>
        </w:rPr>
        <w:t>Consultation results</w:t>
      </w:r>
    </w:p>
    <w:p w:rsidR="00D92D19" w:rsidRPr="00726F13" w:rsidRDefault="00D92D19" w:rsidP="00726F13">
      <w:pPr>
        <w:jc w:val="both"/>
        <w:rPr>
          <w:rFonts w:ascii="Arial" w:hAnsi="Arial" w:cs="Arial"/>
          <w:sz w:val="20"/>
          <w:szCs w:val="20"/>
        </w:rPr>
      </w:pPr>
      <w:r w:rsidRPr="00726F13">
        <w:rPr>
          <w:rFonts w:ascii="Arial" w:hAnsi="Arial" w:cs="Arial"/>
          <w:sz w:val="20"/>
          <w:szCs w:val="20"/>
        </w:rPr>
        <w:t>Our survey was distributed on APO and promoted through the APO newsletter, Centre for Urban Research newsletter and Urban Happiness Facebook page. We had 108 responses.</w:t>
      </w:r>
    </w:p>
    <w:p w:rsidR="00D92D19" w:rsidRPr="00726F13" w:rsidRDefault="00D92D19" w:rsidP="00726F13">
      <w:pPr>
        <w:jc w:val="both"/>
        <w:rPr>
          <w:rFonts w:ascii="Arial" w:hAnsi="Arial" w:cs="Arial"/>
          <w:sz w:val="20"/>
          <w:szCs w:val="20"/>
        </w:rPr>
      </w:pPr>
      <w:r w:rsidRPr="00726F13">
        <w:rPr>
          <w:rFonts w:ascii="Arial" w:hAnsi="Arial" w:cs="Arial"/>
          <w:sz w:val="20"/>
          <w:szCs w:val="20"/>
        </w:rPr>
        <w:t>Overall, the policy research themes that generated the greatest interest were:</w:t>
      </w:r>
    </w:p>
    <w:p w:rsidR="00D92D19" w:rsidRPr="00726F13" w:rsidRDefault="00D92D19" w:rsidP="00726F13">
      <w:pPr>
        <w:pStyle w:val="ListParagraph"/>
        <w:numPr>
          <w:ilvl w:val="0"/>
          <w:numId w:val="4"/>
        </w:numPr>
        <w:jc w:val="both"/>
        <w:rPr>
          <w:rFonts w:ascii="Arial" w:hAnsi="Arial" w:cs="Arial"/>
          <w:sz w:val="20"/>
          <w:szCs w:val="20"/>
        </w:rPr>
      </w:pPr>
      <w:r w:rsidRPr="00726F13">
        <w:rPr>
          <w:rFonts w:ascii="Arial" w:hAnsi="Arial" w:cs="Arial"/>
          <w:sz w:val="20"/>
          <w:szCs w:val="20"/>
        </w:rPr>
        <w:t>General resources about urban development (about 90% actively interested or interested)</w:t>
      </w:r>
    </w:p>
    <w:p w:rsidR="00D92D19" w:rsidRPr="00726F13" w:rsidRDefault="00D92D19" w:rsidP="00726F13">
      <w:pPr>
        <w:pStyle w:val="ListParagraph"/>
        <w:numPr>
          <w:ilvl w:val="0"/>
          <w:numId w:val="4"/>
        </w:numPr>
        <w:jc w:val="both"/>
        <w:rPr>
          <w:rFonts w:ascii="Arial" w:hAnsi="Arial" w:cs="Arial"/>
          <w:sz w:val="20"/>
          <w:szCs w:val="20"/>
        </w:rPr>
      </w:pPr>
      <w:r w:rsidRPr="00726F13">
        <w:rPr>
          <w:rFonts w:ascii="Arial" w:hAnsi="Arial" w:cs="Arial"/>
          <w:sz w:val="20"/>
          <w:szCs w:val="20"/>
        </w:rPr>
        <w:t>Resources about equity and access, urban density, housing and community participation ( all about 80% actively interested or interested), and</w:t>
      </w:r>
    </w:p>
    <w:p w:rsidR="00D92D19" w:rsidRPr="00726F13" w:rsidRDefault="00D92D19" w:rsidP="00726F13">
      <w:pPr>
        <w:pStyle w:val="ListParagraph"/>
        <w:numPr>
          <w:ilvl w:val="0"/>
          <w:numId w:val="4"/>
        </w:numPr>
        <w:jc w:val="both"/>
        <w:rPr>
          <w:rFonts w:ascii="Arial" w:hAnsi="Arial" w:cs="Arial"/>
          <w:sz w:val="20"/>
          <w:szCs w:val="20"/>
        </w:rPr>
      </w:pPr>
      <w:r w:rsidRPr="00726F13">
        <w:rPr>
          <w:rFonts w:ascii="Arial" w:hAnsi="Arial" w:cs="Arial"/>
          <w:sz w:val="20"/>
          <w:szCs w:val="20"/>
        </w:rPr>
        <w:t>Resources about open space policy or transportation (both just above 70% actively interested or interested).</w:t>
      </w:r>
    </w:p>
    <w:p w:rsidR="00D92D19" w:rsidRPr="00726F13" w:rsidRDefault="00D92D19" w:rsidP="00726F13">
      <w:pPr>
        <w:jc w:val="both"/>
        <w:rPr>
          <w:rFonts w:ascii="Arial" w:hAnsi="Arial" w:cs="Arial"/>
          <w:sz w:val="20"/>
          <w:szCs w:val="20"/>
        </w:rPr>
      </w:pPr>
      <w:r w:rsidRPr="00726F13">
        <w:rPr>
          <w:rFonts w:ascii="Arial" w:hAnsi="Arial" w:cs="Arial"/>
          <w:sz w:val="20"/>
          <w:szCs w:val="20"/>
        </w:rPr>
        <w:t>Consequently, collection activities have broadly focused on these areas. APO has particularly strong collection of housing related resources and has worked to strengthen other themes.</w:t>
      </w:r>
    </w:p>
    <w:p w:rsidR="00D92D19" w:rsidRPr="00726F13" w:rsidRDefault="00D92D19" w:rsidP="00726F13">
      <w:pPr>
        <w:jc w:val="both"/>
        <w:rPr>
          <w:rFonts w:ascii="Arial" w:hAnsi="Arial" w:cs="Arial"/>
          <w:sz w:val="20"/>
          <w:szCs w:val="20"/>
        </w:rPr>
      </w:pPr>
      <w:r w:rsidRPr="00726F13">
        <w:rPr>
          <w:rFonts w:ascii="Arial" w:hAnsi="Arial" w:cs="Arial"/>
          <w:sz w:val="20"/>
          <w:szCs w:val="20"/>
        </w:rPr>
        <w:t>Around 80-85% respondents said they were interested or actively interested in international case studies or strategies, case studies, evaluations of policies or plans, reports of government inquiries, State government policy statements, strategic plans, Federal government policy statements</w:t>
      </w:r>
      <w:r w:rsidR="00A51480" w:rsidRPr="00726F13">
        <w:rPr>
          <w:rFonts w:ascii="Arial" w:hAnsi="Arial" w:cs="Arial"/>
          <w:sz w:val="20"/>
          <w:szCs w:val="20"/>
        </w:rPr>
        <w:t xml:space="preserve"> and</w:t>
      </w:r>
      <w:r w:rsidRPr="00726F13">
        <w:rPr>
          <w:rFonts w:ascii="Arial" w:hAnsi="Arial" w:cs="Arial"/>
          <w:sz w:val="20"/>
          <w:szCs w:val="20"/>
        </w:rPr>
        <w:t xml:space="preserve"> </w:t>
      </w:r>
      <w:r w:rsidRPr="00726F13">
        <w:rPr>
          <w:rFonts w:ascii="Arial" w:hAnsi="Arial" w:cs="Arial"/>
          <w:sz w:val="20"/>
          <w:szCs w:val="20"/>
        </w:rPr>
        <w:lastRenderedPageBreak/>
        <w:t>policy-related opinion pieces</w:t>
      </w:r>
      <w:r w:rsidR="00A51480" w:rsidRPr="00726F13">
        <w:rPr>
          <w:rFonts w:ascii="Arial" w:hAnsi="Arial" w:cs="Arial"/>
          <w:sz w:val="20"/>
          <w:szCs w:val="20"/>
        </w:rPr>
        <w:t>. Collection activities have focused on a range of policy resources, including international resources.</w:t>
      </w:r>
    </w:p>
    <w:p w:rsidR="00D92D19" w:rsidRPr="00726F13" w:rsidRDefault="00A51480" w:rsidP="00726F13">
      <w:pPr>
        <w:jc w:val="both"/>
        <w:rPr>
          <w:rFonts w:ascii="Arial" w:hAnsi="Arial" w:cs="Arial"/>
          <w:sz w:val="20"/>
          <w:szCs w:val="20"/>
        </w:rPr>
      </w:pPr>
      <w:r w:rsidRPr="00726F13">
        <w:rPr>
          <w:rFonts w:ascii="Arial" w:hAnsi="Arial" w:cs="Arial"/>
          <w:sz w:val="20"/>
          <w:szCs w:val="20"/>
        </w:rPr>
        <w:t>Survey respondents also included a range of specific resources that they would like to see digitised. Based on this, APO has been working towards digitising historic metropolitan plans for capital cities and ANU Urban Research Program papers and cataloguing a range of archived urban research and policy documents.</w:t>
      </w:r>
    </w:p>
    <w:p w:rsidR="00A35B16" w:rsidRPr="00726F13" w:rsidRDefault="00A51480" w:rsidP="00726F13">
      <w:pPr>
        <w:jc w:val="both"/>
        <w:rPr>
          <w:rFonts w:ascii="Arial" w:hAnsi="Arial" w:cs="Arial"/>
          <w:b/>
        </w:rPr>
      </w:pPr>
      <w:r w:rsidRPr="00726F13">
        <w:rPr>
          <w:rFonts w:ascii="Arial" w:hAnsi="Arial" w:cs="Arial"/>
          <w:b/>
        </w:rPr>
        <w:t>What were the curatorial priorities?</w:t>
      </w:r>
    </w:p>
    <w:p w:rsidR="00A35B16" w:rsidRPr="00726F13" w:rsidRDefault="00A35B16" w:rsidP="00726F13">
      <w:pPr>
        <w:jc w:val="both"/>
        <w:rPr>
          <w:rFonts w:ascii="Arial" w:hAnsi="Arial" w:cs="Arial"/>
          <w:sz w:val="20"/>
          <w:szCs w:val="20"/>
        </w:rPr>
      </w:pPr>
      <w:r w:rsidRPr="00726F13">
        <w:rPr>
          <w:rFonts w:ascii="Arial" w:hAnsi="Arial" w:cs="Arial"/>
          <w:sz w:val="20"/>
          <w:szCs w:val="20"/>
        </w:rPr>
        <w:t xml:space="preserve">The APO </w:t>
      </w:r>
      <w:r w:rsidR="00A51480" w:rsidRPr="00726F13">
        <w:rPr>
          <w:rFonts w:ascii="Arial" w:hAnsi="Arial" w:cs="Arial"/>
          <w:sz w:val="20"/>
          <w:szCs w:val="20"/>
        </w:rPr>
        <w:t xml:space="preserve">UPP </w:t>
      </w:r>
      <w:r w:rsidRPr="00726F13">
        <w:rPr>
          <w:rFonts w:ascii="Arial" w:hAnsi="Arial" w:cs="Arial"/>
          <w:sz w:val="20"/>
          <w:szCs w:val="20"/>
        </w:rPr>
        <w:t xml:space="preserve">Collection </w:t>
      </w:r>
      <w:r w:rsidR="00A51480" w:rsidRPr="00726F13">
        <w:rPr>
          <w:rFonts w:ascii="Arial" w:hAnsi="Arial" w:cs="Arial"/>
          <w:sz w:val="20"/>
          <w:szCs w:val="20"/>
        </w:rPr>
        <w:t xml:space="preserve">was seen as </w:t>
      </w:r>
      <w:r w:rsidRPr="00726F13">
        <w:rPr>
          <w:rFonts w:ascii="Arial" w:hAnsi="Arial" w:cs="Arial"/>
          <w:sz w:val="20"/>
          <w:szCs w:val="20"/>
        </w:rPr>
        <w:t>an applied urban research and policy material collection. It aim</w:t>
      </w:r>
      <w:r w:rsidR="00A51480" w:rsidRPr="00726F13">
        <w:rPr>
          <w:rFonts w:ascii="Arial" w:hAnsi="Arial" w:cs="Arial"/>
          <w:sz w:val="20"/>
          <w:szCs w:val="20"/>
        </w:rPr>
        <w:t>ed</w:t>
      </w:r>
      <w:r w:rsidRPr="00726F13">
        <w:rPr>
          <w:rFonts w:ascii="Arial" w:hAnsi="Arial" w:cs="Arial"/>
          <w:sz w:val="20"/>
          <w:szCs w:val="20"/>
        </w:rPr>
        <w:t xml:space="preserve"> to meet the information needs of urban researchers, urban policy makers (Federal and State) and practitioners (Local Government Strategic Planners) and non-government organisations (for example citizens groups).</w:t>
      </w:r>
    </w:p>
    <w:p w:rsidR="00A35B16" w:rsidRPr="00726F13" w:rsidRDefault="00A35B16" w:rsidP="00726F13">
      <w:pPr>
        <w:jc w:val="both"/>
        <w:rPr>
          <w:rFonts w:ascii="Arial" w:hAnsi="Arial" w:cs="Arial"/>
          <w:sz w:val="20"/>
          <w:szCs w:val="20"/>
        </w:rPr>
      </w:pPr>
      <w:r w:rsidRPr="00726F13">
        <w:rPr>
          <w:rFonts w:ascii="Arial" w:hAnsi="Arial" w:cs="Arial"/>
          <w:sz w:val="20"/>
          <w:szCs w:val="20"/>
        </w:rPr>
        <w:t xml:space="preserve">Therefore, </w:t>
      </w:r>
      <w:r w:rsidR="00A51480" w:rsidRPr="00726F13">
        <w:rPr>
          <w:rFonts w:ascii="Arial" w:hAnsi="Arial" w:cs="Arial"/>
          <w:sz w:val="20"/>
          <w:szCs w:val="20"/>
        </w:rPr>
        <w:t xml:space="preserve">it was intended to focus on resources of active interest to </w:t>
      </w:r>
      <w:r w:rsidRPr="00726F13">
        <w:rPr>
          <w:rFonts w:ascii="Arial" w:hAnsi="Arial" w:cs="Arial"/>
          <w:sz w:val="20"/>
          <w:szCs w:val="20"/>
        </w:rPr>
        <w:t>urban researchers or policy makers</w:t>
      </w:r>
      <w:r w:rsidR="00A51480" w:rsidRPr="00726F13">
        <w:rPr>
          <w:rFonts w:ascii="Arial" w:hAnsi="Arial" w:cs="Arial"/>
          <w:sz w:val="20"/>
          <w:szCs w:val="20"/>
        </w:rPr>
        <w:t xml:space="preserve"> now or in the future. </w:t>
      </w:r>
      <w:r w:rsidRPr="00726F13">
        <w:rPr>
          <w:rFonts w:ascii="Arial" w:hAnsi="Arial" w:cs="Arial"/>
          <w:sz w:val="20"/>
          <w:szCs w:val="20"/>
        </w:rPr>
        <w:t xml:space="preserve">Broadly, </w:t>
      </w:r>
      <w:r w:rsidR="00A51480" w:rsidRPr="00726F13">
        <w:rPr>
          <w:rFonts w:ascii="Arial" w:hAnsi="Arial" w:cs="Arial"/>
          <w:sz w:val="20"/>
          <w:szCs w:val="20"/>
        </w:rPr>
        <w:t xml:space="preserve">it attempted to focus on the </w:t>
      </w:r>
      <w:r w:rsidRPr="00726F13">
        <w:rPr>
          <w:rFonts w:ascii="Arial" w:hAnsi="Arial" w:cs="Arial"/>
          <w:sz w:val="20"/>
          <w:szCs w:val="20"/>
        </w:rPr>
        <w:t>themes identified by survey participants as important.</w:t>
      </w:r>
      <w:r w:rsidR="00A51480" w:rsidRPr="00726F13">
        <w:rPr>
          <w:rFonts w:ascii="Arial" w:hAnsi="Arial" w:cs="Arial"/>
          <w:sz w:val="20"/>
          <w:szCs w:val="20"/>
        </w:rPr>
        <w:t xml:space="preserve"> </w:t>
      </w:r>
      <w:r w:rsidRPr="00726F13">
        <w:rPr>
          <w:rFonts w:ascii="Arial" w:hAnsi="Arial" w:cs="Arial"/>
          <w:sz w:val="20"/>
          <w:szCs w:val="20"/>
        </w:rPr>
        <w:t>The focus of both contemporary and historic material should be on material that could be applied by the target audience—either in current policy d</w:t>
      </w:r>
      <w:r w:rsidR="00A51480" w:rsidRPr="00726F13">
        <w:rPr>
          <w:rFonts w:ascii="Arial" w:hAnsi="Arial" w:cs="Arial"/>
          <w:sz w:val="20"/>
          <w:szCs w:val="20"/>
        </w:rPr>
        <w:t xml:space="preserve">evelopment or applied research. </w:t>
      </w:r>
      <w:r w:rsidRPr="00726F13">
        <w:rPr>
          <w:rFonts w:ascii="Arial" w:hAnsi="Arial" w:cs="Arial"/>
          <w:sz w:val="20"/>
          <w:szCs w:val="20"/>
        </w:rPr>
        <w:t xml:space="preserve">Ideally, </w:t>
      </w:r>
      <w:r w:rsidR="00A51480" w:rsidRPr="00726F13">
        <w:rPr>
          <w:rFonts w:ascii="Arial" w:hAnsi="Arial" w:cs="Arial"/>
          <w:sz w:val="20"/>
          <w:szCs w:val="20"/>
        </w:rPr>
        <w:t xml:space="preserve">it was intended that </w:t>
      </w:r>
      <w:r w:rsidRPr="00726F13">
        <w:rPr>
          <w:rFonts w:ascii="Arial" w:hAnsi="Arial" w:cs="Arial"/>
          <w:sz w:val="20"/>
          <w:szCs w:val="20"/>
        </w:rPr>
        <w:t xml:space="preserve">resources that demonstrate ‘high quality’ research or successful policy intervention should be prioritised. Resources that are identified as hard to access or vulnerable to ‘disappearing’ </w:t>
      </w:r>
      <w:r w:rsidR="00A51480" w:rsidRPr="00726F13">
        <w:rPr>
          <w:rFonts w:ascii="Arial" w:hAnsi="Arial" w:cs="Arial"/>
          <w:sz w:val="20"/>
          <w:szCs w:val="20"/>
        </w:rPr>
        <w:t xml:space="preserve">also </w:t>
      </w:r>
      <w:r w:rsidRPr="00726F13">
        <w:rPr>
          <w:rFonts w:ascii="Arial" w:hAnsi="Arial" w:cs="Arial"/>
          <w:sz w:val="20"/>
          <w:szCs w:val="20"/>
        </w:rPr>
        <w:t>warrant</w:t>
      </w:r>
      <w:r w:rsidR="00A51480" w:rsidRPr="00726F13">
        <w:rPr>
          <w:rFonts w:ascii="Arial" w:hAnsi="Arial" w:cs="Arial"/>
          <w:sz w:val="20"/>
          <w:szCs w:val="20"/>
        </w:rPr>
        <w:t>ed</w:t>
      </w:r>
      <w:r w:rsidRPr="00726F13">
        <w:rPr>
          <w:rFonts w:ascii="Arial" w:hAnsi="Arial" w:cs="Arial"/>
          <w:sz w:val="20"/>
          <w:szCs w:val="20"/>
        </w:rPr>
        <w:t xml:space="preserve"> priority. </w:t>
      </w:r>
    </w:p>
    <w:p w:rsidR="00DE6C9C" w:rsidRPr="00726F13" w:rsidRDefault="00DE6C9C" w:rsidP="00726F13">
      <w:pPr>
        <w:jc w:val="both"/>
        <w:rPr>
          <w:rFonts w:ascii="Arial" w:hAnsi="Arial" w:cs="Arial"/>
          <w:sz w:val="20"/>
          <w:szCs w:val="20"/>
        </w:rPr>
      </w:pPr>
      <w:r w:rsidRPr="00726F13">
        <w:rPr>
          <w:rFonts w:ascii="Arial" w:hAnsi="Arial" w:cs="Arial"/>
          <w:sz w:val="20"/>
          <w:szCs w:val="20"/>
        </w:rPr>
        <w:t>As of July 2017, the APO UPP collection has 2640 items in the collection. APO is progressively digitising ANU urban research papers and aims to provide a full set of metropolitan plans for Sydney. Subject to funding, this project could be expanded to digitise metropolitan plans for all capital cities and to provide access to historic research papers produced by other urban research centres. These activities could provide more ready access to urban policy material to support historical analysis.</w:t>
      </w:r>
    </w:p>
    <w:p w:rsidR="00C95163" w:rsidRPr="00726F13" w:rsidRDefault="00C95163" w:rsidP="00726F13">
      <w:pPr>
        <w:jc w:val="both"/>
        <w:rPr>
          <w:rFonts w:ascii="Arial" w:hAnsi="Arial" w:cs="Arial"/>
          <w:b/>
        </w:rPr>
      </w:pPr>
      <w:r w:rsidRPr="00726F13">
        <w:rPr>
          <w:rFonts w:ascii="Arial" w:hAnsi="Arial" w:cs="Arial"/>
          <w:b/>
        </w:rPr>
        <w:t>Conclusion</w:t>
      </w:r>
    </w:p>
    <w:p w:rsidR="00843FEB" w:rsidRPr="00726F13" w:rsidRDefault="00843FEB" w:rsidP="00726F13">
      <w:pPr>
        <w:jc w:val="both"/>
        <w:rPr>
          <w:rFonts w:ascii="Arial" w:hAnsi="Arial" w:cs="Arial"/>
          <w:sz w:val="20"/>
          <w:szCs w:val="20"/>
        </w:rPr>
      </w:pPr>
      <w:r w:rsidRPr="00726F13">
        <w:rPr>
          <w:rFonts w:ascii="Arial" w:hAnsi="Arial" w:cs="Arial"/>
          <w:sz w:val="20"/>
          <w:szCs w:val="20"/>
        </w:rPr>
        <w:t>There are many challenges to implementing a system of evidence-informed planning. However, to simply let political pressures dictate outcomes for cities is fatalistic and defeatist. There is a wealth of resources, produced by government, not-for-profits and universities, that could contribute to improved outcomes for cities. Having a sense of the historical context of urban problems can give us clues about the drivers or barriers to change. Sometimes, like in the example provided by Mees, they might even reveal possibilities for change that have been overlooked.</w:t>
      </w:r>
    </w:p>
    <w:p w:rsidR="0084700B" w:rsidRPr="00726F13" w:rsidRDefault="00843FEB" w:rsidP="00726F13">
      <w:pPr>
        <w:jc w:val="both"/>
        <w:rPr>
          <w:rFonts w:ascii="Arial" w:hAnsi="Arial" w:cs="Arial"/>
          <w:sz w:val="20"/>
          <w:szCs w:val="20"/>
        </w:rPr>
      </w:pPr>
      <w:r w:rsidRPr="00726F13">
        <w:rPr>
          <w:rFonts w:ascii="Arial" w:hAnsi="Arial" w:cs="Arial"/>
          <w:sz w:val="20"/>
          <w:szCs w:val="20"/>
        </w:rPr>
        <w:t>The APO UPP collection was an attempt to build a hub of resources that would allow practitioners, policy m</w:t>
      </w:r>
      <w:r w:rsidR="006A12D3" w:rsidRPr="00726F13">
        <w:rPr>
          <w:rFonts w:ascii="Arial" w:hAnsi="Arial" w:cs="Arial"/>
          <w:sz w:val="20"/>
          <w:szCs w:val="20"/>
        </w:rPr>
        <w:t>akers and researchers to access and use historic and contemporary urban material</w:t>
      </w:r>
      <w:r w:rsidRPr="00726F13">
        <w:rPr>
          <w:rFonts w:ascii="Arial" w:hAnsi="Arial" w:cs="Arial"/>
          <w:sz w:val="20"/>
          <w:szCs w:val="20"/>
        </w:rPr>
        <w:t xml:space="preserve">. </w:t>
      </w:r>
      <w:r w:rsidR="006A12D3" w:rsidRPr="00726F13">
        <w:rPr>
          <w:rFonts w:ascii="Arial" w:hAnsi="Arial" w:cs="Arial"/>
          <w:sz w:val="20"/>
          <w:szCs w:val="20"/>
        </w:rPr>
        <w:t>A well-organised, curated database can contribute to the ongoing collection and preservation of important urban resources</w:t>
      </w:r>
      <w:r w:rsidRPr="00726F13">
        <w:rPr>
          <w:rFonts w:ascii="Arial" w:hAnsi="Arial" w:cs="Arial"/>
          <w:sz w:val="20"/>
          <w:szCs w:val="20"/>
        </w:rPr>
        <w:t xml:space="preserve">. In order to be really valuable, </w:t>
      </w:r>
      <w:r w:rsidR="006A12D3" w:rsidRPr="00726F13">
        <w:rPr>
          <w:rFonts w:ascii="Arial" w:hAnsi="Arial" w:cs="Arial"/>
          <w:sz w:val="20"/>
          <w:szCs w:val="20"/>
        </w:rPr>
        <w:t xml:space="preserve">however, </w:t>
      </w:r>
      <w:r w:rsidRPr="00726F13">
        <w:rPr>
          <w:rFonts w:ascii="Arial" w:hAnsi="Arial" w:cs="Arial"/>
          <w:sz w:val="20"/>
          <w:szCs w:val="20"/>
        </w:rPr>
        <w:t>we need a model where organisations and researchers contribute their knowledge and resources to shaping the collection.</w:t>
      </w:r>
      <w:r w:rsidR="006A12D3" w:rsidRPr="00726F13">
        <w:rPr>
          <w:rFonts w:ascii="Arial" w:hAnsi="Arial" w:cs="Arial"/>
          <w:sz w:val="20"/>
          <w:szCs w:val="20"/>
        </w:rPr>
        <w:t xml:space="preserve"> We need long-term thinking about the information needs of planners and urban policy makers. Ideally, this would be done collaboratively, with researchers and APO </w:t>
      </w:r>
      <w:r w:rsidR="0084700B" w:rsidRPr="00726F13">
        <w:rPr>
          <w:rFonts w:ascii="Arial" w:hAnsi="Arial" w:cs="Arial"/>
          <w:sz w:val="20"/>
          <w:szCs w:val="20"/>
        </w:rPr>
        <w:t xml:space="preserve">working with </w:t>
      </w:r>
      <w:r w:rsidR="006A12D3" w:rsidRPr="00726F13">
        <w:rPr>
          <w:rFonts w:ascii="Arial" w:hAnsi="Arial" w:cs="Arial"/>
          <w:sz w:val="20"/>
          <w:szCs w:val="20"/>
        </w:rPr>
        <w:t xml:space="preserve">planners </w:t>
      </w:r>
      <w:r w:rsidR="0084700B" w:rsidRPr="00726F13">
        <w:rPr>
          <w:rFonts w:ascii="Arial" w:hAnsi="Arial" w:cs="Arial"/>
          <w:sz w:val="20"/>
          <w:szCs w:val="20"/>
        </w:rPr>
        <w:t xml:space="preserve">to understand </w:t>
      </w:r>
      <w:r w:rsidR="006A12D3" w:rsidRPr="00726F13">
        <w:rPr>
          <w:rFonts w:ascii="Arial" w:hAnsi="Arial" w:cs="Arial"/>
          <w:sz w:val="20"/>
          <w:szCs w:val="20"/>
        </w:rPr>
        <w:t xml:space="preserve">the </w:t>
      </w:r>
      <w:r w:rsidR="0084700B" w:rsidRPr="00726F13">
        <w:rPr>
          <w:rFonts w:ascii="Arial" w:hAnsi="Arial" w:cs="Arial"/>
          <w:sz w:val="20"/>
          <w:szCs w:val="20"/>
        </w:rPr>
        <w:t xml:space="preserve">context </w:t>
      </w:r>
      <w:r w:rsidR="006A12D3" w:rsidRPr="00726F13">
        <w:rPr>
          <w:rFonts w:ascii="Arial" w:hAnsi="Arial" w:cs="Arial"/>
          <w:sz w:val="20"/>
          <w:szCs w:val="20"/>
        </w:rPr>
        <w:t xml:space="preserve">of their work </w:t>
      </w:r>
      <w:r w:rsidR="0084700B" w:rsidRPr="00726F13">
        <w:rPr>
          <w:rFonts w:ascii="Arial" w:hAnsi="Arial" w:cs="Arial"/>
          <w:sz w:val="20"/>
          <w:szCs w:val="20"/>
        </w:rPr>
        <w:t xml:space="preserve">and design </w:t>
      </w:r>
      <w:r w:rsidR="006A12D3" w:rsidRPr="00726F13">
        <w:rPr>
          <w:rFonts w:ascii="Arial" w:hAnsi="Arial" w:cs="Arial"/>
          <w:sz w:val="20"/>
          <w:szCs w:val="20"/>
        </w:rPr>
        <w:t xml:space="preserve">information </w:t>
      </w:r>
      <w:r w:rsidR="0084700B" w:rsidRPr="00726F13">
        <w:rPr>
          <w:rFonts w:ascii="Arial" w:hAnsi="Arial" w:cs="Arial"/>
          <w:sz w:val="20"/>
          <w:szCs w:val="20"/>
        </w:rPr>
        <w:t xml:space="preserve">products </w:t>
      </w:r>
      <w:r w:rsidR="006A12D3" w:rsidRPr="00726F13">
        <w:rPr>
          <w:rFonts w:ascii="Arial" w:hAnsi="Arial" w:cs="Arial"/>
          <w:sz w:val="20"/>
          <w:szCs w:val="20"/>
        </w:rPr>
        <w:t>to respond to their needs</w:t>
      </w:r>
      <w:r w:rsidR="0084700B" w:rsidRPr="00726F13">
        <w:rPr>
          <w:rFonts w:ascii="Arial" w:hAnsi="Arial" w:cs="Arial"/>
          <w:sz w:val="20"/>
          <w:szCs w:val="20"/>
        </w:rPr>
        <w:t xml:space="preserve">. </w:t>
      </w:r>
      <w:r w:rsidR="006A12D3" w:rsidRPr="00726F13">
        <w:rPr>
          <w:rFonts w:ascii="Arial" w:hAnsi="Arial" w:cs="Arial"/>
          <w:sz w:val="20"/>
          <w:szCs w:val="20"/>
        </w:rPr>
        <w:t xml:space="preserve">In this way, digital collections could make an important contribution to evidence-informed planning </w:t>
      </w:r>
      <w:r w:rsidR="00D42364" w:rsidRPr="00726F13">
        <w:rPr>
          <w:rFonts w:ascii="Arial" w:hAnsi="Arial" w:cs="Arial"/>
          <w:sz w:val="20"/>
          <w:szCs w:val="20"/>
        </w:rPr>
        <w:t>for cities</w:t>
      </w:r>
      <w:r w:rsidR="006A12D3" w:rsidRPr="00726F13">
        <w:rPr>
          <w:rFonts w:ascii="Arial" w:hAnsi="Arial" w:cs="Arial"/>
          <w:sz w:val="20"/>
          <w:szCs w:val="20"/>
        </w:rPr>
        <w:t xml:space="preserve">. </w:t>
      </w:r>
    </w:p>
    <w:p w:rsidR="00B745CA" w:rsidRPr="00726F13" w:rsidRDefault="00B745CA" w:rsidP="00726F13">
      <w:pPr>
        <w:jc w:val="both"/>
        <w:rPr>
          <w:rFonts w:ascii="Arial" w:hAnsi="Arial" w:cs="Arial"/>
          <w:sz w:val="20"/>
          <w:szCs w:val="20"/>
        </w:rPr>
      </w:pPr>
      <w:r w:rsidRPr="00726F13">
        <w:rPr>
          <w:rFonts w:ascii="Arial" w:hAnsi="Arial" w:cs="Arial"/>
          <w:sz w:val="20"/>
          <w:szCs w:val="20"/>
        </w:rPr>
        <w:br w:type="page"/>
      </w:r>
    </w:p>
    <w:p w:rsidR="00B745CA" w:rsidRPr="00791A93" w:rsidRDefault="00B745CA" w:rsidP="00726F13">
      <w:pPr>
        <w:jc w:val="both"/>
        <w:rPr>
          <w:rFonts w:ascii="Arial" w:hAnsi="Arial" w:cs="Arial"/>
          <w:b/>
        </w:rPr>
      </w:pPr>
      <w:r w:rsidRPr="00791A93">
        <w:rPr>
          <w:rFonts w:ascii="Arial" w:hAnsi="Arial" w:cs="Arial"/>
          <w:b/>
        </w:rPr>
        <w:lastRenderedPageBreak/>
        <w:t>Bibliography</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ALEXANDER, C. 2015. Outing the invisible academic: how researchers can get the hearing they deserve. </w:t>
      </w:r>
      <w:r w:rsidRPr="007B34B5">
        <w:rPr>
          <w:rFonts w:ascii="Arial" w:hAnsi="Arial" w:cs="Arial"/>
          <w:i/>
        </w:rPr>
        <w:t>Melbourne Sustainable Society Institute Issues Paper Series.</w:t>
      </w:r>
      <w:r w:rsidRPr="007B34B5">
        <w:rPr>
          <w:rFonts w:ascii="Arial" w:hAnsi="Arial" w:cs="Arial"/>
        </w:rPr>
        <w:t xml:space="preserve"> Melbourne: The University of Melbourne.</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ANALYSIS &amp; POLICY OBSERVATORY. 2017. </w:t>
      </w:r>
      <w:r w:rsidRPr="007B34B5">
        <w:rPr>
          <w:rFonts w:ascii="Arial" w:hAnsi="Arial" w:cs="Arial"/>
          <w:i/>
        </w:rPr>
        <w:t xml:space="preserve">About APO </w:t>
      </w:r>
      <w:r w:rsidRPr="007B34B5">
        <w:rPr>
          <w:rFonts w:ascii="Arial" w:hAnsi="Arial" w:cs="Arial"/>
        </w:rPr>
        <w:t>[Online]. Melbourne: APO. Available: http://www.apo.org.au/about [Accessed 28 Jul 2017].</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AUSTRALIAN RESEARCH COUNCIL. 2017. </w:t>
      </w:r>
      <w:r w:rsidRPr="007B34B5">
        <w:rPr>
          <w:rFonts w:ascii="Arial" w:hAnsi="Arial" w:cs="Arial"/>
          <w:i/>
        </w:rPr>
        <w:t xml:space="preserve">Grant details: LE160100221 </w:t>
      </w:r>
      <w:r w:rsidRPr="007B34B5">
        <w:rPr>
          <w:rFonts w:ascii="Arial" w:hAnsi="Arial" w:cs="Arial"/>
        </w:rPr>
        <w:t>[Online]. Australian Government. Available: https://rms.arc.gov.au/RMS/Report/Download/Report/d6b15b2b-3a50-4021-8e6f-6c7ef1cba553/0 [Accessed 28 Jul 2017].</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DAVOUDI, S. 2006. Evidence-based planning: rhetoric and reality. </w:t>
      </w:r>
      <w:r w:rsidRPr="007B34B5">
        <w:rPr>
          <w:rFonts w:ascii="Arial" w:hAnsi="Arial" w:cs="Arial"/>
          <w:i/>
        </w:rPr>
        <w:t>disP - The Planning Review,</w:t>
      </w:r>
      <w:r w:rsidRPr="007B34B5">
        <w:rPr>
          <w:rFonts w:ascii="Arial" w:hAnsi="Arial" w:cs="Arial"/>
        </w:rPr>
        <w:t xml:space="preserve"> 42</w:t>
      </w:r>
      <w:r w:rsidRPr="007B34B5">
        <w:rPr>
          <w:rFonts w:ascii="Arial" w:hAnsi="Arial" w:cs="Arial"/>
          <w:b/>
        </w:rPr>
        <w:t>,</w:t>
      </w:r>
      <w:r w:rsidRPr="007B34B5">
        <w:rPr>
          <w:rFonts w:ascii="Arial" w:hAnsi="Arial" w:cs="Arial"/>
        </w:rPr>
        <w:t xml:space="preserve"> 14-24.</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EDMUNDS, S. 2017. Market pulse: planner shortage amplified as young planners leave in droves. </w:t>
      </w:r>
      <w:r w:rsidRPr="007B34B5">
        <w:rPr>
          <w:rFonts w:ascii="Arial" w:hAnsi="Arial" w:cs="Arial"/>
          <w:i/>
        </w:rPr>
        <w:t>The Fifth Estate</w:t>
      </w:r>
      <w:r w:rsidRPr="007B34B5">
        <w:rPr>
          <w:rFonts w:ascii="Arial" w:hAnsi="Arial" w:cs="Arial"/>
        </w:rPr>
        <w:t>, 4 Jul.</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FALUDI, A. &amp; WATERHOUT, B. 2006. Introducing evidence-based planning. </w:t>
      </w:r>
      <w:r w:rsidRPr="007B34B5">
        <w:rPr>
          <w:rFonts w:ascii="Arial" w:hAnsi="Arial" w:cs="Arial"/>
          <w:i/>
        </w:rPr>
        <w:t>disP - The Planning Review,</w:t>
      </w:r>
      <w:r w:rsidRPr="007B34B5">
        <w:rPr>
          <w:rFonts w:ascii="Arial" w:hAnsi="Arial" w:cs="Arial"/>
        </w:rPr>
        <w:t xml:space="preserve"> 42</w:t>
      </w:r>
      <w:r w:rsidRPr="007B34B5">
        <w:rPr>
          <w:rFonts w:ascii="Arial" w:hAnsi="Arial" w:cs="Arial"/>
          <w:b/>
        </w:rPr>
        <w:t>,</w:t>
      </w:r>
      <w:r w:rsidRPr="007B34B5">
        <w:rPr>
          <w:rFonts w:ascii="Arial" w:hAnsi="Arial" w:cs="Arial"/>
        </w:rPr>
        <w:t xml:space="preserve"> 4-13.</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HEAD, B. W. 2016. Toward More "Evidence-Informed" Policy Making? </w:t>
      </w:r>
      <w:r w:rsidRPr="007B34B5">
        <w:rPr>
          <w:rFonts w:ascii="Arial" w:hAnsi="Arial" w:cs="Arial"/>
          <w:i/>
        </w:rPr>
        <w:t>Public Administration Review,</w:t>
      </w:r>
      <w:r w:rsidRPr="007B34B5">
        <w:rPr>
          <w:rFonts w:ascii="Arial" w:hAnsi="Arial" w:cs="Arial"/>
        </w:rPr>
        <w:t xml:space="preserve"> 76</w:t>
      </w:r>
      <w:r w:rsidRPr="007B34B5">
        <w:rPr>
          <w:rFonts w:ascii="Arial" w:hAnsi="Arial" w:cs="Arial"/>
          <w:b/>
        </w:rPr>
        <w:t>,</w:t>
      </w:r>
      <w:r w:rsidRPr="007B34B5">
        <w:rPr>
          <w:rFonts w:ascii="Arial" w:hAnsi="Arial" w:cs="Arial"/>
        </w:rPr>
        <w:t xml:space="preserve"> 472-U22.</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ROWE</w:t>
      </w:r>
      <w:r w:rsidR="00D97BDC">
        <w:rPr>
          <w:rFonts w:ascii="Arial" w:hAnsi="Arial" w:cs="Arial"/>
        </w:rPr>
        <w:t>, H</w:t>
      </w:r>
      <w:r w:rsidRPr="007B34B5">
        <w:rPr>
          <w:rFonts w:ascii="Arial" w:hAnsi="Arial" w:cs="Arial"/>
        </w:rPr>
        <w:t xml:space="preserve">. 2016. </w:t>
      </w:r>
      <w:r w:rsidR="00791A93">
        <w:rPr>
          <w:rFonts w:ascii="Arial" w:hAnsi="Arial" w:cs="Arial"/>
        </w:rPr>
        <w:t xml:space="preserve">Getting the relationship between researchers and practitioners working. </w:t>
      </w:r>
      <w:r w:rsidRPr="007B34B5">
        <w:rPr>
          <w:rFonts w:ascii="Arial" w:hAnsi="Arial" w:cs="Arial"/>
          <w:i/>
        </w:rPr>
        <w:t>Planning Theory &amp; Practice,</w:t>
      </w:r>
      <w:r w:rsidRPr="007B34B5">
        <w:rPr>
          <w:rFonts w:ascii="Arial" w:hAnsi="Arial" w:cs="Arial"/>
        </w:rPr>
        <w:t xml:space="preserve"> 17</w:t>
      </w:r>
      <w:r w:rsidRPr="007B34B5">
        <w:rPr>
          <w:rFonts w:ascii="Arial" w:hAnsi="Arial" w:cs="Arial"/>
          <w:b/>
        </w:rPr>
        <w:t>,</w:t>
      </w:r>
      <w:r w:rsidR="00791A93">
        <w:rPr>
          <w:rFonts w:ascii="Arial" w:hAnsi="Arial" w:cs="Arial"/>
        </w:rPr>
        <w:t xml:space="preserve"> 456-462</w:t>
      </w:r>
      <w:r w:rsidRPr="007B34B5">
        <w:rPr>
          <w:rFonts w:ascii="Arial" w:hAnsi="Arial" w:cs="Arial"/>
        </w:rPr>
        <w:t>.</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JACOBS, J. 1961. </w:t>
      </w:r>
      <w:r w:rsidRPr="007B34B5">
        <w:rPr>
          <w:rFonts w:ascii="Arial" w:hAnsi="Arial" w:cs="Arial"/>
          <w:i/>
        </w:rPr>
        <w:t>The death and life of great American cities</w:t>
      </w:r>
      <w:r w:rsidRPr="007B34B5">
        <w:rPr>
          <w:rFonts w:ascii="Arial" w:hAnsi="Arial" w:cs="Arial"/>
        </w:rPr>
        <w:t>, Vintage Books Edition.</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KRIZEK, K., FORSYTH, A. &amp; SLOTTERBACK, C. S. 2009. Is there a role for evidence-based practice in urban planning and policy? </w:t>
      </w:r>
      <w:r w:rsidRPr="007B34B5">
        <w:rPr>
          <w:rFonts w:ascii="Arial" w:hAnsi="Arial" w:cs="Arial"/>
          <w:i/>
        </w:rPr>
        <w:t>Planning Theory &amp; Practice,</w:t>
      </w:r>
      <w:r w:rsidRPr="007B34B5">
        <w:rPr>
          <w:rFonts w:ascii="Arial" w:hAnsi="Arial" w:cs="Arial"/>
        </w:rPr>
        <w:t xml:space="preserve"> 10</w:t>
      </w:r>
      <w:r w:rsidRPr="007B34B5">
        <w:rPr>
          <w:rFonts w:ascii="Arial" w:hAnsi="Arial" w:cs="Arial"/>
          <w:b/>
        </w:rPr>
        <w:t>,</w:t>
      </w:r>
      <w:r w:rsidRPr="007B34B5">
        <w:rPr>
          <w:rFonts w:ascii="Arial" w:hAnsi="Arial" w:cs="Arial"/>
        </w:rPr>
        <w:t xml:space="preserve"> 459-478.</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LAWRENCE, A., HOUGHTON, J., THOMAS, J. &amp; WELDON, P. 2014. Where is the evidence? Realising the value of grey literature for public policy and practice. </w:t>
      </w:r>
      <w:r w:rsidRPr="007B34B5">
        <w:rPr>
          <w:rFonts w:ascii="Arial" w:hAnsi="Arial" w:cs="Arial"/>
          <w:i/>
        </w:rPr>
        <w:t>Grey Literature Strategies.</w:t>
      </w:r>
      <w:r w:rsidRPr="007B34B5">
        <w:rPr>
          <w:rFonts w:ascii="Arial" w:hAnsi="Arial" w:cs="Arial"/>
        </w:rPr>
        <w:t xml:space="preserve"> Melbourne: Swinburne Institute for Social Research.</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MEES, P. 2012. Fifty years of public transport planning in Canberra. </w:t>
      </w:r>
      <w:r w:rsidRPr="007B34B5">
        <w:rPr>
          <w:rFonts w:ascii="Arial" w:hAnsi="Arial" w:cs="Arial"/>
          <w:i/>
        </w:rPr>
        <w:t>Australasian Transport Research Forum.</w:t>
      </w:r>
      <w:r w:rsidRPr="007B34B5">
        <w:rPr>
          <w:rFonts w:ascii="Arial" w:hAnsi="Arial" w:cs="Arial"/>
        </w:rPr>
        <w:t xml:space="preserve"> Perth.</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PARKHURST, J. 2017. </w:t>
      </w:r>
      <w:r w:rsidRPr="007B34B5">
        <w:rPr>
          <w:rFonts w:ascii="Arial" w:hAnsi="Arial" w:cs="Arial"/>
          <w:i/>
        </w:rPr>
        <w:t xml:space="preserve">The politics of evidence: from evidence-based policy to the good governance of evidence, </w:t>
      </w:r>
      <w:r w:rsidRPr="007B34B5">
        <w:rPr>
          <w:rFonts w:ascii="Arial" w:hAnsi="Arial" w:cs="Arial"/>
        </w:rPr>
        <w:t>Abingdon, Oxon, UK, Routledge.</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SOLESBURY, W. 2002. The ascendancy of evidence. </w:t>
      </w:r>
      <w:r w:rsidRPr="007B34B5">
        <w:rPr>
          <w:rFonts w:ascii="Arial" w:hAnsi="Arial" w:cs="Arial"/>
          <w:i/>
        </w:rPr>
        <w:t>Planning Theory &amp; Practice,</w:t>
      </w:r>
      <w:r w:rsidRPr="007B34B5">
        <w:rPr>
          <w:rFonts w:ascii="Arial" w:hAnsi="Arial" w:cs="Arial"/>
        </w:rPr>
        <w:t xml:space="preserve"> 3</w:t>
      </w:r>
      <w:r w:rsidRPr="007B34B5">
        <w:rPr>
          <w:rFonts w:ascii="Arial" w:hAnsi="Arial" w:cs="Arial"/>
          <w:b/>
        </w:rPr>
        <w:t>,</w:t>
      </w:r>
      <w:r w:rsidRPr="007B34B5">
        <w:rPr>
          <w:rFonts w:ascii="Arial" w:hAnsi="Arial" w:cs="Arial"/>
        </w:rPr>
        <w:t xml:space="preserve"> 90-96.</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STEAD, D. 2016. The use of academic research in planning practice: who, what, where, when and how? </w:t>
      </w:r>
      <w:r w:rsidRPr="007B34B5">
        <w:rPr>
          <w:rFonts w:ascii="Arial" w:hAnsi="Arial" w:cs="Arial"/>
          <w:i/>
        </w:rPr>
        <w:t>Planning Theory &amp; Practice,</w:t>
      </w:r>
      <w:r w:rsidRPr="007B34B5">
        <w:rPr>
          <w:rFonts w:ascii="Arial" w:hAnsi="Arial" w:cs="Arial"/>
        </w:rPr>
        <w:t xml:space="preserve"> 17</w:t>
      </w:r>
      <w:r w:rsidRPr="007B34B5">
        <w:rPr>
          <w:rFonts w:ascii="Arial" w:hAnsi="Arial" w:cs="Arial"/>
          <w:b/>
        </w:rPr>
        <w:t>,</w:t>
      </w:r>
      <w:r w:rsidRPr="007B34B5">
        <w:rPr>
          <w:rFonts w:ascii="Arial" w:hAnsi="Arial" w:cs="Arial"/>
        </w:rPr>
        <w:t xml:space="preserve"> 453-457.</w:t>
      </w:r>
    </w:p>
    <w:p w:rsidR="00843FEB" w:rsidRPr="007B34B5" w:rsidRDefault="00843FEB">
      <w:pPr>
        <w:autoSpaceDE w:val="0"/>
        <w:autoSpaceDN w:val="0"/>
        <w:adjustRightInd w:val="0"/>
        <w:spacing w:after="0" w:line="240" w:lineRule="auto"/>
        <w:ind w:left="720" w:hanging="720"/>
        <w:rPr>
          <w:rFonts w:ascii="Arial" w:hAnsi="Arial" w:cs="Arial"/>
        </w:rPr>
      </w:pPr>
      <w:r w:rsidRPr="007B34B5">
        <w:rPr>
          <w:rFonts w:ascii="Arial" w:hAnsi="Arial" w:cs="Arial"/>
        </w:rPr>
        <w:t xml:space="preserve">TAYLOR, E. J. &amp; HURLEY, J. 2015. “Not a Lot of People Read the Stuff”: Australian Urban Research in Planning Practice. </w:t>
      </w:r>
      <w:r w:rsidRPr="007B34B5">
        <w:rPr>
          <w:rFonts w:ascii="Arial" w:hAnsi="Arial" w:cs="Arial"/>
          <w:i/>
        </w:rPr>
        <w:t>Urban Policy and Research,</w:t>
      </w:r>
      <w:r w:rsidRPr="007B34B5">
        <w:rPr>
          <w:rFonts w:ascii="Arial" w:hAnsi="Arial" w:cs="Arial"/>
        </w:rPr>
        <w:t xml:space="preserve"> 34</w:t>
      </w:r>
      <w:r w:rsidRPr="007B34B5">
        <w:rPr>
          <w:rFonts w:ascii="Arial" w:hAnsi="Arial" w:cs="Arial"/>
          <w:b/>
        </w:rPr>
        <w:t>,</w:t>
      </w:r>
      <w:r w:rsidRPr="007B34B5">
        <w:rPr>
          <w:rFonts w:ascii="Arial" w:hAnsi="Arial" w:cs="Arial"/>
        </w:rPr>
        <w:t xml:space="preserve"> 116-131.</w:t>
      </w:r>
    </w:p>
    <w:sectPr w:rsidR="00843FEB" w:rsidRPr="007B34B5" w:rsidSect="00726F13">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A1C" w:rsidRDefault="00BA0A1C" w:rsidP="007B34B5">
      <w:pPr>
        <w:spacing w:after="0" w:line="240" w:lineRule="auto"/>
      </w:pPr>
      <w:r>
        <w:separator/>
      </w:r>
    </w:p>
  </w:endnote>
  <w:endnote w:type="continuationSeparator" w:id="0">
    <w:p w:rsidR="00BA0A1C" w:rsidRDefault="00BA0A1C" w:rsidP="007B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A1C" w:rsidRDefault="00BA0A1C" w:rsidP="007B34B5">
      <w:pPr>
        <w:spacing w:after="0" w:line="240" w:lineRule="auto"/>
      </w:pPr>
      <w:r>
        <w:separator/>
      </w:r>
    </w:p>
  </w:footnote>
  <w:footnote w:type="continuationSeparator" w:id="0">
    <w:p w:rsidR="00BA0A1C" w:rsidRDefault="00BA0A1C" w:rsidP="007B34B5">
      <w:pPr>
        <w:spacing w:after="0" w:line="240" w:lineRule="auto"/>
      </w:pPr>
      <w:r>
        <w:continuationSeparator/>
      </w:r>
    </w:p>
  </w:footnote>
  <w:footnote w:id="1">
    <w:p w:rsidR="00724D3C" w:rsidRDefault="00B745CA">
      <w:pPr>
        <w:pStyle w:val="FootnoteText"/>
      </w:pPr>
      <w:r>
        <w:rPr>
          <w:rStyle w:val="FootnoteReference"/>
        </w:rPr>
        <w:footnoteRef/>
      </w:r>
      <w:r>
        <w:t xml:space="preserve"> For example, The Urbanalyst (</w:t>
      </w:r>
      <w:hyperlink r:id="rId1" w:history="1">
        <w:r w:rsidRPr="002D7C76">
          <w:rPr>
            <w:rStyle w:val="Hyperlink"/>
          </w:rPr>
          <w:t>http://www.theurbanalyst.com/</w:t>
        </w:r>
      </w:hyperlink>
      <w:r>
        <w:t>) is a website and weekly newspaper including news, reports and policy updates. Urban Melbourne (</w:t>
      </w:r>
      <w:r w:rsidRPr="007B34B5">
        <w:t>https://urban.melbourne/</w:t>
      </w:r>
      <w:r>
        <w:t>)is a database of development projects, with a newsletter focusing on projects and urban development issues.</w:t>
      </w:r>
    </w:p>
  </w:footnote>
  <w:footnote w:id="2">
    <w:p w:rsidR="00724D3C" w:rsidRDefault="00B745CA">
      <w:pPr>
        <w:pStyle w:val="FootnoteText"/>
      </w:pPr>
      <w:r>
        <w:rPr>
          <w:rStyle w:val="FootnoteReference"/>
        </w:rPr>
        <w:footnoteRef/>
      </w:r>
      <w:r>
        <w:t xml:space="preserve"> For example, the Facebook group Urban Happiness includes students, academics and policy-makers (</w:t>
      </w:r>
      <w:r w:rsidRPr="00AB12F5">
        <w:t>https://www.facebook.com/groups/311753722196970/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9F3" w:rsidRPr="00D20193" w:rsidRDefault="004449F3" w:rsidP="004449F3">
    <w:pPr>
      <w:pStyle w:val="Header"/>
      <w:rPr>
        <w:rFonts w:ascii="Arial" w:hAnsi="Arial" w:cs="Arial"/>
        <w:sz w:val="20"/>
        <w:szCs w:val="20"/>
      </w:rPr>
    </w:pPr>
    <w:r w:rsidRPr="00D20193">
      <w:rPr>
        <w:rFonts w:ascii="Arial" w:hAnsi="Arial" w:cs="Arial"/>
        <w:sz w:val="20"/>
        <w:szCs w:val="20"/>
      </w:rPr>
      <w:t>SOAC 2017</w:t>
    </w:r>
  </w:p>
  <w:p w:rsidR="004449F3" w:rsidRDefault="004449F3" w:rsidP="00444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01A"/>
    <w:multiLevelType w:val="hybridMultilevel"/>
    <w:tmpl w:val="8D9618FA"/>
    <w:lvl w:ilvl="0" w:tplc="C3F0594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A32BDB"/>
    <w:multiLevelType w:val="hybridMultilevel"/>
    <w:tmpl w:val="91E8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5A3BF6"/>
    <w:multiLevelType w:val="hybridMultilevel"/>
    <w:tmpl w:val="081ED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256E00"/>
    <w:multiLevelType w:val="hybridMultilevel"/>
    <w:tmpl w:val="44B072C8"/>
    <w:lvl w:ilvl="0" w:tplc="8AEC12D8">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0FF"/>
    <w:rsid w:val="00056AB0"/>
    <w:rsid w:val="001372C4"/>
    <w:rsid w:val="00151E94"/>
    <w:rsid w:val="00156ECA"/>
    <w:rsid w:val="001737AF"/>
    <w:rsid w:val="001A0120"/>
    <w:rsid w:val="001A6305"/>
    <w:rsid w:val="001B5958"/>
    <w:rsid w:val="001D1C1E"/>
    <w:rsid w:val="001D4C9A"/>
    <w:rsid w:val="00267910"/>
    <w:rsid w:val="00290585"/>
    <w:rsid w:val="002B7B03"/>
    <w:rsid w:val="002D7C76"/>
    <w:rsid w:val="002E0E84"/>
    <w:rsid w:val="002E5470"/>
    <w:rsid w:val="002F3872"/>
    <w:rsid w:val="00306A39"/>
    <w:rsid w:val="0031655E"/>
    <w:rsid w:val="00323BEA"/>
    <w:rsid w:val="00375D88"/>
    <w:rsid w:val="00384F49"/>
    <w:rsid w:val="003963B3"/>
    <w:rsid w:val="003A7B01"/>
    <w:rsid w:val="003B632D"/>
    <w:rsid w:val="003D3838"/>
    <w:rsid w:val="00416945"/>
    <w:rsid w:val="004449F3"/>
    <w:rsid w:val="004773A3"/>
    <w:rsid w:val="00482741"/>
    <w:rsid w:val="004914DA"/>
    <w:rsid w:val="004B5034"/>
    <w:rsid w:val="004D24CD"/>
    <w:rsid w:val="0052222B"/>
    <w:rsid w:val="00550724"/>
    <w:rsid w:val="005552C8"/>
    <w:rsid w:val="00565D14"/>
    <w:rsid w:val="005730FF"/>
    <w:rsid w:val="005966B0"/>
    <w:rsid w:val="005A1CBC"/>
    <w:rsid w:val="005A73A5"/>
    <w:rsid w:val="005B5269"/>
    <w:rsid w:val="005B6A94"/>
    <w:rsid w:val="006327BD"/>
    <w:rsid w:val="00634045"/>
    <w:rsid w:val="00636771"/>
    <w:rsid w:val="00651A94"/>
    <w:rsid w:val="00665F24"/>
    <w:rsid w:val="00670F6C"/>
    <w:rsid w:val="006A12D3"/>
    <w:rsid w:val="006E44A5"/>
    <w:rsid w:val="006F4398"/>
    <w:rsid w:val="00724D3C"/>
    <w:rsid w:val="00726F13"/>
    <w:rsid w:val="007326D6"/>
    <w:rsid w:val="00741B08"/>
    <w:rsid w:val="007422B4"/>
    <w:rsid w:val="00791A93"/>
    <w:rsid w:val="007A2827"/>
    <w:rsid w:val="007A628A"/>
    <w:rsid w:val="007B34B5"/>
    <w:rsid w:val="007C1002"/>
    <w:rsid w:val="007C2B25"/>
    <w:rsid w:val="007D4D30"/>
    <w:rsid w:val="00813E90"/>
    <w:rsid w:val="008221ED"/>
    <w:rsid w:val="00843FEB"/>
    <w:rsid w:val="0084700B"/>
    <w:rsid w:val="00895831"/>
    <w:rsid w:val="008D0CD1"/>
    <w:rsid w:val="008D5320"/>
    <w:rsid w:val="008E1C06"/>
    <w:rsid w:val="00937752"/>
    <w:rsid w:val="00944639"/>
    <w:rsid w:val="00960180"/>
    <w:rsid w:val="00962185"/>
    <w:rsid w:val="00984836"/>
    <w:rsid w:val="009E68DF"/>
    <w:rsid w:val="00A35B16"/>
    <w:rsid w:val="00A40363"/>
    <w:rsid w:val="00A463A3"/>
    <w:rsid w:val="00A51480"/>
    <w:rsid w:val="00A7344F"/>
    <w:rsid w:val="00A854C4"/>
    <w:rsid w:val="00A85727"/>
    <w:rsid w:val="00AB12F5"/>
    <w:rsid w:val="00AE371D"/>
    <w:rsid w:val="00AE43A3"/>
    <w:rsid w:val="00B1127C"/>
    <w:rsid w:val="00B139F8"/>
    <w:rsid w:val="00B244E4"/>
    <w:rsid w:val="00B745CA"/>
    <w:rsid w:val="00BA0A1C"/>
    <w:rsid w:val="00BA330D"/>
    <w:rsid w:val="00BB2572"/>
    <w:rsid w:val="00BF1370"/>
    <w:rsid w:val="00C07436"/>
    <w:rsid w:val="00C31C9B"/>
    <w:rsid w:val="00C45528"/>
    <w:rsid w:val="00C45C4C"/>
    <w:rsid w:val="00C76A6C"/>
    <w:rsid w:val="00C86999"/>
    <w:rsid w:val="00C95163"/>
    <w:rsid w:val="00CA5F39"/>
    <w:rsid w:val="00CB2CEF"/>
    <w:rsid w:val="00CE3609"/>
    <w:rsid w:val="00D42364"/>
    <w:rsid w:val="00D92D19"/>
    <w:rsid w:val="00D97BDC"/>
    <w:rsid w:val="00DD03E8"/>
    <w:rsid w:val="00DE6C9C"/>
    <w:rsid w:val="00E1467F"/>
    <w:rsid w:val="00E30A62"/>
    <w:rsid w:val="00E751CD"/>
    <w:rsid w:val="00EF1838"/>
    <w:rsid w:val="00F004AA"/>
    <w:rsid w:val="00F00AA9"/>
    <w:rsid w:val="00F529B0"/>
    <w:rsid w:val="00F61C1C"/>
    <w:rsid w:val="00F768F1"/>
    <w:rsid w:val="00F77C85"/>
    <w:rsid w:val="00F94D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B0269"/>
  <w14:defaultImageDpi w14:val="0"/>
  <w15:docId w15:val="{D051DE03-DC8A-8C4E-84DB-A0D172C9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0FF"/>
    <w:rPr>
      <w:rFonts w:cs="Times New Roman"/>
    </w:rPr>
  </w:style>
  <w:style w:type="paragraph" w:styleId="Heading2">
    <w:name w:val="heading 2"/>
    <w:basedOn w:val="Normal"/>
    <w:next w:val="Normal"/>
    <w:link w:val="Heading2Char"/>
    <w:uiPriority w:val="9"/>
    <w:unhideWhenUsed/>
    <w:qFormat/>
    <w:rsid w:val="00962185"/>
    <w:pPr>
      <w:keepNext/>
      <w:keepLines/>
      <w:spacing w:before="40" w:after="0"/>
      <w:outlineLvl w:val="1"/>
    </w:pPr>
    <w:rPr>
      <w:rFonts w:asciiTheme="majorHAnsi" w:eastAsiaTheme="majorEastAsia" w:hAnsiTheme="majorHAns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962185"/>
    <w:rPr>
      <w:rFonts w:asciiTheme="majorHAnsi" w:eastAsiaTheme="majorEastAsia" w:hAnsiTheme="majorHAnsi" w:cs="Times New Roman"/>
      <w:b/>
      <w:color w:val="365F91" w:themeColor="accent1" w:themeShade="BF"/>
      <w:sz w:val="26"/>
      <w:szCs w:val="26"/>
    </w:rPr>
  </w:style>
  <w:style w:type="paragraph" w:styleId="Quote">
    <w:name w:val="Quote"/>
    <w:basedOn w:val="Normal"/>
    <w:next w:val="Normal"/>
    <w:link w:val="QuoteChar"/>
    <w:uiPriority w:val="29"/>
    <w:qFormat/>
    <w:rsid w:val="00B244E4"/>
    <w:rPr>
      <w:i/>
      <w:iCs/>
      <w:color w:val="000000" w:themeColor="text1"/>
    </w:rPr>
  </w:style>
  <w:style w:type="character" w:customStyle="1" w:styleId="QuoteChar">
    <w:name w:val="Quote Char"/>
    <w:basedOn w:val="DefaultParagraphFont"/>
    <w:link w:val="Quote"/>
    <w:uiPriority w:val="29"/>
    <w:locked/>
    <w:rsid w:val="00B244E4"/>
    <w:rPr>
      <w:rFonts w:cs="Times New Roman"/>
      <w:i/>
      <w:iCs/>
      <w:color w:val="000000" w:themeColor="text1"/>
    </w:rPr>
  </w:style>
  <w:style w:type="paragraph" w:styleId="ListParagraph">
    <w:name w:val="List Paragraph"/>
    <w:basedOn w:val="Normal"/>
    <w:uiPriority w:val="34"/>
    <w:qFormat/>
    <w:rsid w:val="003D3838"/>
    <w:pPr>
      <w:ind w:left="720"/>
      <w:contextualSpacing/>
    </w:pPr>
  </w:style>
  <w:style w:type="paragraph" w:styleId="FootnoteText">
    <w:name w:val="footnote text"/>
    <w:basedOn w:val="Normal"/>
    <w:link w:val="FootnoteTextChar"/>
    <w:uiPriority w:val="99"/>
    <w:semiHidden/>
    <w:unhideWhenUsed/>
    <w:rsid w:val="007B34B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B34B5"/>
    <w:rPr>
      <w:rFonts w:cs="Times New Roman"/>
      <w:sz w:val="20"/>
      <w:szCs w:val="20"/>
    </w:rPr>
  </w:style>
  <w:style w:type="character" w:styleId="FootnoteReference">
    <w:name w:val="footnote reference"/>
    <w:basedOn w:val="DefaultParagraphFont"/>
    <w:uiPriority w:val="99"/>
    <w:semiHidden/>
    <w:unhideWhenUsed/>
    <w:rsid w:val="007B34B5"/>
    <w:rPr>
      <w:rFonts w:cs="Times New Roman"/>
      <w:vertAlign w:val="superscript"/>
    </w:rPr>
  </w:style>
  <w:style w:type="character" w:styleId="Hyperlink">
    <w:name w:val="Hyperlink"/>
    <w:basedOn w:val="DefaultParagraphFont"/>
    <w:uiPriority w:val="99"/>
    <w:unhideWhenUsed/>
    <w:rsid w:val="007B34B5"/>
    <w:rPr>
      <w:rFonts w:cs="Times New Roman"/>
      <w:color w:val="0000FF" w:themeColor="hyperlink"/>
      <w:u w:val="single"/>
    </w:rPr>
  </w:style>
  <w:style w:type="paragraph" w:styleId="Header">
    <w:name w:val="header"/>
    <w:basedOn w:val="Normal"/>
    <w:link w:val="HeaderChar"/>
    <w:uiPriority w:val="99"/>
    <w:unhideWhenUsed/>
    <w:rsid w:val="00444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9F3"/>
    <w:rPr>
      <w:rFonts w:cs="Times New Roman"/>
    </w:rPr>
  </w:style>
  <w:style w:type="paragraph" w:styleId="Footer">
    <w:name w:val="footer"/>
    <w:basedOn w:val="Normal"/>
    <w:link w:val="FooterChar"/>
    <w:uiPriority w:val="99"/>
    <w:unhideWhenUsed/>
    <w:rsid w:val="00444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9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938515">
      <w:marLeft w:val="0"/>
      <w:marRight w:val="0"/>
      <w:marTop w:val="0"/>
      <w:marBottom w:val="0"/>
      <w:divBdr>
        <w:top w:val="none" w:sz="0" w:space="0" w:color="auto"/>
        <w:left w:val="none" w:sz="0" w:space="0" w:color="auto"/>
        <w:bottom w:val="none" w:sz="0" w:space="0" w:color="auto"/>
        <w:right w:val="none" w:sz="0" w:space="0" w:color="auto"/>
      </w:divBdr>
      <w:divsChild>
        <w:div w:id="876938518">
          <w:marLeft w:val="0"/>
          <w:marRight w:val="0"/>
          <w:marTop w:val="0"/>
          <w:marBottom w:val="0"/>
          <w:divBdr>
            <w:top w:val="none" w:sz="0" w:space="0" w:color="auto"/>
            <w:left w:val="none" w:sz="0" w:space="0" w:color="auto"/>
            <w:bottom w:val="none" w:sz="0" w:space="0" w:color="auto"/>
            <w:right w:val="none" w:sz="0" w:space="0" w:color="auto"/>
          </w:divBdr>
        </w:div>
        <w:div w:id="876938519">
          <w:marLeft w:val="0"/>
          <w:marRight w:val="0"/>
          <w:marTop w:val="0"/>
          <w:marBottom w:val="0"/>
          <w:divBdr>
            <w:top w:val="none" w:sz="0" w:space="0" w:color="auto"/>
            <w:left w:val="none" w:sz="0" w:space="0" w:color="auto"/>
            <w:bottom w:val="none" w:sz="0" w:space="0" w:color="auto"/>
            <w:right w:val="none" w:sz="0" w:space="0" w:color="auto"/>
          </w:divBdr>
        </w:div>
        <w:div w:id="876938520">
          <w:marLeft w:val="0"/>
          <w:marRight w:val="0"/>
          <w:marTop w:val="0"/>
          <w:marBottom w:val="0"/>
          <w:divBdr>
            <w:top w:val="none" w:sz="0" w:space="0" w:color="auto"/>
            <w:left w:val="none" w:sz="0" w:space="0" w:color="auto"/>
            <w:bottom w:val="none" w:sz="0" w:space="0" w:color="auto"/>
            <w:right w:val="none" w:sz="0" w:space="0" w:color="auto"/>
          </w:divBdr>
        </w:div>
      </w:divsChild>
    </w:div>
    <w:div w:id="876938516">
      <w:marLeft w:val="0"/>
      <w:marRight w:val="0"/>
      <w:marTop w:val="0"/>
      <w:marBottom w:val="0"/>
      <w:divBdr>
        <w:top w:val="none" w:sz="0" w:space="0" w:color="auto"/>
        <w:left w:val="none" w:sz="0" w:space="0" w:color="auto"/>
        <w:bottom w:val="none" w:sz="0" w:space="0" w:color="auto"/>
        <w:right w:val="none" w:sz="0" w:space="0" w:color="auto"/>
      </w:divBdr>
    </w:div>
    <w:div w:id="876938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heurbanaly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287B-7999-7F4E-841C-093AD12C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Hyland</dc:creator>
  <cp:lastModifiedBy>Lara Malcolm</cp:lastModifiedBy>
  <cp:revision>4</cp:revision>
  <dcterms:created xsi:type="dcterms:W3CDTF">2017-07-31T02:08:00Z</dcterms:created>
  <dcterms:modified xsi:type="dcterms:W3CDTF">2018-03-24T00:49:00Z</dcterms:modified>
</cp:coreProperties>
</file>