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547A" w14:textId="77777777" w:rsidR="00D16CF4" w:rsidRDefault="00505071" w:rsidP="00505071">
      <w:pPr>
        <w:pStyle w:val="TitleofPaper"/>
      </w:pPr>
      <w:r>
        <w:t xml:space="preserve">Are </w:t>
      </w:r>
      <w:bookmarkStart w:id="0" w:name="_GoBack"/>
      <w:r>
        <w:t>U</w:t>
      </w:r>
      <w:r w:rsidRPr="00505071">
        <w:t xml:space="preserve">rban </w:t>
      </w:r>
      <w:bookmarkEnd w:id="0"/>
      <w:r w:rsidRPr="00505071">
        <w:t>Development and Densification Patterns Aligned with Infrastructure Funding Allocation? Examining Data from Melbourne 1999-2015</w:t>
      </w:r>
    </w:p>
    <w:p w14:paraId="781D9ACC" w14:textId="77777777" w:rsidR="0056155D" w:rsidRDefault="0056155D" w:rsidP="0056155D">
      <w:pPr>
        <w:pStyle w:val="Authorsnamesandaddresses"/>
      </w:pPr>
    </w:p>
    <w:p w14:paraId="22C88BE2" w14:textId="77777777" w:rsidR="0056155D" w:rsidRPr="00367F35" w:rsidRDefault="0056155D" w:rsidP="0056155D">
      <w:pPr>
        <w:pStyle w:val="Authorsnamesandaddresses"/>
        <w:rPr>
          <w:sz w:val="24"/>
        </w:rPr>
      </w:pPr>
      <w:r>
        <w:rPr>
          <w:sz w:val="24"/>
        </w:rPr>
        <w:t>Nicole Cook</w:t>
      </w:r>
      <w:r w:rsidRPr="00367F35">
        <w:rPr>
          <w:sz w:val="24"/>
          <w:vertAlign w:val="superscript"/>
        </w:rPr>
        <w:t>2</w:t>
      </w:r>
      <w:r w:rsidRPr="00367F35">
        <w:rPr>
          <w:sz w:val="24"/>
        </w:rPr>
        <w:t xml:space="preserve">, </w:t>
      </w:r>
      <w:proofErr w:type="spellStart"/>
      <w:r>
        <w:rPr>
          <w:sz w:val="24"/>
        </w:rPr>
        <w:t>Ilan</w:t>
      </w:r>
      <w:proofErr w:type="spellEnd"/>
      <w:r>
        <w:rPr>
          <w:sz w:val="24"/>
        </w:rPr>
        <w:t xml:space="preserve"> Wiesel</w:t>
      </w:r>
      <w:r w:rsidRPr="00367F35">
        <w:rPr>
          <w:sz w:val="24"/>
          <w:vertAlign w:val="superscript"/>
        </w:rPr>
        <w:t xml:space="preserve">1 </w:t>
      </w:r>
      <w:r w:rsidRPr="00367F35">
        <w:rPr>
          <w:sz w:val="24"/>
        </w:rPr>
        <w:t xml:space="preserve">and </w:t>
      </w:r>
      <w:proofErr w:type="spellStart"/>
      <w:r>
        <w:rPr>
          <w:sz w:val="24"/>
        </w:rPr>
        <w:t>Fanqi</w:t>
      </w:r>
      <w:proofErr w:type="spellEnd"/>
      <w:r>
        <w:rPr>
          <w:sz w:val="24"/>
        </w:rPr>
        <w:t xml:space="preserve"> Liu</w:t>
      </w:r>
      <w:r w:rsidRPr="00367F35">
        <w:rPr>
          <w:sz w:val="24"/>
          <w:vertAlign w:val="superscript"/>
        </w:rPr>
        <w:t>1</w:t>
      </w:r>
    </w:p>
    <w:p w14:paraId="02AB15AD" w14:textId="77777777" w:rsidR="0056155D" w:rsidRPr="00367F35" w:rsidRDefault="0056155D" w:rsidP="0056155D">
      <w:pPr>
        <w:pStyle w:val="Authorsnamesandaddresses"/>
        <w:rPr>
          <w:sz w:val="24"/>
        </w:rPr>
      </w:pPr>
      <w:r w:rsidRPr="00367F35">
        <w:rPr>
          <w:sz w:val="24"/>
          <w:vertAlign w:val="superscript"/>
        </w:rPr>
        <w:t>1</w:t>
      </w:r>
      <w:r>
        <w:rPr>
          <w:sz w:val="24"/>
        </w:rPr>
        <w:t xml:space="preserve">University of Melbourne, </w:t>
      </w:r>
      <w:r w:rsidRPr="00367F35">
        <w:rPr>
          <w:sz w:val="24"/>
          <w:vertAlign w:val="superscript"/>
        </w:rPr>
        <w:t>2</w:t>
      </w:r>
      <w:r>
        <w:rPr>
          <w:sz w:val="24"/>
        </w:rPr>
        <w:t>University of Wollongong</w:t>
      </w:r>
    </w:p>
    <w:p w14:paraId="786B46A4" w14:textId="77777777" w:rsidR="0056155D" w:rsidRDefault="0056155D" w:rsidP="0056155D"/>
    <w:p w14:paraId="304F4FB9" w14:textId="3C907DE9" w:rsidR="000303AD" w:rsidRDefault="00505071" w:rsidP="000303AD">
      <w:r w:rsidRPr="00505071">
        <w:rPr>
          <w:b/>
        </w:rPr>
        <w:t>Abstract</w:t>
      </w:r>
      <w:r>
        <w:t xml:space="preserve">: </w:t>
      </w:r>
      <w:r w:rsidR="000303AD">
        <w:t xml:space="preserve">Densification of cities and suburbs is a contentious issue for many communities in lower-density settings. Local opposition to densification is often premised on concerns about the inadequacy of existing infrastructure to support growing populations and is strongest and most successful in wealthier neighbourhoods. While the urban consolidation agenda in </w:t>
      </w:r>
      <w:r w:rsidR="00A1338C">
        <w:t xml:space="preserve">cities such as </w:t>
      </w:r>
      <w:r w:rsidR="000303AD">
        <w:t xml:space="preserve">Melbourne and Sydney is justified in policy contexts as a strategy to improve utilisation of existing infrastructure in built up areas, densification over time also produces new demand for services. Whether or not densification drives new infrastructure spending is therefore an important question in the governance of social justice in densifying cities. Alignment between population growth and infrastructure spending is a crucial condition for communities asked to embrace higher density housing.  Where misalignment occurs, those areas that are least resourced may also be those bearing the brunt of population increase and infrastructure stress.   </w:t>
      </w:r>
    </w:p>
    <w:p w14:paraId="6DB24A51" w14:textId="77777777" w:rsidR="000303AD" w:rsidRDefault="000303AD" w:rsidP="000303AD"/>
    <w:p w14:paraId="6BD9E4A8" w14:textId="5C3ACDD4" w:rsidR="000303AD" w:rsidRDefault="000303AD" w:rsidP="000303AD">
      <w:r>
        <w:t>Recognising both the social justice and strategic dimensions of the density-infrastructure nexus, this paper examines data on spatial patterns of capital investment and population growth in Victoria (VIC). We focus on spending by the Victorian State Governments in a range of urban infrastructures and services in Melbourne since 1999. The findings highlight the limits and potential of these data and point to some inconsistencies between State Governments’ infrastructure spending patterns and their urban development strategies.</w:t>
      </w:r>
    </w:p>
    <w:p w14:paraId="61318E3D" w14:textId="67332640" w:rsidR="00505071" w:rsidRDefault="00505071" w:rsidP="00505071"/>
    <w:p w14:paraId="452AB5CB" w14:textId="77777777" w:rsidR="00505071" w:rsidRDefault="00505071" w:rsidP="00505071"/>
    <w:p w14:paraId="128CFB59" w14:textId="673CD281" w:rsidR="00505071" w:rsidRDefault="00505071" w:rsidP="00505071">
      <w:r w:rsidRPr="00505071">
        <w:rPr>
          <w:b/>
        </w:rPr>
        <w:t>Key Words</w:t>
      </w:r>
      <w:r>
        <w:t xml:space="preserve">: </w:t>
      </w:r>
      <w:r w:rsidR="00A1338C">
        <w:rPr>
          <w:i/>
        </w:rPr>
        <w:t>Densification; Infrastructure</w:t>
      </w:r>
      <w:r w:rsidRPr="00505071">
        <w:rPr>
          <w:i/>
        </w:rPr>
        <w:t>;</w:t>
      </w:r>
      <w:r w:rsidR="00A1338C">
        <w:rPr>
          <w:i/>
        </w:rPr>
        <w:t xml:space="preserve"> State Investment</w:t>
      </w:r>
      <w:r w:rsidRPr="00505071">
        <w:rPr>
          <w:i/>
        </w:rPr>
        <w:t xml:space="preserve">; </w:t>
      </w:r>
      <w:r w:rsidR="00A1338C">
        <w:rPr>
          <w:i/>
        </w:rPr>
        <w:t>Resident Opposition</w:t>
      </w:r>
      <w:r w:rsidRPr="00505071">
        <w:rPr>
          <w:i/>
        </w:rPr>
        <w:t xml:space="preserve">; </w:t>
      </w:r>
      <w:r w:rsidR="00A1338C">
        <w:rPr>
          <w:i/>
        </w:rPr>
        <w:t>Melbourne</w:t>
      </w:r>
    </w:p>
    <w:p w14:paraId="45934D90" w14:textId="77777777" w:rsidR="00505071" w:rsidRDefault="00505071" w:rsidP="00505071"/>
    <w:p w14:paraId="3F136B0C" w14:textId="77777777" w:rsidR="00505071" w:rsidRPr="00505071" w:rsidRDefault="00505071" w:rsidP="00505071">
      <w:pPr>
        <w:pStyle w:val="Headings"/>
      </w:pPr>
      <w:r w:rsidRPr="00505071">
        <w:t>Introduction</w:t>
      </w:r>
    </w:p>
    <w:p w14:paraId="66FE8E1D" w14:textId="77777777" w:rsidR="00505071" w:rsidRPr="00FA180D" w:rsidRDefault="00505071" w:rsidP="00C94FBE">
      <w:pPr>
        <w:pStyle w:val="Quote"/>
        <w:rPr>
          <w:lang w:val="en-AU"/>
        </w:rPr>
      </w:pPr>
      <w:r w:rsidRPr="00FA180D">
        <w:rPr>
          <w:lang w:val="en-AU"/>
        </w:rPr>
        <w:t>Our villages are getting more cramped, they are getting taller, and finding parking has become a daily chore</w:t>
      </w:r>
      <w:r w:rsidR="00FA180D" w:rsidRPr="00FA180D">
        <w:rPr>
          <w:lang w:val="en-AU"/>
        </w:rPr>
        <w:t>.</w:t>
      </w:r>
      <w:r w:rsidRPr="00FA180D">
        <w:rPr>
          <w:lang w:val="en-AU"/>
        </w:rPr>
        <w:t xml:space="preserve"> (James Newbury, Liberal Member for Brighton, Victoria, 1 June 2017).</w:t>
      </w:r>
    </w:p>
    <w:p w14:paraId="4E9ED7CF" w14:textId="77777777" w:rsidR="00505071" w:rsidRPr="00BD724D" w:rsidRDefault="00505071" w:rsidP="00505071">
      <w:pPr>
        <w:rPr>
          <w:lang w:val="en-AU"/>
        </w:rPr>
      </w:pPr>
    </w:p>
    <w:p w14:paraId="3ECA01E8" w14:textId="189019E0" w:rsidR="00C94FBE" w:rsidRDefault="00C94FBE" w:rsidP="008A185E">
      <w:pPr>
        <w:rPr>
          <w:lang w:val="en-AU"/>
        </w:rPr>
      </w:pPr>
      <w:r w:rsidRPr="00C94FBE">
        <w:rPr>
          <w:lang w:val="en-AU"/>
        </w:rPr>
        <w:t xml:space="preserve">In the next 30 years, the population of Melbourne is expected to </w:t>
      </w:r>
      <w:r w:rsidR="000265CC">
        <w:rPr>
          <w:lang w:val="en-AU"/>
        </w:rPr>
        <w:t>almost</w:t>
      </w:r>
      <w:r w:rsidRPr="00C94FBE">
        <w:rPr>
          <w:lang w:val="en-AU"/>
        </w:rPr>
        <w:t xml:space="preserve"> double to </w:t>
      </w:r>
      <w:r w:rsidR="007821BB">
        <w:rPr>
          <w:lang w:val="en-AU"/>
        </w:rPr>
        <w:t>8</w:t>
      </w:r>
      <w:r w:rsidRPr="00C94FBE">
        <w:rPr>
          <w:lang w:val="en-AU"/>
        </w:rPr>
        <w:t xml:space="preserve"> million people</w:t>
      </w:r>
      <w:r>
        <w:rPr>
          <w:lang w:val="en-AU"/>
        </w:rPr>
        <w:t xml:space="preserve"> </w:t>
      </w:r>
      <w:r w:rsidR="002A0C7D">
        <w:rPr>
          <w:lang w:val="en-AU"/>
        </w:rPr>
        <w:t>(</w:t>
      </w:r>
      <w:proofErr w:type="spellStart"/>
      <w:r w:rsidR="002A0C7D">
        <w:rPr>
          <w:lang w:val="en-AU"/>
        </w:rPr>
        <w:t>Tomazin</w:t>
      </w:r>
      <w:proofErr w:type="spellEnd"/>
      <w:r w:rsidR="002A0C7D">
        <w:rPr>
          <w:lang w:val="en-AU"/>
        </w:rPr>
        <w:t>, 2017)</w:t>
      </w:r>
      <w:r>
        <w:rPr>
          <w:lang w:val="en-AU"/>
        </w:rPr>
        <w:t xml:space="preserve">. </w:t>
      </w:r>
      <w:r w:rsidRPr="00C94FBE">
        <w:rPr>
          <w:lang w:val="en-AU"/>
        </w:rPr>
        <w:t>To accommodate this growth, the Victorian State Government has expanded the scope for densification, including in Melbourne’s suburbs. This includes a removal on the ‘cap’ of number of dwellings permitted per lot while mandating maximum height and minimum garden space in modified residential zones</w:t>
      </w:r>
      <w:r w:rsidR="00046278">
        <w:rPr>
          <w:lang w:val="en-AU"/>
        </w:rPr>
        <w:t xml:space="preserve"> </w:t>
      </w:r>
      <w:r w:rsidR="002A0C7D">
        <w:rPr>
          <w:lang w:val="en-AU"/>
        </w:rPr>
        <w:t xml:space="preserve">(Victorian Department of Environment, Land, Water and Planning, 2017). </w:t>
      </w:r>
      <w:r w:rsidR="002A0C7D" w:rsidRPr="002A0C7D">
        <w:rPr>
          <w:lang w:val="en-AU"/>
        </w:rPr>
        <w:t>While these changes are the continuation of longer-term strategies of urban consolidation, densification has occurred unevenly. Of known major developments in Melbourne in 2009-2010 for example, larger developments (those of 25 dwellings or more) excluding those in the central business district (CBD) were concentrated in inner-eastern and inner-northern suburbs. Among these suburbs, South Yarra, Richmond, Moreland and Darebin absorbed 20 per cent of all large development</w:t>
      </w:r>
      <w:r w:rsidR="002A0C7D">
        <w:rPr>
          <w:lang w:val="en-AU"/>
        </w:rPr>
        <w:t xml:space="preserve"> (Cook</w:t>
      </w:r>
      <w:r w:rsidR="002A0C7D" w:rsidRPr="002A0C7D">
        <w:rPr>
          <w:i/>
          <w:lang w:val="en-AU"/>
        </w:rPr>
        <w:t xml:space="preserve"> et al.</w:t>
      </w:r>
      <w:r w:rsidR="002A0C7D" w:rsidRPr="002A0C7D">
        <w:rPr>
          <w:lang w:val="en-AU"/>
        </w:rPr>
        <w:t>, 2012)</w:t>
      </w:r>
      <w:r w:rsidR="002A0C7D">
        <w:rPr>
          <w:lang w:val="en-AU"/>
        </w:rPr>
        <w:t>.</w:t>
      </w:r>
      <w:r w:rsidR="002A0C7D" w:rsidRPr="002A0C7D">
        <w:t xml:space="preserve"> </w:t>
      </w:r>
      <w:r w:rsidR="002A0C7D" w:rsidRPr="002A0C7D">
        <w:rPr>
          <w:lang w:val="en-AU"/>
        </w:rPr>
        <w:t xml:space="preserve">Other studies that show that densification through the 1990s was concentrated in Melbourne’s inner suburbs (Buxton and </w:t>
      </w:r>
      <w:proofErr w:type="spellStart"/>
      <w:r w:rsidR="002A0C7D" w:rsidRPr="002A0C7D">
        <w:rPr>
          <w:lang w:val="en-AU"/>
        </w:rPr>
        <w:t>Thieman</w:t>
      </w:r>
      <w:proofErr w:type="spellEnd"/>
      <w:r w:rsidR="002A0C7D" w:rsidRPr="002A0C7D">
        <w:rPr>
          <w:lang w:val="en-AU"/>
        </w:rPr>
        <w:t>) and more recently along suburban transport networks, including rail lines and suburban centres</w:t>
      </w:r>
      <w:r w:rsidR="002A0C7D">
        <w:rPr>
          <w:lang w:val="en-AU"/>
        </w:rPr>
        <w:t xml:space="preserve"> (Randolph, 2006). </w:t>
      </w:r>
      <w:r w:rsidR="002A0C7D" w:rsidRPr="002A0C7D">
        <w:rPr>
          <w:lang w:val="en-AU"/>
        </w:rPr>
        <w:t>The Australian Bureau of Statistics (ABS) also shows inner suburban population growth, such as Melbourne’s suburb of Abbotsford, where population doubled to 8110 between 2006-2016</w:t>
      </w:r>
      <w:r w:rsidR="002A0C7D">
        <w:rPr>
          <w:lang w:val="en-AU"/>
        </w:rPr>
        <w:t xml:space="preserve"> (Colebatch, 2017).</w:t>
      </w:r>
    </w:p>
    <w:p w14:paraId="66B7F5B9" w14:textId="77777777" w:rsidR="00C94FBE" w:rsidRDefault="00C94FBE" w:rsidP="008A185E">
      <w:pPr>
        <w:rPr>
          <w:lang w:val="en-AU"/>
        </w:rPr>
      </w:pPr>
    </w:p>
    <w:p w14:paraId="3A5AAF3F" w14:textId="1F3CEE4B" w:rsidR="002A0C7D" w:rsidRDefault="002A0C7D" w:rsidP="008A185E">
      <w:pPr>
        <w:rPr>
          <w:lang w:val="en-AU"/>
        </w:rPr>
      </w:pPr>
      <w:r w:rsidRPr="002A0C7D">
        <w:rPr>
          <w:lang w:val="en-AU"/>
        </w:rPr>
        <w:t>This uneven pattern of densification raises questions around the balance between increased apartment supply and infrastructure investment in densifying neighbourhoods. While a common goal of compact city policies is to extract more value from existing infrastructure, population increases place additional pressure on public services. This includes hard infrastructure such as ‘roads, highways, water and sewerage systems, railways, wires, cables and transmitters’ and soft infrastructures such as ‘education, health care, cultural activities, financial services’</w:t>
      </w:r>
      <w:r>
        <w:rPr>
          <w:lang w:val="en-AU"/>
        </w:rPr>
        <w:t xml:space="preserve"> (</w:t>
      </w:r>
      <w:proofErr w:type="spellStart"/>
      <w:r>
        <w:rPr>
          <w:lang w:val="en-AU"/>
        </w:rPr>
        <w:t>Filion</w:t>
      </w:r>
      <w:proofErr w:type="spellEnd"/>
      <w:r>
        <w:rPr>
          <w:lang w:val="en-AU"/>
        </w:rPr>
        <w:t xml:space="preserve"> and </w:t>
      </w:r>
      <w:proofErr w:type="spellStart"/>
      <w:r>
        <w:rPr>
          <w:lang w:val="en-AU"/>
        </w:rPr>
        <w:t>Keil</w:t>
      </w:r>
      <w:proofErr w:type="spellEnd"/>
      <w:r>
        <w:rPr>
          <w:lang w:val="en-AU"/>
        </w:rPr>
        <w:t xml:space="preserve">, 2017, p. 8). </w:t>
      </w:r>
      <w:r w:rsidRPr="002A0C7D">
        <w:rPr>
          <w:lang w:val="en-AU"/>
        </w:rPr>
        <w:t>Studies of resident opposition to higher-density housing suggest that the increased demand for public investment in these areas, particularly parking, traffic and amenity</w:t>
      </w:r>
      <w:r>
        <w:rPr>
          <w:lang w:val="en-AU"/>
        </w:rPr>
        <w:t xml:space="preserve"> (Davison</w:t>
      </w:r>
      <w:r w:rsidRPr="002A0C7D">
        <w:rPr>
          <w:i/>
          <w:lang w:val="en-AU"/>
        </w:rPr>
        <w:t xml:space="preserve"> et al.</w:t>
      </w:r>
      <w:r w:rsidRPr="002A0C7D">
        <w:rPr>
          <w:lang w:val="en-AU"/>
        </w:rPr>
        <w:t>, 2016)</w:t>
      </w:r>
      <w:r>
        <w:rPr>
          <w:lang w:val="en-AU"/>
        </w:rPr>
        <w:t xml:space="preserve">, </w:t>
      </w:r>
      <w:r w:rsidRPr="002A0C7D">
        <w:rPr>
          <w:lang w:val="en-AU"/>
        </w:rPr>
        <w:t>is a concern among citizens whose influence over local planning decisions can often limit the nature and extent of densification through the political process</w:t>
      </w:r>
      <w:r>
        <w:rPr>
          <w:lang w:val="en-AU"/>
        </w:rPr>
        <w:t xml:space="preserve"> </w:t>
      </w:r>
      <w:r w:rsidR="008A185E">
        <w:rPr>
          <w:lang w:val="en-AU"/>
        </w:rPr>
        <w:t>(</w:t>
      </w:r>
      <w:proofErr w:type="spellStart"/>
      <w:r w:rsidR="008A185E">
        <w:rPr>
          <w:lang w:val="en-AU"/>
        </w:rPr>
        <w:t>Ruming</w:t>
      </w:r>
      <w:proofErr w:type="spellEnd"/>
      <w:r w:rsidR="008A185E">
        <w:rPr>
          <w:lang w:val="en-AU"/>
        </w:rPr>
        <w:t xml:space="preserve">, Houston and Amati, 2012; Taylor, Cook and Hurley, 2016). </w:t>
      </w:r>
      <w:r w:rsidR="008A185E" w:rsidRPr="008A185E">
        <w:rPr>
          <w:lang w:val="en-AU"/>
        </w:rPr>
        <w:t>In a large online survey of residents in 24 selected Australian cities</w:t>
      </w:r>
      <w:r w:rsidR="008A185E">
        <w:rPr>
          <w:lang w:val="en-AU"/>
        </w:rPr>
        <w:t xml:space="preserve"> </w:t>
      </w:r>
      <w:r w:rsidR="008A185E">
        <w:rPr>
          <w:lang w:val="en-AU"/>
        </w:rPr>
        <w:lastRenderedPageBreak/>
        <w:t xml:space="preserve">(Productivity Commission, 2011, p. 28) </w:t>
      </w:r>
      <w:r w:rsidR="008A185E" w:rsidRPr="008A185E">
        <w:rPr>
          <w:lang w:val="en-AU"/>
        </w:rPr>
        <w:t>only 12 percent of respondents agreed with the statement that they would ‘like more people living in [their] suburb or community and the increase in housing required for this’.  The result was similar in capital cities (11%) and all other cities (12%). In contrast, more than half (52%) of those in capital cities, (and just under half in other cities) indicated they would not like ‘more people living in their suburb’. Asked to explain their response, 85 percent of those in capital cities cited ‘increased congestion’, followed by ‘increased noise’ (59%) ‘loss of street appeal’ (44%) and ‘more crowded public transport’ (35%). In Sydney and Melbourne, 89 and 86 percent of respondents opposed to higher population density selected ‘congestion’ with 46 and 37 percent selecting ‘more crowded public transport’ respectively.</w:t>
      </w:r>
    </w:p>
    <w:p w14:paraId="4401D316" w14:textId="77777777" w:rsidR="008A185E" w:rsidRDefault="008A185E" w:rsidP="008A185E">
      <w:pPr>
        <w:rPr>
          <w:lang w:val="en-AU"/>
        </w:rPr>
      </w:pPr>
    </w:p>
    <w:p w14:paraId="150BCC9C" w14:textId="12E79F6E" w:rsidR="00C94FBE" w:rsidRDefault="008A185E" w:rsidP="008A185E">
      <w:pPr>
        <w:rPr>
          <w:lang w:val="en-AU"/>
        </w:rPr>
      </w:pPr>
      <w:r w:rsidRPr="008A185E">
        <w:rPr>
          <w:lang w:val="en-AU"/>
        </w:rPr>
        <w:t>Residential densification however generates not only demand for increased services and infrastructure. Through enlarging the pool of local and State property taxes it potentially generates public revenue that could (and perhaps should) be used to finance this demand. Alignment between densification and public spending on infrastructure thus provides an incentive for residents and local governments to embrace and plan for higher density cities. Indeed, in the community survey, of those participants who wanted more people in their suburbs (just 12 percent of participants), more than half said it was because ‘it would bring increased services’</w:t>
      </w:r>
      <w:r>
        <w:rPr>
          <w:lang w:val="en-AU"/>
        </w:rPr>
        <w:t xml:space="preserve"> (Productivity Commission, 2011, p. 29). </w:t>
      </w:r>
      <w:r w:rsidRPr="008A185E">
        <w:rPr>
          <w:lang w:val="en-AU"/>
        </w:rPr>
        <w:t>As born out in the majority of responses above, concerns raised about inadequate infrastructure in densifying areas nonetheless indicate a strong perception that such density dividends are redirected to other areas and priorities, reinforcing frustration about the uneven distribution of the costs and benefits of densification</w:t>
      </w:r>
      <w:r>
        <w:rPr>
          <w:lang w:val="en-AU"/>
        </w:rPr>
        <w:t xml:space="preserve"> (Troy, 2017). </w:t>
      </w:r>
      <w:r w:rsidRPr="008A185E">
        <w:rPr>
          <w:lang w:val="en-AU"/>
        </w:rPr>
        <w:t>Despite these divergent perceptions, we have a limited empirical foundation to examine the extent to which densification and infrastructure funding allocation patterns align spatially.  In other words, whether those communities that do the ‘heavy lifting’ in dwelling approvals can expect a return through public investment.</w:t>
      </w:r>
    </w:p>
    <w:p w14:paraId="00B53971" w14:textId="77777777" w:rsidR="008A185E" w:rsidRDefault="008A185E" w:rsidP="00C94FBE">
      <w:pPr>
        <w:rPr>
          <w:lang w:val="en-AU"/>
        </w:rPr>
      </w:pPr>
    </w:p>
    <w:p w14:paraId="43696371" w14:textId="77777777" w:rsidR="008A185E" w:rsidRDefault="008A185E" w:rsidP="00C94FBE">
      <w:pPr>
        <w:rPr>
          <w:lang w:val="en-AU"/>
        </w:rPr>
      </w:pPr>
      <w:r w:rsidRPr="008A185E">
        <w:rPr>
          <w:lang w:val="en-AU"/>
        </w:rPr>
        <w:t>Recognising the significance of increasing density for resident satisfaction, perceptions of planning, and urban social justice this paper examines the relationship between density and public infrastructure funding allocation. It takes as its focus infrastructure spending in the areas of Melbourne that have densified most rapidly from 1999 to 2016. By integrating two types of data –area-based population growth and public accounts on capital spending – the paper develops a mechanism through which to relate densification to State Government infrastructure allocation. Before setting out the method in more detail, we first chart the challenges of infrastructure that densification poses in Australian cities.</w:t>
      </w:r>
    </w:p>
    <w:p w14:paraId="3D18B327" w14:textId="77777777" w:rsidR="008A185E" w:rsidRDefault="008A185E" w:rsidP="00C94FBE">
      <w:pPr>
        <w:rPr>
          <w:lang w:val="en-AU"/>
        </w:rPr>
      </w:pPr>
    </w:p>
    <w:p w14:paraId="779DC0F2" w14:textId="77777777" w:rsidR="008A185E" w:rsidRDefault="008A185E" w:rsidP="008A185E">
      <w:pPr>
        <w:pStyle w:val="Headings"/>
        <w:rPr>
          <w:lang w:val="en-AU"/>
        </w:rPr>
      </w:pPr>
      <w:r w:rsidRPr="008A185E">
        <w:rPr>
          <w:lang w:val="en-AU"/>
        </w:rPr>
        <w:t>The politics of density and infrastructure</w:t>
      </w:r>
    </w:p>
    <w:p w14:paraId="7A0005B0" w14:textId="420A8EB5" w:rsidR="008A185E" w:rsidRDefault="008A185E" w:rsidP="008A185E">
      <w:pPr>
        <w:pStyle w:val="Quote"/>
        <w:rPr>
          <w:lang w:val="en-AU"/>
        </w:rPr>
      </w:pPr>
      <w:r w:rsidRPr="008A185E">
        <w:rPr>
          <w:lang w:val="en-AU"/>
        </w:rPr>
        <w:t>Whilst sometimes taken for granted – at least when they work amongst wealthier or more privileged users and spaces – energy, water, sewerage, transport, trade, financial and community infrastructures allow modern urban life to exist</w:t>
      </w:r>
      <w:r>
        <w:rPr>
          <w:lang w:val="en-AU"/>
        </w:rPr>
        <w:t xml:space="preserve">. </w:t>
      </w:r>
      <w:r>
        <w:rPr>
          <w:rFonts w:hint="eastAsia"/>
          <w:lang w:val="en-AU"/>
        </w:rPr>
        <w:t>(Graham, 2010, p. 1)</w:t>
      </w:r>
    </w:p>
    <w:p w14:paraId="6DE721DA" w14:textId="77777777" w:rsidR="008A185E" w:rsidRDefault="008A185E" w:rsidP="008A185E">
      <w:pPr>
        <w:rPr>
          <w:lang w:val="en-AU"/>
        </w:rPr>
      </w:pPr>
    </w:p>
    <w:p w14:paraId="570A9E35" w14:textId="29BCE6DB" w:rsidR="008A185E" w:rsidRDefault="008A185E" w:rsidP="008A185E">
      <w:pPr>
        <w:rPr>
          <w:lang w:val="en-AU"/>
        </w:rPr>
      </w:pPr>
      <w:r w:rsidRPr="008A185E">
        <w:rPr>
          <w:lang w:val="en-AU"/>
        </w:rPr>
        <w:t>Stephen Graham (above) argues that even though infrastructure plays a critical role in cities, it is often barely regarded or recognised by citizens. This is because much of the infrastructure underpinning urban expansion and intensification is hidden from daily view; or conversely, is so routine that it becomes taken-for-granted. One of the features of modern urbanism is the disconnection between the structures that support housing and urban systems (such as water and sewerage systems) and the everyday experiences of residents in cities and homes</w:t>
      </w:r>
      <w:r>
        <w:rPr>
          <w:lang w:val="en-AU"/>
        </w:rPr>
        <w:t xml:space="preserve"> (Graham, 2010; </w:t>
      </w:r>
      <w:proofErr w:type="spellStart"/>
      <w:r>
        <w:rPr>
          <w:lang w:val="en-AU"/>
        </w:rPr>
        <w:t>Kaika</w:t>
      </w:r>
      <w:proofErr w:type="spellEnd"/>
      <w:r>
        <w:rPr>
          <w:lang w:val="en-AU"/>
        </w:rPr>
        <w:t xml:space="preserve">, 2004). </w:t>
      </w:r>
      <w:r w:rsidR="00A1338C">
        <w:rPr>
          <w:lang w:val="en-AU"/>
        </w:rPr>
        <w:t>E</w:t>
      </w:r>
      <w:r w:rsidRPr="008A185E">
        <w:rPr>
          <w:lang w:val="en-AU"/>
        </w:rPr>
        <w:t>very type of settlement hinges on the provision of infrastructure to provide for human life such that infrastructures are ‘enablers, providing conditions to make other activities possible’</w:t>
      </w:r>
      <w:r>
        <w:rPr>
          <w:lang w:val="en-AU"/>
        </w:rPr>
        <w:t xml:space="preserve"> (</w:t>
      </w:r>
      <w:proofErr w:type="spellStart"/>
      <w:r w:rsidR="00A1338C">
        <w:rPr>
          <w:lang w:val="en-AU"/>
        </w:rPr>
        <w:t>Fillion</w:t>
      </w:r>
      <w:proofErr w:type="spellEnd"/>
      <w:r w:rsidR="00A1338C">
        <w:rPr>
          <w:lang w:val="en-AU"/>
        </w:rPr>
        <w:t xml:space="preserve"> and </w:t>
      </w:r>
      <w:proofErr w:type="spellStart"/>
      <w:r w:rsidR="00A1338C">
        <w:rPr>
          <w:lang w:val="en-AU"/>
        </w:rPr>
        <w:t>Keil</w:t>
      </w:r>
      <w:proofErr w:type="spellEnd"/>
      <w:r w:rsidR="00A1338C">
        <w:rPr>
          <w:lang w:val="en-AU"/>
        </w:rPr>
        <w:t xml:space="preserve">, 2017 </w:t>
      </w:r>
      <w:r>
        <w:rPr>
          <w:lang w:val="en-AU"/>
        </w:rPr>
        <w:t xml:space="preserve">p. 8). </w:t>
      </w:r>
      <w:r w:rsidRPr="008A185E">
        <w:rPr>
          <w:lang w:val="en-AU"/>
        </w:rPr>
        <w:t>They are seen to be a marker of civilised society and the modern state and increasingly enlisted in debates about urban futures</w:t>
      </w:r>
      <w:r>
        <w:rPr>
          <w:lang w:val="en-AU"/>
        </w:rPr>
        <w:t xml:space="preserve"> (Graham, 2010). </w:t>
      </w:r>
      <w:r w:rsidRPr="008A185E">
        <w:rPr>
          <w:lang w:val="en-AU"/>
        </w:rPr>
        <w:t>It is not until there is a disruption to these hidden and taken-for-granted networks through for instance, disaster or energy failure that they become more legible and made more public.</w:t>
      </w:r>
    </w:p>
    <w:p w14:paraId="4D643464" w14:textId="77777777" w:rsidR="008A185E" w:rsidRDefault="008A185E" w:rsidP="008A185E">
      <w:pPr>
        <w:rPr>
          <w:lang w:val="en-AU"/>
        </w:rPr>
      </w:pPr>
    </w:p>
    <w:p w14:paraId="183AB1B4" w14:textId="26A283A1" w:rsidR="008A185E" w:rsidRDefault="008A185E" w:rsidP="008A185E">
      <w:pPr>
        <w:rPr>
          <w:lang w:val="en-AU"/>
        </w:rPr>
      </w:pPr>
      <w:r w:rsidRPr="008A185E">
        <w:rPr>
          <w:lang w:val="en-AU"/>
        </w:rPr>
        <w:t>Densification arguably produces a set of conditions where infrastructure is made more visible. With increasing density, residents can become aware of increasing congestion on roads or public transport; or the increased time it takes to move from, to and within their neighbourhood.  Density is thus anticipated and eventually becomes known to residents through the frustration of waiting for public services and infrastructures.</w:t>
      </w:r>
      <w:r>
        <w:rPr>
          <w:lang w:val="en-AU"/>
        </w:rPr>
        <w:t xml:space="preserve"> As McFarlane (2016) </w:t>
      </w:r>
      <w:r w:rsidRPr="008A185E">
        <w:rPr>
          <w:lang w:val="en-AU"/>
        </w:rPr>
        <w:t>suggests, density is not just a topographical measure of concentration, but registers topologically, meaning it is experienced and perceived in the ebb and flow of daily life. This affective politicisation of bodies has produced a series of resistances to higher density in planning; sometimes by residents, and also by local councils. Densification is thus a political rather than purely technical process</w:t>
      </w:r>
      <w:r>
        <w:rPr>
          <w:lang w:val="en-AU"/>
        </w:rPr>
        <w:t xml:space="preserve"> (McFarlane, 2016; </w:t>
      </w:r>
      <w:proofErr w:type="spellStart"/>
      <w:r>
        <w:rPr>
          <w:lang w:val="en-AU"/>
        </w:rPr>
        <w:t>Ruming</w:t>
      </w:r>
      <w:proofErr w:type="spellEnd"/>
      <w:r>
        <w:rPr>
          <w:lang w:val="en-AU"/>
        </w:rPr>
        <w:t>, Houston and Amati, 2012)</w:t>
      </w:r>
      <w:r w:rsidRPr="008A185E">
        <w:rPr>
          <w:lang w:val="en-AU"/>
        </w:rPr>
        <w:t>, and managing this transition has become a key challenge for urban planning authorities in Australia.</w:t>
      </w:r>
    </w:p>
    <w:p w14:paraId="1EC003E9" w14:textId="77777777" w:rsidR="008A185E" w:rsidRDefault="008A185E" w:rsidP="008A185E">
      <w:pPr>
        <w:rPr>
          <w:lang w:val="en-AU"/>
        </w:rPr>
      </w:pPr>
    </w:p>
    <w:p w14:paraId="4762B9FE" w14:textId="18E823AD" w:rsidR="008A185E" w:rsidRDefault="008A185E" w:rsidP="008A185E">
      <w:pPr>
        <w:rPr>
          <w:lang w:val="en-AU"/>
        </w:rPr>
      </w:pPr>
      <w:r w:rsidRPr="008A185E">
        <w:rPr>
          <w:lang w:val="en-AU"/>
        </w:rPr>
        <w:lastRenderedPageBreak/>
        <w:t>Mediating resident opposition to higher density housing and viewpoints can nonetheless be a difficult process. Studies show that residents can develop a territorial view of their neighbourhood, shaped by their economic, social and practical investments in their homes and communities</w:t>
      </w:r>
      <w:r>
        <w:rPr>
          <w:lang w:val="en-AU"/>
        </w:rPr>
        <w:t xml:space="preserve"> (Cook, Taylor and Hurley, 2013). </w:t>
      </w:r>
      <w:r w:rsidRPr="008A185E">
        <w:rPr>
          <w:lang w:val="en-AU"/>
        </w:rPr>
        <w:t>Shifting the perception that they will have to share scarce resources in denser neighbourhoods is difficult when there is no indication of whether densification is supported through lasting enhancements to infr</w:t>
      </w:r>
      <w:r>
        <w:rPr>
          <w:lang w:val="en-AU"/>
        </w:rPr>
        <w:t>astructure and urban services. As Graham (2010)</w:t>
      </w:r>
      <w:r w:rsidRPr="008A185E">
        <w:t xml:space="preserve"> </w:t>
      </w:r>
      <w:r w:rsidRPr="008A185E">
        <w:rPr>
          <w:lang w:val="en-AU"/>
        </w:rPr>
        <w:t>suggests, infrastructures are ‘materializations of the starkly contested and divided political, ecological and social processes which tend to characterize contemporary cities’</w:t>
      </w:r>
      <w:r>
        <w:rPr>
          <w:lang w:val="en-AU"/>
        </w:rPr>
        <w:t xml:space="preserve"> (p. 1). </w:t>
      </w:r>
      <w:r w:rsidRPr="008A185E">
        <w:rPr>
          <w:lang w:val="en-AU"/>
        </w:rPr>
        <w:t>However,</w:t>
      </w:r>
      <w:r>
        <w:rPr>
          <w:lang w:val="en-AU"/>
        </w:rPr>
        <w:t xml:space="preserve"> as </w:t>
      </w:r>
      <w:proofErr w:type="spellStart"/>
      <w:r>
        <w:rPr>
          <w:lang w:val="en-AU"/>
        </w:rPr>
        <w:t>Filion</w:t>
      </w:r>
      <w:proofErr w:type="spellEnd"/>
      <w:r>
        <w:rPr>
          <w:lang w:val="en-AU"/>
        </w:rPr>
        <w:t xml:space="preserve"> and </w:t>
      </w:r>
      <w:proofErr w:type="spellStart"/>
      <w:r>
        <w:rPr>
          <w:lang w:val="en-AU"/>
        </w:rPr>
        <w:t>Keil</w:t>
      </w:r>
      <w:proofErr w:type="spellEnd"/>
      <w:r>
        <w:rPr>
          <w:lang w:val="en-AU"/>
        </w:rPr>
        <w:t xml:space="preserve"> (2017) </w:t>
      </w:r>
      <w:r w:rsidRPr="008A185E">
        <w:rPr>
          <w:lang w:val="en-AU"/>
        </w:rPr>
        <w:t>suggest, experts play central roles in infrastructure decisions and funding allocation is therefore not routinely open to debate among other ‘interested parties’</w:t>
      </w:r>
      <w:r w:rsidR="00DF15FE">
        <w:rPr>
          <w:lang w:val="en-AU"/>
        </w:rPr>
        <w:t xml:space="preserve"> (p. 11). </w:t>
      </w:r>
      <w:r w:rsidR="00DF15FE" w:rsidRPr="00DF15FE">
        <w:rPr>
          <w:lang w:val="en-AU"/>
        </w:rPr>
        <w:t>Infrastructure allocation decisions are also highly politicised and can produce a pattern of winners and losers divided across spatial and socioeconomic lines</w:t>
      </w:r>
      <w:r w:rsidR="00DF15FE">
        <w:rPr>
          <w:lang w:val="en-AU"/>
        </w:rPr>
        <w:t xml:space="preserve"> (Wiesel, Liu and Buckle, in press). </w:t>
      </w:r>
      <w:r w:rsidR="00DF15FE" w:rsidRPr="00DF15FE">
        <w:rPr>
          <w:lang w:val="en-AU"/>
        </w:rPr>
        <w:t>In order to develop a clearer understanding of the extent to which densification drives infrastructure allocation, this paper brings Annual State Government Infrastructure Allocation together with density and socio-economic data. We turn to this method next.</w:t>
      </w:r>
    </w:p>
    <w:p w14:paraId="31860F87" w14:textId="77777777" w:rsidR="00DF15FE" w:rsidRDefault="00DF15FE" w:rsidP="008A185E">
      <w:pPr>
        <w:rPr>
          <w:lang w:val="en-AU"/>
        </w:rPr>
      </w:pPr>
    </w:p>
    <w:p w14:paraId="7F0E881A" w14:textId="77777777" w:rsidR="00DF15FE" w:rsidRDefault="00DF15FE" w:rsidP="00DF15FE">
      <w:pPr>
        <w:pStyle w:val="Headings"/>
        <w:rPr>
          <w:lang w:val="en-AU"/>
        </w:rPr>
      </w:pPr>
      <w:r w:rsidRPr="00DF15FE">
        <w:rPr>
          <w:lang w:val="en-AU"/>
        </w:rPr>
        <w:t>State Government Infrastructure investment in Melbourne’s densification frontiers</w:t>
      </w:r>
    </w:p>
    <w:p w14:paraId="6B885A62" w14:textId="77777777" w:rsidR="00DF15FE" w:rsidRDefault="00DF15FE" w:rsidP="00DF15FE">
      <w:pPr>
        <w:pStyle w:val="Subheadings"/>
      </w:pPr>
      <w:r w:rsidRPr="00DF15FE">
        <w:t>Method</w:t>
      </w:r>
    </w:p>
    <w:p w14:paraId="69005510" w14:textId="77777777" w:rsidR="00DF15FE" w:rsidRPr="00A61DDE" w:rsidRDefault="00DF15FE" w:rsidP="00A61DDE">
      <w:pPr>
        <w:pStyle w:val="subsubheadings"/>
      </w:pPr>
      <w:r w:rsidRPr="00A61DDE">
        <w:t xml:space="preserve">Infrastructure expenditure data </w:t>
      </w:r>
    </w:p>
    <w:p w14:paraId="4CCC4391" w14:textId="2842B67E" w:rsidR="00DF15FE" w:rsidRDefault="00DF15FE" w:rsidP="00DF15FE">
      <w:r w:rsidRPr="00DF15FE">
        <w:t>State infrastructure spending data were collected from annual state budget papers published by Department of Treasury and Finance, Victoria state government for budget years 1999/2000 to 2015/16</w:t>
      </w:r>
      <w:r>
        <w:t xml:space="preserve"> (Victorian Department of Treasury and Finance, 2017). </w:t>
      </w:r>
      <w:r w:rsidRPr="00DF15FE">
        <w:t>These budget papers include spending on capital projects, excluding public-private partnership projects. These capital projects, which typically represent 20 to 30 per cent of total state government annual budget, were allocated by the state government and funded from various sources including state government revenue, federal government payment (i.e., Commonwealth infrastructure grant funding), public sector borrowings, asset recycling, and private sector contributions (excluding public-private partnerships), and aimed to enhance the state’s productive capacity and to improve services to the population and community</w:t>
      </w:r>
      <w:r>
        <w:t xml:space="preserve"> (see, e.g., Victorian Department of Treasury and Finance, 2015, p. 5).</w:t>
      </w:r>
    </w:p>
    <w:p w14:paraId="5348FC13" w14:textId="77777777" w:rsidR="00DF15FE" w:rsidRPr="00DF15FE" w:rsidRDefault="00DF15FE" w:rsidP="00DF15FE"/>
    <w:p w14:paraId="31FB3C0C" w14:textId="77777777" w:rsidR="00DF15FE" w:rsidRDefault="00DF15FE" w:rsidP="00DF15FE">
      <w:r w:rsidRPr="00DF15FE">
        <w:t>Funded projects were categorized into twelve groups, including: public housing; community services (including neighbourhood facilities, aging, disability and home care facilities and homelessness services facilities); education; hospitals; policing and emergency facilities (i.e., police stations and fire stations); justice facilities (including court houses and correctional facilities); road and traffic; public transport facilities (station upgrades, rail links and Transit City projects); amenities (i.e., sports, recreational and cultural facilities); urban development (i.e., urban renewal projects, such as Docklands and West Melbourne redevelopment); utilities (water, sewage and treatment facilities); and, other government projects (such as government office accommodation and government management).</w:t>
      </w:r>
    </w:p>
    <w:p w14:paraId="0E3B555B" w14:textId="77777777" w:rsidR="00DF15FE" w:rsidRDefault="00DF15FE" w:rsidP="00DF15FE"/>
    <w:p w14:paraId="154631FE" w14:textId="543DB088" w:rsidR="00DF15FE" w:rsidRDefault="00DF15FE" w:rsidP="00DF15FE">
      <w:r w:rsidRPr="00DF15FE">
        <w:t>Each project was geo-referenced to suburb level using the ABS’ 2011 state suburb codes in Australian Standard Geographical classification</w:t>
      </w:r>
      <w:r>
        <w:t xml:space="preserve"> (ABS, 2011b) </w:t>
      </w:r>
      <w:r w:rsidRPr="00DF15FE">
        <w:t>in alignment with the Greater Capital City Statistical Areas</w:t>
      </w:r>
      <w:r>
        <w:t xml:space="preserve"> (ABS, 2011a).</w:t>
      </w:r>
      <w:r w:rsidRPr="00DF15FE">
        <w:t xml:space="preserve"> A total of 5,812 projects within Melbourne metropolitan area were identified from the database (out of 8,561 projects funded state-wide). To account for inflation and the time value of money, all historical expenses were compounded to 2015 dollars at an annualised rate of five per cent. We also analysed the data using rates of two per cent and seven percent, and the results were not sensitive to the use of these different level of rates.</w:t>
      </w:r>
    </w:p>
    <w:p w14:paraId="40F89E03" w14:textId="77777777" w:rsidR="00DF15FE" w:rsidRDefault="00DF15FE" w:rsidP="00DF15FE"/>
    <w:p w14:paraId="1CD2B089" w14:textId="77777777" w:rsidR="00DF15FE" w:rsidRDefault="00DF15FE" w:rsidP="00A61DDE">
      <w:pPr>
        <w:pStyle w:val="subsubheadings"/>
      </w:pPr>
      <w:r w:rsidRPr="00DF15FE">
        <w:t>Measuring and representing the urban structure of Melbourne</w:t>
      </w:r>
    </w:p>
    <w:p w14:paraId="59CB2A45" w14:textId="65D68FB6" w:rsidR="00DF15FE" w:rsidRDefault="00DF15FE" w:rsidP="00DF15FE">
      <w:pPr>
        <w:rPr>
          <w:lang w:val="en-AU"/>
        </w:rPr>
      </w:pPr>
      <w:r w:rsidRPr="00DF15FE">
        <w:rPr>
          <w:lang w:val="en-AU"/>
        </w:rPr>
        <w:t>For the purpose of analysing infrastructure spending patterns in Melbourne’s ‘densification frontiers’, we divided its metropolitan area into sub-regions defined by the following variables: population density, population growth rate since 2001, percentage of flats and units within total dwellings, distance to the CBD, and Index of Relative Socio-Economic Disadvantage from Socio-Economic Indexes for Areas of 2011 Census</w:t>
      </w:r>
      <w:r>
        <w:rPr>
          <w:lang w:val="en-AU"/>
        </w:rPr>
        <w:t xml:space="preserve"> (ABS, 2013). </w:t>
      </w:r>
    </w:p>
    <w:p w14:paraId="6221833D" w14:textId="77777777" w:rsidR="00DF15FE" w:rsidRDefault="00DF15FE" w:rsidP="00DF15FE">
      <w:pPr>
        <w:rPr>
          <w:lang w:val="en-AU"/>
        </w:rPr>
      </w:pPr>
    </w:p>
    <w:p w14:paraId="3AB4A3C3" w14:textId="1870B7B6" w:rsidR="00DF15FE" w:rsidRDefault="00DF15FE" w:rsidP="00DF15FE">
      <w:pPr>
        <w:rPr>
          <w:lang w:val="en-AU"/>
        </w:rPr>
      </w:pPr>
      <w:r w:rsidRPr="00DF15FE">
        <w:rPr>
          <w:lang w:val="en-AU"/>
        </w:rPr>
        <w:t>We applied stratified clustering analyses using SPSS Statistics 24 and ArcGIS 10.4 for representation of the sub-regions constructed through these variables.</w:t>
      </w:r>
      <w:r w:rsidR="004A566A">
        <w:rPr>
          <w:lang w:val="en-AU"/>
        </w:rPr>
        <w:t xml:space="preserve"> </w:t>
      </w:r>
      <w:r w:rsidRPr="00DF15FE">
        <w:rPr>
          <w:lang w:val="en-AU"/>
        </w:rPr>
        <w:t>Of thirteen possible clusters, eight yielded the most varied yet legible differences and were eventually util</w:t>
      </w:r>
      <w:r w:rsidR="004A566A">
        <w:rPr>
          <w:lang w:val="en-AU"/>
        </w:rPr>
        <w:t>ized for analysis (See Figure 1 and</w:t>
      </w:r>
      <w:r w:rsidRPr="00DF15FE">
        <w:rPr>
          <w:lang w:val="en-AU"/>
        </w:rPr>
        <w:t xml:space="preserve"> Table 1). Among the eight clusters, we further identified three clusters as Melbourne’s ‘densification frontiers’: the Melbourne central business district (CBD), inner-city and inner-suburbs. These three subregions, encompassing a total of 89 suburbs, have experienced the highest level of population growth in the metropolitan area through densification of existing built up area. The remainder of the paper focuses on these densification frontiers to examine the relationship between rates of</w:t>
      </w:r>
      <w:r>
        <w:rPr>
          <w:lang w:val="en-AU"/>
        </w:rPr>
        <w:t xml:space="preserve"> </w:t>
      </w:r>
      <w:r w:rsidRPr="00DF15FE">
        <w:rPr>
          <w:lang w:val="en-AU"/>
        </w:rPr>
        <w:t>densification and infrastructure spending.</w:t>
      </w:r>
    </w:p>
    <w:p w14:paraId="37447C76" w14:textId="59678F4F" w:rsidR="00E6546A" w:rsidRDefault="00E6546A" w:rsidP="00DF15FE">
      <w:pPr>
        <w:rPr>
          <w:lang w:val="en-AU"/>
        </w:rPr>
      </w:pPr>
    </w:p>
    <w:p w14:paraId="74F1BEBC" w14:textId="63B67C77" w:rsidR="00E6546A" w:rsidRPr="00E6546A" w:rsidRDefault="00E6546A" w:rsidP="00DF15FE">
      <w:pPr>
        <w:rPr>
          <w:b/>
          <w:u w:val="single"/>
          <w:lang w:val="en-AU"/>
        </w:rPr>
      </w:pPr>
      <w:r>
        <w:rPr>
          <w:b/>
          <w:u w:val="single"/>
          <w:lang w:val="en-AU"/>
        </w:rPr>
        <w:t>Figure 1. Melbourne’s Urban Structure (CBD and 30 km R</w:t>
      </w:r>
      <w:r w:rsidRPr="00E6546A">
        <w:rPr>
          <w:b/>
          <w:u w:val="single"/>
          <w:lang w:val="en-AU"/>
        </w:rPr>
        <w:t>adius)</w:t>
      </w:r>
    </w:p>
    <w:p w14:paraId="3EFB3932" w14:textId="77777777" w:rsidR="004A566A" w:rsidRDefault="004A566A" w:rsidP="00DF15FE">
      <w:pPr>
        <w:rPr>
          <w:lang w:val="en-AU"/>
        </w:rPr>
      </w:pPr>
    </w:p>
    <w:p w14:paraId="46CE0656" w14:textId="77777777" w:rsidR="00DF15FE" w:rsidRDefault="008720DA" w:rsidP="00DF15FE">
      <w:pPr>
        <w:rPr>
          <w:lang w:val="en-AU"/>
        </w:rPr>
      </w:pPr>
      <w:r>
        <w:rPr>
          <w:noProof/>
          <w:lang w:val="en-US" w:eastAsia="en-US"/>
        </w:rPr>
        <w:drawing>
          <wp:inline distT="0" distB="0" distL="0" distR="0" wp14:anchorId="639196A0" wp14:editId="634C697D">
            <wp:extent cx="5760720" cy="4108704"/>
            <wp:effectExtent l="0" t="0" r="0" b="6350"/>
            <wp:docPr id="2" name="Picture 2" descr="\\uom-file3.unimelb.edu.au\2070\Users\fanqil\Desktop\soac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m-file3.unimelb.edu.au\2070\Users\fanqil\Desktop\soac1.t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720" cy="4108704"/>
                    </a:xfrm>
                    <a:prstGeom prst="rect">
                      <a:avLst/>
                    </a:prstGeom>
                  </pic:spPr>
                </pic:pic>
              </a:graphicData>
            </a:graphic>
          </wp:inline>
        </w:drawing>
      </w:r>
    </w:p>
    <w:p w14:paraId="50A76293" w14:textId="1649633C" w:rsidR="008720DA" w:rsidRDefault="008720DA" w:rsidP="00DF15FE">
      <w:pPr>
        <w:rPr>
          <w:lang w:val="en-AU"/>
        </w:rPr>
      </w:pPr>
    </w:p>
    <w:p w14:paraId="407D73C0" w14:textId="1375B0BF" w:rsidR="004A566A" w:rsidRPr="00E6546A" w:rsidRDefault="004A566A" w:rsidP="00DF15FE">
      <w:pPr>
        <w:rPr>
          <w:b/>
          <w:u w:val="single"/>
          <w:lang w:val="en-AU"/>
        </w:rPr>
      </w:pPr>
      <w:r w:rsidRPr="00E6546A">
        <w:rPr>
          <w:b/>
          <w:u w:val="single"/>
          <w:lang w:val="en-AU"/>
        </w:rPr>
        <w:t xml:space="preserve">Table 1. </w:t>
      </w:r>
      <w:r w:rsidR="00E6546A">
        <w:rPr>
          <w:b/>
          <w:u w:val="single"/>
          <w:lang w:val="en-AU"/>
        </w:rPr>
        <w:t>Melbourne’s Densification Sub</w:t>
      </w:r>
      <w:r w:rsidRPr="00E6546A">
        <w:rPr>
          <w:b/>
          <w:u w:val="single"/>
          <w:lang w:val="en-AU"/>
        </w:rPr>
        <w:t>regions</w:t>
      </w:r>
      <w:r w:rsidR="00E6546A">
        <w:rPr>
          <w:b/>
          <w:u w:val="single"/>
          <w:lang w:val="en-AU"/>
        </w:rPr>
        <w:t>, Using Stratified Clustering A</w:t>
      </w:r>
      <w:r w:rsidRPr="00E6546A">
        <w:rPr>
          <w:b/>
          <w:u w:val="single"/>
          <w:lang w:val="en-AU"/>
        </w:rPr>
        <w:t>nalysis</w:t>
      </w:r>
    </w:p>
    <w:p w14:paraId="27CE5821" w14:textId="77777777" w:rsidR="00A61DDE" w:rsidRDefault="00A61DDE" w:rsidP="00DF15FE">
      <w:pPr>
        <w:rPr>
          <w:lang w:val="en-AU"/>
        </w:rPr>
      </w:pPr>
    </w:p>
    <w:tbl>
      <w:tblPr>
        <w:tblW w:w="5000" w:type="pct"/>
        <w:tblLayout w:type="fixed"/>
        <w:tblCellMar>
          <w:top w:w="15" w:type="dxa"/>
          <w:left w:w="28" w:type="dxa"/>
          <w:bottom w:w="15" w:type="dxa"/>
          <w:right w:w="28" w:type="dxa"/>
        </w:tblCellMar>
        <w:tblLook w:val="04A0" w:firstRow="1" w:lastRow="0" w:firstColumn="1" w:lastColumn="0" w:noHBand="0" w:noVBand="1"/>
      </w:tblPr>
      <w:tblGrid>
        <w:gridCol w:w="1713"/>
        <w:gridCol w:w="712"/>
        <w:gridCol w:w="712"/>
        <w:gridCol w:w="569"/>
        <w:gridCol w:w="714"/>
        <w:gridCol w:w="714"/>
        <w:gridCol w:w="714"/>
        <w:gridCol w:w="714"/>
        <w:gridCol w:w="1141"/>
        <w:gridCol w:w="571"/>
        <w:gridCol w:w="852"/>
      </w:tblGrid>
      <w:tr w:rsidR="00A61DDE" w:rsidRPr="004A566A" w14:paraId="7A191A37" w14:textId="77777777" w:rsidTr="0069291B">
        <w:trPr>
          <w:trHeight w:val="555"/>
        </w:trPr>
        <w:tc>
          <w:tcPr>
            <w:tcW w:w="939" w:type="pct"/>
            <w:vMerge w:val="restart"/>
            <w:tcBorders>
              <w:top w:val="single" w:sz="8" w:space="0" w:color="auto"/>
              <w:left w:val="nil"/>
              <w:bottom w:val="nil"/>
              <w:right w:val="nil"/>
            </w:tcBorders>
            <w:vAlign w:val="center"/>
          </w:tcPr>
          <w:p w14:paraId="3217B97D" w14:textId="77777777" w:rsidR="004A566A" w:rsidRPr="004A566A" w:rsidRDefault="004A566A" w:rsidP="004A566A">
            <w:pPr>
              <w:jc w:val="center"/>
              <w:rPr>
                <w:rFonts w:cs="Arial"/>
                <w:sz w:val="16"/>
                <w:szCs w:val="16"/>
                <w:lang w:val="en-AU"/>
              </w:rPr>
            </w:pPr>
          </w:p>
        </w:tc>
        <w:tc>
          <w:tcPr>
            <w:tcW w:w="390" w:type="pct"/>
            <w:vMerge w:val="restart"/>
            <w:tcBorders>
              <w:top w:val="single" w:sz="8" w:space="0" w:color="auto"/>
              <w:left w:val="nil"/>
              <w:bottom w:val="nil"/>
              <w:right w:val="nil"/>
            </w:tcBorders>
            <w:vAlign w:val="center"/>
          </w:tcPr>
          <w:p w14:paraId="5333BF89" w14:textId="77777777" w:rsidR="004A566A" w:rsidRPr="004A566A" w:rsidRDefault="004A566A" w:rsidP="004A566A">
            <w:pPr>
              <w:jc w:val="center"/>
              <w:rPr>
                <w:rFonts w:cs="Arial"/>
                <w:b/>
                <w:bCs/>
                <w:color w:val="000000"/>
                <w:sz w:val="16"/>
                <w:szCs w:val="16"/>
                <w:lang w:val="en-AU"/>
              </w:rPr>
            </w:pPr>
            <w:r w:rsidRPr="004A566A">
              <w:rPr>
                <w:rFonts w:cs="Arial"/>
                <w:b/>
                <w:bCs/>
                <w:color w:val="000000"/>
                <w:sz w:val="16"/>
                <w:szCs w:val="16"/>
                <w:lang w:val="en-AU"/>
              </w:rPr>
              <w:t>No. of suburbs</w:t>
            </w:r>
          </w:p>
        </w:tc>
        <w:tc>
          <w:tcPr>
            <w:tcW w:w="702" w:type="pct"/>
            <w:gridSpan w:val="2"/>
            <w:tcBorders>
              <w:top w:val="single" w:sz="8" w:space="0" w:color="auto"/>
              <w:left w:val="nil"/>
              <w:bottom w:val="nil"/>
              <w:right w:val="nil"/>
            </w:tcBorders>
            <w:vAlign w:val="center"/>
          </w:tcPr>
          <w:p w14:paraId="0347BD6B" w14:textId="77777777" w:rsidR="004A566A" w:rsidRPr="004A566A" w:rsidRDefault="004A566A" w:rsidP="004A566A">
            <w:pPr>
              <w:jc w:val="center"/>
              <w:rPr>
                <w:rFonts w:cs="Arial"/>
                <w:b/>
                <w:bCs/>
                <w:color w:val="000000"/>
                <w:sz w:val="16"/>
                <w:szCs w:val="16"/>
                <w:lang w:val="en-AU"/>
              </w:rPr>
            </w:pPr>
            <w:r w:rsidRPr="004A566A">
              <w:rPr>
                <w:rFonts w:cs="Arial"/>
                <w:b/>
                <w:bCs/>
                <w:color w:val="000000"/>
                <w:sz w:val="16"/>
                <w:szCs w:val="16"/>
                <w:lang w:val="en-AU"/>
              </w:rPr>
              <w:t>2011 ISRD score</w:t>
            </w:r>
          </w:p>
        </w:tc>
        <w:tc>
          <w:tcPr>
            <w:tcW w:w="782" w:type="pct"/>
            <w:gridSpan w:val="2"/>
            <w:tcBorders>
              <w:top w:val="single" w:sz="8" w:space="0" w:color="auto"/>
              <w:left w:val="nil"/>
              <w:bottom w:val="nil"/>
              <w:right w:val="nil"/>
            </w:tcBorders>
            <w:vAlign w:val="center"/>
          </w:tcPr>
          <w:p w14:paraId="723A72C2" w14:textId="77777777" w:rsidR="00A61DDE" w:rsidRDefault="004A566A" w:rsidP="004A566A">
            <w:pPr>
              <w:jc w:val="center"/>
              <w:rPr>
                <w:rFonts w:cs="Arial"/>
                <w:b/>
                <w:bCs/>
                <w:color w:val="000000"/>
                <w:sz w:val="16"/>
                <w:szCs w:val="16"/>
                <w:lang w:val="en-AU"/>
              </w:rPr>
            </w:pPr>
            <w:r w:rsidRPr="004A566A">
              <w:rPr>
                <w:rFonts w:cs="Arial"/>
                <w:b/>
                <w:bCs/>
                <w:color w:val="000000"/>
                <w:sz w:val="16"/>
                <w:szCs w:val="16"/>
                <w:lang w:val="en-AU"/>
              </w:rPr>
              <w:t>Residential density, 1986</w:t>
            </w:r>
          </w:p>
          <w:p w14:paraId="475161DB" w14:textId="77777777" w:rsidR="004A566A" w:rsidRPr="004A566A" w:rsidRDefault="00A61DDE" w:rsidP="004A566A">
            <w:pPr>
              <w:jc w:val="center"/>
              <w:rPr>
                <w:rFonts w:cs="Arial"/>
                <w:b/>
                <w:bCs/>
                <w:color w:val="000000"/>
                <w:sz w:val="16"/>
                <w:szCs w:val="16"/>
                <w:lang w:val="en-AU"/>
              </w:rPr>
            </w:pPr>
            <w:r w:rsidRPr="00A61DDE">
              <w:rPr>
                <w:rFonts w:cs="Arial"/>
                <w:bCs/>
                <w:color w:val="000000"/>
                <w:sz w:val="16"/>
                <w:szCs w:val="16"/>
                <w:lang w:val="en-AU"/>
              </w:rPr>
              <w:t>(persons/km</w:t>
            </w:r>
            <w:r w:rsidRPr="00A61DDE">
              <w:rPr>
                <w:rFonts w:cs="Arial"/>
                <w:bCs/>
                <w:color w:val="000000"/>
                <w:sz w:val="16"/>
                <w:szCs w:val="16"/>
                <w:vertAlign w:val="superscript"/>
                <w:lang w:val="en-AU"/>
              </w:rPr>
              <w:t>2</w:t>
            </w:r>
            <w:r w:rsidRPr="00A61DDE">
              <w:rPr>
                <w:rFonts w:cs="Arial"/>
                <w:bCs/>
                <w:color w:val="000000"/>
                <w:sz w:val="16"/>
                <w:szCs w:val="16"/>
                <w:lang w:val="en-AU"/>
              </w:rPr>
              <w:t>)</w:t>
            </w:r>
          </w:p>
        </w:tc>
        <w:tc>
          <w:tcPr>
            <w:tcW w:w="782" w:type="pct"/>
            <w:gridSpan w:val="2"/>
            <w:tcBorders>
              <w:top w:val="single" w:sz="8" w:space="0" w:color="auto"/>
              <w:left w:val="nil"/>
              <w:bottom w:val="nil"/>
              <w:right w:val="nil"/>
            </w:tcBorders>
            <w:vAlign w:val="center"/>
          </w:tcPr>
          <w:p w14:paraId="1823F630" w14:textId="77777777" w:rsidR="00A61DDE" w:rsidRDefault="004A566A" w:rsidP="004A566A">
            <w:pPr>
              <w:jc w:val="center"/>
              <w:rPr>
                <w:rFonts w:cs="Arial"/>
                <w:b/>
                <w:bCs/>
                <w:color w:val="000000"/>
                <w:sz w:val="16"/>
                <w:szCs w:val="16"/>
                <w:lang w:val="en-AU"/>
              </w:rPr>
            </w:pPr>
            <w:r w:rsidRPr="004A566A">
              <w:rPr>
                <w:rFonts w:cs="Arial"/>
                <w:b/>
                <w:bCs/>
                <w:color w:val="000000"/>
                <w:sz w:val="16"/>
                <w:szCs w:val="16"/>
                <w:lang w:val="en-AU"/>
              </w:rPr>
              <w:t>Residential density, 2011</w:t>
            </w:r>
          </w:p>
          <w:p w14:paraId="36A84AEE" w14:textId="77777777" w:rsidR="004A566A" w:rsidRPr="00A61DDE" w:rsidRDefault="00A61DDE" w:rsidP="004A566A">
            <w:pPr>
              <w:jc w:val="center"/>
              <w:rPr>
                <w:rFonts w:cs="Arial"/>
                <w:bCs/>
                <w:color w:val="000000"/>
                <w:sz w:val="16"/>
                <w:szCs w:val="16"/>
                <w:lang w:val="en-AU"/>
              </w:rPr>
            </w:pPr>
            <w:r w:rsidRPr="00A61DDE">
              <w:rPr>
                <w:rFonts w:cs="Arial"/>
                <w:bCs/>
                <w:color w:val="000000"/>
                <w:sz w:val="16"/>
                <w:szCs w:val="16"/>
                <w:lang w:val="en-AU"/>
              </w:rPr>
              <w:t>(persons/km2)</w:t>
            </w:r>
          </w:p>
        </w:tc>
        <w:tc>
          <w:tcPr>
            <w:tcW w:w="625" w:type="pct"/>
            <w:tcBorders>
              <w:top w:val="single" w:sz="8" w:space="0" w:color="auto"/>
              <w:left w:val="nil"/>
              <w:bottom w:val="nil"/>
              <w:right w:val="nil"/>
            </w:tcBorders>
            <w:vAlign w:val="center"/>
          </w:tcPr>
          <w:p w14:paraId="714F6ED7" w14:textId="77777777" w:rsidR="00A61DDE" w:rsidRPr="004A566A" w:rsidRDefault="004A566A" w:rsidP="00A61DDE">
            <w:pPr>
              <w:jc w:val="center"/>
              <w:rPr>
                <w:rFonts w:cs="Arial"/>
                <w:b/>
                <w:bCs/>
                <w:color w:val="000000"/>
                <w:sz w:val="16"/>
                <w:szCs w:val="16"/>
                <w:lang w:val="en-AU"/>
              </w:rPr>
            </w:pPr>
            <w:r w:rsidRPr="004A566A">
              <w:rPr>
                <w:rFonts w:cs="Arial"/>
                <w:b/>
                <w:bCs/>
                <w:color w:val="000000"/>
                <w:sz w:val="16"/>
                <w:szCs w:val="16"/>
                <w:lang w:val="en-AU"/>
              </w:rPr>
              <w:t>Densification</w:t>
            </w:r>
            <w:r w:rsidR="00A61DDE">
              <w:rPr>
                <w:rFonts w:cs="Arial"/>
                <w:b/>
                <w:bCs/>
                <w:color w:val="000000"/>
                <w:sz w:val="16"/>
                <w:szCs w:val="16"/>
                <w:lang w:val="en-AU"/>
              </w:rPr>
              <w:t>, 1986 – 2011</w:t>
            </w:r>
          </w:p>
        </w:tc>
        <w:tc>
          <w:tcPr>
            <w:tcW w:w="313" w:type="pct"/>
            <w:tcBorders>
              <w:top w:val="single" w:sz="8" w:space="0" w:color="auto"/>
              <w:left w:val="nil"/>
              <w:bottom w:val="nil"/>
              <w:right w:val="nil"/>
            </w:tcBorders>
            <w:vAlign w:val="center"/>
          </w:tcPr>
          <w:p w14:paraId="0F5C1AE8" w14:textId="77777777" w:rsidR="004A566A" w:rsidRPr="004A566A" w:rsidRDefault="00A61DDE" w:rsidP="004A566A">
            <w:pPr>
              <w:jc w:val="center"/>
              <w:rPr>
                <w:rFonts w:cs="Arial"/>
                <w:b/>
                <w:bCs/>
                <w:color w:val="000000"/>
                <w:sz w:val="16"/>
                <w:szCs w:val="16"/>
                <w:lang w:val="en-AU"/>
              </w:rPr>
            </w:pPr>
            <w:r>
              <w:rPr>
                <w:rFonts w:cs="Arial"/>
                <w:b/>
                <w:bCs/>
                <w:color w:val="000000"/>
                <w:sz w:val="16"/>
                <w:szCs w:val="16"/>
                <w:lang w:val="en-AU"/>
              </w:rPr>
              <w:t>km</w:t>
            </w:r>
            <w:r w:rsidR="004A566A" w:rsidRPr="004A566A">
              <w:rPr>
                <w:rFonts w:cs="Arial"/>
                <w:b/>
                <w:bCs/>
                <w:color w:val="000000"/>
                <w:sz w:val="16"/>
                <w:szCs w:val="16"/>
                <w:lang w:val="en-AU"/>
              </w:rPr>
              <w:t xml:space="preserve"> to CBD</w:t>
            </w:r>
          </w:p>
        </w:tc>
        <w:tc>
          <w:tcPr>
            <w:tcW w:w="467" w:type="pct"/>
            <w:tcBorders>
              <w:top w:val="single" w:sz="8" w:space="0" w:color="auto"/>
              <w:left w:val="nil"/>
              <w:bottom w:val="nil"/>
              <w:right w:val="nil"/>
            </w:tcBorders>
            <w:vAlign w:val="center"/>
          </w:tcPr>
          <w:p w14:paraId="5B80DFDD" w14:textId="77777777" w:rsidR="004A566A" w:rsidRPr="004A566A" w:rsidRDefault="004A566A" w:rsidP="004A566A">
            <w:pPr>
              <w:jc w:val="center"/>
              <w:rPr>
                <w:rFonts w:cs="Arial"/>
                <w:b/>
                <w:bCs/>
                <w:color w:val="000000"/>
                <w:sz w:val="16"/>
                <w:szCs w:val="16"/>
                <w:lang w:val="en-AU"/>
              </w:rPr>
            </w:pPr>
            <w:r w:rsidRPr="004A566A">
              <w:rPr>
                <w:rFonts w:cs="Arial"/>
                <w:b/>
                <w:bCs/>
                <w:color w:val="000000"/>
                <w:sz w:val="16"/>
                <w:szCs w:val="16"/>
                <w:lang w:val="en-AU"/>
              </w:rPr>
              <w:t>% of flats and units</w:t>
            </w:r>
          </w:p>
        </w:tc>
      </w:tr>
      <w:tr w:rsidR="00A61DDE" w:rsidRPr="004A566A" w14:paraId="73AFC4A6" w14:textId="77777777" w:rsidTr="00A61DDE">
        <w:trPr>
          <w:trHeight w:val="29"/>
        </w:trPr>
        <w:tc>
          <w:tcPr>
            <w:tcW w:w="939" w:type="pct"/>
            <w:vMerge/>
            <w:tcBorders>
              <w:top w:val="single" w:sz="8" w:space="0" w:color="auto"/>
              <w:left w:val="nil"/>
              <w:bottom w:val="single" w:sz="4" w:space="0" w:color="auto"/>
              <w:right w:val="nil"/>
            </w:tcBorders>
            <w:vAlign w:val="center"/>
          </w:tcPr>
          <w:p w14:paraId="300FB6A1" w14:textId="77777777" w:rsidR="004A566A" w:rsidRPr="004A566A" w:rsidRDefault="004A566A" w:rsidP="004A566A">
            <w:pPr>
              <w:jc w:val="center"/>
              <w:rPr>
                <w:rFonts w:cs="Arial"/>
                <w:sz w:val="16"/>
                <w:szCs w:val="16"/>
                <w:lang w:val="en-AU"/>
              </w:rPr>
            </w:pPr>
          </w:p>
        </w:tc>
        <w:tc>
          <w:tcPr>
            <w:tcW w:w="390" w:type="pct"/>
            <w:vMerge/>
            <w:tcBorders>
              <w:top w:val="single" w:sz="8" w:space="0" w:color="auto"/>
              <w:left w:val="nil"/>
              <w:bottom w:val="single" w:sz="4" w:space="0" w:color="auto"/>
              <w:right w:val="nil"/>
            </w:tcBorders>
            <w:vAlign w:val="center"/>
          </w:tcPr>
          <w:p w14:paraId="65DE01B2" w14:textId="77777777" w:rsidR="004A566A" w:rsidRPr="004A566A" w:rsidRDefault="004A566A" w:rsidP="004A566A">
            <w:pPr>
              <w:jc w:val="center"/>
              <w:rPr>
                <w:rFonts w:cs="Arial"/>
                <w:b/>
                <w:bCs/>
                <w:color w:val="000000"/>
                <w:sz w:val="16"/>
                <w:szCs w:val="16"/>
                <w:lang w:val="en-AU"/>
              </w:rPr>
            </w:pPr>
          </w:p>
        </w:tc>
        <w:tc>
          <w:tcPr>
            <w:tcW w:w="390" w:type="pct"/>
            <w:tcBorders>
              <w:top w:val="nil"/>
              <w:left w:val="nil"/>
              <w:bottom w:val="single" w:sz="4" w:space="0" w:color="auto"/>
              <w:right w:val="nil"/>
            </w:tcBorders>
            <w:vAlign w:val="center"/>
          </w:tcPr>
          <w:p w14:paraId="10F4073F"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Mean</w:t>
            </w:r>
          </w:p>
        </w:tc>
        <w:tc>
          <w:tcPr>
            <w:tcW w:w="312" w:type="pct"/>
            <w:tcBorders>
              <w:top w:val="nil"/>
              <w:left w:val="nil"/>
              <w:bottom w:val="single" w:sz="4" w:space="0" w:color="auto"/>
              <w:right w:val="nil"/>
            </w:tcBorders>
            <w:noWrap/>
            <w:vAlign w:val="center"/>
          </w:tcPr>
          <w:p w14:paraId="7CC6BFD8"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SD</w:t>
            </w:r>
          </w:p>
        </w:tc>
        <w:tc>
          <w:tcPr>
            <w:tcW w:w="391" w:type="pct"/>
            <w:tcBorders>
              <w:top w:val="nil"/>
              <w:left w:val="nil"/>
              <w:bottom w:val="single" w:sz="4" w:space="0" w:color="auto"/>
              <w:right w:val="nil"/>
            </w:tcBorders>
            <w:vAlign w:val="center"/>
          </w:tcPr>
          <w:p w14:paraId="6FBAB801"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Mean</w:t>
            </w:r>
          </w:p>
        </w:tc>
        <w:tc>
          <w:tcPr>
            <w:tcW w:w="391" w:type="pct"/>
            <w:tcBorders>
              <w:top w:val="nil"/>
              <w:left w:val="nil"/>
              <w:bottom w:val="single" w:sz="4" w:space="0" w:color="auto"/>
              <w:right w:val="nil"/>
            </w:tcBorders>
            <w:noWrap/>
            <w:vAlign w:val="center"/>
          </w:tcPr>
          <w:p w14:paraId="6931E5FD"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SD</w:t>
            </w:r>
          </w:p>
        </w:tc>
        <w:tc>
          <w:tcPr>
            <w:tcW w:w="391" w:type="pct"/>
            <w:tcBorders>
              <w:top w:val="nil"/>
              <w:left w:val="nil"/>
              <w:bottom w:val="single" w:sz="4" w:space="0" w:color="auto"/>
              <w:right w:val="nil"/>
            </w:tcBorders>
            <w:vAlign w:val="center"/>
          </w:tcPr>
          <w:p w14:paraId="3A50FCD8" w14:textId="77777777" w:rsidR="004A566A" w:rsidRPr="004A566A" w:rsidRDefault="004A566A" w:rsidP="004A566A">
            <w:pPr>
              <w:jc w:val="center"/>
              <w:rPr>
                <w:rFonts w:cs="Arial"/>
                <w:b/>
                <w:bCs/>
                <w:i/>
                <w:iCs/>
                <w:color w:val="000000"/>
                <w:sz w:val="16"/>
                <w:szCs w:val="16"/>
                <w:lang w:val="en-AU"/>
              </w:rPr>
            </w:pPr>
            <w:r w:rsidRPr="004A566A">
              <w:rPr>
                <w:rFonts w:cs="Arial"/>
                <w:b/>
                <w:color w:val="000000"/>
                <w:sz w:val="16"/>
                <w:szCs w:val="16"/>
                <w:lang w:val="en-AU"/>
              </w:rPr>
              <w:t>Mean</w:t>
            </w:r>
          </w:p>
        </w:tc>
        <w:tc>
          <w:tcPr>
            <w:tcW w:w="391" w:type="pct"/>
            <w:tcBorders>
              <w:top w:val="nil"/>
              <w:left w:val="nil"/>
              <w:bottom w:val="single" w:sz="4" w:space="0" w:color="auto"/>
              <w:right w:val="nil"/>
            </w:tcBorders>
            <w:noWrap/>
            <w:vAlign w:val="center"/>
          </w:tcPr>
          <w:p w14:paraId="5000AD74"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SD</w:t>
            </w:r>
          </w:p>
        </w:tc>
        <w:tc>
          <w:tcPr>
            <w:tcW w:w="625" w:type="pct"/>
            <w:tcBorders>
              <w:top w:val="nil"/>
              <w:left w:val="nil"/>
              <w:bottom w:val="single" w:sz="4" w:space="0" w:color="auto"/>
              <w:right w:val="nil"/>
            </w:tcBorders>
            <w:vAlign w:val="center"/>
          </w:tcPr>
          <w:p w14:paraId="450B23D1"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Mean</w:t>
            </w:r>
          </w:p>
        </w:tc>
        <w:tc>
          <w:tcPr>
            <w:tcW w:w="313" w:type="pct"/>
            <w:tcBorders>
              <w:top w:val="nil"/>
              <w:left w:val="nil"/>
              <w:bottom w:val="single" w:sz="4" w:space="0" w:color="auto"/>
              <w:right w:val="nil"/>
            </w:tcBorders>
            <w:vAlign w:val="center"/>
          </w:tcPr>
          <w:p w14:paraId="5769D93F"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Mean</w:t>
            </w:r>
          </w:p>
        </w:tc>
        <w:tc>
          <w:tcPr>
            <w:tcW w:w="467" w:type="pct"/>
            <w:tcBorders>
              <w:top w:val="nil"/>
              <w:left w:val="nil"/>
              <w:bottom w:val="single" w:sz="4" w:space="0" w:color="auto"/>
              <w:right w:val="nil"/>
            </w:tcBorders>
            <w:vAlign w:val="center"/>
          </w:tcPr>
          <w:p w14:paraId="12C03B4D" w14:textId="77777777" w:rsidR="004A566A" w:rsidRPr="004A566A" w:rsidRDefault="004A566A" w:rsidP="004A566A">
            <w:pPr>
              <w:jc w:val="center"/>
              <w:rPr>
                <w:rFonts w:cs="Arial"/>
                <w:b/>
                <w:bCs/>
                <w:i/>
                <w:iCs/>
                <w:color w:val="000000"/>
                <w:sz w:val="16"/>
                <w:szCs w:val="16"/>
                <w:lang w:val="en-AU"/>
              </w:rPr>
            </w:pPr>
            <w:r w:rsidRPr="004A566A">
              <w:rPr>
                <w:rFonts w:cs="Arial"/>
                <w:b/>
                <w:bCs/>
                <w:i/>
                <w:iCs/>
                <w:color w:val="000000"/>
                <w:sz w:val="16"/>
                <w:szCs w:val="16"/>
                <w:lang w:val="en-AU"/>
              </w:rPr>
              <w:t>Mean</w:t>
            </w:r>
          </w:p>
        </w:tc>
      </w:tr>
      <w:tr w:rsidR="00A61DDE" w:rsidRPr="004A566A" w14:paraId="68A1533D" w14:textId="77777777" w:rsidTr="00A61DDE">
        <w:trPr>
          <w:trHeight w:val="39"/>
        </w:trPr>
        <w:tc>
          <w:tcPr>
            <w:tcW w:w="939" w:type="pct"/>
            <w:tcBorders>
              <w:top w:val="single" w:sz="4" w:space="0" w:color="auto"/>
              <w:left w:val="nil"/>
              <w:bottom w:val="nil"/>
              <w:right w:val="nil"/>
            </w:tcBorders>
            <w:noWrap/>
            <w:vAlign w:val="center"/>
          </w:tcPr>
          <w:p w14:paraId="3917FFAD"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CBD</w:t>
            </w:r>
          </w:p>
        </w:tc>
        <w:tc>
          <w:tcPr>
            <w:tcW w:w="390" w:type="pct"/>
            <w:tcBorders>
              <w:top w:val="single" w:sz="4" w:space="0" w:color="auto"/>
              <w:left w:val="nil"/>
              <w:bottom w:val="nil"/>
              <w:right w:val="nil"/>
            </w:tcBorders>
            <w:noWrap/>
            <w:vAlign w:val="center"/>
          </w:tcPr>
          <w:p w14:paraId="68B874E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w:t>
            </w:r>
          </w:p>
        </w:tc>
        <w:tc>
          <w:tcPr>
            <w:tcW w:w="390" w:type="pct"/>
            <w:tcBorders>
              <w:top w:val="single" w:sz="4" w:space="0" w:color="auto"/>
              <w:left w:val="nil"/>
              <w:bottom w:val="nil"/>
              <w:right w:val="nil"/>
            </w:tcBorders>
            <w:noWrap/>
            <w:vAlign w:val="center"/>
          </w:tcPr>
          <w:p w14:paraId="076A8337"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1027.06</w:t>
            </w:r>
          </w:p>
        </w:tc>
        <w:tc>
          <w:tcPr>
            <w:tcW w:w="312" w:type="pct"/>
            <w:tcBorders>
              <w:top w:val="single" w:sz="4" w:space="0" w:color="auto"/>
              <w:left w:val="nil"/>
              <w:bottom w:val="nil"/>
              <w:right w:val="nil"/>
            </w:tcBorders>
            <w:noWrap/>
            <w:vAlign w:val="center"/>
          </w:tcPr>
          <w:p w14:paraId="1C3883AA" w14:textId="77777777" w:rsidR="004A566A" w:rsidRPr="004A566A" w:rsidRDefault="004A566A" w:rsidP="004A566A">
            <w:pPr>
              <w:jc w:val="center"/>
              <w:rPr>
                <w:rFonts w:cs="Arial"/>
                <w:color w:val="000000"/>
                <w:sz w:val="16"/>
                <w:szCs w:val="16"/>
                <w:lang w:val="en-AU"/>
              </w:rPr>
            </w:pPr>
          </w:p>
        </w:tc>
        <w:tc>
          <w:tcPr>
            <w:tcW w:w="391" w:type="pct"/>
            <w:tcBorders>
              <w:top w:val="single" w:sz="4" w:space="0" w:color="auto"/>
              <w:left w:val="nil"/>
              <w:bottom w:val="nil"/>
              <w:right w:val="nil"/>
            </w:tcBorders>
            <w:noWrap/>
            <w:vAlign w:val="center"/>
          </w:tcPr>
          <w:p w14:paraId="3F1FCA7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1183.49</w:t>
            </w:r>
          </w:p>
        </w:tc>
        <w:tc>
          <w:tcPr>
            <w:tcW w:w="391" w:type="pct"/>
            <w:tcBorders>
              <w:top w:val="single" w:sz="4" w:space="0" w:color="auto"/>
              <w:left w:val="nil"/>
              <w:bottom w:val="nil"/>
              <w:right w:val="nil"/>
            </w:tcBorders>
            <w:noWrap/>
            <w:vAlign w:val="center"/>
          </w:tcPr>
          <w:p w14:paraId="41A698BC" w14:textId="77777777" w:rsidR="004A566A" w:rsidRPr="004A566A" w:rsidRDefault="004A566A" w:rsidP="004A566A">
            <w:pPr>
              <w:jc w:val="center"/>
              <w:rPr>
                <w:rFonts w:cs="Arial"/>
                <w:color w:val="000000"/>
                <w:sz w:val="16"/>
                <w:szCs w:val="16"/>
                <w:lang w:val="en-AU"/>
              </w:rPr>
            </w:pPr>
          </w:p>
        </w:tc>
        <w:tc>
          <w:tcPr>
            <w:tcW w:w="391" w:type="pct"/>
            <w:tcBorders>
              <w:top w:val="single" w:sz="4" w:space="0" w:color="auto"/>
              <w:left w:val="nil"/>
              <w:bottom w:val="nil"/>
              <w:right w:val="nil"/>
            </w:tcBorders>
            <w:noWrap/>
            <w:vAlign w:val="center"/>
          </w:tcPr>
          <w:p w14:paraId="2F3E40E9"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4547.88</w:t>
            </w:r>
          </w:p>
        </w:tc>
        <w:tc>
          <w:tcPr>
            <w:tcW w:w="391" w:type="pct"/>
            <w:tcBorders>
              <w:top w:val="single" w:sz="4" w:space="0" w:color="auto"/>
              <w:left w:val="nil"/>
              <w:bottom w:val="nil"/>
              <w:right w:val="nil"/>
            </w:tcBorders>
            <w:noWrap/>
            <w:vAlign w:val="center"/>
          </w:tcPr>
          <w:p w14:paraId="024CF19B" w14:textId="77777777" w:rsidR="004A566A" w:rsidRPr="004A566A" w:rsidRDefault="004A566A" w:rsidP="004A566A">
            <w:pPr>
              <w:jc w:val="center"/>
              <w:rPr>
                <w:rFonts w:cs="Arial"/>
                <w:color w:val="000000"/>
                <w:sz w:val="16"/>
                <w:szCs w:val="16"/>
                <w:lang w:val="en-AU"/>
              </w:rPr>
            </w:pPr>
          </w:p>
        </w:tc>
        <w:tc>
          <w:tcPr>
            <w:tcW w:w="625" w:type="pct"/>
            <w:tcBorders>
              <w:top w:val="single" w:sz="4" w:space="0" w:color="auto"/>
              <w:left w:val="nil"/>
              <w:bottom w:val="nil"/>
              <w:right w:val="nil"/>
            </w:tcBorders>
            <w:noWrap/>
            <w:vAlign w:val="center"/>
          </w:tcPr>
          <w:p w14:paraId="5CDD7B4F"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5.53%</w:t>
            </w:r>
          </w:p>
        </w:tc>
        <w:tc>
          <w:tcPr>
            <w:tcW w:w="313" w:type="pct"/>
            <w:tcBorders>
              <w:top w:val="single" w:sz="4" w:space="0" w:color="auto"/>
              <w:left w:val="nil"/>
              <w:bottom w:val="nil"/>
              <w:right w:val="nil"/>
            </w:tcBorders>
            <w:vAlign w:val="center"/>
          </w:tcPr>
          <w:p w14:paraId="37D061CA"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0</w:t>
            </w:r>
          </w:p>
        </w:tc>
        <w:tc>
          <w:tcPr>
            <w:tcW w:w="467" w:type="pct"/>
            <w:tcBorders>
              <w:top w:val="single" w:sz="4" w:space="0" w:color="auto"/>
              <w:left w:val="nil"/>
              <w:bottom w:val="nil"/>
              <w:right w:val="nil"/>
            </w:tcBorders>
            <w:noWrap/>
            <w:vAlign w:val="center"/>
          </w:tcPr>
          <w:p w14:paraId="504455ED"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84.55</w:t>
            </w:r>
          </w:p>
        </w:tc>
      </w:tr>
      <w:tr w:rsidR="00A61DDE" w:rsidRPr="004A566A" w14:paraId="0A731765" w14:textId="77777777" w:rsidTr="00A61DDE">
        <w:trPr>
          <w:trHeight w:val="285"/>
        </w:trPr>
        <w:tc>
          <w:tcPr>
            <w:tcW w:w="939" w:type="pct"/>
            <w:tcBorders>
              <w:top w:val="nil"/>
              <w:left w:val="nil"/>
              <w:bottom w:val="nil"/>
              <w:right w:val="nil"/>
            </w:tcBorders>
            <w:noWrap/>
            <w:vAlign w:val="center"/>
          </w:tcPr>
          <w:p w14:paraId="10034BD1"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Inner city</w:t>
            </w:r>
          </w:p>
        </w:tc>
        <w:tc>
          <w:tcPr>
            <w:tcW w:w="390" w:type="pct"/>
            <w:tcBorders>
              <w:top w:val="nil"/>
              <w:left w:val="nil"/>
              <w:bottom w:val="nil"/>
              <w:right w:val="nil"/>
            </w:tcBorders>
            <w:noWrap/>
            <w:vAlign w:val="center"/>
          </w:tcPr>
          <w:p w14:paraId="69803FAE"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31</w:t>
            </w:r>
          </w:p>
        </w:tc>
        <w:tc>
          <w:tcPr>
            <w:tcW w:w="390" w:type="pct"/>
            <w:tcBorders>
              <w:top w:val="nil"/>
              <w:left w:val="nil"/>
              <w:bottom w:val="nil"/>
              <w:right w:val="nil"/>
            </w:tcBorders>
            <w:noWrap/>
            <w:vAlign w:val="center"/>
          </w:tcPr>
          <w:p w14:paraId="7817DD3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1048.18</w:t>
            </w:r>
          </w:p>
        </w:tc>
        <w:tc>
          <w:tcPr>
            <w:tcW w:w="312" w:type="pct"/>
            <w:tcBorders>
              <w:top w:val="nil"/>
              <w:left w:val="nil"/>
              <w:bottom w:val="nil"/>
              <w:right w:val="nil"/>
            </w:tcBorders>
            <w:noWrap/>
            <w:vAlign w:val="center"/>
          </w:tcPr>
          <w:p w14:paraId="468F3DA2"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54.42</w:t>
            </w:r>
          </w:p>
        </w:tc>
        <w:tc>
          <w:tcPr>
            <w:tcW w:w="391" w:type="pct"/>
            <w:tcBorders>
              <w:top w:val="nil"/>
              <w:left w:val="nil"/>
              <w:bottom w:val="nil"/>
              <w:right w:val="nil"/>
            </w:tcBorders>
            <w:noWrap/>
            <w:vAlign w:val="center"/>
          </w:tcPr>
          <w:p w14:paraId="003C4CFE"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3744.5</w:t>
            </w:r>
          </w:p>
        </w:tc>
        <w:tc>
          <w:tcPr>
            <w:tcW w:w="391" w:type="pct"/>
            <w:tcBorders>
              <w:top w:val="nil"/>
              <w:left w:val="nil"/>
              <w:bottom w:val="nil"/>
              <w:right w:val="nil"/>
            </w:tcBorders>
            <w:noWrap/>
            <w:vAlign w:val="center"/>
          </w:tcPr>
          <w:p w14:paraId="24625749"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1698.29</w:t>
            </w:r>
          </w:p>
        </w:tc>
        <w:tc>
          <w:tcPr>
            <w:tcW w:w="391" w:type="pct"/>
            <w:tcBorders>
              <w:top w:val="nil"/>
              <w:left w:val="nil"/>
              <w:bottom w:val="nil"/>
              <w:right w:val="nil"/>
            </w:tcBorders>
            <w:noWrap/>
            <w:vAlign w:val="center"/>
          </w:tcPr>
          <w:p w14:paraId="6BBB4909"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4773.98</w:t>
            </w:r>
          </w:p>
        </w:tc>
        <w:tc>
          <w:tcPr>
            <w:tcW w:w="391" w:type="pct"/>
            <w:tcBorders>
              <w:top w:val="nil"/>
              <w:left w:val="nil"/>
              <w:bottom w:val="nil"/>
              <w:right w:val="nil"/>
            </w:tcBorders>
            <w:noWrap/>
            <w:vAlign w:val="center"/>
          </w:tcPr>
          <w:p w14:paraId="0AEDCB5E"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1837.08</w:t>
            </w:r>
          </w:p>
        </w:tc>
        <w:tc>
          <w:tcPr>
            <w:tcW w:w="625" w:type="pct"/>
            <w:tcBorders>
              <w:top w:val="nil"/>
              <w:left w:val="nil"/>
              <w:bottom w:val="nil"/>
              <w:right w:val="nil"/>
            </w:tcBorders>
            <w:noWrap/>
            <w:vAlign w:val="center"/>
          </w:tcPr>
          <w:p w14:paraId="5F9F9A9B"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1.61%</w:t>
            </w:r>
          </w:p>
        </w:tc>
        <w:tc>
          <w:tcPr>
            <w:tcW w:w="313" w:type="pct"/>
            <w:tcBorders>
              <w:top w:val="nil"/>
              <w:left w:val="nil"/>
              <w:bottom w:val="nil"/>
              <w:right w:val="nil"/>
            </w:tcBorders>
            <w:vAlign w:val="center"/>
          </w:tcPr>
          <w:p w14:paraId="08FB14C3"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4.35</w:t>
            </w:r>
          </w:p>
        </w:tc>
        <w:tc>
          <w:tcPr>
            <w:tcW w:w="467" w:type="pct"/>
            <w:tcBorders>
              <w:top w:val="nil"/>
              <w:left w:val="nil"/>
              <w:bottom w:val="nil"/>
              <w:right w:val="nil"/>
            </w:tcBorders>
            <w:noWrap/>
            <w:vAlign w:val="center"/>
          </w:tcPr>
          <w:p w14:paraId="23583843"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48.47</w:t>
            </w:r>
          </w:p>
        </w:tc>
      </w:tr>
      <w:tr w:rsidR="00A61DDE" w:rsidRPr="004A566A" w14:paraId="268B95A4" w14:textId="77777777" w:rsidTr="00A61DDE">
        <w:trPr>
          <w:trHeight w:val="285"/>
        </w:trPr>
        <w:tc>
          <w:tcPr>
            <w:tcW w:w="939" w:type="pct"/>
            <w:tcBorders>
              <w:top w:val="nil"/>
              <w:left w:val="nil"/>
              <w:bottom w:val="nil"/>
              <w:right w:val="nil"/>
            </w:tcBorders>
            <w:noWrap/>
            <w:vAlign w:val="center"/>
          </w:tcPr>
          <w:p w14:paraId="7C5521E1"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Inner suburbs</w:t>
            </w:r>
          </w:p>
        </w:tc>
        <w:tc>
          <w:tcPr>
            <w:tcW w:w="390" w:type="pct"/>
            <w:tcBorders>
              <w:top w:val="nil"/>
              <w:left w:val="nil"/>
              <w:bottom w:val="nil"/>
              <w:right w:val="nil"/>
            </w:tcBorders>
            <w:noWrap/>
            <w:vAlign w:val="center"/>
          </w:tcPr>
          <w:p w14:paraId="6901AAA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57</w:t>
            </w:r>
          </w:p>
        </w:tc>
        <w:tc>
          <w:tcPr>
            <w:tcW w:w="390" w:type="pct"/>
            <w:tcBorders>
              <w:top w:val="nil"/>
              <w:left w:val="nil"/>
              <w:bottom w:val="nil"/>
              <w:right w:val="nil"/>
            </w:tcBorders>
            <w:noWrap/>
            <w:vAlign w:val="center"/>
          </w:tcPr>
          <w:p w14:paraId="7FFD8516"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1058.49</w:t>
            </w:r>
          </w:p>
        </w:tc>
        <w:tc>
          <w:tcPr>
            <w:tcW w:w="312" w:type="pct"/>
            <w:tcBorders>
              <w:top w:val="nil"/>
              <w:left w:val="nil"/>
              <w:bottom w:val="nil"/>
              <w:right w:val="nil"/>
            </w:tcBorders>
            <w:noWrap/>
            <w:vAlign w:val="center"/>
          </w:tcPr>
          <w:p w14:paraId="3BE79FD1"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35.74</w:t>
            </w:r>
          </w:p>
        </w:tc>
        <w:tc>
          <w:tcPr>
            <w:tcW w:w="391" w:type="pct"/>
            <w:tcBorders>
              <w:top w:val="nil"/>
              <w:left w:val="nil"/>
              <w:bottom w:val="nil"/>
              <w:right w:val="nil"/>
            </w:tcBorders>
            <w:noWrap/>
            <w:vAlign w:val="center"/>
          </w:tcPr>
          <w:p w14:paraId="3FEAF476"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2521.73</w:t>
            </w:r>
          </w:p>
        </w:tc>
        <w:tc>
          <w:tcPr>
            <w:tcW w:w="391" w:type="pct"/>
            <w:tcBorders>
              <w:top w:val="nil"/>
              <w:left w:val="nil"/>
              <w:bottom w:val="nil"/>
              <w:right w:val="nil"/>
            </w:tcBorders>
            <w:noWrap/>
            <w:vAlign w:val="center"/>
          </w:tcPr>
          <w:p w14:paraId="33B11D0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811.05</w:t>
            </w:r>
          </w:p>
        </w:tc>
        <w:tc>
          <w:tcPr>
            <w:tcW w:w="391" w:type="pct"/>
            <w:tcBorders>
              <w:top w:val="nil"/>
              <w:left w:val="nil"/>
              <w:bottom w:val="nil"/>
              <w:right w:val="nil"/>
            </w:tcBorders>
            <w:noWrap/>
            <w:vAlign w:val="center"/>
          </w:tcPr>
          <w:p w14:paraId="2CB42875"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2907.39</w:t>
            </w:r>
          </w:p>
        </w:tc>
        <w:tc>
          <w:tcPr>
            <w:tcW w:w="391" w:type="pct"/>
            <w:tcBorders>
              <w:top w:val="nil"/>
              <w:left w:val="nil"/>
              <w:bottom w:val="nil"/>
              <w:right w:val="nil"/>
            </w:tcBorders>
            <w:noWrap/>
            <w:vAlign w:val="center"/>
          </w:tcPr>
          <w:p w14:paraId="1680D4D7"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812.73</w:t>
            </w:r>
          </w:p>
        </w:tc>
        <w:tc>
          <w:tcPr>
            <w:tcW w:w="625" w:type="pct"/>
            <w:tcBorders>
              <w:top w:val="nil"/>
              <w:left w:val="nil"/>
              <w:bottom w:val="nil"/>
              <w:right w:val="nil"/>
            </w:tcBorders>
            <w:noWrap/>
            <w:vAlign w:val="center"/>
          </w:tcPr>
          <w:p w14:paraId="677208C1"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0.71%</w:t>
            </w:r>
          </w:p>
        </w:tc>
        <w:tc>
          <w:tcPr>
            <w:tcW w:w="313" w:type="pct"/>
            <w:tcBorders>
              <w:top w:val="nil"/>
              <w:left w:val="nil"/>
              <w:bottom w:val="nil"/>
              <w:right w:val="nil"/>
            </w:tcBorders>
            <w:vAlign w:val="center"/>
          </w:tcPr>
          <w:p w14:paraId="1CC6CD5A"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9.9</w:t>
            </w:r>
          </w:p>
        </w:tc>
        <w:tc>
          <w:tcPr>
            <w:tcW w:w="467" w:type="pct"/>
            <w:tcBorders>
              <w:top w:val="nil"/>
              <w:left w:val="nil"/>
              <w:bottom w:val="nil"/>
              <w:right w:val="nil"/>
            </w:tcBorders>
            <w:noWrap/>
            <w:vAlign w:val="center"/>
          </w:tcPr>
          <w:p w14:paraId="11C0A521"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24.63</w:t>
            </w:r>
          </w:p>
        </w:tc>
      </w:tr>
      <w:tr w:rsidR="00A61DDE" w:rsidRPr="004A566A" w14:paraId="47289480" w14:textId="77777777" w:rsidTr="00A61DDE">
        <w:trPr>
          <w:trHeight w:val="285"/>
        </w:trPr>
        <w:tc>
          <w:tcPr>
            <w:tcW w:w="939" w:type="pct"/>
            <w:tcBorders>
              <w:top w:val="nil"/>
              <w:left w:val="nil"/>
              <w:bottom w:val="nil"/>
              <w:right w:val="nil"/>
            </w:tcBorders>
            <w:noWrap/>
            <w:vAlign w:val="center"/>
          </w:tcPr>
          <w:p w14:paraId="53F88653"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Middle ring</w:t>
            </w:r>
          </w:p>
        </w:tc>
        <w:tc>
          <w:tcPr>
            <w:tcW w:w="390" w:type="pct"/>
            <w:tcBorders>
              <w:top w:val="nil"/>
              <w:left w:val="nil"/>
              <w:bottom w:val="nil"/>
              <w:right w:val="nil"/>
            </w:tcBorders>
            <w:noWrap/>
            <w:vAlign w:val="center"/>
          </w:tcPr>
          <w:p w14:paraId="0045FE8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80</w:t>
            </w:r>
          </w:p>
        </w:tc>
        <w:tc>
          <w:tcPr>
            <w:tcW w:w="390" w:type="pct"/>
            <w:tcBorders>
              <w:top w:val="nil"/>
              <w:left w:val="nil"/>
              <w:bottom w:val="nil"/>
              <w:right w:val="nil"/>
            </w:tcBorders>
            <w:noWrap/>
            <w:vAlign w:val="center"/>
          </w:tcPr>
          <w:p w14:paraId="1841B1B2"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1053.92</w:t>
            </w:r>
          </w:p>
        </w:tc>
        <w:tc>
          <w:tcPr>
            <w:tcW w:w="312" w:type="pct"/>
            <w:tcBorders>
              <w:top w:val="nil"/>
              <w:left w:val="nil"/>
              <w:bottom w:val="nil"/>
              <w:right w:val="nil"/>
            </w:tcBorders>
            <w:noWrap/>
            <w:vAlign w:val="center"/>
          </w:tcPr>
          <w:p w14:paraId="2B4AC5CB"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37.22</w:t>
            </w:r>
          </w:p>
        </w:tc>
        <w:tc>
          <w:tcPr>
            <w:tcW w:w="391" w:type="pct"/>
            <w:tcBorders>
              <w:top w:val="nil"/>
              <w:left w:val="nil"/>
              <w:bottom w:val="nil"/>
              <w:right w:val="nil"/>
            </w:tcBorders>
            <w:noWrap/>
            <w:vAlign w:val="center"/>
          </w:tcPr>
          <w:p w14:paraId="6E92D391"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1991.87</w:t>
            </w:r>
          </w:p>
        </w:tc>
        <w:tc>
          <w:tcPr>
            <w:tcW w:w="391" w:type="pct"/>
            <w:tcBorders>
              <w:top w:val="nil"/>
              <w:left w:val="nil"/>
              <w:bottom w:val="nil"/>
              <w:right w:val="nil"/>
            </w:tcBorders>
            <w:noWrap/>
            <w:vAlign w:val="center"/>
          </w:tcPr>
          <w:p w14:paraId="11CB576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430.76</w:t>
            </w:r>
          </w:p>
        </w:tc>
        <w:tc>
          <w:tcPr>
            <w:tcW w:w="391" w:type="pct"/>
            <w:tcBorders>
              <w:top w:val="nil"/>
              <w:left w:val="nil"/>
              <w:bottom w:val="nil"/>
              <w:right w:val="nil"/>
            </w:tcBorders>
            <w:noWrap/>
            <w:vAlign w:val="center"/>
          </w:tcPr>
          <w:p w14:paraId="40E45897"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2161.12</w:t>
            </w:r>
          </w:p>
        </w:tc>
        <w:tc>
          <w:tcPr>
            <w:tcW w:w="391" w:type="pct"/>
            <w:tcBorders>
              <w:top w:val="nil"/>
              <w:left w:val="nil"/>
              <w:bottom w:val="nil"/>
              <w:right w:val="nil"/>
            </w:tcBorders>
            <w:noWrap/>
            <w:vAlign w:val="center"/>
          </w:tcPr>
          <w:p w14:paraId="13277AB7"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414.6</w:t>
            </w:r>
          </w:p>
        </w:tc>
        <w:tc>
          <w:tcPr>
            <w:tcW w:w="625" w:type="pct"/>
            <w:tcBorders>
              <w:top w:val="nil"/>
              <w:left w:val="nil"/>
              <w:bottom w:val="nil"/>
              <w:right w:val="nil"/>
            </w:tcBorders>
            <w:noWrap/>
            <w:vAlign w:val="center"/>
          </w:tcPr>
          <w:p w14:paraId="6C9B7A7F"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0.36%</w:t>
            </w:r>
          </w:p>
        </w:tc>
        <w:tc>
          <w:tcPr>
            <w:tcW w:w="313" w:type="pct"/>
            <w:tcBorders>
              <w:top w:val="nil"/>
              <w:left w:val="nil"/>
              <w:bottom w:val="nil"/>
              <w:right w:val="nil"/>
            </w:tcBorders>
            <w:vAlign w:val="center"/>
          </w:tcPr>
          <w:p w14:paraId="23B746EF"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17.24</w:t>
            </w:r>
          </w:p>
        </w:tc>
        <w:tc>
          <w:tcPr>
            <w:tcW w:w="467" w:type="pct"/>
            <w:tcBorders>
              <w:top w:val="nil"/>
              <w:left w:val="nil"/>
              <w:bottom w:val="nil"/>
              <w:right w:val="nil"/>
            </w:tcBorders>
            <w:noWrap/>
            <w:vAlign w:val="center"/>
          </w:tcPr>
          <w:p w14:paraId="49290EC6"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7.46</w:t>
            </w:r>
          </w:p>
        </w:tc>
      </w:tr>
      <w:tr w:rsidR="00A61DDE" w:rsidRPr="004A566A" w14:paraId="4B101802" w14:textId="77777777" w:rsidTr="00A61DDE">
        <w:trPr>
          <w:trHeight w:val="285"/>
        </w:trPr>
        <w:tc>
          <w:tcPr>
            <w:tcW w:w="939" w:type="pct"/>
            <w:tcBorders>
              <w:top w:val="nil"/>
              <w:left w:val="nil"/>
              <w:bottom w:val="nil"/>
              <w:right w:val="nil"/>
            </w:tcBorders>
            <w:noWrap/>
            <w:vAlign w:val="center"/>
          </w:tcPr>
          <w:p w14:paraId="7AD5D2C8"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Outer suburbs</w:t>
            </w:r>
          </w:p>
        </w:tc>
        <w:tc>
          <w:tcPr>
            <w:tcW w:w="390" w:type="pct"/>
            <w:tcBorders>
              <w:top w:val="nil"/>
              <w:left w:val="nil"/>
              <w:bottom w:val="nil"/>
              <w:right w:val="nil"/>
            </w:tcBorders>
            <w:noWrap/>
            <w:vAlign w:val="center"/>
          </w:tcPr>
          <w:p w14:paraId="78042C27"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65</w:t>
            </w:r>
          </w:p>
        </w:tc>
        <w:tc>
          <w:tcPr>
            <w:tcW w:w="390" w:type="pct"/>
            <w:tcBorders>
              <w:top w:val="nil"/>
              <w:left w:val="nil"/>
              <w:bottom w:val="nil"/>
              <w:right w:val="nil"/>
            </w:tcBorders>
            <w:noWrap/>
            <w:vAlign w:val="center"/>
          </w:tcPr>
          <w:p w14:paraId="531ECAC7"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1028.71</w:t>
            </w:r>
          </w:p>
        </w:tc>
        <w:tc>
          <w:tcPr>
            <w:tcW w:w="312" w:type="pct"/>
            <w:tcBorders>
              <w:top w:val="nil"/>
              <w:left w:val="nil"/>
              <w:bottom w:val="nil"/>
              <w:right w:val="nil"/>
            </w:tcBorders>
            <w:noWrap/>
            <w:vAlign w:val="center"/>
          </w:tcPr>
          <w:p w14:paraId="5F5622D0"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50.35</w:t>
            </w:r>
          </w:p>
        </w:tc>
        <w:tc>
          <w:tcPr>
            <w:tcW w:w="391" w:type="pct"/>
            <w:tcBorders>
              <w:top w:val="nil"/>
              <w:left w:val="nil"/>
              <w:bottom w:val="nil"/>
              <w:right w:val="nil"/>
            </w:tcBorders>
            <w:noWrap/>
            <w:vAlign w:val="center"/>
          </w:tcPr>
          <w:p w14:paraId="06825C55"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665.18</w:t>
            </w:r>
          </w:p>
        </w:tc>
        <w:tc>
          <w:tcPr>
            <w:tcW w:w="391" w:type="pct"/>
            <w:tcBorders>
              <w:top w:val="nil"/>
              <w:left w:val="nil"/>
              <w:bottom w:val="nil"/>
              <w:right w:val="nil"/>
            </w:tcBorders>
            <w:noWrap/>
            <w:vAlign w:val="center"/>
          </w:tcPr>
          <w:p w14:paraId="521CE96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437.54</w:t>
            </w:r>
          </w:p>
        </w:tc>
        <w:tc>
          <w:tcPr>
            <w:tcW w:w="391" w:type="pct"/>
            <w:tcBorders>
              <w:top w:val="nil"/>
              <w:left w:val="nil"/>
              <w:bottom w:val="nil"/>
              <w:right w:val="nil"/>
            </w:tcBorders>
            <w:noWrap/>
            <w:vAlign w:val="center"/>
          </w:tcPr>
          <w:p w14:paraId="3A328A3A"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873.89</w:t>
            </w:r>
          </w:p>
        </w:tc>
        <w:tc>
          <w:tcPr>
            <w:tcW w:w="391" w:type="pct"/>
            <w:tcBorders>
              <w:top w:val="nil"/>
              <w:left w:val="nil"/>
              <w:bottom w:val="nil"/>
              <w:right w:val="nil"/>
            </w:tcBorders>
            <w:noWrap/>
            <w:vAlign w:val="center"/>
          </w:tcPr>
          <w:p w14:paraId="3FEDB84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303.34</w:t>
            </w:r>
          </w:p>
        </w:tc>
        <w:tc>
          <w:tcPr>
            <w:tcW w:w="625" w:type="pct"/>
            <w:tcBorders>
              <w:top w:val="nil"/>
              <w:left w:val="nil"/>
              <w:bottom w:val="nil"/>
              <w:right w:val="nil"/>
            </w:tcBorders>
            <w:noWrap/>
            <w:vAlign w:val="center"/>
          </w:tcPr>
          <w:p w14:paraId="1DC424A9"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2.52%</w:t>
            </w:r>
          </w:p>
        </w:tc>
        <w:tc>
          <w:tcPr>
            <w:tcW w:w="313" w:type="pct"/>
            <w:tcBorders>
              <w:top w:val="nil"/>
              <w:left w:val="nil"/>
              <w:bottom w:val="nil"/>
              <w:right w:val="nil"/>
            </w:tcBorders>
            <w:vAlign w:val="center"/>
          </w:tcPr>
          <w:p w14:paraId="08BF3433"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30.61</w:t>
            </w:r>
          </w:p>
        </w:tc>
        <w:tc>
          <w:tcPr>
            <w:tcW w:w="467" w:type="pct"/>
            <w:tcBorders>
              <w:top w:val="nil"/>
              <w:left w:val="nil"/>
              <w:bottom w:val="nil"/>
              <w:right w:val="nil"/>
            </w:tcBorders>
            <w:noWrap/>
            <w:vAlign w:val="center"/>
          </w:tcPr>
          <w:p w14:paraId="2A4242F9"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4.37</w:t>
            </w:r>
          </w:p>
        </w:tc>
      </w:tr>
      <w:tr w:rsidR="00A61DDE" w:rsidRPr="004A566A" w14:paraId="413DA04D" w14:textId="77777777" w:rsidTr="00A61DDE">
        <w:trPr>
          <w:trHeight w:val="285"/>
        </w:trPr>
        <w:tc>
          <w:tcPr>
            <w:tcW w:w="939" w:type="pct"/>
            <w:tcBorders>
              <w:top w:val="nil"/>
              <w:left w:val="nil"/>
              <w:bottom w:val="nil"/>
              <w:right w:val="nil"/>
            </w:tcBorders>
            <w:noWrap/>
            <w:vAlign w:val="center"/>
          </w:tcPr>
          <w:p w14:paraId="4375DE7E"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Disadvantaged areas</w:t>
            </w:r>
          </w:p>
        </w:tc>
        <w:tc>
          <w:tcPr>
            <w:tcW w:w="390" w:type="pct"/>
            <w:tcBorders>
              <w:top w:val="nil"/>
              <w:left w:val="nil"/>
              <w:bottom w:val="nil"/>
              <w:right w:val="nil"/>
            </w:tcBorders>
            <w:noWrap/>
            <w:vAlign w:val="center"/>
          </w:tcPr>
          <w:p w14:paraId="1BE5527B"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53</w:t>
            </w:r>
          </w:p>
        </w:tc>
        <w:tc>
          <w:tcPr>
            <w:tcW w:w="390" w:type="pct"/>
            <w:tcBorders>
              <w:top w:val="nil"/>
              <w:left w:val="nil"/>
              <w:bottom w:val="nil"/>
              <w:right w:val="nil"/>
            </w:tcBorders>
            <w:noWrap/>
            <w:vAlign w:val="center"/>
          </w:tcPr>
          <w:p w14:paraId="4799EFD5"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885.33</w:t>
            </w:r>
          </w:p>
        </w:tc>
        <w:tc>
          <w:tcPr>
            <w:tcW w:w="312" w:type="pct"/>
            <w:tcBorders>
              <w:top w:val="nil"/>
              <w:left w:val="nil"/>
              <w:bottom w:val="nil"/>
              <w:right w:val="nil"/>
            </w:tcBorders>
            <w:noWrap/>
            <w:vAlign w:val="center"/>
          </w:tcPr>
          <w:p w14:paraId="77928C3A"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63.79</w:t>
            </w:r>
          </w:p>
        </w:tc>
        <w:tc>
          <w:tcPr>
            <w:tcW w:w="391" w:type="pct"/>
            <w:tcBorders>
              <w:top w:val="nil"/>
              <w:left w:val="nil"/>
              <w:bottom w:val="nil"/>
              <w:right w:val="nil"/>
            </w:tcBorders>
            <w:noWrap/>
            <w:vAlign w:val="center"/>
          </w:tcPr>
          <w:p w14:paraId="4C1A82B5"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1619.2</w:t>
            </w:r>
          </w:p>
        </w:tc>
        <w:tc>
          <w:tcPr>
            <w:tcW w:w="391" w:type="pct"/>
            <w:tcBorders>
              <w:top w:val="nil"/>
              <w:left w:val="nil"/>
              <w:bottom w:val="nil"/>
              <w:right w:val="nil"/>
            </w:tcBorders>
            <w:noWrap/>
            <w:vAlign w:val="center"/>
          </w:tcPr>
          <w:p w14:paraId="30153A7D"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856.08</w:t>
            </w:r>
          </w:p>
        </w:tc>
        <w:tc>
          <w:tcPr>
            <w:tcW w:w="391" w:type="pct"/>
            <w:tcBorders>
              <w:top w:val="nil"/>
              <w:left w:val="nil"/>
              <w:bottom w:val="nil"/>
              <w:right w:val="nil"/>
            </w:tcBorders>
            <w:noWrap/>
            <w:vAlign w:val="center"/>
          </w:tcPr>
          <w:p w14:paraId="397193FE"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1839.99</w:t>
            </w:r>
          </w:p>
        </w:tc>
        <w:tc>
          <w:tcPr>
            <w:tcW w:w="391" w:type="pct"/>
            <w:tcBorders>
              <w:top w:val="nil"/>
              <w:left w:val="nil"/>
              <w:bottom w:val="nil"/>
              <w:right w:val="nil"/>
            </w:tcBorders>
            <w:noWrap/>
            <w:vAlign w:val="center"/>
          </w:tcPr>
          <w:p w14:paraId="55475528"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835.28</w:t>
            </w:r>
          </w:p>
        </w:tc>
        <w:tc>
          <w:tcPr>
            <w:tcW w:w="625" w:type="pct"/>
            <w:tcBorders>
              <w:top w:val="nil"/>
              <w:left w:val="nil"/>
              <w:bottom w:val="nil"/>
              <w:right w:val="nil"/>
            </w:tcBorders>
            <w:noWrap/>
            <w:vAlign w:val="center"/>
          </w:tcPr>
          <w:p w14:paraId="2C9AD03A"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1.13%</w:t>
            </w:r>
          </w:p>
        </w:tc>
        <w:tc>
          <w:tcPr>
            <w:tcW w:w="313" w:type="pct"/>
            <w:tcBorders>
              <w:top w:val="nil"/>
              <w:left w:val="nil"/>
              <w:bottom w:val="nil"/>
              <w:right w:val="nil"/>
            </w:tcBorders>
            <w:vAlign w:val="center"/>
          </w:tcPr>
          <w:p w14:paraId="4A32FBBD"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18.24</w:t>
            </w:r>
          </w:p>
        </w:tc>
        <w:tc>
          <w:tcPr>
            <w:tcW w:w="467" w:type="pct"/>
            <w:tcBorders>
              <w:top w:val="nil"/>
              <w:left w:val="nil"/>
              <w:bottom w:val="nil"/>
              <w:right w:val="nil"/>
            </w:tcBorders>
            <w:noWrap/>
            <w:vAlign w:val="center"/>
          </w:tcPr>
          <w:p w14:paraId="20F0641E"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13.04</w:t>
            </w:r>
          </w:p>
        </w:tc>
      </w:tr>
      <w:tr w:rsidR="00A61DDE" w:rsidRPr="004A566A" w14:paraId="418C4052" w14:textId="77777777" w:rsidTr="0069291B">
        <w:trPr>
          <w:trHeight w:val="285"/>
        </w:trPr>
        <w:tc>
          <w:tcPr>
            <w:tcW w:w="939" w:type="pct"/>
            <w:tcBorders>
              <w:top w:val="nil"/>
              <w:left w:val="nil"/>
              <w:right w:val="nil"/>
            </w:tcBorders>
            <w:noWrap/>
            <w:vAlign w:val="center"/>
          </w:tcPr>
          <w:p w14:paraId="743B75CC"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Emerging urban growth boundary</w:t>
            </w:r>
          </w:p>
        </w:tc>
        <w:tc>
          <w:tcPr>
            <w:tcW w:w="390" w:type="pct"/>
            <w:tcBorders>
              <w:top w:val="nil"/>
              <w:left w:val="nil"/>
              <w:right w:val="nil"/>
            </w:tcBorders>
            <w:noWrap/>
            <w:vAlign w:val="center"/>
          </w:tcPr>
          <w:p w14:paraId="28230C6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40</w:t>
            </w:r>
          </w:p>
        </w:tc>
        <w:tc>
          <w:tcPr>
            <w:tcW w:w="390" w:type="pct"/>
            <w:tcBorders>
              <w:top w:val="nil"/>
              <w:left w:val="nil"/>
              <w:right w:val="nil"/>
            </w:tcBorders>
            <w:noWrap/>
            <w:vAlign w:val="center"/>
          </w:tcPr>
          <w:p w14:paraId="63A041B5"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1038.65</w:t>
            </w:r>
          </w:p>
        </w:tc>
        <w:tc>
          <w:tcPr>
            <w:tcW w:w="312" w:type="pct"/>
            <w:tcBorders>
              <w:top w:val="nil"/>
              <w:left w:val="nil"/>
              <w:right w:val="nil"/>
            </w:tcBorders>
            <w:noWrap/>
            <w:vAlign w:val="center"/>
          </w:tcPr>
          <w:p w14:paraId="1605989E"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45.62</w:t>
            </w:r>
          </w:p>
        </w:tc>
        <w:tc>
          <w:tcPr>
            <w:tcW w:w="391" w:type="pct"/>
            <w:tcBorders>
              <w:top w:val="nil"/>
              <w:left w:val="nil"/>
              <w:right w:val="nil"/>
            </w:tcBorders>
            <w:noWrap/>
            <w:vAlign w:val="center"/>
          </w:tcPr>
          <w:p w14:paraId="6FBCB365"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327.04</w:t>
            </w:r>
          </w:p>
        </w:tc>
        <w:tc>
          <w:tcPr>
            <w:tcW w:w="391" w:type="pct"/>
            <w:tcBorders>
              <w:top w:val="nil"/>
              <w:left w:val="nil"/>
              <w:right w:val="nil"/>
            </w:tcBorders>
            <w:noWrap/>
            <w:vAlign w:val="center"/>
          </w:tcPr>
          <w:p w14:paraId="353B2D4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355.91</w:t>
            </w:r>
          </w:p>
        </w:tc>
        <w:tc>
          <w:tcPr>
            <w:tcW w:w="391" w:type="pct"/>
            <w:tcBorders>
              <w:top w:val="nil"/>
              <w:left w:val="nil"/>
              <w:right w:val="nil"/>
            </w:tcBorders>
            <w:noWrap/>
            <w:vAlign w:val="center"/>
          </w:tcPr>
          <w:p w14:paraId="3A44620B"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1767.49</w:t>
            </w:r>
          </w:p>
        </w:tc>
        <w:tc>
          <w:tcPr>
            <w:tcW w:w="391" w:type="pct"/>
            <w:tcBorders>
              <w:top w:val="nil"/>
              <w:left w:val="nil"/>
              <w:right w:val="nil"/>
            </w:tcBorders>
            <w:noWrap/>
            <w:vAlign w:val="center"/>
          </w:tcPr>
          <w:p w14:paraId="6C721FC1"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556.9</w:t>
            </w:r>
          </w:p>
        </w:tc>
        <w:tc>
          <w:tcPr>
            <w:tcW w:w="625" w:type="pct"/>
            <w:tcBorders>
              <w:top w:val="nil"/>
              <w:left w:val="nil"/>
              <w:right w:val="nil"/>
            </w:tcBorders>
            <w:noWrap/>
            <w:vAlign w:val="center"/>
          </w:tcPr>
          <w:p w14:paraId="71390E32"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11.82%</w:t>
            </w:r>
          </w:p>
        </w:tc>
        <w:tc>
          <w:tcPr>
            <w:tcW w:w="313" w:type="pct"/>
            <w:tcBorders>
              <w:top w:val="nil"/>
              <w:left w:val="nil"/>
              <w:right w:val="nil"/>
            </w:tcBorders>
            <w:vAlign w:val="center"/>
          </w:tcPr>
          <w:p w14:paraId="34E28156"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28.3</w:t>
            </w:r>
          </w:p>
        </w:tc>
        <w:tc>
          <w:tcPr>
            <w:tcW w:w="467" w:type="pct"/>
            <w:tcBorders>
              <w:top w:val="nil"/>
              <w:left w:val="nil"/>
              <w:right w:val="nil"/>
            </w:tcBorders>
            <w:noWrap/>
            <w:vAlign w:val="center"/>
          </w:tcPr>
          <w:p w14:paraId="70888CBE"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3.15</w:t>
            </w:r>
          </w:p>
        </w:tc>
      </w:tr>
      <w:tr w:rsidR="00A61DDE" w:rsidRPr="004A566A" w14:paraId="39B6CC30" w14:textId="77777777" w:rsidTr="0069291B">
        <w:trPr>
          <w:trHeight w:val="49"/>
        </w:trPr>
        <w:tc>
          <w:tcPr>
            <w:tcW w:w="939" w:type="pct"/>
            <w:tcBorders>
              <w:top w:val="nil"/>
              <w:left w:val="nil"/>
              <w:bottom w:val="single" w:sz="8" w:space="0" w:color="auto"/>
              <w:right w:val="nil"/>
            </w:tcBorders>
            <w:noWrap/>
            <w:vAlign w:val="center"/>
          </w:tcPr>
          <w:p w14:paraId="3C8C67D3" w14:textId="77777777" w:rsidR="004A566A" w:rsidRPr="004A566A" w:rsidRDefault="004A566A" w:rsidP="004A566A">
            <w:pPr>
              <w:rPr>
                <w:rFonts w:cs="Arial"/>
                <w:color w:val="000000"/>
                <w:sz w:val="16"/>
                <w:szCs w:val="16"/>
                <w:lang w:val="en-AU"/>
              </w:rPr>
            </w:pPr>
            <w:r w:rsidRPr="004A566A">
              <w:rPr>
                <w:rFonts w:cs="Arial"/>
                <w:color w:val="000000"/>
                <w:sz w:val="16"/>
                <w:szCs w:val="16"/>
                <w:lang w:val="en-AU"/>
              </w:rPr>
              <w:t>Peri-urban areas</w:t>
            </w:r>
          </w:p>
        </w:tc>
        <w:tc>
          <w:tcPr>
            <w:tcW w:w="390" w:type="pct"/>
            <w:tcBorders>
              <w:top w:val="nil"/>
              <w:left w:val="nil"/>
              <w:bottom w:val="single" w:sz="8" w:space="0" w:color="auto"/>
              <w:right w:val="nil"/>
            </w:tcBorders>
            <w:noWrap/>
            <w:vAlign w:val="center"/>
          </w:tcPr>
          <w:p w14:paraId="7177E1EA"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190</w:t>
            </w:r>
          </w:p>
        </w:tc>
        <w:tc>
          <w:tcPr>
            <w:tcW w:w="390" w:type="pct"/>
            <w:tcBorders>
              <w:top w:val="nil"/>
              <w:left w:val="nil"/>
              <w:bottom w:val="single" w:sz="8" w:space="0" w:color="auto"/>
              <w:right w:val="nil"/>
            </w:tcBorders>
            <w:noWrap/>
            <w:vAlign w:val="center"/>
          </w:tcPr>
          <w:p w14:paraId="1F22CD2A"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1050.74</w:t>
            </w:r>
          </w:p>
        </w:tc>
        <w:tc>
          <w:tcPr>
            <w:tcW w:w="312" w:type="pct"/>
            <w:tcBorders>
              <w:top w:val="nil"/>
              <w:left w:val="nil"/>
              <w:bottom w:val="single" w:sz="8" w:space="0" w:color="auto"/>
              <w:right w:val="nil"/>
            </w:tcBorders>
            <w:noWrap/>
            <w:vAlign w:val="center"/>
          </w:tcPr>
          <w:p w14:paraId="1525812D"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46.15</w:t>
            </w:r>
          </w:p>
        </w:tc>
        <w:tc>
          <w:tcPr>
            <w:tcW w:w="391" w:type="pct"/>
            <w:tcBorders>
              <w:top w:val="nil"/>
              <w:left w:val="nil"/>
              <w:bottom w:val="single" w:sz="8" w:space="0" w:color="auto"/>
              <w:right w:val="nil"/>
            </w:tcBorders>
            <w:noWrap/>
            <w:vAlign w:val="center"/>
          </w:tcPr>
          <w:p w14:paraId="5AD968AC"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58.06</w:t>
            </w:r>
          </w:p>
        </w:tc>
        <w:tc>
          <w:tcPr>
            <w:tcW w:w="391" w:type="pct"/>
            <w:tcBorders>
              <w:top w:val="nil"/>
              <w:left w:val="nil"/>
              <w:bottom w:val="single" w:sz="8" w:space="0" w:color="auto"/>
              <w:right w:val="nil"/>
            </w:tcBorders>
            <w:noWrap/>
            <w:vAlign w:val="center"/>
          </w:tcPr>
          <w:p w14:paraId="619179B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76.55</w:t>
            </w:r>
          </w:p>
        </w:tc>
        <w:tc>
          <w:tcPr>
            <w:tcW w:w="391" w:type="pct"/>
            <w:tcBorders>
              <w:top w:val="nil"/>
              <w:left w:val="nil"/>
              <w:bottom w:val="single" w:sz="8" w:space="0" w:color="auto"/>
              <w:right w:val="nil"/>
            </w:tcBorders>
            <w:noWrap/>
            <w:vAlign w:val="center"/>
          </w:tcPr>
          <w:p w14:paraId="24F6EBD3"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94.55</w:t>
            </w:r>
          </w:p>
        </w:tc>
        <w:tc>
          <w:tcPr>
            <w:tcW w:w="391" w:type="pct"/>
            <w:tcBorders>
              <w:top w:val="nil"/>
              <w:left w:val="nil"/>
              <w:bottom w:val="single" w:sz="8" w:space="0" w:color="auto"/>
              <w:right w:val="nil"/>
            </w:tcBorders>
            <w:noWrap/>
            <w:vAlign w:val="center"/>
          </w:tcPr>
          <w:p w14:paraId="2FC1B3AD"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113.27</w:t>
            </w:r>
          </w:p>
        </w:tc>
        <w:tc>
          <w:tcPr>
            <w:tcW w:w="625" w:type="pct"/>
            <w:tcBorders>
              <w:top w:val="nil"/>
              <w:left w:val="nil"/>
              <w:bottom w:val="single" w:sz="8" w:space="0" w:color="auto"/>
              <w:right w:val="nil"/>
            </w:tcBorders>
            <w:noWrap/>
            <w:vAlign w:val="center"/>
          </w:tcPr>
          <w:p w14:paraId="3516CC44"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1.60%</w:t>
            </w:r>
          </w:p>
        </w:tc>
        <w:tc>
          <w:tcPr>
            <w:tcW w:w="313" w:type="pct"/>
            <w:tcBorders>
              <w:top w:val="nil"/>
              <w:left w:val="nil"/>
              <w:bottom w:val="single" w:sz="8" w:space="0" w:color="auto"/>
              <w:right w:val="nil"/>
            </w:tcBorders>
            <w:vAlign w:val="center"/>
          </w:tcPr>
          <w:p w14:paraId="46A70D11" w14:textId="77777777" w:rsidR="004A566A" w:rsidRPr="004A566A" w:rsidRDefault="004A566A" w:rsidP="004A566A">
            <w:pPr>
              <w:jc w:val="center"/>
              <w:rPr>
                <w:rFonts w:cs="Arial"/>
                <w:color w:val="000000"/>
                <w:sz w:val="16"/>
                <w:szCs w:val="16"/>
                <w:lang w:val="en-AU"/>
              </w:rPr>
            </w:pPr>
            <w:r w:rsidRPr="004A566A">
              <w:rPr>
                <w:rFonts w:cs="Arial"/>
                <w:color w:val="000000"/>
                <w:sz w:val="16"/>
                <w:szCs w:val="16"/>
                <w:lang w:val="en-AU"/>
              </w:rPr>
              <w:t>47.6</w:t>
            </w:r>
          </w:p>
        </w:tc>
        <w:tc>
          <w:tcPr>
            <w:tcW w:w="467" w:type="pct"/>
            <w:tcBorders>
              <w:top w:val="nil"/>
              <w:left w:val="nil"/>
              <w:bottom w:val="single" w:sz="8" w:space="0" w:color="auto"/>
              <w:right w:val="nil"/>
            </w:tcBorders>
            <w:noWrap/>
            <w:vAlign w:val="center"/>
          </w:tcPr>
          <w:p w14:paraId="11AD2024" w14:textId="77777777" w:rsidR="004A566A" w:rsidRPr="004A566A" w:rsidRDefault="004A566A" w:rsidP="004A566A">
            <w:pPr>
              <w:jc w:val="center"/>
              <w:rPr>
                <w:rFonts w:cs="Arial"/>
                <w:color w:val="000000"/>
                <w:sz w:val="16"/>
                <w:szCs w:val="16"/>
                <w:lang w:val="en-AU"/>
              </w:rPr>
            </w:pPr>
            <w:r>
              <w:rPr>
                <w:rFonts w:cs="Arial"/>
                <w:color w:val="000000"/>
                <w:sz w:val="16"/>
                <w:szCs w:val="16"/>
                <w:lang w:val="en-AU"/>
              </w:rPr>
              <w:t>2.34</w:t>
            </w:r>
          </w:p>
        </w:tc>
      </w:tr>
    </w:tbl>
    <w:p w14:paraId="34C40F60" w14:textId="77777777" w:rsidR="008720DA" w:rsidRPr="00DF15FE" w:rsidRDefault="008720DA" w:rsidP="00DF15FE">
      <w:pPr>
        <w:rPr>
          <w:lang w:val="en-AU"/>
        </w:rPr>
      </w:pPr>
    </w:p>
    <w:p w14:paraId="608EA9B8" w14:textId="77777777" w:rsidR="00DF15FE" w:rsidRDefault="00A61DDE" w:rsidP="00A61DDE">
      <w:pPr>
        <w:pStyle w:val="subsubheadings"/>
      </w:pPr>
      <w:r w:rsidRPr="00A61DDE">
        <w:t>Measuring the infrastructure investment level</w:t>
      </w:r>
    </w:p>
    <w:p w14:paraId="5C11DB7F" w14:textId="77777777" w:rsidR="00A61DDE" w:rsidRDefault="00A61DDE" w:rsidP="00DF15FE">
      <w:pPr>
        <w:rPr>
          <w:lang w:val="en-AU"/>
        </w:rPr>
      </w:pPr>
      <w:r w:rsidRPr="00A61DDE">
        <w:rPr>
          <w:lang w:val="en-AU"/>
        </w:rPr>
        <w:t>Analysis included the total volumes of investment spending and a population-growth adjusted average annual per capita spending in each cluster. To account for the uneven changes in population over the years, we estimated the cumulative residence population figures accumulated between 1999 and 2015 for the analysis. We designed a ratio index, Relative Expenditure Index (REI), to compare expenditure in each of the clusters to the metropolitan average (excluding the CBD and peri-urban zone) as a benchmark (</w:t>
      </w:r>
      <w:r>
        <w:rPr>
          <w:lang w:val="en-AU"/>
        </w:rPr>
        <w:t xml:space="preserve">see </w:t>
      </w:r>
      <w:r w:rsidRPr="00A61DDE">
        <w:rPr>
          <w:lang w:val="en-AU"/>
        </w:rPr>
        <w:t>Table 2).</w:t>
      </w:r>
    </w:p>
    <w:p w14:paraId="341E874E" w14:textId="77777777" w:rsidR="00A61DDE" w:rsidRDefault="00A61DDE" w:rsidP="00DF15FE">
      <w:pPr>
        <w:rPr>
          <w:lang w:val="en-AU"/>
        </w:rPr>
      </w:pPr>
    </w:p>
    <w:p w14:paraId="123991F5" w14:textId="77777777" w:rsidR="00A61DDE" w:rsidRDefault="00A61DDE" w:rsidP="00DF15FE">
      <w:pPr>
        <w:rPr>
          <w:lang w:val="en-AU"/>
        </w:rPr>
        <w:sectPr w:rsidR="00A61DDE" w:rsidSect="00505071">
          <w:headerReference w:type="default" r:id="rId10"/>
          <w:pgSz w:w="11906" w:h="16838"/>
          <w:pgMar w:top="1134" w:right="1418" w:bottom="1134" w:left="1418" w:header="709" w:footer="709" w:gutter="0"/>
          <w:cols w:space="708"/>
          <w:docGrid w:linePitch="360"/>
        </w:sectPr>
      </w:pPr>
    </w:p>
    <w:p w14:paraId="45A11695" w14:textId="59341776" w:rsidR="00A61DDE" w:rsidRPr="00E6546A" w:rsidRDefault="00A61DDE" w:rsidP="00DF15FE">
      <w:pPr>
        <w:rPr>
          <w:b/>
          <w:u w:val="single"/>
          <w:lang w:val="en-AU"/>
        </w:rPr>
      </w:pPr>
      <w:r w:rsidRPr="00E6546A">
        <w:rPr>
          <w:b/>
          <w:u w:val="single"/>
          <w:lang w:val="en-AU"/>
        </w:rPr>
        <w:lastRenderedPageBreak/>
        <w:t>Table 2. Relati</w:t>
      </w:r>
      <w:r w:rsidR="00E6546A">
        <w:rPr>
          <w:b/>
          <w:u w:val="single"/>
          <w:lang w:val="en-AU"/>
        </w:rPr>
        <w:t>ve Expenditure Index (REI)* by Metropolitan Subregion and by C</w:t>
      </w:r>
      <w:r w:rsidRPr="00E6546A">
        <w:rPr>
          <w:b/>
          <w:u w:val="single"/>
          <w:lang w:val="en-AU"/>
        </w:rPr>
        <w:t>ategory</w:t>
      </w:r>
    </w:p>
    <w:p w14:paraId="4FEC1CE8" w14:textId="77777777" w:rsidR="00A61DDE" w:rsidRDefault="00A61DDE" w:rsidP="00DF15FE">
      <w:pPr>
        <w:rPr>
          <w:lang w:val="en-AU"/>
        </w:rPr>
      </w:pPr>
    </w:p>
    <w:tbl>
      <w:tblPr>
        <w:tblW w:w="0" w:type="auto"/>
        <w:tblCellMar>
          <w:left w:w="28" w:type="dxa"/>
          <w:right w:w="28" w:type="dxa"/>
        </w:tblCellMar>
        <w:tblLook w:val="04A0" w:firstRow="1" w:lastRow="0" w:firstColumn="1" w:lastColumn="0" w:noHBand="0" w:noVBand="1"/>
      </w:tblPr>
      <w:tblGrid>
        <w:gridCol w:w="2280"/>
        <w:gridCol w:w="947"/>
        <w:gridCol w:w="1275"/>
        <w:gridCol w:w="1023"/>
        <w:gridCol w:w="668"/>
        <w:gridCol w:w="1200"/>
        <w:gridCol w:w="894"/>
        <w:gridCol w:w="809"/>
        <w:gridCol w:w="1025"/>
        <w:gridCol w:w="1012"/>
        <w:gridCol w:w="1378"/>
        <w:gridCol w:w="779"/>
        <w:gridCol w:w="779"/>
        <w:gridCol w:w="557"/>
      </w:tblGrid>
      <w:tr w:rsidR="00A61DDE" w:rsidRPr="00A61DDE" w14:paraId="72C2B53A" w14:textId="77777777" w:rsidTr="0069291B">
        <w:trPr>
          <w:trHeight w:val="941"/>
        </w:trPr>
        <w:tc>
          <w:tcPr>
            <w:tcW w:w="0" w:type="auto"/>
            <w:tcBorders>
              <w:top w:val="single" w:sz="8" w:space="0" w:color="auto"/>
              <w:left w:val="nil"/>
              <w:bottom w:val="single" w:sz="4" w:space="0" w:color="auto"/>
            </w:tcBorders>
            <w:shd w:val="clear" w:color="auto" w:fill="auto"/>
            <w:noWrap/>
            <w:vAlign w:val="center"/>
          </w:tcPr>
          <w:p w14:paraId="301DD4C3" w14:textId="77777777" w:rsidR="00A61DDE" w:rsidRPr="00A61DDE" w:rsidRDefault="00A61DDE" w:rsidP="0069291B">
            <w:pPr>
              <w:jc w:val="center"/>
              <w:rPr>
                <w:b/>
                <w:lang w:eastAsia="en-AU"/>
              </w:rPr>
            </w:pPr>
          </w:p>
        </w:tc>
        <w:tc>
          <w:tcPr>
            <w:tcW w:w="0" w:type="auto"/>
            <w:tcBorders>
              <w:top w:val="single" w:sz="8" w:space="0" w:color="auto"/>
              <w:bottom w:val="single" w:sz="4" w:space="0" w:color="auto"/>
            </w:tcBorders>
            <w:shd w:val="clear" w:color="auto" w:fill="auto"/>
            <w:vAlign w:val="center"/>
          </w:tcPr>
          <w:p w14:paraId="03780693" w14:textId="77777777" w:rsidR="00A61DDE" w:rsidRPr="00A61DDE" w:rsidRDefault="00A61DDE" w:rsidP="0069291B">
            <w:pPr>
              <w:jc w:val="center"/>
              <w:rPr>
                <w:b/>
                <w:lang w:eastAsia="en-AU"/>
              </w:rPr>
            </w:pPr>
            <w:r w:rsidRPr="00A61DDE">
              <w:rPr>
                <w:b/>
                <w:lang w:eastAsia="en-AU"/>
              </w:rPr>
              <w:t>Public Housing</w:t>
            </w:r>
          </w:p>
        </w:tc>
        <w:tc>
          <w:tcPr>
            <w:tcW w:w="0" w:type="auto"/>
            <w:tcBorders>
              <w:top w:val="single" w:sz="8" w:space="0" w:color="auto"/>
              <w:bottom w:val="single" w:sz="4" w:space="0" w:color="auto"/>
            </w:tcBorders>
            <w:shd w:val="clear" w:color="auto" w:fill="auto"/>
            <w:vAlign w:val="center"/>
          </w:tcPr>
          <w:p w14:paraId="2EA0DEB0" w14:textId="77777777" w:rsidR="00A61DDE" w:rsidRPr="00A61DDE" w:rsidRDefault="00A61DDE" w:rsidP="0069291B">
            <w:pPr>
              <w:jc w:val="center"/>
              <w:rPr>
                <w:b/>
                <w:lang w:eastAsia="en-AU"/>
              </w:rPr>
            </w:pPr>
            <w:r w:rsidRPr="00A61DDE">
              <w:rPr>
                <w:b/>
                <w:lang w:eastAsia="en-AU"/>
              </w:rPr>
              <w:t>Community services</w:t>
            </w:r>
          </w:p>
        </w:tc>
        <w:tc>
          <w:tcPr>
            <w:tcW w:w="0" w:type="auto"/>
            <w:tcBorders>
              <w:top w:val="single" w:sz="8" w:space="0" w:color="auto"/>
              <w:bottom w:val="single" w:sz="4" w:space="0" w:color="auto"/>
            </w:tcBorders>
            <w:vAlign w:val="center"/>
          </w:tcPr>
          <w:p w14:paraId="6C8BE2FF" w14:textId="77777777" w:rsidR="00A61DDE" w:rsidRPr="00A61DDE" w:rsidRDefault="00A61DDE" w:rsidP="0069291B">
            <w:pPr>
              <w:jc w:val="center"/>
              <w:rPr>
                <w:b/>
                <w:lang w:eastAsia="en-AU"/>
              </w:rPr>
            </w:pPr>
            <w:r w:rsidRPr="00A61DDE">
              <w:rPr>
                <w:b/>
                <w:lang w:eastAsia="en-AU"/>
              </w:rPr>
              <w:t>Education</w:t>
            </w:r>
          </w:p>
        </w:tc>
        <w:tc>
          <w:tcPr>
            <w:tcW w:w="0" w:type="auto"/>
            <w:tcBorders>
              <w:top w:val="single" w:sz="8" w:space="0" w:color="auto"/>
              <w:bottom w:val="single" w:sz="4" w:space="0" w:color="auto"/>
            </w:tcBorders>
            <w:shd w:val="clear" w:color="auto" w:fill="auto"/>
            <w:vAlign w:val="center"/>
          </w:tcPr>
          <w:p w14:paraId="4D904167" w14:textId="77777777" w:rsidR="00A61DDE" w:rsidRPr="00A61DDE" w:rsidRDefault="00A61DDE" w:rsidP="0069291B">
            <w:pPr>
              <w:jc w:val="center"/>
              <w:rPr>
                <w:b/>
                <w:lang w:eastAsia="en-AU"/>
              </w:rPr>
            </w:pPr>
            <w:r w:rsidRPr="00A61DDE">
              <w:rPr>
                <w:b/>
                <w:lang w:eastAsia="en-AU"/>
              </w:rPr>
              <w:t>Health</w:t>
            </w:r>
          </w:p>
        </w:tc>
        <w:tc>
          <w:tcPr>
            <w:tcW w:w="1200" w:type="dxa"/>
            <w:tcBorders>
              <w:top w:val="single" w:sz="8" w:space="0" w:color="auto"/>
              <w:bottom w:val="single" w:sz="4" w:space="0" w:color="auto"/>
            </w:tcBorders>
            <w:shd w:val="clear" w:color="auto" w:fill="auto"/>
            <w:vAlign w:val="center"/>
          </w:tcPr>
          <w:p w14:paraId="3229F47F" w14:textId="77777777" w:rsidR="00A61DDE" w:rsidRPr="00A61DDE" w:rsidRDefault="00A61DDE" w:rsidP="0069291B">
            <w:pPr>
              <w:jc w:val="center"/>
              <w:rPr>
                <w:b/>
                <w:lang w:eastAsia="en-AU"/>
              </w:rPr>
            </w:pPr>
            <w:r w:rsidRPr="00A61DDE">
              <w:rPr>
                <w:b/>
                <w:lang w:eastAsia="en-AU"/>
              </w:rPr>
              <w:t>Policing, Fire and Emergency</w:t>
            </w:r>
          </w:p>
        </w:tc>
        <w:tc>
          <w:tcPr>
            <w:tcW w:w="894" w:type="dxa"/>
            <w:tcBorders>
              <w:top w:val="single" w:sz="8" w:space="0" w:color="auto"/>
              <w:bottom w:val="single" w:sz="4" w:space="0" w:color="auto"/>
            </w:tcBorders>
            <w:shd w:val="clear" w:color="auto" w:fill="auto"/>
            <w:vAlign w:val="center"/>
          </w:tcPr>
          <w:p w14:paraId="0E956B14" w14:textId="77777777" w:rsidR="00A61DDE" w:rsidRPr="00A61DDE" w:rsidRDefault="00A61DDE" w:rsidP="0069291B">
            <w:pPr>
              <w:jc w:val="center"/>
              <w:rPr>
                <w:b/>
                <w:lang w:eastAsia="en-AU"/>
              </w:rPr>
            </w:pPr>
            <w:r w:rsidRPr="00A61DDE">
              <w:rPr>
                <w:b/>
                <w:lang w:eastAsia="en-AU"/>
              </w:rPr>
              <w:t>Justice</w:t>
            </w:r>
          </w:p>
        </w:tc>
        <w:tc>
          <w:tcPr>
            <w:tcW w:w="0" w:type="auto"/>
            <w:tcBorders>
              <w:top w:val="single" w:sz="8" w:space="0" w:color="auto"/>
              <w:bottom w:val="single" w:sz="4" w:space="0" w:color="auto"/>
            </w:tcBorders>
            <w:shd w:val="clear" w:color="auto" w:fill="auto"/>
            <w:vAlign w:val="center"/>
          </w:tcPr>
          <w:p w14:paraId="1539A7EC" w14:textId="77777777" w:rsidR="00A61DDE" w:rsidRPr="00A61DDE" w:rsidRDefault="00A61DDE" w:rsidP="0069291B">
            <w:pPr>
              <w:jc w:val="center"/>
              <w:rPr>
                <w:b/>
                <w:lang w:eastAsia="en-AU"/>
              </w:rPr>
            </w:pPr>
            <w:r w:rsidRPr="00A61DDE">
              <w:rPr>
                <w:b/>
                <w:lang w:eastAsia="en-AU"/>
              </w:rPr>
              <w:t>Roads and traffic</w:t>
            </w:r>
          </w:p>
        </w:tc>
        <w:tc>
          <w:tcPr>
            <w:tcW w:w="0" w:type="auto"/>
            <w:tcBorders>
              <w:top w:val="single" w:sz="8" w:space="0" w:color="auto"/>
              <w:bottom w:val="single" w:sz="4" w:space="0" w:color="auto"/>
            </w:tcBorders>
            <w:shd w:val="clear" w:color="auto" w:fill="auto"/>
            <w:vAlign w:val="center"/>
          </w:tcPr>
          <w:p w14:paraId="5FEBD16A" w14:textId="77777777" w:rsidR="00A61DDE" w:rsidRPr="00A61DDE" w:rsidRDefault="00A61DDE" w:rsidP="0069291B">
            <w:pPr>
              <w:jc w:val="center"/>
              <w:rPr>
                <w:b/>
                <w:lang w:eastAsia="en-AU"/>
              </w:rPr>
            </w:pPr>
            <w:r w:rsidRPr="00A61DDE">
              <w:rPr>
                <w:b/>
                <w:lang w:eastAsia="en-AU"/>
              </w:rPr>
              <w:t>Public transport</w:t>
            </w:r>
          </w:p>
        </w:tc>
        <w:tc>
          <w:tcPr>
            <w:tcW w:w="0" w:type="auto"/>
            <w:tcBorders>
              <w:top w:val="single" w:sz="8" w:space="0" w:color="auto"/>
              <w:bottom w:val="single" w:sz="4" w:space="0" w:color="auto"/>
            </w:tcBorders>
            <w:shd w:val="clear" w:color="auto" w:fill="auto"/>
            <w:vAlign w:val="center"/>
          </w:tcPr>
          <w:p w14:paraId="74CDB0B0" w14:textId="77777777" w:rsidR="00A61DDE" w:rsidRPr="00A61DDE" w:rsidRDefault="00A61DDE" w:rsidP="0069291B">
            <w:pPr>
              <w:jc w:val="center"/>
              <w:rPr>
                <w:b/>
                <w:lang w:eastAsia="en-AU"/>
              </w:rPr>
            </w:pPr>
            <w:r w:rsidRPr="00A61DDE">
              <w:rPr>
                <w:b/>
                <w:lang w:eastAsia="en-AU"/>
              </w:rPr>
              <w:t>Amenities</w:t>
            </w:r>
          </w:p>
        </w:tc>
        <w:tc>
          <w:tcPr>
            <w:tcW w:w="0" w:type="auto"/>
            <w:tcBorders>
              <w:top w:val="single" w:sz="8" w:space="0" w:color="auto"/>
              <w:bottom w:val="single" w:sz="4" w:space="0" w:color="auto"/>
            </w:tcBorders>
            <w:shd w:val="clear" w:color="auto" w:fill="auto"/>
            <w:vAlign w:val="center"/>
          </w:tcPr>
          <w:p w14:paraId="12004055" w14:textId="77777777" w:rsidR="00A61DDE" w:rsidRPr="00A61DDE" w:rsidRDefault="00A61DDE" w:rsidP="0069291B">
            <w:pPr>
              <w:jc w:val="center"/>
              <w:rPr>
                <w:b/>
                <w:lang w:eastAsia="en-AU"/>
              </w:rPr>
            </w:pPr>
            <w:r w:rsidRPr="00A61DDE">
              <w:rPr>
                <w:b/>
                <w:lang w:eastAsia="en-AU"/>
              </w:rPr>
              <w:t>Urban development</w:t>
            </w:r>
          </w:p>
        </w:tc>
        <w:tc>
          <w:tcPr>
            <w:tcW w:w="0" w:type="auto"/>
            <w:tcBorders>
              <w:top w:val="single" w:sz="8" w:space="0" w:color="auto"/>
              <w:bottom w:val="single" w:sz="4" w:space="0" w:color="auto"/>
            </w:tcBorders>
            <w:shd w:val="clear" w:color="auto" w:fill="auto"/>
            <w:vAlign w:val="center"/>
          </w:tcPr>
          <w:p w14:paraId="2EB0C20A" w14:textId="77777777" w:rsidR="00A61DDE" w:rsidRPr="00A61DDE" w:rsidRDefault="00A61DDE" w:rsidP="0069291B">
            <w:pPr>
              <w:jc w:val="center"/>
              <w:rPr>
                <w:b/>
                <w:lang w:eastAsia="en-AU"/>
              </w:rPr>
            </w:pPr>
            <w:r w:rsidRPr="00A61DDE">
              <w:rPr>
                <w:b/>
                <w:lang w:eastAsia="en-AU"/>
              </w:rPr>
              <w:t>Utilities</w:t>
            </w:r>
          </w:p>
        </w:tc>
        <w:tc>
          <w:tcPr>
            <w:tcW w:w="0" w:type="auto"/>
            <w:tcBorders>
              <w:top w:val="single" w:sz="8" w:space="0" w:color="auto"/>
              <w:bottom w:val="single" w:sz="4" w:space="0" w:color="auto"/>
            </w:tcBorders>
            <w:shd w:val="clear" w:color="auto" w:fill="auto"/>
            <w:vAlign w:val="center"/>
          </w:tcPr>
          <w:p w14:paraId="4E10C636" w14:textId="77777777" w:rsidR="00A61DDE" w:rsidRPr="00A61DDE" w:rsidRDefault="00A61DDE" w:rsidP="0069291B">
            <w:pPr>
              <w:jc w:val="center"/>
              <w:rPr>
                <w:b/>
                <w:lang w:eastAsia="en-AU"/>
              </w:rPr>
            </w:pPr>
            <w:r w:rsidRPr="00A61DDE">
              <w:rPr>
                <w:b/>
                <w:lang w:eastAsia="en-AU"/>
              </w:rPr>
              <w:t>Other**</w:t>
            </w:r>
          </w:p>
        </w:tc>
        <w:tc>
          <w:tcPr>
            <w:tcW w:w="0" w:type="auto"/>
            <w:tcBorders>
              <w:top w:val="single" w:sz="8" w:space="0" w:color="auto"/>
              <w:bottom w:val="single" w:sz="4" w:space="0" w:color="auto"/>
              <w:right w:val="nil"/>
            </w:tcBorders>
            <w:shd w:val="clear" w:color="auto" w:fill="auto"/>
            <w:vAlign w:val="center"/>
          </w:tcPr>
          <w:p w14:paraId="7490D184" w14:textId="77777777" w:rsidR="00A61DDE" w:rsidRPr="00A61DDE" w:rsidRDefault="00A61DDE" w:rsidP="0069291B">
            <w:pPr>
              <w:jc w:val="center"/>
              <w:rPr>
                <w:b/>
                <w:bCs/>
                <w:lang w:eastAsia="en-AU"/>
              </w:rPr>
            </w:pPr>
            <w:r w:rsidRPr="00A61DDE">
              <w:rPr>
                <w:b/>
                <w:bCs/>
                <w:lang w:eastAsia="en-AU"/>
              </w:rPr>
              <w:t>Total</w:t>
            </w:r>
          </w:p>
        </w:tc>
      </w:tr>
      <w:tr w:rsidR="00A61DDE" w:rsidRPr="00A61DDE" w14:paraId="5E91D90F" w14:textId="77777777" w:rsidTr="0069291B">
        <w:trPr>
          <w:trHeight w:val="261"/>
        </w:trPr>
        <w:tc>
          <w:tcPr>
            <w:tcW w:w="0" w:type="auto"/>
            <w:tcBorders>
              <w:top w:val="single" w:sz="4" w:space="0" w:color="auto"/>
              <w:left w:val="nil"/>
              <w:bottom w:val="single" w:sz="4" w:space="0" w:color="auto"/>
              <w:right w:val="nil"/>
            </w:tcBorders>
            <w:shd w:val="clear" w:color="auto" w:fill="auto"/>
            <w:noWrap/>
            <w:vAlign w:val="center"/>
          </w:tcPr>
          <w:p w14:paraId="32AF7113" w14:textId="77777777" w:rsidR="00A61DDE" w:rsidRPr="00A61DDE" w:rsidRDefault="00A61DDE" w:rsidP="0069291B">
            <w:pPr>
              <w:rPr>
                <w:lang w:eastAsia="en-AU"/>
              </w:rPr>
            </w:pPr>
            <w:r w:rsidRPr="00A61DDE">
              <w:rPr>
                <w:lang w:eastAsia="en-AU"/>
              </w:rPr>
              <w:t>CBD</w:t>
            </w:r>
          </w:p>
        </w:tc>
        <w:tc>
          <w:tcPr>
            <w:tcW w:w="0" w:type="auto"/>
            <w:tcBorders>
              <w:top w:val="single" w:sz="4" w:space="0" w:color="auto"/>
              <w:left w:val="nil"/>
              <w:bottom w:val="single" w:sz="4" w:space="0" w:color="auto"/>
              <w:right w:val="nil"/>
            </w:tcBorders>
            <w:shd w:val="clear" w:color="auto" w:fill="auto"/>
            <w:noWrap/>
            <w:vAlign w:val="center"/>
          </w:tcPr>
          <w:p w14:paraId="0F91BB40" w14:textId="77777777" w:rsidR="00A61DDE" w:rsidRPr="00A61DDE" w:rsidRDefault="00A61DDE" w:rsidP="0069291B">
            <w:pPr>
              <w:jc w:val="right"/>
              <w:rPr>
                <w:lang w:eastAsia="en-AU"/>
              </w:rPr>
            </w:pPr>
            <w:r w:rsidRPr="00A61DDE">
              <w:rPr>
                <w:lang w:eastAsia="en-AU"/>
              </w:rPr>
              <w:t>55.13</w:t>
            </w:r>
          </w:p>
        </w:tc>
        <w:tc>
          <w:tcPr>
            <w:tcW w:w="0" w:type="auto"/>
            <w:tcBorders>
              <w:top w:val="single" w:sz="4" w:space="0" w:color="auto"/>
              <w:left w:val="nil"/>
              <w:bottom w:val="single" w:sz="4" w:space="0" w:color="auto"/>
              <w:right w:val="nil"/>
            </w:tcBorders>
            <w:shd w:val="clear" w:color="auto" w:fill="auto"/>
            <w:noWrap/>
            <w:vAlign w:val="center"/>
          </w:tcPr>
          <w:p w14:paraId="64C93574" w14:textId="77777777" w:rsidR="00A61DDE" w:rsidRPr="00A61DDE" w:rsidRDefault="00A61DDE" w:rsidP="0069291B">
            <w:pPr>
              <w:jc w:val="right"/>
              <w:rPr>
                <w:lang w:eastAsia="en-AU"/>
              </w:rPr>
            </w:pPr>
            <w:r w:rsidRPr="00A61DDE">
              <w:rPr>
                <w:lang w:eastAsia="en-AU"/>
              </w:rPr>
              <w:t>0</w:t>
            </w:r>
          </w:p>
        </w:tc>
        <w:tc>
          <w:tcPr>
            <w:tcW w:w="0" w:type="auto"/>
            <w:tcBorders>
              <w:top w:val="single" w:sz="4" w:space="0" w:color="auto"/>
              <w:left w:val="nil"/>
              <w:bottom w:val="single" w:sz="4" w:space="0" w:color="auto"/>
              <w:right w:val="nil"/>
            </w:tcBorders>
            <w:vAlign w:val="center"/>
          </w:tcPr>
          <w:p w14:paraId="16148D9E" w14:textId="77777777" w:rsidR="00A61DDE" w:rsidRPr="00A61DDE" w:rsidRDefault="00A61DDE" w:rsidP="0069291B">
            <w:pPr>
              <w:jc w:val="right"/>
              <w:rPr>
                <w:lang w:eastAsia="en-AU"/>
              </w:rPr>
            </w:pPr>
            <w:r w:rsidRPr="00A61DDE">
              <w:rPr>
                <w:lang w:eastAsia="en-AU"/>
              </w:rPr>
              <w:t>3.68</w:t>
            </w:r>
          </w:p>
        </w:tc>
        <w:tc>
          <w:tcPr>
            <w:tcW w:w="0" w:type="auto"/>
            <w:tcBorders>
              <w:top w:val="single" w:sz="4" w:space="0" w:color="auto"/>
              <w:left w:val="nil"/>
              <w:bottom w:val="single" w:sz="4" w:space="0" w:color="auto"/>
              <w:right w:val="nil"/>
            </w:tcBorders>
            <w:shd w:val="clear" w:color="auto" w:fill="auto"/>
            <w:noWrap/>
            <w:vAlign w:val="center"/>
          </w:tcPr>
          <w:p w14:paraId="2D899E26" w14:textId="77777777" w:rsidR="00A61DDE" w:rsidRPr="00A61DDE" w:rsidRDefault="00A61DDE" w:rsidP="0069291B">
            <w:pPr>
              <w:jc w:val="right"/>
              <w:rPr>
                <w:lang w:eastAsia="en-AU"/>
              </w:rPr>
            </w:pPr>
            <w:r w:rsidRPr="00A61DDE">
              <w:rPr>
                <w:lang w:eastAsia="en-AU"/>
              </w:rPr>
              <w:t>2.57</w:t>
            </w:r>
          </w:p>
        </w:tc>
        <w:tc>
          <w:tcPr>
            <w:tcW w:w="1200" w:type="dxa"/>
            <w:tcBorders>
              <w:top w:val="single" w:sz="4" w:space="0" w:color="auto"/>
              <w:left w:val="nil"/>
              <w:bottom w:val="single" w:sz="4" w:space="0" w:color="auto"/>
              <w:right w:val="nil"/>
            </w:tcBorders>
            <w:shd w:val="clear" w:color="auto" w:fill="auto"/>
            <w:noWrap/>
            <w:vAlign w:val="center"/>
          </w:tcPr>
          <w:p w14:paraId="1384D0AE" w14:textId="77777777" w:rsidR="00A61DDE" w:rsidRPr="00A61DDE" w:rsidRDefault="00A61DDE" w:rsidP="0069291B">
            <w:pPr>
              <w:jc w:val="right"/>
              <w:rPr>
                <w:lang w:eastAsia="en-AU"/>
              </w:rPr>
            </w:pPr>
            <w:r w:rsidRPr="00A61DDE">
              <w:rPr>
                <w:lang w:eastAsia="en-AU"/>
              </w:rPr>
              <w:t>32.44</w:t>
            </w:r>
          </w:p>
        </w:tc>
        <w:tc>
          <w:tcPr>
            <w:tcW w:w="894" w:type="dxa"/>
            <w:tcBorders>
              <w:top w:val="single" w:sz="4" w:space="0" w:color="auto"/>
              <w:left w:val="nil"/>
              <w:bottom w:val="single" w:sz="4" w:space="0" w:color="auto"/>
              <w:right w:val="nil"/>
            </w:tcBorders>
            <w:shd w:val="clear" w:color="auto" w:fill="auto"/>
            <w:noWrap/>
            <w:vAlign w:val="center"/>
          </w:tcPr>
          <w:p w14:paraId="69465184" w14:textId="77777777" w:rsidR="00A61DDE" w:rsidRPr="00A61DDE" w:rsidRDefault="00A61DDE" w:rsidP="0069291B">
            <w:pPr>
              <w:jc w:val="right"/>
              <w:rPr>
                <w:lang w:eastAsia="en-AU"/>
              </w:rPr>
            </w:pPr>
            <w:r w:rsidRPr="00A61DDE">
              <w:rPr>
                <w:lang w:eastAsia="en-AU"/>
              </w:rPr>
              <w:t>433.71</w:t>
            </w:r>
          </w:p>
        </w:tc>
        <w:tc>
          <w:tcPr>
            <w:tcW w:w="0" w:type="auto"/>
            <w:tcBorders>
              <w:top w:val="single" w:sz="4" w:space="0" w:color="auto"/>
              <w:left w:val="nil"/>
              <w:bottom w:val="single" w:sz="4" w:space="0" w:color="auto"/>
              <w:right w:val="nil"/>
            </w:tcBorders>
            <w:shd w:val="clear" w:color="auto" w:fill="auto"/>
            <w:noWrap/>
            <w:vAlign w:val="center"/>
          </w:tcPr>
          <w:p w14:paraId="49B21888" w14:textId="77777777" w:rsidR="00A61DDE" w:rsidRPr="00A61DDE" w:rsidRDefault="00A61DDE" w:rsidP="0069291B">
            <w:pPr>
              <w:jc w:val="right"/>
              <w:rPr>
                <w:lang w:eastAsia="en-AU"/>
              </w:rPr>
            </w:pPr>
            <w:r w:rsidRPr="00A61DDE">
              <w:rPr>
                <w:lang w:eastAsia="en-AU"/>
              </w:rPr>
              <w:t>7.02</w:t>
            </w:r>
          </w:p>
        </w:tc>
        <w:tc>
          <w:tcPr>
            <w:tcW w:w="0" w:type="auto"/>
            <w:tcBorders>
              <w:top w:val="single" w:sz="4" w:space="0" w:color="auto"/>
              <w:left w:val="nil"/>
              <w:bottom w:val="single" w:sz="4" w:space="0" w:color="auto"/>
              <w:right w:val="nil"/>
            </w:tcBorders>
            <w:shd w:val="clear" w:color="auto" w:fill="auto"/>
            <w:noWrap/>
            <w:vAlign w:val="center"/>
          </w:tcPr>
          <w:p w14:paraId="5064029B" w14:textId="77777777" w:rsidR="00A61DDE" w:rsidRPr="00A61DDE" w:rsidRDefault="00A61DDE" w:rsidP="0069291B">
            <w:pPr>
              <w:jc w:val="right"/>
              <w:rPr>
                <w:lang w:eastAsia="en-AU"/>
              </w:rPr>
            </w:pPr>
            <w:r w:rsidRPr="00A61DDE">
              <w:rPr>
                <w:lang w:eastAsia="en-AU"/>
              </w:rPr>
              <w:t>72.02</w:t>
            </w:r>
          </w:p>
        </w:tc>
        <w:tc>
          <w:tcPr>
            <w:tcW w:w="0" w:type="auto"/>
            <w:tcBorders>
              <w:top w:val="single" w:sz="4" w:space="0" w:color="auto"/>
              <w:left w:val="nil"/>
              <w:bottom w:val="single" w:sz="4" w:space="0" w:color="auto"/>
              <w:right w:val="nil"/>
            </w:tcBorders>
            <w:shd w:val="clear" w:color="auto" w:fill="auto"/>
            <w:noWrap/>
            <w:vAlign w:val="center"/>
          </w:tcPr>
          <w:p w14:paraId="27C4CF0C" w14:textId="77777777" w:rsidR="00A61DDE" w:rsidRPr="00A61DDE" w:rsidRDefault="00A61DDE" w:rsidP="0069291B">
            <w:pPr>
              <w:jc w:val="right"/>
              <w:rPr>
                <w:lang w:eastAsia="en-AU"/>
              </w:rPr>
            </w:pPr>
            <w:r w:rsidRPr="00A61DDE">
              <w:rPr>
                <w:lang w:eastAsia="en-AU"/>
              </w:rPr>
              <w:t>172.59</w:t>
            </w:r>
          </w:p>
        </w:tc>
        <w:tc>
          <w:tcPr>
            <w:tcW w:w="0" w:type="auto"/>
            <w:tcBorders>
              <w:top w:val="single" w:sz="4" w:space="0" w:color="auto"/>
              <w:left w:val="nil"/>
              <w:bottom w:val="single" w:sz="4" w:space="0" w:color="auto"/>
              <w:right w:val="nil"/>
            </w:tcBorders>
            <w:shd w:val="clear" w:color="auto" w:fill="auto"/>
            <w:noWrap/>
            <w:vAlign w:val="center"/>
          </w:tcPr>
          <w:p w14:paraId="4447D7ED" w14:textId="77777777" w:rsidR="00A61DDE" w:rsidRPr="00A61DDE" w:rsidRDefault="00A61DDE" w:rsidP="0069291B">
            <w:pPr>
              <w:jc w:val="right"/>
              <w:rPr>
                <w:lang w:eastAsia="en-AU"/>
              </w:rPr>
            </w:pPr>
            <w:r w:rsidRPr="00A61DDE">
              <w:rPr>
                <w:lang w:eastAsia="en-AU"/>
              </w:rPr>
              <w:t>122.27</w:t>
            </w:r>
          </w:p>
        </w:tc>
        <w:tc>
          <w:tcPr>
            <w:tcW w:w="0" w:type="auto"/>
            <w:tcBorders>
              <w:top w:val="single" w:sz="4" w:space="0" w:color="auto"/>
              <w:left w:val="nil"/>
              <w:bottom w:val="single" w:sz="4" w:space="0" w:color="auto"/>
              <w:right w:val="nil"/>
            </w:tcBorders>
            <w:shd w:val="clear" w:color="auto" w:fill="auto"/>
            <w:noWrap/>
            <w:vAlign w:val="center"/>
          </w:tcPr>
          <w:p w14:paraId="13336D67" w14:textId="77777777" w:rsidR="00A61DDE" w:rsidRPr="00A61DDE" w:rsidRDefault="00A61DDE" w:rsidP="0069291B">
            <w:pPr>
              <w:jc w:val="right"/>
              <w:rPr>
                <w:lang w:eastAsia="en-AU"/>
              </w:rPr>
            </w:pPr>
            <w:r w:rsidRPr="00A61DDE">
              <w:rPr>
                <w:lang w:eastAsia="en-AU"/>
              </w:rPr>
              <w:t>17.57</w:t>
            </w:r>
          </w:p>
        </w:tc>
        <w:tc>
          <w:tcPr>
            <w:tcW w:w="0" w:type="auto"/>
            <w:tcBorders>
              <w:top w:val="single" w:sz="4" w:space="0" w:color="auto"/>
              <w:left w:val="nil"/>
              <w:bottom w:val="single" w:sz="4" w:space="0" w:color="auto"/>
              <w:right w:val="nil"/>
            </w:tcBorders>
            <w:shd w:val="clear" w:color="auto" w:fill="auto"/>
            <w:noWrap/>
            <w:vAlign w:val="center"/>
          </w:tcPr>
          <w:p w14:paraId="36F8B4C7" w14:textId="77777777" w:rsidR="00A61DDE" w:rsidRPr="00A61DDE" w:rsidRDefault="00A61DDE" w:rsidP="0069291B">
            <w:pPr>
              <w:jc w:val="right"/>
              <w:rPr>
                <w:lang w:eastAsia="en-AU"/>
              </w:rPr>
            </w:pPr>
            <w:r w:rsidRPr="00A61DDE">
              <w:rPr>
                <w:lang w:eastAsia="en-AU"/>
              </w:rPr>
              <w:t>1249.03</w:t>
            </w:r>
          </w:p>
        </w:tc>
        <w:tc>
          <w:tcPr>
            <w:tcW w:w="0" w:type="auto"/>
            <w:tcBorders>
              <w:top w:val="single" w:sz="4" w:space="0" w:color="auto"/>
              <w:left w:val="nil"/>
              <w:bottom w:val="single" w:sz="4" w:space="0" w:color="auto"/>
              <w:right w:val="nil"/>
            </w:tcBorders>
            <w:shd w:val="clear" w:color="auto" w:fill="auto"/>
            <w:noWrap/>
            <w:vAlign w:val="center"/>
          </w:tcPr>
          <w:p w14:paraId="7E3BFE25" w14:textId="77777777" w:rsidR="00A61DDE" w:rsidRPr="00A61DDE" w:rsidRDefault="00A61DDE" w:rsidP="0069291B">
            <w:pPr>
              <w:jc w:val="right"/>
              <w:rPr>
                <w:lang w:eastAsia="en-AU"/>
              </w:rPr>
            </w:pPr>
            <w:r w:rsidRPr="00A61DDE">
              <w:rPr>
                <w:lang w:eastAsia="en-AU"/>
              </w:rPr>
              <w:t>38.97</w:t>
            </w:r>
          </w:p>
        </w:tc>
      </w:tr>
      <w:tr w:rsidR="00A61DDE" w:rsidRPr="00A61DDE" w14:paraId="6CC082FF" w14:textId="77777777" w:rsidTr="0069291B">
        <w:trPr>
          <w:trHeight w:val="315"/>
        </w:trPr>
        <w:tc>
          <w:tcPr>
            <w:tcW w:w="0" w:type="auto"/>
            <w:tcBorders>
              <w:top w:val="single" w:sz="4" w:space="0" w:color="auto"/>
              <w:left w:val="nil"/>
              <w:bottom w:val="single" w:sz="4" w:space="0" w:color="auto"/>
              <w:right w:val="nil"/>
            </w:tcBorders>
            <w:shd w:val="clear" w:color="auto" w:fill="auto"/>
            <w:noWrap/>
            <w:vAlign w:val="center"/>
          </w:tcPr>
          <w:p w14:paraId="1C410BF6" w14:textId="77777777" w:rsidR="00A61DDE" w:rsidRPr="00A61DDE" w:rsidRDefault="00A61DDE" w:rsidP="0069291B">
            <w:pPr>
              <w:rPr>
                <w:lang w:eastAsia="en-AU"/>
              </w:rPr>
            </w:pPr>
            <w:r w:rsidRPr="00A61DDE">
              <w:rPr>
                <w:lang w:eastAsia="en-AU"/>
              </w:rPr>
              <w:t>Inner city</w:t>
            </w:r>
          </w:p>
        </w:tc>
        <w:tc>
          <w:tcPr>
            <w:tcW w:w="0" w:type="auto"/>
            <w:tcBorders>
              <w:top w:val="single" w:sz="4" w:space="0" w:color="auto"/>
              <w:left w:val="nil"/>
              <w:bottom w:val="single" w:sz="4" w:space="0" w:color="auto"/>
              <w:right w:val="nil"/>
            </w:tcBorders>
            <w:shd w:val="clear" w:color="auto" w:fill="auto"/>
            <w:noWrap/>
            <w:vAlign w:val="center"/>
          </w:tcPr>
          <w:p w14:paraId="0674AB58" w14:textId="77777777" w:rsidR="00A61DDE" w:rsidRPr="00A61DDE" w:rsidRDefault="00A61DDE" w:rsidP="0069291B">
            <w:pPr>
              <w:jc w:val="right"/>
              <w:rPr>
                <w:lang w:eastAsia="en-AU"/>
              </w:rPr>
            </w:pPr>
            <w:r w:rsidRPr="00A61DDE">
              <w:rPr>
                <w:lang w:eastAsia="en-AU"/>
              </w:rPr>
              <w:t>.15</w:t>
            </w:r>
          </w:p>
        </w:tc>
        <w:tc>
          <w:tcPr>
            <w:tcW w:w="0" w:type="auto"/>
            <w:tcBorders>
              <w:top w:val="single" w:sz="4" w:space="0" w:color="auto"/>
              <w:left w:val="nil"/>
              <w:bottom w:val="single" w:sz="4" w:space="0" w:color="auto"/>
              <w:right w:val="nil"/>
            </w:tcBorders>
            <w:shd w:val="clear" w:color="auto" w:fill="auto"/>
            <w:noWrap/>
            <w:vAlign w:val="center"/>
          </w:tcPr>
          <w:p w14:paraId="44DE13AE" w14:textId="77777777" w:rsidR="00A61DDE" w:rsidRPr="00A61DDE" w:rsidRDefault="00A61DDE" w:rsidP="0069291B">
            <w:pPr>
              <w:jc w:val="right"/>
              <w:rPr>
                <w:lang w:eastAsia="en-AU"/>
              </w:rPr>
            </w:pPr>
            <w:r w:rsidRPr="00A61DDE">
              <w:rPr>
                <w:lang w:eastAsia="en-AU"/>
              </w:rPr>
              <w:t>2.50</w:t>
            </w:r>
          </w:p>
        </w:tc>
        <w:tc>
          <w:tcPr>
            <w:tcW w:w="0" w:type="auto"/>
            <w:tcBorders>
              <w:top w:val="single" w:sz="4" w:space="0" w:color="auto"/>
              <w:left w:val="nil"/>
              <w:bottom w:val="single" w:sz="4" w:space="0" w:color="auto"/>
              <w:right w:val="nil"/>
            </w:tcBorders>
            <w:vAlign w:val="center"/>
          </w:tcPr>
          <w:p w14:paraId="16A5C358" w14:textId="77777777" w:rsidR="00A61DDE" w:rsidRPr="00A61DDE" w:rsidRDefault="00A61DDE" w:rsidP="0069291B">
            <w:pPr>
              <w:jc w:val="right"/>
              <w:rPr>
                <w:lang w:eastAsia="en-AU"/>
              </w:rPr>
            </w:pPr>
            <w:r w:rsidRPr="00A61DDE">
              <w:rPr>
                <w:lang w:eastAsia="en-AU"/>
              </w:rPr>
              <w:t>1.09</w:t>
            </w:r>
          </w:p>
        </w:tc>
        <w:tc>
          <w:tcPr>
            <w:tcW w:w="0" w:type="auto"/>
            <w:tcBorders>
              <w:top w:val="single" w:sz="4" w:space="0" w:color="auto"/>
              <w:left w:val="nil"/>
              <w:bottom w:val="single" w:sz="4" w:space="0" w:color="auto"/>
              <w:right w:val="nil"/>
            </w:tcBorders>
            <w:shd w:val="clear" w:color="auto" w:fill="auto"/>
            <w:noWrap/>
            <w:vAlign w:val="center"/>
          </w:tcPr>
          <w:p w14:paraId="7043C53B" w14:textId="77777777" w:rsidR="00A61DDE" w:rsidRPr="00A61DDE" w:rsidRDefault="00A61DDE" w:rsidP="0069291B">
            <w:pPr>
              <w:jc w:val="right"/>
              <w:rPr>
                <w:lang w:eastAsia="en-AU"/>
              </w:rPr>
            </w:pPr>
            <w:r w:rsidRPr="00A61DDE">
              <w:rPr>
                <w:lang w:eastAsia="en-AU"/>
              </w:rPr>
              <w:t>3.55</w:t>
            </w:r>
          </w:p>
        </w:tc>
        <w:tc>
          <w:tcPr>
            <w:tcW w:w="1200" w:type="dxa"/>
            <w:tcBorders>
              <w:top w:val="single" w:sz="4" w:space="0" w:color="auto"/>
              <w:left w:val="nil"/>
              <w:bottom w:val="single" w:sz="4" w:space="0" w:color="auto"/>
              <w:right w:val="nil"/>
            </w:tcBorders>
            <w:shd w:val="clear" w:color="auto" w:fill="auto"/>
            <w:noWrap/>
            <w:vAlign w:val="center"/>
          </w:tcPr>
          <w:p w14:paraId="72F26676" w14:textId="77777777" w:rsidR="00A61DDE" w:rsidRPr="00A61DDE" w:rsidRDefault="00A61DDE" w:rsidP="0069291B">
            <w:pPr>
              <w:jc w:val="right"/>
              <w:rPr>
                <w:lang w:eastAsia="en-AU"/>
              </w:rPr>
            </w:pPr>
            <w:r w:rsidRPr="00A61DDE">
              <w:rPr>
                <w:lang w:eastAsia="en-AU"/>
              </w:rPr>
              <w:t>1.88</w:t>
            </w:r>
          </w:p>
        </w:tc>
        <w:tc>
          <w:tcPr>
            <w:tcW w:w="894" w:type="dxa"/>
            <w:tcBorders>
              <w:top w:val="single" w:sz="4" w:space="0" w:color="auto"/>
              <w:left w:val="nil"/>
              <w:bottom w:val="single" w:sz="4" w:space="0" w:color="auto"/>
              <w:right w:val="nil"/>
            </w:tcBorders>
            <w:shd w:val="clear" w:color="auto" w:fill="auto"/>
            <w:noWrap/>
            <w:vAlign w:val="center"/>
          </w:tcPr>
          <w:p w14:paraId="5851AAC9" w14:textId="77777777" w:rsidR="00A61DDE" w:rsidRPr="00A61DDE" w:rsidRDefault="00A61DDE" w:rsidP="0069291B">
            <w:pPr>
              <w:jc w:val="right"/>
              <w:rPr>
                <w:lang w:eastAsia="en-AU"/>
              </w:rPr>
            </w:pPr>
            <w:r w:rsidRPr="00A61DDE">
              <w:rPr>
                <w:lang w:eastAsia="en-AU"/>
              </w:rPr>
              <w:t>3.04</w:t>
            </w:r>
          </w:p>
        </w:tc>
        <w:tc>
          <w:tcPr>
            <w:tcW w:w="0" w:type="auto"/>
            <w:tcBorders>
              <w:top w:val="single" w:sz="4" w:space="0" w:color="auto"/>
              <w:left w:val="nil"/>
              <w:bottom w:val="single" w:sz="4" w:space="0" w:color="auto"/>
              <w:right w:val="nil"/>
            </w:tcBorders>
            <w:shd w:val="clear" w:color="auto" w:fill="auto"/>
            <w:noWrap/>
            <w:vAlign w:val="center"/>
          </w:tcPr>
          <w:p w14:paraId="5011CCD7" w14:textId="77777777" w:rsidR="00A61DDE" w:rsidRPr="00A61DDE" w:rsidRDefault="00A61DDE" w:rsidP="0069291B">
            <w:pPr>
              <w:jc w:val="right"/>
              <w:rPr>
                <w:lang w:eastAsia="en-AU"/>
              </w:rPr>
            </w:pPr>
            <w:r w:rsidRPr="00A61DDE">
              <w:rPr>
                <w:lang w:eastAsia="en-AU"/>
              </w:rPr>
              <w:t>.01</w:t>
            </w:r>
          </w:p>
        </w:tc>
        <w:tc>
          <w:tcPr>
            <w:tcW w:w="0" w:type="auto"/>
            <w:tcBorders>
              <w:top w:val="single" w:sz="4" w:space="0" w:color="auto"/>
              <w:left w:val="nil"/>
              <w:bottom w:val="single" w:sz="4" w:space="0" w:color="auto"/>
              <w:right w:val="nil"/>
            </w:tcBorders>
            <w:shd w:val="clear" w:color="auto" w:fill="auto"/>
            <w:noWrap/>
            <w:vAlign w:val="center"/>
          </w:tcPr>
          <w:p w14:paraId="55EC3C8E" w14:textId="77777777" w:rsidR="00A61DDE" w:rsidRPr="00A61DDE" w:rsidRDefault="00A61DDE" w:rsidP="0069291B">
            <w:pPr>
              <w:jc w:val="right"/>
              <w:rPr>
                <w:lang w:eastAsia="en-AU"/>
              </w:rPr>
            </w:pPr>
            <w:r w:rsidRPr="00A61DDE">
              <w:rPr>
                <w:lang w:eastAsia="en-AU"/>
              </w:rPr>
              <w:t>.78</w:t>
            </w:r>
          </w:p>
        </w:tc>
        <w:tc>
          <w:tcPr>
            <w:tcW w:w="0" w:type="auto"/>
            <w:tcBorders>
              <w:top w:val="single" w:sz="4" w:space="0" w:color="auto"/>
              <w:left w:val="nil"/>
              <w:bottom w:val="single" w:sz="4" w:space="0" w:color="auto"/>
              <w:right w:val="nil"/>
            </w:tcBorders>
            <w:shd w:val="clear" w:color="auto" w:fill="auto"/>
            <w:noWrap/>
            <w:vAlign w:val="center"/>
          </w:tcPr>
          <w:p w14:paraId="62DBF55E" w14:textId="77777777" w:rsidR="00A61DDE" w:rsidRPr="00A61DDE" w:rsidRDefault="00A61DDE" w:rsidP="0069291B">
            <w:pPr>
              <w:jc w:val="right"/>
              <w:rPr>
                <w:lang w:eastAsia="en-AU"/>
              </w:rPr>
            </w:pPr>
            <w:r w:rsidRPr="00A61DDE">
              <w:rPr>
                <w:lang w:eastAsia="en-AU"/>
              </w:rPr>
              <w:t>11.80</w:t>
            </w:r>
          </w:p>
        </w:tc>
        <w:tc>
          <w:tcPr>
            <w:tcW w:w="0" w:type="auto"/>
            <w:tcBorders>
              <w:top w:val="single" w:sz="4" w:space="0" w:color="auto"/>
              <w:left w:val="nil"/>
              <w:bottom w:val="single" w:sz="4" w:space="0" w:color="auto"/>
              <w:right w:val="nil"/>
            </w:tcBorders>
            <w:shd w:val="clear" w:color="auto" w:fill="auto"/>
            <w:noWrap/>
            <w:vAlign w:val="center"/>
          </w:tcPr>
          <w:p w14:paraId="2B60F290" w14:textId="77777777" w:rsidR="00A61DDE" w:rsidRPr="00A61DDE" w:rsidRDefault="00A61DDE" w:rsidP="0069291B">
            <w:pPr>
              <w:jc w:val="right"/>
              <w:rPr>
                <w:lang w:eastAsia="en-AU"/>
              </w:rPr>
            </w:pPr>
            <w:r w:rsidRPr="00A61DDE">
              <w:rPr>
                <w:lang w:eastAsia="en-AU"/>
              </w:rPr>
              <w:t>.24</w:t>
            </w:r>
          </w:p>
        </w:tc>
        <w:tc>
          <w:tcPr>
            <w:tcW w:w="0" w:type="auto"/>
            <w:tcBorders>
              <w:top w:val="single" w:sz="4" w:space="0" w:color="auto"/>
              <w:left w:val="nil"/>
              <w:bottom w:val="single" w:sz="4" w:space="0" w:color="auto"/>
              <w:right w:val="nil"/>
            </w:tcBorders>
            <w:shd w:val="clear" w:color="auto" w:fill="auto"/>
            <w:noWrap/>
            <w:vAlign w:val="center"/>
          </w:tcPr>
          <w:p w14:paraId="414648DE" w14:textId="77777777" w:rsidR="00A61DDE" w:rsidRPr="00A61DDE" w:rsidRDefault="00A61DDE" w:rsidP="0069291B">
            <w:pPr>
              <w:jc w:val="right"/>
              <w:rPr>
                <w:lang w:eastAsia="en-AU"/>
              </w:rPr>
            </w:pPr>
            <w:r w:rsidRPr="00A61DDE">
              <w:rPr>
                <w:lang w:eastAsia="en-AU"/>
              </w:rPr>
              <w:t>.48</w:t>
            </w:r>
          </w:p>
        </w:tc>
        <w:tc>
          <w:tcPr>
            <w:tcW w:w="0" w:type="auto"/>
            <w:tcBorders>
              <w:top w:val="single" w:sz="4" w:space="0" w:color="auto"/>
              <w:left w:val="nil"/>
              <w:bottom w:val="single" w:sz="4" w:space="0" w:color="auto"/>
              <w:right w:val="nil"/>
            </w:tcBorders>
            <w:shd w:val="clear" w:color="auto" w:fill="auto"/>
            <w:noWrap/>
            <w:vAlign w:val="center"/>
          </w:tcPr>
          <w:p w14:paraId="40663C39" w14:textId="77777777" w:rsidR="00A61DDE" w:rsidRPr="00A61DDE" w:rsidRDefault="00A61DDE" w:rsidP="0069291B">
            <w:pPr>
              <w:jc w:val="right"/>
              <w:rPr>
                <w:lang w:eastAsia="en-AU"/>
              </w:rPr>
            </w:pPr>
            <w:r w:rsidRPr="00A61DDE">
              <w:rPr>
                <w:lang w:eastAsia="en-AU"/>
              </w:rPr>
              <w:t>8.87</w:t>
            </w:r>
          </w:p>
        </w:tc>
        <w:tc>
          <w:tcPr>
            <w:tcW w:w="0" w:type="auto"/>
            <w:tcBorders>
              <w:top w:val="single" w:sz="4" w:space="0" w:color="auto"/>
              <w:left w:val="nil"/>
              <w:bottom w:val="single" w:sz="4" w:space="0" w:color="auto"/>
              <w:right w:val="nil"/>
            </w:tcBorders>
            <w:shd w:val="clear" w:color="auto" w:fill="auto"/>
            <w:noWrap/>
            <w:vAlign w:val="center"/>
          </w:tcPr>
          <w:p w14:paraId="2D212CCD" w14:textId="77777777" w:rsidR="00A61DDE" w:rsidRPr="00A61DDE" w:rsidRDefault="00A61DDE" w:rsidP="0069291B">
            <w:pPr>
              <w:jc w:val="right"/>
              <w:rPr>
                <w:lang w:eastAsia="en-AU"/>
              </w:rPr>
            </w:pPr>
            <w:r w:rsidRPr="00A61DDE">
              <w:rPr>
                <w:lang w:eastAsia="en-AU"/>
              </w:rPr>
              <w:t>2.06</w:t>
            </w:r>
          </w:p>
        </w:tc>
      </w:tr>
      <w:tr w:rsidR="00A61DDE" w:rsidRPr="00A61DDE" w14:paraId="4D29A90A" w14:textId="77777777" w:rsidTr="0069291B">
        <w:trPr>
          <w:trHeight w:val="315"/>
        </w:trPr>
        <w:tc>
          <w:tcPr>
            <w:tcW w:w="0" w:type="auto"/>
            <w:tcBorders>
              <w:top w:val="single" w:sz="4" w:space="0" w:color="auto"/>
              <w:left w:val="nil"/>
              <w:bottom w:val="single" w:sz="4" w:space="0" w:color="auto"/>
              <w:right w:val="nil"/>
            </w:tcBorders>
            <w:shd w:val="clear" w:color="auto" w:fill="auto"/>
            <w:noWrap/>
            <w:vAlign w:val="center"/>
          </w:tcPr>
          <w:p w14:paraId="306E5844" w14:textId="77777777" w:rsidR="00A61DDE" w:rsidRPr="00A61DDE" w:rsidRDefault="00A61DDE" w:rsidP="0069291B">
            <w:pPr>
              <w:rPr>
                <w:lang w:eastAsia="en-AU"/>
              </w:rPr>
            </w:pPr>
            <w:r w:rsidRPr="00A61DDE">
              <w:rPr>
                <w:lang w:eastAsia="en-AU"/>
              </w:rPr>
              <w:t>Inner suburbs</w:t>
            </w:r>
          </w:p>
        </w:tc>
        <w:tc>
          <w:tcPr>
            <w:tcW w:w="0" w:type="auto"/>
            <w:tcBorders>
              <w:top w:val="single" w:sz="4" w:space="0" w:color="auto"/>
              <w:left w:val="nil"/>
              <w:bottom w:val="single" w:sz="4" w:space="0" w:color="auto"/>
              <w:right w:val="nil"/>
            </w:tcBorders>
            <w:shd w:val="clear" w:color="auto" w:fill="auto"/>
            <w:noWrap/>
            <w:vAlign w:val="center"/>
          </w:tcPr>
          <w:p w14:paraId="143CE446" w14:textId="77777777" w:rsidR="00A61DDE" w:rsidRPr="00A61DDE" w:rsidRDefault="00A61DDE" w:rsidP="0069291B">
            <w:pPr>
              <w:jc w:val="right"/>
              <w:rPr>
                <w:lang w:eastAsia="en-AU"/>
              </w:rPr>
            </w:pPr>
            <w:r w:rsidRPr="00A61DDE">
              <w:rPr>
                <w:lang w:eastAsia="en-AU"/>
              </w:rPr>
              <w:t>.75</w:t>
            </w:r>
          </w:p>
        </w:tc>
        <w:tc>
          <w:tcPr>
            <w:tcW w:w="0" w:type="auto"/>
            <w:tcBorders>
              <w:top w:val="single" w:sz="4" w:space="0" w:color="auto"/>
              <w:left w:val="nil"/>
              <w:bottom w:val="single" w:sz="4" w:space="0" w:color="auto"/>
              <w:right w:val="nil"/>
            </w:tcBorders>
            <w:shd w:val="clear" w:color="auto" w:fill="auto"/>
            <w:noWrap/>
            <w:vAlign w:val="center"/>
          </w:tcPr>
          <w:p w14:paraId="7F0E1469" w14:textId="77777777" w:rsidR="00A61DDE" w:rsidRPr="00A61DDE" w:rsidRDefault="00A61DDE" w:rsidP="0069291B">
            <w:pPr>
              <w:jc w:val="right"/>
              <w:rPr>
                <w:lang w:eastAsia="en-AU"/>
              </w:rPr>
            </w:pPr>
            <w:r w:rsidRPr="00A61DDE">
              <w:rPr>
                <w:lang w:eastAsia="en-AU"/>
              </w:rPr>
              <w:t>2.33</w:t>
            </w:r>
          </w:p>
        </w:tc>
        <w:tc>
          <w:tcPr>
            <w:tcW w:w="0" w:type="auto"/>
            <w:tcBorders>
              <w:top w:val="single" w:sz="4" w:space="0" w:color="auto"/>
              <w:left w:val="nil"/>
              <w:bottom w:val="single" w:sz="4" w:space="0" w:color="auto"/>
              <w:right w:val="nil"/>
            </w:tcBorders>
            <w:vAlign w:val="center"/>
          </w:tcPr>
          <w:p w14:paraId="5A320F2E" w14:textId="77777777" w:rsidR="00A61DDE" w:rsidRPr="00A61DDE" w:rsidRDefault="00A61DDE" w:rsidP="0069291B">
            <w:pPr>
              <w:jc w:val="right"/>
              <w:rPr>
                <w:lang w:eastAsia="en-AU"/>
              </w:rPr>
            </w:pPr>
            <w:r w:rsidRPr="00A61DDE">
              <w:rPr>
                <w:lang w:eastAsia="en-AU"/>
              </w:rPr>
              <w:t>.68</w:t>
            </w:r>
          </w:p>
        </w:tc>
        <w:tc>
          <w:tcPr>
            <w:tcW w:w="0" w:type="auto"/>
            <w:tcBorders>
              <w:top w:val="single" w:sz="4" w:space="0" w:color="auto"/>
              <w:left w:val="nil"/>
              <w:bottom w:val="single" w:sz="4" w:space="0" w:color="auto"/>
              <w:right w:val="nil"/>
            </w:tcBorders>
            <w:shd w:val="clear" w:color="auto" w:fill="auto"/>
            <w:noWrap/>
            <w:vAlign w:val="center"/>
          </w:tcPr>
          <w:p w14:paraId="4D7D4E79" w14:textId="77777777" w:rsidR="00A61DDE" w:rsidRPr="00A61DDE" w:rsidRDefault="00A61DDE" w:rsidP="0069291B">
            <w:pPr>
              <w:jc w:val="right"/>
              <w:rPr>
                <w:lang w:eastAsia="en-AU"/>
              </w:rPr>
            </w:pPr>
            <w:r w:rsidRPr="00A61DDE">
              <w:rPr>
                <w:lang w:eastAsia="en-AU"/>
              </w:rPr>
              <w:t>1.93</w:t>
            </w:r>
          </w:p>
        </w:tc>
        <w:tc>
          <w:tcPr>
            <w:tcW w:w="1200" w:type="dxa"/>
            <w:tcBorders>
              <w:top w:val="single" w:sz="4" w:space="0" w:color="auto"/>
              <w:left w:val="nil"/>
              <w:bottom w:val="single" w:sz="4" w:space="0" w:color="auto"/>
              <w:right w:val="nil"/>
            </w:tcBorders>
            <w:shd w:val="clear" w:color="auto" w:fill="auto"/>
            <w:noWrap/>
            <w:vAlign w:val="center"/>
          </w:tcPr>
          <w:p w14:paraId="5B384DF9" w14:textId="77777777" w:rsidR="00A61DDE" w:rsidRPr="00A61DDE" w:rsidRDefault="00A61DDE" w:rsidP="0069291B">
            <w:pPr>
              <w:jc w:val="right"/>
              <w:rPr>
                <w:lang w:eastAsia="en-AU"/>
              </w:rPr>
            </w:pPr>
            <w:r w:rsidRPr="00A61DDE">
              <w:rPr>
                <w:lang w:eastAsia="en-AU"/>
              </w:rPr>
              <w:t>1.31</w:t>
            </w:r>
          </w:p>
        </w:tc>
        <w:tc>
          <w:tcPr>
            <w:tcW w:w="894" w:type="dxa"/>
            <w:tcBorders>
              <w:top w:val="single" w:sz="4" w:space="0" w:color="auto"/>
              <w:left w:val="nil"/>
              <w:bottom w:val="single" w:sz="4" w:space="0" w:color="auto"/>
              <w:right w:val="nil"/>
            </w:tcBorders>
            <w:shd w:val="clear" w:color="auto" w:fill="auto"/>
            <w:noWrap/>
            <w:vAlign w:val="center"/>
          </w:tcPr>
          <w:p w14:paraId="1A143761" w14:textId="77777777" w:rsidR="00A61DDE" w:rsidRPr="00A61DDE" w:rsidRDefault="00A61DDE" w:rsidP="0069291B">
            <w:pPr>
              <w:jc w:val="right"/>
              <w:rPr>
                <w:lang w:eastAsia="en-AU"/>
              </w:rPr>
            </w:pPr>
            <w:r w:rsidRPr="00A61DDE">
              <w:rPr>
                <w:lang w:eastAsia="en-AU"/>
              </w:rPr>
              <w:t>1.60</w:t>
            </w:r>
          </w:p>
        </w:tc>
        <w:tc>
          <w:tcPr>
            <w:tcW w:w="0" w:type="auto"/>
            <w:tcBorders>
              <w:top w:val="single" w:sz="4" w:space="0" w:color="auto"/>
              <w:left w:val="nil"/>
              <w:bottom w:val="single" w:sz="4" w:space="0" w:color="auto"/>
              <w:right w:val="nil"/>
            </w:tcBorders>
            <w:shd w:val="clear" w:color="auto" w:fill="auto"/>
            <w:noWrap/>
            <w:vAlign w:val="center"/>
          </w:tcPr>
          <w:p w14:paraId="149D49A0" w14:textId="77777777" w:rsidR="00A61DDE" w:rsidRPr="00A61DDE" w:rsidRDefault="00A61DDE" w:rsidP="0069291B">
            <w:pPr>
              <w:jc w:val="right"/>
              <w:rPr>
                <w:lang w:eastAsia="en-AU"/>
              </w:rPr>
            </w:pPr>
            <w:r w:rsidRPr="00A61DDE">
              <w:rPr>
                <w:lang w:eastAsia="en-AU"/>
              </w:rPr>
              <w:t>.53</w:t>
            </w:r>
          </w:p>
        </w:tc>
        <w:tc>
          <w:tcPr>
            <w:tcW w:w="0" w:type="auto"/>
            <w:tcBorders>
              <w:top w:val="single" w:sz="4" w:space="0" w:color="auto"/>
              <w:left w:val="nil"/>
              <w:bottom w:val="single" w:sz="4" w:space="0" w:color="auto"/>
              <w:right w:val="nil"/>
            </w:tcBorders>
            <w:shd w:val="clear" w:color="auto" w:fill="auto"/>
            <w:noWrap/>
            <w:vAlign w:val="center"/>
          </w:tcPr>
          <w:p w14:paraId="711E3A3E" w14:textId="77777777" w:rsidR="00A61DDE" w:rsidRPr="00A61DDE" w:rsidRDefault="00A61DDE" w:rsidP="0069291B">
            <w:pPr>
              <w:jc w:val="right"/>
              <w:rPr>
                <w:lang w:eastAsia="en-AU"/>
              </w:rPr>
            </w:pPr>
            <w:r w:rsidRPr="00A61DDE">
              <w:rPr>
                <w:lang w:eastAsia="en-AU"/>
              </w:rPr>
              <w:t>.32</w:t>
            </w:r>
          </w:p>
        </w:tc>
        <w:tc>
          <w:tcPr>
            <w:tcW w:w="0" w:type="auto"/>
            <w:tcBorders>
              <w:top w:val="single" w:sz="4" w:space="0" w:color="auto"/>
              <w:left w:val="nil"/>
              <w:bottom w:val="single" w:sz="4" w:space="0" w:color="auto"/>
              <w:right w:val="nil"/>
            </w:tcBorders>
            <w:shd w:val="clear" w:color="auto" w:fill="auto"/>
            <w:noWrap/>
            <w:vAlign w:val="center"/>
          </w:tcPr>
          <w:p w14:paraId="2FAD426D" w14:textId="77777777" w:rsidR="00A61DDE" w:rsidRPr="00A61DDE" w:rsidRDefault="00A61DDE" w:rsidP="0069291B">
            <w:pPr>
              <w:jc w:val="right"/>
              <w:rPr>
                <w:lang w:eastAsia="en-AU"/>
              </w:rPr>
            </w:pPr>
            <w:r w:rsidRPr="00A61DDE">
              <w:rPr>
                <w:lang w:eastAsia="en-AU"/>
              </w:rPr>
              <w:t>.01</w:t>
            </w:r>
          </w:p>
        </w:tc>
        <w:tc>
          <w:tcPr>
            <w:tcW w:w="0" w:type="auto"/>
            <w:tcBorders>
              <w:top w:val="single" w:sz="4" w:space="0" w:color="auto"/>
              <w:left w:val="nil"/>
              <w:bottom w:val="single" w:sz="4" w:space="0" w:color="auto"/>
              <w:right w:val="nil"/>
            </w:tcBorders>
            <w:shd w:val="clear" w:color="auto" w:fill="auto"/>
            <w:noWrap/>
            <w:vAlign w:val="center"/>
          </w:tcPr>
          <w:p w14:paraId="24DA2AA3" w14:textId="77777777" w:rsidR="00A61DDE" w:rsidRPr="00A61DDE" w:rsidRDefault="00A61DDE" w:rsidP="0069291B">
            <w:pPr>
              <w:jc w:val="right"/>
              <w:rPr>
                <w:lang w:eastAsia="en-AU"/>
              </w:rPr>
            </w:pPr>
            <w:r w:rsidRPr="00A61DDE">
              <w:rPr>
                <w:lang w:eastAsia="en-AU"/>
              </w:rPr>
              <w:t>.03</w:t>
            </w:r>
          </w:p>
        </w:tc>
        <w:tc>
          <w:tcPr>
            <w:tcW w:w="0" w:type="auto"/>
            <w:tcBorders>
              <w:top w:val="single" w:sz="4" w:space="0" w:color="auto"/>
              <w:left w:val="nil"/>
              <w:bottom w:val="single" w:sz="4" w:space="0" w:color="auto"/>
              <w:right w:val="nil"/>
            </w:tcBorders>
            <w:shd w:val="clear" w:color="auto" w:fill="auto"/>
            <w:noWrap/>
            <w:vAlign w:val="center"/>
          </w:tcPr>
          <w:p w14:paraId="60A27D4A" w14:textId="77777777" w:rsidR="00A61DDE" w:rsidRPr="00A61DDE" w:rsidRDefault="00A61DDE" w:rsidP="0069291B">
            <w:pPr>
              <w:jc w:val="right"/>
              <w:rPr>
                <w:lang w:eastAsia="en-AU"/>
              </w:rPr>
            </w:pPr>
            <w:r w:rsidRPr="00A61DDE">
              <w:rPr>
                <w:lang w:eastAsia="en-AU"/>
              </w:rPr>
              <w:t>.78</w:t>
            </w:r>
          </w:p>
        </w:tc>
        <w:tc>
          <w:tcPr>
            <w:tcW w:w="0" w:type="auto"/>
            <w:tcBorders>
              <w:top w:val="single" w:sz="4" w:space="0" w:color="auto"/>
              <w:left w:val="nil"/>
              <w:bottom w:val="single" w:sz="4" w:space="0" w:color="auto"/>
              <w:right w:val="nil"/>
            </w:tcBorders>
            <w:shd w:val="clear" w:color="auto" w:fill="auto"/>
            <w:noWrap/>
            <w:vAlign w:val="center"/>
          </w:tcPr>
          <w:p w14:paraId="54AD6410" w14:textId="77777777" w:rsidR="00A61DDE" w:rsidRPr="00A61DDE" w:rsidRDefault="00A61DDE" w:rsidP="0069291B">
            <w:pPr>
              <w:jc w:val="right"/>
              <w:rPr>
                <w:lang w:eastAsia="en-AU"/>
              </w:rPr>
            </w:pPr>
            <w:r w:rsidRPr="00A61DDE">
              <w:rPr>
                <w:lang w:eastAsia="en-AU"/>
              </w:rPr>
              <w:t>0</w:t>
            </w:r>
          </w:p>
        </w:tc>
        <w:tc>
          <w:tcPr>
            <w:tcW w:w="0" w:type="auto"/>
            <w:tcBorders>
              <w:top w:val="single" w:sz="4" w:space="0" w:color="auto"/>
              <w:left w:val="nil"/>
              <w:bottom w:val="single" w:sz="4" w:space="0" w:color="auto"/>
              <w:right w:val="nil"/>
            </w:tcBorders>
            <w:shd w:val="clear" w:color="auto" w:fill="auto"/>
            <w:noWrap/>
            <w:vAlign w:val="center"/>
          </w:tcPr>
          <w:p w14:paraId="1AE48E09" w14:textId="77777777" w:rsidR="00A61DDE" w:rsidRPr="00A61DDE" w:rsidRDefault="00A61DDE" w:rsidP="0069291B">
            <w:pPr>
              <w:jc w:val="right"/>
              <w:rPr>
                <w:lang w:eastAsia="en-AU"/>
              </w:rPr>
            </w:pPr>
            <w:r w:rsidRPr="00A61DDE">
              <w:rPr>
                <w:lang w:eastAsia="en-AU"/>
              </w:rPr>
              <w:t>.87</w:t>
            </w:r>
          </w:p>
        </w:tc>
      </w:tr>
      <w:tr w:rsidR="00A61DDE" w:rsidRPr="00A61DDE" w14:paraId="5E10CC27" w14:textId="77777777" w:rsidTr="0069291B">
        <w:trPr>
          <w:trHeight w:val="315"/>
        </w:trPr>
        <w:tc>
          <w:tcPr>
            <w:tcW w:w="0" w:type="auto"/>
            <w:tcBorders>
              <w:top w:val="single" w:sz="4" w:space="0" w:color="auto"/>
              <w:left w:val="nil"/>
              <w:bottom w:val="single" w:sz="4" w:space="0" w:color="auto"/>
              <w:right w:val="nil"/>
            </w:tcBorders>
            <w:shd w:val="clear" w:color="auto" w:fill="auto"/>
            <w:noWrap/>
            <w:vAlign w:val="center"/>
          </w:tcPr>
          <w:p w14:paraId="5246C032" w14:textId="77777777" w:rsidR="00A61DDE" w:rsidRPr="00A61DDE" w:rsidRDefault="00A61DDE" w:rsidP="0069291B">
            <w:pPr>
              <w:rPr>
                <w:lang w:eastAsia="en-AU"/>
              </w:rPr>
            </w:pPr>
            <w:r w:rsidRPr="00A61DDE">
              <w:rPr>
                <w:lang w:eastAsia="en-AU"/>
              </w:rPr>
              <w:t>Metropolitan average  ***</w:t>
            </w:r>
          </w:p>
        </w:tc>
        <w:tc>
          <w:tcPr>
            <w:tcW w:w="0" w:type="auto"/>
            <w:tcBorders>
              <w:top w:val="single" w:sz="4" w:space="0" w:color="auto"/>
              <w:left w:val="nil"/>
              <w:bottom w:val="single" w:sz="4" w:space="0" w:color="auto"/>
              <w:right w:val="nil"/>
            </w:tcBorders>
            <w:shd w:val="clear" w:color="auto" w:fill="auto"/>
            <w:noWrap/>
            <w:vAlign w:val="center"/>
          </w:tcPr>
          <w:p w14:paraId="7F4816A7"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0B99F25E"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vAlign w:val="center"/>
          </w:tcPr>
          <w:p w14:paraId="2BF3B0A1"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3ECBD7F8" w14:textId="77777777" w:rsidR="00A61DDE" w:rsidRPr="00A61DDE" w:rsidRDefault="00A61DDE" w:rsidP="0069291B">
            <w:pPr>
              <w:jc w:val="right"/>
              <w:rPr>
                <w:lang w:eastAsia="en-AU"/>
              </w:rPr>
            </w:pPr>
            <w:r w:rsidRPr="00A61DDE">
              <w:rPr>
                <w:lang w:eastAsia="en-AU"/>
              </w:rPr>
              <w:t>1</w:t>
            </w:r>
          </w:p>
        </w:tc>
        <w:tc>
          <w:tcPr>
            <w:tcW w:w="1200" w:type="dxa"/>
            <w:tcBorders>
              <w:top w:val="single" w:sz="4" w:space="0" w:color="auto"/>
              <w:left w:val="nil"/>
              <w:bottom w:val="single" w:sz="4" w:space="0" w:color="auto"/>
              <w:right w:val="nil"/>
            </w:tcBorders>
            <w:shd w:val="clear" w:color="auto" w:fill="auto"/>
            <w:noWrap/>
            <w:vAlign w:val="center"/>
          </w:tcPr>
          <w:p w14:paraId="2D2929E0" w14:textId="77777777" w:rsidR="00A61DDE" w:rsidRPr="00A61DDE" w:rsidRDefault="00A61DDE" w:rsidP="0069291B">
            <w:pPr>
              <w:jc w:val="right"/>
              <w:rPr>
                <w:lang w:eastAsia="en-AU"/>
              </w:rPr>
            </w:pPr>
            <w:r w:rsidRPr="00A61DDE">
              <w:rPr>
                <w:lang w:eastAsia="en-AU"/>
              </w:rPr>
              <w:t>1</w:t>
            </w:r>
          </w:p>
        </w:tc>
        <w:tc>
          <w:tcPr>
            <w:tcW w:w="894" w:type="dxa"/>
            <w:tcBorders>
              <w:top w:val="single" w:sz="4" w:space="0" w:color="auto"/>
              <w:left w:val="nil"/>
              <w:bottom w:val="single" w:sz="4" w:space="0" w:color="auto"/>
              <w:right w:val="nil"/>
            </w:tcBorders>
            <w:shd w:val="clear" w:color="auto" w:fill="auto"/>
            <w:noWrap/>
            <w:vAlign w:val="center"/>
          </w:tcPr>
          <w:p w14:paraId="1F38359E"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4A6DAD90"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6CA84BDF"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0F738CB2"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5EE944AE"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35FCB402"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3A9280AD" w14:textId="77777777" w:rsidR="00A61DDE" w:rsidRPr="00A61DDE" w:rsidRDefault="00A61DDE" w:rsidP="0069291B">
            <w:pPr>
              <w:jc w:val="right"/>
              <w:rPr>
                <w:lang w:eastAsia="en-AU"/>
              </w:rPr>
            </w:pPr>
            <w:r w:rsidRPr="00A61DDE">
              <w:rPr>
                <w:lang w:eastAsia="en-AU"/>
              </w:rPr>
              <w:t>1</w:t>
            </w:r>
          </w:p>
        </w:tc>
        <w:tc>
          <w:tcPr>
            <w:tcW w:w="0" w:type="auto"/>
            <w:tcBorders>
              <w:top w:val="single" w:sz="4" w:space="0" w:color="auto"/>
              <w:left w:val="nil"/>
              <w:bottom w:val="single" w:sz="4" w:space="0" w:color="auto"/>
              <w:right w:val="nil"/>
            </w:tcBorders>
            <w:shd w:val="clear" w:color="auto" w:fill="auto"/>
            <w:noWrap/>
            <w:vAlign w:val="center"/>
          </w:tcPr>
          <w:p w14:paraId="215F3F6C" w14:textId="77777777" w:rsidR="00A61DDE" w:rsidRPr="00A61DDE" w:rsidRDefault="00A61DDE" w:rsidP="0069291B">
            <w:pPr>
              <w:jc w:val="right"/>
              <w:rPr>
                <w:lang w:eastAsia="en-AU"/>
              </w:rPr>
            </w:pPr>
            <w:r w:rsidRPr="00A61DDE">
              <w:rPr>
                <w:lang w:eastAsia="en-AU"/>
              </w:rPr>
              <w:t>1</w:t>
            </w:r>
          </w:p>
        </w:tc>
      </w:tr>
      <w:tr w:rsidR="00A61DDE" w:rsidRPr="00A61DDE" w14:paraId="075A4C05" w14:textId="77777777" w:rsidTr="0069291B">
        <w:trPr>
          <w:trHeight w:val="730"/>
        </w:trPr>
        <w:tc>
          <w:tcPr>
            <w:tcW w:w="0" w:type="auto"/>
            <w:gridSpan w:val="14"/>
            <w:tcBorders>
              <w:top w:val="single" w:sz="4" w:space="0" w:color="auto"/>
              <w:left w:val="nil"/>
              <w:bottom w:val="single" w:sz="8" w:space="0" w:color="auto"/>
              <w:right w:val="nil"/>
            </w:tcBorders>
            <w:shd w:val="clear" w:color="auto" w:fill="auto"/>
            <w:noWrap/>
            <w:vAlign w:val="center"/>
          </w:tcPr>
          <w:p w14:paraId="4574DDAB" w14:textId="77777777" w:rsidR="00A61DDE" w:rsidRPr="00A61DDE" w:rsidRDefault="00A61DDE" w:rsidP="00F53BDD">
            <w:pPr>
              <w:rPr>
                <w:rFonts w:eastAsia="Times New Roman" w:cs="Arial"/>
                <w:sz w:val="18"/>
                <w:szCs w:val="18"/>
                <w:lang w:eastAsia="en-AU"/>
              </w:rPr>
            </w:pPr>
            <w:r w:rsidRPr="0069291B">
              <w:rPr>
                <w:rFonts w:eastAsia="Times New Roman" w:cs="Arial"/>
                <w:i/>
                <w:sz w:val="18"/>
                <w:szCs w:val="18"/>
                <w:lang w:eastAsia="en-AU"/>
              </w:rPr>
              <w:t>Note</w:t>
            </w:r>
            <w:r w:rsidRPr="00A61DDE">
              <w:rPr>
                <w:rFonts w:eastAsia="Times New Roman" w:cs="Arial"/>
                <w:sz w:val="18"/>
                <w:szCs w:val="18"/>
                <w:lang w:eastAsia="en-AU"/>
              </w:rPr>
              <w:t xml:space="preserve">: *REI is calculated by dividing the average annual per-capita expenditure in each </w:t>
            </w:r>
            <w:r w:rsidR="0069291B" w:rsidRPr="00A61DDE">
              <w:rPr>
                <w:rFonts w:eastAsia="Times New Roman" w:cs="Arial"/>
                <w:sz w:val="18"/>
                <w:szCs w:val="18"/>
                <w:lang w:eastAsia="en-AU"/>
              </w:rPr>
              <w:t>region</w:t>
            </w:r>
            <w:r w:rsidRPr="00A61DDE">
              <w:rPr>
                <w:rFonts w:eastAsia="Times New Roman" w:cs="Arial"/>
                <w:sz w:val="18"/>
                <w:szCs w:val="18"/>
                <w:lang w:eastAsia="en-AU"/>
              </w:rPr>
              <w:t>, by the average annual per capita expenditure for the metropolitan area.</w:t>
            </w:r>
          </w:p>
          <w:p w14:paraId="2F68B95F" w14:textId="77777777" w:rsidR="00A61DDE" w:rsidRPr="0069291B" w:rsidRDefault="0069291B" w:rsidP="00F53BDD">
            <w:pPr>
              <w:rPr>
                <w:rFonts w:eastAsia="Times New Roman" w:cs="Arial"/>
                <w:sz w:val="18"/>
                <w:szCs w:val="18"/>
                <w:lang w:eastAsia="en-AU"/>
              </w:rPr>
            </w:pPr>
            <w:r>
              <w:rPr>
                <w:rFonts w:eastAsia="Times New Roman" w:cs="Arial"/>
                <w:sz w:val="18"/>
                <w:szCs w:val="18"/>
                <w:lang w:eastAsia="en-AU"/>
              </w:rPr>
              <w:t xml:space="preserve">          </w:t>
            </w:r>
            <w:r w:rsidR="00A61DDE" w:rsidRPr="00A61DDE">
              <w:rPr>
                <w:rFonts w:eastAsia="Times New Roman" w:cs="Arial"/>
                <w:sz w:val="18"/>
                <w:szCs w:val="18"/>
                <w:lang w:eastAsia="en-AU"/>
              </w:rPr>
              <w:t>**</w:t>
            </w:r>
            <w:r>
              <w:rPr>
                <w:rFonts w:eastAsia="Times New Roman" w:cs="Arial"/>
                <w:sz w:val="18"/>
                <w:szCs w:val="18"/>
                <w:lang w:eastAsia="en-AU"/>
              </w:rPr>
              <w:t xml:space="preserve"> The ‘Other’ category includes</w:t>
            </w:r>
            <w:r w:rsidR="00A61DDE" w:rsidRPr="00A61DDE">
              <w:rPr>
                <w:rFonts w:eastAsia="Times New Roman" w:cs="Arial"/>
                <w:sz w:val="18"/>
                <w:szCs w:val="18"/>
                <w:lang w:eastAsia="en-AU"/>
              </w:rPr>
              <w:t xml:space="preserve"> </w:t>
            </w:r>
            <w:r w:rsidR="00A61DDE" w:rsidRPr="00A61DDE">
              <w:rPr>
                <w:rFonts w:eastAsia="Times New Roman" w:cs="Arial"/>
                <w:color w:val="000000"/>
                <w:sz w:val="18"/>
                <w:szCs w:val="18"/>
                <w:lang w:eastAsia="en-AU"/>
              </w:rPr>
              <w:t>government services, government office accommodation and facilities for government management</w:t>
            </w:r>
            <w:r>
              <w:rPr>
                <w:rFonts w:eastAsia="Times New Roman" w:cs="Arial"/>
                <w:color w:val="000000"/>
                <w:sz w:val="18"/>
                <w:szCs w:val="18"/>
                <w:lang w:eastAsia="en-AU"/>
              </w:rPr>
              <w:t xml:space="preserve"> (such as IT facilities)</w:t>
            </w:r>
            <w:r w:rsidR="00A61DDE" w:rsidRPr="00A61DDE">
              <w:rPr>
                <w:rFonts w:eastAsia="Times New Roman" w:cs="Arial"/>
                <w:color w:val="000000"/>
                <w:sz w:val="18"/>
                <w:szCs w:val="18"/>
                <w:lang w:eastAsia="en-AU"/>
              </w:rPr>
              <w:t>.</w:t>
            </w:r>
          </w:p>
          <w:p w14:paraId="5F9C3997" w14:textId="77777777" w:rsidR="00A61DDE" w:rsidRPr="00A61DDE" w:rsidRDefault="0069291B" w:rsidP="00F53BDD">
            <w:pPr>
              <w:rPr>
                <w:rFonts w:eastAsia="Times New Roman" w:cs="Arial"/>
                <w:sz w:val="18"/>
                <w:szCs w:val="18"/>
                <w:lang w:eastAsia="en-AU"/>
              </w:rPr>
            </w:pPr>
            <w:r>
              <w:rPr>
                <w:rFonts w:eastAsia="Times New Roman" w:cs="Arial"/>
                <w:color w:val="000000"/>
                <w:sz w:val="18"/>
                <w:szCs w:val="18"/>
                <w:lang w:eastAsia="en-AU"/>
              </w:rPr>
              <w:t xml:space="preserve">          </w:t>
            </w:r>
            <w:r w:rsidR="00A61DDE" w:rsidRPr="00A61DDE">
              <w:rPr>
                <w:rFonts w:eastAsia="Times New Roman" w:cs="Arial"/>
                <w:color w:val="000000"/>
                <w:sz w:val="18"/>
                <w:szCs w:val="18"/>
                <w:lang w:eastAsia="en-AU"/>
              </w:rPr>
              <w:t xml:space="preserve">*** </w:t>
            </w:r>
            <w:r>
              <w:rPr>
                <w:rFonts w:eastAsia="Times New Roman" w:cs="Arial"/>
                <w:color w:val="000000"/>
                <w:sz w:val="18"/>
                <w:szCs w:val="18"/>
                <w:lang w:eastAsia="en-AU"/>
              </w:rPr>
              <w:t>The calculation of metropolitan average excludes CBD</w:t>
            </w:r>
            <w:r w:rsidR="00A61DDE" w:rsidRPr="00A61DDE">
              <w:rPr>
                <w:rFonts w:eastAsia="Times New Roman" w:cs="Arial"/>
                <w:color w:val="000000"/>
                <w:sz w:val="18"/>
                <w:szCs w:val="18"/>
                <w:lang w:eastAsia="en-AU"/>
              </w:rPr>
              <w:t xml:space="preserve"> and </w:t>
            </w:r>
            <w:proofErr w:type="spellStart"/>
            <w:r w:rsidR="00A61DDE" w:rsidRPr="00A61DDE">
              <w:rPr>
                <w:rFonts w:eastAsia="Times New Roman" w:cs="Arial"/>
                <w:color w:val="000000"/>
                <w:sz w:val="18"/>
                <w:szCs w:val="18"/>
                <w:lang w:eastAsia="en-AU"/>
              </w:rPr>
              <w:t>peri</w:t>
            </w:r>
            <w:proofErr w:type="spellEnd"/>
            <w:r w:rsidR="00A61DDE" w:rsidRPr="00A61DDE">
              <w:rPr>
                <w:rFonts w:eastAsia="Times New Roman" w:cs="Arial"/>
                <w:color w:val="000000"/>
                <w:sz w:val="18"/>
                <w:szCs w:val="18"/>
                <w:lang w:eastAsia="en-AU"/>
              </w:rPr>
              <w:t>-urban zone</w:t>
            </w:r>
            <w:r>
              <w:rPr>
                <w:rFonts w:eastAsia="Times New Roman" w:cs="Arial"/>
                <w:color w:val="000000"/>
                <w:sz w:val="18"/>
                <w:szCs w:val="18"/>
                <w:lang w:eastAsia="en-AU"/>
              </w:rPr>
              <w:t xml:space="preserve">. </w:t>
            </w:r>
          </w:p>
        </w:tc>
      </w:tr>
    </w:tbl>
    <w:p w14:paraId="2E232074" w14:textId="77777777" w:rsidR="00A61DDE" w:rsidRPr="00A61DDE" w:rsidRDefault="00A61DDE" w:rsidP="00DF15FE"/>
    <w:p w14:paraId="14A0C44E" w14:textId="77777777" w:rsidR="00DF15FE" w:rsidRPr="00DF15FE" w:rsidRDefault="00DF15FE" w:rsidP="00DF15FE">
      <w:pPr>
        <w:rPr>
          <w:lang w:val="en-AU"/>
        </w:rPr>
      </w:pPr>
    </w:p>
    <w:p w14:paraId="7697A6B8" w14:textId="77777777" w:rsidR="00A61DDE" w:rsidRDefault="00A61DDE" w:rsidP="00DF15FE">
      <w:pPr>
        <w:rPr>
          <w:lang w:val="en-AU"/>
        </w:rPr>
        <w:sectPr w:rsidR="00A61DDE" w:rsidSect="00A61DDE">
          <w:pgSz w:w="16838" w:h="11906" w:orient="landscape"/>
          <w:pgMar w:top="1418" w:right="1134" w:bottom="1418" w:left="1134" w:header="709" w:footer="709" w:gutter="0"/>
          <w:cols w:space="708"/>
          <w:docGrid w:linePitch="360"/>
        </w:sectPr>
      </w:pPr>
    </w:p>
    <w:p w14:paraId="32E3DE80" w14:textId="77777777" w:rsidR="008A185E" w:rsidRDefault="0069291B" w:rsidP="0069291B">
      <w:pPr>
        <w:pStyle w:val="Subheadings"/>
      </w:pPr>
      <w:r>
        <w:lastRenderedPageBreak/>
        <w:t>Results</w:t>
      </w:r>
    </w:p>
    <w:p w14:paraId="6ADB9F80" w14:textId="77777777" w:rsidR="0069291B" w:rsidRDefault="0069291B" w:rsidP="0069291B">
      <w:pPr>
        <w:pStyle w:val="subsubheadings"/>
      </w:pPr>
      <w:r>
        <w:t>Central Business District (‘City’)</w:t>
      </w:r>
    </w:p>
    <w:p w14:paraId="0682EAE3" w14:textId="77777777" w:rsidR="0069291B" w:rsidRPr="0069291B" w:rsidRDefault="0069291B" w:rsidP="0069291B">
      <w:pPr>
        <w:rPr>
          <w:lang w:val="en-AU"/>
        </w:rPr>
      </w:pPr>
      <w:r w:rsidRPr="0069291B">
        <w:rPr>
          <w:lang w:val="en-AU"/>
        </w:rPr>
        <w:t>Melbourne’s Central Business District (CBD) (‘City’) experienced the most rapid level of population growth since 1986, largely due to the City of Melbourne’s ‘Postcode 3000’ planning policy initiated in 1992. With 134 per cent growth in population from 1986 to 2011, at an annual rate of 5.53 per cent, per-capita investment levels in the CBD have remained very high relative to the rest of the metropolitan area. Total state government expenditure on infrastructure and services in the City was 39 times higher than the average for the rest of the metropolitan area.</w:t>
      </w:r>
    </w:p>
    <w:p w14:paraId="6779C3D4" w14:textId="77777777" w:rsidR="0069291B" w:rsidRDefault="0069291B" w:rsidP="0069291B">
      <w:pPr>
        <w:rPr>
          <w:lang w:val="en-AU"/>
        </w:rPr>
      </w:pPr>
      <w:r w:rsidRPr="0069291B">
        <w:rPr>
          <w:lang w:val="en-AU"/>
        </w:rPr>
        <w:t>However, services and infrastructure in the CBD cater not only to local residents, but also those who work in the CBD, commute through the CBD to get elsewhere, or visit the CBD for leisure. When including in the calculation of per capita investment not only the residential population, but also workers and visitors to the CBD on an average weekday, average annual per capita investment in Melbourne CBD drops significantly to levels that are closer to the metropolitan average (</w:t>
      </w:r>
      <w:r>
        <w:rPr>
          <w:lang w:val="en-AU"/>
        </w:rPr>
        <w:t xml:space="preserve">see </w:t>
      </w:r>
      <w:r w:rsidRPr="0069291B">
        <w:rPr>
          <w:lang w:val="en-AU"/>
        </w:rPr>
        <w:t>Table 3).</w:t>
      </w:r>
    </w:p>
    <w:p w14:paraId="455A9327" w14:textId="77777777" w:rsidR="0069291B" w:rsidRDefault="0069291B" w:rsidP="0069291B">
      <w:pPr>
        <w:rPr>
          <w:lang w:val="en-AU"/>
        </w:rPr>
      </w:pPr>
    </w:p>
    <w:p w14:paraId="3ECC11AA" w14:textId="299CD200" w:rsidR="0069291B" w:rsidRPr="00E6546A" w:rsidRDefault="00E6546A" w:rsidP="0069291B">
      <w:pPr>
        <w:rPr>
          <w:b/>
          <w:u w:val="single"/>
          <w:lang w:val="en-AU"/>
        </w:rPr>
      </w:pPr>
      <w:r>
        <w:rPr>
          <w:b/>
          <w:u w:val="single"/>
          <w:lang w:val="en-AU"/>
        </w:rPr>
        <w:t>Table 3. Adjusted Annual Per Capital Sp</w:t>
      </w:r>
      <w:r w:rsidR="0069291B" w:rsidRPr="00E6546A">
        <w:rPr>
          <w:b/>
          <w:u w:val="single"/>
          <w:lang w:val="en-AU"/>
        </w:rPr>
        <w:t>e</w:t>
      </w:r>
      <w:r>
        <w:rPr>
          <w:b/>
          <w:u w:val="single"/>
          <w:lang w:val="en-AU"/>
        </w:rPr>
        <w:t>nding ($) in Melbourne CBD, by Usual Residents, Workers and V</w:t>
      </w:r>
      <w:r w:rsidR="0069291B" w:rsidRPr="00E6546A">
        <w:rPr>
          <w:b/>
          <w:u w:val="single"/>
          <w:lang w:val="en-AU"/>
        </w:rPr>
        <w:t>isitors</w:t>
      </w:r>
    </w:p>
    <w:p w14:paraId="35CE8013" w14:textId="77777777" w:rsidR="0069291B" w:rsidRDefault="0069291B" w:rsidP="0069291B">
      <w:pPr>
        <w:rPr>
          <w:lang w:val="en-AU"/>
        </w:rPr>
      </w:pPr>
    </w:p>
    <w:tbl>
      <w:tblPr>
        <w:tblW w:w="6521" w:type="dxa"/>
        <w:jc w:val="center"/>
        <w:tblCellMar>
          <w:top w:w="15" w:type="dxa"/>
          <w:bottom w:w="15" w:type="dxa"/>
        </w:tblCellMar>
        <w:tblLook w:val="04A0" w:firstRow="1" w:lastRow="0" w:firstColumn="1" w:lastColumn="0" w:noHBand="0" w:noVBand="1"/>
      </w:tblPr>
      <w:tblGrid>
        <w:gridCol w:w="284"/>
        <w:gridCol w:w="2977"/>
        <w:gridCol w:w="1417"/>
        <w:gridCol w:w="1843"/>
      </w:tblGrid>
      <w:tr w:rsidR="0069291B" w:rsidRPr="0069291B" w14:paraId="2CE2F71A" w14:textId="77777777" w:rsidTr="0069291B">
        <w:trPr>
          <w:trHeight w:val="522"/>
          <w:jc w:val="center"/>
        </w:trPr>
        <w:tc>
          <w:tcPr>
            <w:tcW w:w="3261" w:type="dxa"/>
            <w:gridSpan w:val="2"/>
            <w:tcBorders>
              <w:top w:val="single" w:sz="8" w:space="0" w:color="auto"/>
              <w:left w:val="nil"/>
              <w:bottom w:val="single" w:sz="4" w:space="0" w:color="auto"/>
              <w:right w:val="nil"/>
            </w:tcBorders>
            <w:noWrap/>
            <w:vAlign w:val="center"/>
          </w:tcPr>
          <w:p w14:paraId="4E142029" w14:textId="77777777" w:rsidR="0069291B" w:rsidRPr="0069291B" w:rsidRDefault="0069291B" w:rsidP="0069291B">
            <w:pPr>
              <w:rPr>
                <w:rFonts w:cs="Arial"/>
                <w:b/>
                <w:sz w:val="18"/>
                <w:szCs w:val="18"/>
              </w:rPr>
            </w:pPr>
            <w:r w:rsidRPr="0069291B">
              <w:rPr>
                <w:rFonts w:cs="Arial"/>
                <w:b/>
                <w:sz w:val="18"/>
                <w:szCs w:val="18"/>
              </w:rPr>
              <w:t>Population count</w:t>
            </w:r>
          </w:p>
        </w:tc>
        <w:tc>
          <w:tcPr>
            <w:tcW w:w="1417" w:type="dxa"/>
            <w:tcBorders>
              <w:top w:val="single" w:sz="8" w:space="0" w:color="auto"/>
              <w:left w:val="nil"/>
              <w:bottom w:val="single" w:sz="4" w:space="0" w:color="auto"/>
              <w:right w:val="nil"/>
            </w:tcBorders>
            <w:noWrap/>
            <w:vAlign w:val="center"/>
          </w:tcPr>
          <w:p w14:paraId="752294C4" w14:textId="77777777" w:rsidR="0069291B" w:rsidRPr="0069291B" w:rsidRDefault="0069291B" w:rsidP="0069291B">
            <w:pPr>
              <w:jc w:val="center"/>
              <w:rPr>
                <w:rFonts w:cs="Arial"/>
                <w:b/>
                <w:sz w:val="18"/>
                <w:szCs w:val="18"/>
              </w:rPr>
            </w:pPr>
            <w:r w:rsidRPr="0069291B">
              <w:rPr>
                <w:rFonts w:cs="Arial"/>
                <w:b/>
                <w:sz w:val="18"/>
                <w:szCs w:val="18"/>
              </w:rPr>
              <w:t>Melbourne CBD</w:t>
            </w:r>
          </w:p>
        </w:tc>
        <w:tc>
          <w:tcPr>
            <w:tcW w:w="1843" w:type="dxa"/>
            <w:tcBorders>
              <w:top w:val="single" w:sz="8" w:space="0" w:color="auto"/>
              <w:left w:val="nil"/>
              <w:bottom w:val="single" w:sz="4" w:space="0" w:color="auto"/>
              <w:right w:val="nil"/>
            </w:tcBorders>
            <w:noWrap/>
            <w:vAlign w:val="center"/>
          </w:tcPr>
          <w:p w14:paraId="4AB2152B" w14:textId="77777777" w:rsidR="0069291B" w:rsidRPr="0069291B" w:rsidRDefault="0069291B" w:rsidP="0069291B">
            <w:pPr>
              <w:jc w:val="center"/>
              <w:rPr>
                <w:rFonts w:cs="Arial"/>
                <w:b/>
                <w:sz w:val="18"/>
                <w:szCs w:val="18"/>
              </w:rPr>
            </w:pPr>
            <w:r w:rsidRPr="0069291B">
              <w:rPr>
                <w:rFonts w:cs="Arial"/>
                <w:b/>
                <w:sz w:val="18"/>
                <w:szCs w:val="18"/>
              </w:rPr>
              <w:t>Melbourne Metropolitan Area</w:t>
            </w:r>
          </w:p>
        </w:tc>
      </w:tr>
      <w:tr w:rsidR="0069291B" w:rsidRPr="0069291B" w14:paraId="6804B9F6" w14:textId="77777777" w:rsidTr="0069291B">
        <w:trPr>
          <w:trHeight w:val="285"/>
          <w:jc w:val="center"/>
        </w:trPr>
        <w:tc>
          <w:tcPr>
            <w:tcW w:w="284" w:type="dxa"/>
            <w:tcBorders>
              <w:top w:val="single" w:sz="4" w:space="0" w:color="auto"/>
              <w:left w:val="nil"/>
              <w:bottom w:val="nil"/>
              <w:right w:val="nil"/>
            </w:tcBorders>
            <w:noWrap/>
            <w:vAlign w:val="bottom"/>
          </w:tcPr>
          <w:p w14:paraId="1A2E6A2D" w14:textId="77777777" w:rsidR="0069291B" w:rsidRPr="0069291B" w:rsidRDefault="0069291B" w:rsidP="0069291B">
            <w:pPr>
              <w:rPr>
                <w:rFonts w:cs="Arial"/>
                <w:sz w:val="18"/>
                <w:szCs w:val="18"/>
              </w:rPr>
            </w:pPr>
          </w:p>
        </w:tc>
        <w:tc>
          <w:tcPr>
            <w:tcW w:w="2977" w:type="dxa"/>
            <w:tcBorders>
              <w:top w:val="single" w:sz="4" w:space="0" w:color="auto"/>
              <w:left w:val="nil"/>
              <w:bottom w:val="nil"/>
              <w:right w:val="nil"/>
            </w:tcBorders>
            <w:vAlign w:val="bottom"/>
          </w:tcPr>
          <w:p w14:paraId="01AC1000" w14:textId="77777777" w:rsidR="0069291B" w:rsidRPr="0069291B" w:rsidRDefault="0069291B" w:rsidP="0069291B">
            <w:pPr>
              <w:rPr>
                <w:rFonts w:cs="Arial"/>
                <w:sz w:val="18"/>
                <w:szCs w:val="18"/>
              </w:rPr>
            </w:pPr>
            <w:r w:rsidRPr="0069291B">
              <w:rPr>
                <w:rFonts w:cs="Arial"/>
                <w:sz w:val="18"/>
                <w:szCs w:val="18"/>
              </w:rPr>
              <w:t>Usual residents</w:t>
            </w:r>
          </w:p>
        </w:tc>
        <w:tc>
          <w:tcPr>
            <w:tcW w:w="1417" w:type="dxa"/>
            <w:tcBorders>
              <w:top w:val="single" w:sz="4" w:space="0" w:color="auto"/>
              <w:left w:val="nil"/>
              <w:bottom w:val="nil"/>
              <w:right w:val="nil"/>
            </w:tcBorders>
            <w:noWrap/>
            <w:vAlign w:val="center"/>
          </w:tcPr>
          <w:p w14:paraId="40EE86B3" w14:textId="77777777" w:rsidR="0069291B" w:rsidRPr="0069291B" w:rsidRDefault="0069291B" w:rsidP="0069291B">
            <w:pPr>
              <w:jc w:val="right"/>
              <w:rPr>
                <w:rFonts w:cs="Arial"/>
                <w:sz w:val="18"/>
                <w:szCs w:val="18"/>
              </w:rPr>
            </w:pPr>
            <w:r w:rsidRPr="0069291B">
              <w:rPr>
                <w:rFonts w:cs="Arial"/>
                <w:sz w:val="18"/>
                <w:szCs w:val="18"/>
              </w:rPr>
              <w:t>18791.43</w:t>
            </w:r>
          </w:p>
        </w:tc>
        <w:tc>
          <w:tcPr>
            <w:tcW w:w="1843" w:type="dxa"/>
            <w:tcBorders>
              <w:top w:val="single" w:sz="4" w:space="0" w:color="auto"/>
              <w:left w:val="nil"/>
              <w:bottom w:val="nil"/>
              <w:right w:val="nil"/>
            </w:tcBorders>
            <w:noWrap/>
            <w:vAlign w:val="center"/>
          </w:tcPr>
          <w:p w14:paraId="19B24B70" w14:textId="77777777" w:rsidR="0069291B" w:rsidRPr="0069291B" w:rsidRDefault="0069291B" w:rsidP="0069291B">
            <w:pPr>
              <w:jc w:val="right"/>
              <w:rPr>
                <w:rFonts w:cs="Arial"/>
                <w:sz w:val="18"/>
                <w:szCs w:val="18"/>
              </w:rPr>
            </w:pPr>
            <w:r w:rsidRPr="0069291B">
              <w:rPr>
                <w:rFonts w:cs="Arial"/>
                <w:sz w:val="18"/>
                <w:szCs w:val="18"/>
              </w:rPr>
              <w:t>603.63</w:t>
            </w:r>
          </w:p>
        </w:tc>
      </w:tr>
      <w:tr w:rsidR="0069291B" w:rsidRPr="0069291B" w14:paraId="7D57E462" w14:textId="77777777" w:rsidTr="0069291B">
        <w:trPr>
          <w:trHeight w:val="285"/>
          <w:jc w:val="center"/>
        </w:trPr>
        <w:tc>
          <w:tcPr>
            <w:tcW w:w="284" w:type="dxa"/>
            <w:tcBorders>
              <w:top w:val="nil"/>
              <w:left w:val="nil"/>
              <w:right w:val="nil"/>
            </w:tcBorders>
            <w:noWrap/>
            <w:vAlign w:val="bottom"/>
          </w:tcPr>
          <w:p w14:paraId="185F0E00" w14:textId="77777777" w:rsidR="0069291B" w:rsidRPr="0069291B" w:rsidRDefault="0069291B" w:rsidP="0069291B">
            <w:pPr>
              <w:rPr>
                <w:rFonts w:cs="Arial"/>
                <w:sz w:val="18"/>
                <w:szCs w:val="18"/>
              </w:rPr>
            </w:pPr>
          </w:p>
        </w:tc>
        <w:tc>
          <w:tcPr>
            <w:tcW w:w="2977" w:type="dxa"/>
            <w:tcBorders>
              <w:top w:val="nil"/>
              <w:left w:val="nil"/>
              <w:right w:val="nil"/>
            </w:tcBorders>
            <w:noWrap/>
            <w:vAlign w:val="bottom"/>
          </w:tcPr>
          <w:p w14:paraId="11A8E49A" w14:textId="77777777" w:rsidR="0069291B" w:rsidRPr="0069291B" w:rsidRDefault="0069291B" w:rsidP="0069291B">
            <w:pPr>
              <w:rPr>
                <w:rFonts w:cs="Arial"/>
                <w:sz w:val="18"/>
                <w:szCs w:val="18"/>
              </w:rPr>
            </w:pPr>
            <w:r w:rsidRPr="0069291B">
              <w:rPr>
                <w:rFonts w:cs="Arial"/>
                <w:sz w:val="18"/>
                <w:szCs w:val="18"/>
              </w:rPr>
              <w:t>Usual residents and daily workers</w:t>
            </w:r>
          </w:p>
        </w:tc>
        <w:tc>
          <w:tcPr>
            <w:tcW w:w="1417" w:type="dxa"/>
            <w:tcBorders>
              <w:top w:val="nil"/>
              <w:left w:val="nil"/>
              <w:right w:val="nil"/>
            </w:tcBorders>
            <w:noWrap/>
            <w:vAlign w:val="center"/>
          </w:tcPr>
          <w:p w14:paraId="1756B02E" w14:textId="77777777" w:rsidR="0069291B" w:rsidRPr="0069291B" w:rsidRDefault="0069291B" w:rsidP="0069291B">
            <w:pPr>
              <w:jc w:val="right"/>
              <w:rPr>
                <w:rFonts w:cs="Arial"/>
                <w:sz w:val="18"/>
                <w:szCs w:val="18"/>
              </w:rPr>
            </w:pPr>
            <w:r w:rsidRPr="0069291B">
              <w:rPr>
                <w:rFonts w:cs="Arial"/>
                <w:sz w:val="18"/>
                <w:szCs w:val="18"/>
              </w:rPr>
              <w:t>980.03</w:t>
            </w:r>
          </w:p>
        </w:tc>
        <w:tc>
          <w:tcPr>
            <w:tcW w:w="1843" w:type="dxa"/>
            <w:tcBorders>
              <w:top w:val="nil"/>
              <w:left w:val="nil"/>
              <w:right w:val="nil"/>
            </w:tcBorders>
            <w:noWrap/>
            <w:vAlign w:val="center"/>
          </w:tcPr>
          <w:p w14:paraId="73B18C15" w14:textId="77777777" w:rsidR="0069291B" w:rsidRPr="0069291B" w:rsidRDefault="0069291B" w:rsidP="0069291B">
            <w:pPr>
              <w:jc w:val="right"/>
              <w:rPr>
                <w:rFonts w:cs="Arial"/>
                <w:sz w:val="18"/>
                <w:szCs w:val="18"/>
              </w:rPr>
            </w:pPr>
            <w:r w:rsidRPr="0069291B">
              <w:rPr>
                <w:rFonts w:cs="Arial"/>
                <w:sz w:val="18"/>
                <w:szCs w:val="18"/>
              </w:rPr>
              <w:t>372.21</w:t>
            </w:r>
          </w:p>
        </w:tc>
      </w:tr>
      <w:tr w:rsidR="0069291B" w:rsidRPr="0069291B" w14:paraId="488B1BA6" w14:textId="77777777" w:rsidTr="0069291B">
        <w:trPr>
          <w:trHeight w:val="285"/>
          <w:jc w:val="center"/>
        </w:trPr>
        <w:tc>
          <w:tcPr>
            <w:tcW w:w="284" w:type="dxa"/>
            <w:tcBorders>
              <w:top w:val="nil"/>
              <w:left w:val="nil"/>
              <w:bottom w:val="single" w:sz="4" w:space="0" w:color="auto"/>
              <w:right w:val="nil"/>
            </w:tcBorders>
            <w:noWrap/>
            <w:vAlign w:val="bottom"/>
          </w:tcPr>
          <w:p w14:paraId="2FE16D07" w14:textId="77777777" w:rsidR="0069291B" w:rsidRPr="0069291B" w:rsidRDefault="0069291B" w:rsidP="0069291B">
            <w:pPr>
              <w:rPr>
                <w:rFonts w:cs="Arial"/>
                <w:sz w:val="18"/>
                <w:szCs w:val="18"/>
              </w:rPr>
            </w:pPr>
          </w:p>
        </w:tc>
        <w:tc>
          <w:tcPr>
            <w:tcW w:w="2977" w:type="dxa"/>
            <w:tcBorders>
              <w:top w:val="nil"/>
              <w:left w:val="nil"/>
              <w:bottom w:val="single" w:sz="4" w:space="0" w:color="auto"/>
              <w:right w:val="nil"/>
            </w:tcBorders>
            <w:vAlign w:val="bottom"/>
          </w:tcPr>
          <w:p w14:paraId="76206EE5" w14:textId="77777777" w:rsidR="0069291B" w:rsidRPr="0069291B" w:rsidRDefault="0069291B" w:rsidP="0069291B">
            <w:pPr>
              <w:rPr>
                <w:rFonts w:cs="Arial"/>
                <w:sz w:val="18"/>
                <w:szCs w:val="18"/>
              </w:rPr>
            </w:pPr>
            <w:r>
              <w:rPr>
                <w:rFonts w:cs="Arial"/>
                <w:sz w:val="18"/>
                <w:szCs w:val="18"/>
              </w:rPr>
              <w:t>W</w:t>
            </w:r>
            <w:r w:rsidRPr="0069291B">
              <w:rPr>
                <w:rFonts w:cs="Arial"/>
                <w:sz w:val="18"/>
                <w:szCs w:val="18"/>
              </w:rPr>
              <w:t>eekday population*</w:t>
            </w:r>
          </w:p>
        </w:tc>
        <w:tc>
          <w:tcPr>
            <w:tcW w:w="1417" w:type="dxa"/>
            <w:tcBorders>
              <w:top w:val="nil"/>
              <w:left w:val="nil"/>
              <w:bottom w:val="single" w:sz="4" w:space="0" w:color="auto"/>
              <w:right w:val="nil"/>
            </w:tcBorders>
            <w:noWrap/>
            <w:vAlign w:val="center"/>
          </w:tcPr>
          <w:p w14:paraId="554B40B9" w14:textId="77777777" w:rsidR="0069291B" w:rsidRPr="0069291B" w:rsidRDefault="0069291B" w:rsidP="0069291B">
            <w:pPr>
              <w:jc w:val="right"/>
              <w:rPr>
                <w:rFonts w:cs="Arial"/>
                <w:sz w:val="18"/>
                <w:szCs w:val="18"/>
              </w:rPr>
            </w:pPr>
            <w:r w:rsidRPr="0069291B">
              <w:rPr>
                <w:rFonts w:cs="Arial"/>
                <w:sz w:val="18"/>
                <w:szCs w:val="18"/>
              </w:rPr>
              <w:t>403.87</w:t>
            </w:r>
          </w:p>
        </w:tc>
        <w:tc>
          <w:tcPr>
            <w:tcW w:w="1843" w:type="dxa"/>
            <w:tcBorders>
              <w:top w:val="nil"/>
              <w:left w:val="nil"/>
              <w:bottom w:val="single" w:sz="4" w:space="0" w:color="auto"/>
              <w:right w:val="nil"/>
            </w:tcBorders>
            <w:noWrap/>
            <w:vAlign w:val="center"/>
          </w:tcPr>
          <w:p w14:paraId="42FEEB06" w14:textId="77777777" w:rsidR="0069291B" w:rsidRPr="0069291B" w:rsidRDefault="0069291B" w:rsidP="0069291B">
            <w:pPr>
              <w:jc w:val="right"/>
              <w:rPr>
                <w:rFonts w:cs="Arial"/>
                <w:sz w:val="18"/>
                <w:szCs w:val="18"/>
              </w:rPr>
            </w:pPr>
            <w:r w:rsidRPr="0069291B">
              <w:rPr>
                <w:rFonts w:cs="Arial"/>
                <w:sz w:val="18"/>
                <w:szCs w:val="18"/>
              </w:rPr>
              <w:t>-</w:t>
            </w:r>
          </w:p>
        </w:tc>
      </w:tr>
      <w:tr w:rsidR="0069291B" w:rsidRPr="0069291B" w14:paraId="5C50FBB8" w14:textId="77777777" w:rsidTr="0069291B">
        <w:trPr>
          <w:trHeight w:val="285"/>
          <w:jc w:val="center"/>
        </w:trPr>
        <w:tc>
          <w:tcPr>
            <w:tcW w:w="6521" w:type="dxa"/>
            <w:gridSpan w:val="4"/>
            <w:tcBorders>
              <w:top w:val="single" w:sz="4" w:space="0" w:color="auto"/>
              <w:left w:val="nil"/>
              <w:bottom w:val="single" w:sz="8" w:space="0" w:color="auto"/>
              <w:right w:val="nil"/>
            </w:tcBorders>
            <w:noWrap/>
          </w:tcPr>
          <w:p w14:paraId="1BB07A4F" w14:textId="7C5987CF" w:rsidR="0069291B" w:rsidRPr="0069291B" w:rsidRDefault="0069291B" w:rsidP="0069291B">
            <w:pPr>
              <w:rPr>
                <w:rFonts w:cs="Arial"/>
                <w:sz w:val="18"/>
                <w:szCs w:val="18"/>
              </w:rPr>
            </w:pPr>
            <w:r>
              <w:rPr>
                <w:rFonts w:cs="Arial"/>
                <w:sz w:val="18"/>
                <w:szCs w:val="18"/>
              </w:rPr>
              <w:t>Note: *W</w:t>
            </w:r>
            <w:r w:rsidRPr="0069291B">
              <w:rPr>
                <w:rFonts w:cs="Arial"/>
                <w:sz w:val="18"/>
                <w:szCs w:val="18"/>
              </w:rPr>
              <w:t>eekday population was a combination of residents, students, workers, commuters and visitors</w:t>
            </w:r>
            <w:r>
              <w:rPr>
                <w:rFonts w:cs="Arial"/>
                <w:sz w:val="18"/>
                <w:szCs w:val="18"/>
              </w:rPr>
              <w:t xml:space="preserve"> (City of Melbourne, 2015, p. 13).</w:t>
            </w:r>
          </w:p>
        </w:tc>
      </w:tr>
    </w:tbl>
    <w:p w14:paraId="29D5A593" w14:textId="77777777" w:rsidR="0069291B" w:rsidRPr="0069291B" w:rsidRDefault="0069291B" w:rsidP="0069291B"/>
    <w:p w14:paraId="043DC92E" w14:textId="77777777" w:rsidR="0069291B" w:rsidRDefault="0069291B" w:rsidP="00DF15FE">
      <w:pPr>
        <w:rPr>
          <w:lang w:val="en-AU"/>
        </w:rPr>
      </w:pPr>
      <w:r w:rsidRPr="0069291B">
        <w:rPr>
          <w:lang w:val="en-AU"/>
        </w:rPr>
        <w:t>Melbourne CBD attracted particular types of infrastructure and services, including: government services (includes office accommodation and government IT services) (1249 REI, i.e., 1249 times higher than the metropolitan average); justice facilities (434 REI); amenities (173 REI); urban development (122 REI); public housing (55 REI); and police and emergency services (32 REI). Public housing expenditure involved, primarily, investment in the Commonwealth Games Village. Education infrastructure expenditure in Melbourne’s CBD expenditure was 4 times higher than the metropolitan average, a substantial proportion of it going to selective K-12 schools located in the CBD.</w:t>
      </w:r>
      <w:r w:rsidR="00B42C32">
        <w:rPr>
          <w:lang w:val="en-AU"/>
        </w:rPr>
        <w:t xml:space="preserve"> </w:t>
      </w:r>
      <w:r w:rsidRPr="0069291B">
        <w:rPr>
          <w:lang w:val="en-AU"/>
        </w:rPr>
        <w:t>While infrastructures such as amenities and selective school in the CBD serve a wider population living well outside the CBD, there are obvious advantages for residents living in the CBD or its immediate surrounds in accessing these facilities. Furthermore, while government facilities serve the whole state, their location within the CBD is advantageous to local residents in terms of access to public sector jobs.</w:t>
      </w:r>
    </w:p>
    <w:p w14:paraId="515B95D8" w14:textId="77777777" w:rsidR="0069291B" w:rsidRDefault="0069291B" w:rsidP="00DF15FE">
      <w:pPr>
        <w:rPr>
          <w:lang w:val="en-AU"/>
        </w:rPr>
      </w:pPr>
    </w:p>
    <w:p w14:paraId="419058C9" w14:textId="77777777" w:rsidR="00B42C32" w:rsidRDefault="00B42C32" w:rsidP="00DF15FE">
      <w:pPr>
        <w:rPr>
          <w:lang w:val="en-AU"/>
        </w:rPr>
      </w:pPr>
      <w:r w:rsidRPr="00B42C32">
        <w:rPr>
          <w:lang w:val="en-AU"/>
        </w:rPr>
        <w:t>The only category where state government expenditure in the CBD was below the metropolitan average is community services. This is concerning given the relative high presence of socially disadvantaged groups, such as homeless people, in the CBD. However, underinvestment in community services by the state government is possibly offset by relatively high levels of investment by the City of Melbourne.</w:t>
      </w:r>
    </w:p>
    <w:p w14:paraId="59AADE46" w14:textId="77777777" w:rsidR="00B42C32" w:rsidRDefault="00B42C32" w:rsidP="00DF15FE">
      <w:pPr>
        <w:rPr>
          <w:lang w:val="en-AU"/>
        </w:rPr>
      </w:pPr>
    </w:p>
    <w:p w14:paraId="0B1E19AC" w14:textId="77777777" w:rsidR="00B42C32" w:rsidRDefault="00B42C32" w:rsidP="00B42C32">
      <w:pPr>
        <w:pStyle w:val="subsubheadings"/>
      </w:pPr>
      <w:r>
        <w:t>Inner city</w:t>
      </w:r>
    </w:p>
    <w:p w14:paraId="1CCB80BA" w14:textId="77777777" w:rsidR="00B42C32" w:rsidRPr="00B42C32" w:rsidRDefault="00B42C32" w:rsidP="00B42C32">
      <w:pPr>
        <w:rPr>
          <w:lang w:val="en-AU"/>
        </w:rPr>
      </w:pPr>
      <w:r w:rsidRPr="00B42C32">
        <w:rPr>
          <w:lang w:val="en-AU"/>
        </w:rPr>
        <w:t>Much of Melbourne’s population growth and densification since the mid-1980s took place in the ‘inner city’ cluster consisting of 31 suburbs that form an almost perfect ring surrounding Melbourne’s CBD. From 1986 to 2011, the population of these suburbs grew by 41per cent, at an annual growth rate of 1.61 per cent. In 2011, over half (53%) of the housing stock in the inner-city cluster were non-detached dwellings (e.g., flats). Relative to the growth in population, per capita expenditure levels in the inner-city cluster remained very high, 2.06 times higher than the metropolitan average (excluding the CBD).</w:t>
      </w:r>
    </w:p>
    <w:p w14:paraId="46161D9C" w14:textId="77777777" w:rsidR="00B42C32" w:rsidRPr="00B42C32" w:rsidRDefault="00B42C32" w:rsidP="00B42C32">
      <w:pPr>
        <w:rPr>
          <w:lang w:val="en-AU"/>
        </w:rPr>
      </w:pPr>
    </w:p>
    <w:p w14:paraId="597AD2CC" w14:textId="77777777" w:rsidR="00B42C32" w:rsidRDefault="00B42C32" w:rsidP="00B42C32">
      <w:pPr>
        <w:rPr>
          <w:lang w:val="en-AU"/>
        </w:rPr>
      </w:pPr>
      <w:r w:rsidRPr="00B42C32">
        <w:rPr>
          <w:lang w:val="en-AU"/>
        </w:rPr>
        <w:t>Per-capita expenditure in the cluster was particularly high in the categories of amenities (11.80 REI); government services (8.87 REI); Health (3.55 REI); and Community services (2.5 REI). These can be seen as direct benefits for the local resident population, with good access to services as well as jobs associated with them.</w:t>
      </w:r>
      <w:r>
        <w:rPr>
          <w:lang w:val="en-AU"/>
        </w:rPr>
        <w:t xml:space="preserve"> </w:t>
      </w:r>
      <w:r w:rsidRPr="00B42C32">
        <w:rPr>
          <w:lang w:val="en-AU"/>
        </w:rPr>
        <w:t>Per capita expenditure was below the metropolitan average on roads and traffic (0.01 REI); public housing (0.15 REI); urban development (0.24 REI); utilities (0.48 REI); and public transport (0.78 REI). In particular, the low level of public transport expenditure in this cluster appears counter-productive to a ‘compact city’ development pattern.</w:t>
      </w:r>
    </w:p>
    <w:p w14:paraId="57F5AFE1" w14:textId="77777777" w:rsidR="00B42C32" w:rsidRDefault="00B42C32" w:rsidP="00B42C32">
      <w:pPr>
        <w:rPr>
          <w:lang w:val="en-AU"/>
        </w:rPr>
      </w:pPr>
    </w:p>
    <w:p w14:paraId="0769276E" w14:textId="77777777" w:rsidR="00B42C32" w:rsidRDefault="00B42C32" w:rsidP="00B42C32">
      <w:pPr>
        <w:pStyle w:val="subsubheadings"/>
      </w:pPr>
      <w:r>
        <w:lastRenderedPageBreak/>
        <w:t>Inner suburbs</w:t>
      </w:r>
    </w:p>
    <w:p w14:paraId="681A4E85" w14:textId="2E106C69" w:rsidR="00B42C32" w:rsidRDefault="00B42C32" w:rsidP="00B42C32">
      <w:r w:rsidRPr="00B42C32">
        <w:t>The inner suburbs category refers to a cluster of 57 suburbs surrounding the inner city, although disproportionally located to its east. The cluster includes some of Melbourne’s most affluent suburbs, with a mean IRSD score of 1058.49, higher than any other cluster in our analysis. The cluster includes long established affluent suburb</w:t>
      </w:r>
      <w:r>
        <w:t xml:space="preserve">s (e.g., </w:t>
      </w:r>
      <w:proofErr w:type="spellStart"/>
      <w:r>
        <w:t>Toorak</w:t>
      </w:r>
      <w:proofErr w:type="spellEnd"/>
      <w:r>
        <w:t>, Hawthorn and</w:t>
      </w:r>
      <w:r w:rsidRPr="00B42C32">
        <w:t xml:space="preserve"> </w:t>
      </w:r>
      <w:proofErr w:type="spellStart"/>
      <w:r w:rsidRPr="00B42C32">
        <w:t>Balwyn</w:t>
      </w:r>
      <w:proofErr w:type="spellEnd"/>
      <w:r w:rsidRPr="00B42C32">
        <w:t>),</w:t>
      </w:r>
      <w:r>
        <w:t xml:space="preserve"> </w:t>
      </w:r>
      <w:r w:rsidRPr="00B42C32">
        <w:t>gentrified (e.g.</w:t>
      </w:r>
      <w:r>
        <w:t>, Abbotsford</w:t>
      </w:r>
      <w:r w:rsidRPr="00B42C32">
        <w:t>) and gentrifying suburbs (</w:t>
      </w:r>
      <w:r>
        <w:t xml:space="preserve">e.g., Northcote and </w:t>
      </w:r>
      <w:r w:rsidRPr="00B42C32">
        <w:t>Coburg). With 28 per cent of the housing stocks in the form of attached dwellings, these suburbs are sparse in comparison with the CBD and inner-city, but significantly denser than most other parts of metropolitan Melbourne. Densification in these suburbs– 15 per cent population growth from 1986 to 2011, at an annual growth rate of 0.71 per cent – has often faced highly effective local resistance</w:t>
      </w:r>
      <w:r>
        <w:t xml:space="preserve"> (Taylor, Cook and Hurley, 2016). </w:t>
      </w:r>
      <w:r w:rsidRPr="00B42C32">
        <w:t xml:space="preserve">Inadequacy of infrastructure and services is often a major argument raised by those opposing further densification in the inner suburbs </w:t>
      </w:r>
      <w:r>
        <w:t xml:space="preserve">(Troy, 2017). </w:t>
      </w:r>
      <w:r w:rsidRPr="00B42C32">
        <w:t>Indeed, our analysis points to relatively low per-capita investment in the inner suburbs cluster, approximately 13 per cent lower than the metropolitan average (excluding the CBD).</w:t>
      </w:r>
    </w:p>
    <w:p w14:paraId="544340EC" w14:textId="77777777" w:rsidR="00B42C32" w:rsidRDefault="00B42C32" w:rsidP="00B42C32"/>
    <w:p w14:paraId="3342AF8D" w14:textId="11DC14C9" w:rsidR="00B42C32" w:rsidRDefault="00B42C32" w:rsidP="00B42C32">
      <w:r w:rsidRPr="00B42C32">
        <w:t>Expenditure was particularly low in the categories of government services (nil); amenities (0.01 REI); urban development (0.03 REI); public transport (0.32 REI); roads and traffic (0.53 REI); education (0.68 REI); public housing (0.75 REI); and, utilities (0.78 REI).</w:t>
      </w:r>
      <w:r w:rsidR="001543E8">
        <w:t xml:space="preserve"> </w:t>
      </w:r>
      <w:r w:rsidRPr="00B42C32">
        <w:t xml:space="preserve">The low level of investment in some of these categories could be seen as compensated by the affluence of these areas, which ensures access to privately funded (e.g., private schools). Well-resourced local government in these affluent areas are also in advantageous position for local provision of services and amenities (e.g., parks). Like with the case of the inner-city, the low levels of public transport expenditure in Melbourne’s inner suburbs appears counter-productive to a ‘compact city’ development pattern, and to some extent offsets the advantages of geographic proximity to the CBD. Low level of expenditure in urban development, public housing, roads and utilities could be interpreted as the outcomes of local NIMBYism towards such projects; although this does not wholly account for the low expenditure on public transport. At the same time, residents of the inner suburbs directly benefit from relatively high levels of expenditure on community services (2.33 REI), health (1.93 REI), Justice (1.60 REI) and emergency services (1.31 REI). Expenditure on justice facilities in </w:t>
      </w:r>
      <w:proofErr w:type="gramStart"/>
      <w:r w:rsidRPr="00B42C32">
        <w:t>the  inner</w:t>
      </w:r>
      <w:proofErr w:type="gramEnd"/>
      <w:r w:rsidRPr="00B42C32">
        <w:t xml:space="preserve"> suburbs involved courthouses and neighbourhood justice centres rather than correctional facilities (which could have potentially raised NIMBY opposition,</w:t>
      </w:r>
      <w:r>
        <w:t xml:space="preserve"> see,</w:t>
      </w:r>
      <w:r w:rsidRPr="00B42C32">
        <w:t xml:space="preserve"> e.g.,</w:t>
      </w:r>
      <w:r>
        <w:t xml:space="preserve"> Dear, 1992</w:t>
      </w:r>
      <w:r w:rsidRPr="00B42C32">
        <w:t>).</w:t>
      </w:r>
    </w:p>
    <w:p w14:paraId="20557078" w14:textId="77777777" w:rsidR="00B42C32" w:rsidRDefault="00B42C32" w:rsidP="00DF15FE">
      <w:pPr>
        <w:rPr>
          <w:lang w:val="en-AU"/>
        </w:rPr>
      </w:pPr>
    </w:p>
    <w:p w14:paraId="08C86092" w14:textId="77777777" w:rsidR="00B42C32" w:rsidRDefault="00B42C32" w:rsidP="00B42C32">
      <w:pPr>
        <w:pStyle w:val="Headings"/>
        <w:rPr>
          <w:lang w:val="en-AU"/>
        </w:rPr>
      </w:pPr>
      <w:r>
        <w:rPr>
          <w:lang w:val="en-AU"/>
        </w:rPr>
        <w:t>Conclusion</w:t>
      </w:r>
    </w:p>
    <w:p w14:paraId="0A2D84A1" w14:textId="24F38163" w:rsidR="00B42C32" w:rsidRDefault="00B42C32" w:rsidP="00DF15FE">
      <w:pPr>
        <w:rPr>
          <w:lang w:val="en-AU"/>
        </w:rPr>
      </w:pPr>
      <w:r w:rsidRPr="00B42C32">
        <w:rPr>
          <w:lang w:val="en-AU"/>
        </w:rPr>
        <w:t>Despite the critical role that physical infrastructure plays in cities, it is often invisible or taken-for-granted</w:t>
      </w:r>
      <w:r>
        <w:rPr>
          <w:lang w:val="en-AU"/>
        </w:rPr>
        <w:t xml:space="preserve"> (Graham, 2010). </w:t>
      </w:r>
      <w:r w:rsidRPr="00B42C32">
        <w:rPr>
          <w:lang w:val="en-AU"/>
        </w:rPr>
        <w:t>Yet, processes of densification in Melbourne and Sydney appear to have broken the spell. No longer hidden, the infrastructure question has surfaced to the fore of public debates about metropolitan planning and development in both cities. On the one hand, residents of areas undergoing or targeted for densification flag concerns about the failure of infrastructure investment to meet the demands of a growing population</w:t>
      </w:r>
      <w:r>
        <w:rPr>
          <w:lang w:val="en-AU"/>
        </w:rPr>
        <w:t xml:space="preserve"> (</w:t>
      </w:r>
      <w:r w:rsidR="000303AD">
        <w:rPr>
          <w:lang w:val="en-AU"/>
        </w:rPr>
        <w:t xml:space="preserve">Productivity Commission, 2011; </w:t>
      </w:r>
      <w:r>
        <w:rPr>
          <w:lang w:val="en-AU"/>
        </w:rPr>
        <w:t xml:space="preserve">Troy, 2017). </w:t>
      </w:r>
      <w:r w:rsidRPr="00B42C32">
        <w:rPr>
          <w:lang w:val="en-AU"/>
        </w:rPr>
        <w:t>On the other hand, proponents of densification and the ‘compact city’ agenda, envisage revitalized urban precincts where the dividends of densification are reinvested in local infrastructure and services that benefit the local community undergoing densification, as well as the wider metropolitan population</w:t>
      </w:r>
      <w:r>
        <w:rPr>
          <w:lang w:val="en-AU"/>
        </w:rPr>
        <w:t xml:space="preserve"> (see, </w:t>
      </w:r>
      <w:proofErr w:type="spellStart"/>
      <w:r>
        <w:rPr>
          <w:lang w:val="en-AU"/>
        </w:rPr>
        <w:t>Gurran</w:t>
      </w:r>
      <w:proofErr w:type="spellEnd"/>
      <w:r>
        <w:rPr>
          <w:lang w:val="en-AU"/>
        </w:rPr>
        <w:t xml:space="preserve"> and Lawler, 2016). </w:t>
      </w:r>
      <w:r w:rsidRPr="00B42C32">
        <w:rPr>
          <w:lang w:val="en-AU"/>
        </w:rPr>
        <w:t>And yet, to date, the absence of substantial empirical data on the actual spatial distribution of infrastructure, has made it difficult to evaluate the merits of either claim, for or against, densification.</w:t>
      </w:r>
    </w:p>
    <w:p w14:paraId="0F45C1D3" w14:textId="77777777" w:rsidR="00B42C32" w:rsidRDefault="00B42C32" w:rsidP="00DF15FE">
      <w:pPr>
        <w:rPr>
          <w:lang w:val="en-AU"/>
        </w:rPr>
      </w:pPr>
    </w:p>
    <w:p w14:paraId="02296B03" w14:textId="77777777" w:rsidR="00B42C32" w:rsidRDefault="00B42C32" w:rsidP="00DF15FE">
      <w:pPr>
        <w:rPr>
          <w:lang w:val="en-AU"/>
        </w:rPr>
      </w:pPr>
      <w:r w:rsidRPr="00B42C32">
        <w:rPr>
          <w:lang w:val="en-AU"/>
        </w:rPr>
        <w:t>This paper takes a first step towards addressing the empirical gap looming over this debate, through analysis of spatial patterns in the allocation of state government funding for ‘capital projects’ in greater Melbourne, across a wide range of infrastructures and services, and over a significant time period. The paper finds that when accounting for the residential population only, during the period 1999-2015 infrastructure expenditure levels in Melbourne’s CBD and inner city, not only caught up with increased population growth, but exceedingly surpassed it. However, when accounting also for the daily population of ‘visitors’ working in or passing through the CBD, per capita expenditure levels drop substantially. This suggests that any excessive demand pressures on infrastructure in central Melbourne are more likely to be associated with the centralized patterns of Melbourne’s transport system and labour market, rather than residential densification in the CBD itself.</w:t>
      </w:r>
    </w:p>
    <w:p w14:paraId="09FAFDC7" w14:textId="77777777" w:rsidR="00B42C32" w:rsidRDefault="00B42C32" w:rsidP="00DF15FE">
      <w:pPr>
        <w:rPr>
          <w:lang w:val="en-AU"/>
        </w:rPr>
      </w:pPr>
    </w:p>
    <w:p w14:paraId="7CE66ACC" w14:textId="77777777" w:rsidR="00B42C32" w:rsidRDefault="00B42C32" w:rsidP="00DF15FE">
      <w:pPr>
        <w:rPr>
          <w:lang w:val="en-AU"/>
        </w:rPr>
      </w:pPr>
      <w:r w:rsidRPr="00B42C32">
        <w:rPr>
          <w:lang w:val="en-AU"/>
        </w:rPr>
        <w:t xml:space="preserve">As for the inner suburbs, although residential densification has been highly contested in recent years, actual population growth has been unremarkable at an annual rate of 0.71 per cent. Our findings on relatively low levels of state government expenditure, to some extent affirm concerns raised by local activists and planners about inadequate infrastructure investment. Yet, over a </w:t>
      </w:r>
      <w:proofErr w:type="gramStart"/>
      <w:r w:rsidRPr="00B42C32">
        <w:rPr>
          <w:lang w:val="en-AU"/>
        </w:rPr>
        <w:t>sixteen year</w:t>
      </w:r>
      <w:proofErr w:type="gramEnd"/>
      <w:r w:rsidRPr="00B42C32">
        <w:rPr>
          <w:lang w:val="en-AU"/>
        </w:rPr>
        <w:t xml:space="preserve"> time-frame, the data shows no direct relationship between low levels of infrastructure investment and residential densification in the inner suburbs. Indeed, low level of expenditure in urban development, public </w:t>
      </w:r>
      <w:r w:rsidRPr="00B42C32">
        <w:rPr>
          <w:lang w:val="en-AU"/>
        </w:rPr>
        <w:lastRenderedPageBreak/>
        <w:t xml:space="preserve">housing and utilities could be interpreted more readily as the outcomes of local NIMBY forces by Melbourne’s most affluent communities, rather than a form of disadvantage. Given Melbourne’s centralised labour and transport patterns, inner suburbs also experience the combined impact of population growth in outer suburban areas. Urban structure as much as densification then, is likely to be a key source of increased demand for urban transport services in inner suburbs.  </w:t>
      </w:r>
    </w:p>
    <w:p w14:paraId="2E9C0B16" w14:textId="77777777" w:rsidR="00B42C32" w:rsidRDefault="00B42C32" w:rsidP="00DF15FE">
      <w:pPr>
        <w:rPr>
          <w:lang w:val="en-AU"/>
        </w:rPr>
      </w:pPr>
    </w:p>
    <w:p w14:paraId="336226C8" w14:textId="77777777" w:rsidR="00B42C32" w:rsidRDefault="00B42C32" w:rsidP="00DF15FE">
      <w:pPr>
        <w:rPr>
          <w:lang w:val="en-AU"/>
        </w:rPr>
      </w:pPr>
      <w:r w:rsidRPr="00B42C32">
        <w:rPr>
          <w:lang w:val="en-AU"/>
        </w:rPr>
        <w:t xml:space="preserve">As such, in contrast to the claims of local anti-densification campaigners, our data shows that Melbourne’s most rapidly densifying areas benefit from high levels of local infrastructure expenditure. At the same time, our data also refutes suggestions that the dividends of densification were reinvested in local infrastructure and services that will eventually produce a more compact city. On the contrary, the low level of public transport expenditure identified in Melbourne’s inner city and inner suburbs, as well as Melbourne’s highly centralized structure, both point to development patterns that undermine the operation of a compact city. More sophisticated thinking, and a stronger evidence base, are needed to begin to unpack the complex relationship between infrastructure and density in cities. Perhaps the next step in this direction would be to combine state with local government spending accounts, to produce a more wholesome empirical picture of public infrastructure expenditure patterns. </w:t>
      </w:r>
    </w:p>
    <w:p w14:paraId="7A267A44" w14:textId="30D119DC" w:rsidR="00B42C32" w:rsidRPr="00DF15FE" w:rsidRDefault="00B42C32" w:rsidP="00DF15FE">
      <w:pPr>
        <w:rPr>
          <w:lang w:val="en-AU"/>
        </w:rPr>
      </w:pPr>
    </w:p>
    <w:p w14:paraId="312D8109" w14:textId="6B582D5C" w:rsidR="00B42C32" w:rsidRDefault="00B42C32" w:rsidP="00B42C32">
      <w:pPr>
        <w:pStyle w:val="CitaviBibliographyHeading"/>
        <w:rPr>
          <w:lang w:val="en-AU"/>
        </w:rPr>
      </w:pPr>
      <w:bookmarkStart w:id="1" w:name="_CTVBIBLIOGRAPHY1"/>
      <w:bookmarkEnd w:id="1"/>
      <w:r>
        <w:rPr>
          <w:lang w:val="en-AU"/>
        </w:rPr>
        <w:t>Reference</w:t>
      </w:r>
      <w:r w:rsidR="001543E8">
        <w:rPr>
          <w:lang w:val="en-AU"/>
        </w:rPr>
        <w:t>s</w:t>
      </w:r>
    </w:p>
    <w:p w14:paraId="39BBF356" w14:textId="077218BD" w:rsidR="00B42C32" w:rsidRDefault="00B42C32" w:rsidP="00B42C32">
      <w:pPr>
        <w:pStyle w:val="CitaviBibliographyEntry"/>
        <w:rPr>
          <w:lang w:val="en-AU"/>
        </w:rPr>
      </w:pPr>
      <w:bookmarkStart w:id="2" w:name="_CTVL0018c8baaa35fe244fcacbe820809aa25a2"/>
      <w:r>
        <w:rPr>
          <w:lang w:val="en-AU"/>
        </w:rPr>
        <w:t xml:space="preserve">Australian Bureau of Statistics (ABS) (2011a) </w:t>
      </w:r>
      <w:bookmarkEnd w:id="2"/>
      <w:r w:rsidRPr="00B42C32">
        <w:rPr>
          <w:i/>
          <w:lang w:val="en-AU"/>
        </w:rPr>
        <w:t>Australian Statistical Geography Standard (ASGS): Volume 1 - Main Structure and Greater Capital City Statistical Areas</w:t>
      </w:r>
      <w:r w:rsidRPr="00B42C32">
        <w:rPr>
          <w:lang w:val="en-AU"/>
        </w:rPr>
        <w:t xml:space="preserve">. cat. no. 1270.0.55.001. Available at: </w:t>
      </w:r>
      <w:r w:rsidR="00600DFA" w:rsidRPr="001543E8">
        <w:rPr>
          <w:lang w:val="en-AU"/>
        </w:rPr>
        <w:t>http://​www.ausstats.abs.gov.au​/​ausstats/​subscriber.nsf/​0/​D3DC26F35A8AF579CA257801000DCD7D/​$File/​1270055001_​july%202011.pdf</w:t>
      </w:r>
      <w:r w:rsidRPr="00B42C32">
        <w:rPr>
          <w:lang w:val="en-AU"/>
        </w:rPr>
        <w:t xml:space="preserve"> (Accessed: 12 June 2016).</w:t>
      </w:r>
    </w:p>
    <w:p w14:paraId="7A730580" w14:textId="0E32D021" w:rsidR="00B42C32" w:rsidRDefault="00B42C32" w:rsidP="00B42C32">
      <w:pPr>
        <w:pStyle w:val="CitaviBibliographyEntry"/>
        <w:rPr>
          <w:lang w:val="en-AU"/>
        </w:rPr>
      </w:pPr>
      <w:bookmarkStart w:id="3" w:name="_CTVL0014eaa6532e0b24f7e92ee3b6f22a708f5"/>
      <w:proofErr w:type="gramStart"/>
      <w:r>
        <w:rPr>
          <w:lang w:val="en-AU"/>
        </w:rPr>
        <w:t xml:space="preserve">Australian Bureau of Statistics (ABS) (2011b) </w:t>
      </w:r>
      <w:bookmarkEnd w:id="3"/>
      <w:r w:rsidRPr="00B42C32">
        <w:rPr>
          <w:i/>
          <w:lang w:val="en-AU"/>
        </w:rPr>
        <w:t>Australian Statistical Geography Standard (ASGS): Volume 3 - Non ABS Structures</w:t>
      </w:r>
      <w:r w:rsidRPr="00B42C32">
        <w:rPr>
          <w:lang w:val="en-AU"/>
        </w:rPr>
        <w:t>.</w:t>
      </w:r>
      <w:proofErr w:type="gramEnd"/>
      <w:r w:rsidRPr="00B42C32">
        <w:rPr>
          <w:lang w:val="en-AU"/>
        </w:rPr>
        <w:t xml:space="preserve"> cat. no. 1270.0.55.003. Available at: </w:t>
      </w:r>
      <w:r w:rsidR="00600DFA" w:rsidRPr="001543E8">
        <w:rPr>
          <w:lang w:val="en-AU"/>
        </w:rPr>
        <w:t>http://​www.ausstats.abs.gov.au​/​ausstats/​subscriber.nsf/​0/​469CDA45CE2B94CCCA257937000D966F/​$File/​1270055003_​oct%202011.pdf</w:t>
      </w:r>
      <w:r w:rsidRPr="00B42C32">
        <w:rPr>
          <w:lang w:val="en-AU"/>
        </w:rPr>
        <w:t xml:space="preserve"> (Accessed: 12 June 2016).</w:t>
      </w:r>
    </w:p>
    <w:p w14:paraId="29A708D8" w14:textId="276F7BBB" w:rsidR="00B42C32" w:rsidRDefault="00B42C32" w:rsidP="00B42C32">
      <w:pPr>
        <w:pStyle w:val="CitaviBibliographyEntry"/>
        <w:rPr>
          <w:lang w:val="en-AU"/>
        </w:rPr>
      </w:pPr>
      <w:bookmarkStart w:id="4" w:name="_CTVL001eae71a59552b49fba554e7fbc58c30f5"/>
      <w:r>
        <w:rPr>
          <w:lang w:val="en-AU"/>
        </w:rPr>
        <w:t xml:space="preserve">Australian Bureau of Statistics (ABS) (2013) </w:t>
      </w:r>
      <w:bookmarkEnd w:id="4"/>
      <w:r w:rsidRPr="00B42C32">
        <w:rPr>
          <w:i/>
          <w:lang w:val="en-AU"/>
        </w:rPr>
        <w:t>Socio-Economic Indexes for Areas (SEIFA), Australia, 2011</w:t>
      </w:r>
      <w:r w:rsidRPr="00B42C32">
        <w:rPr>
          <w:lang w:val="en-AU"/>
        </w:rPr>
        <w:t xml:space="preserve">. cat. no. 2033.0.55.001. Available at: </w:t>
      </w:r>
      <w:r w:rsidR="00600DFA" w:rsidRPr="001543E8">
        <w:rPr>
          <w:lang w:val="en-AU"/>
        </w:rPr>
        <w:t>http://​www.abs.gov.au​/​AUSSTATS/​abs@.nsf/​DetailsPage/​2033.0.55.0012011?OpenDocument</w:t>
      </w:r>
      <w:r w:rsidRPr="00B42C32">
        <w:rPr>
          <w:lang w:val="en-AU"/>
        </w:rPr>
        <w:t xml:space="preserve"> (Accessed: 12 June 2017).</w:t>
      </w:r>
    </w:p>
    <w:p w14:paraId="080B1E5D" w14:textId="767925B2" w:rsidR="00B42C32" w:rsidRDefault="00B42C32" w:rsidP="00B42C32">
      <w:pPr>
        <w:pStyle w:val="CitaviBibliographyEntry"/>
        <w:rPr>
          <w:lang w:val="en-AU"/>
        </w:rPr>
      </w:pPr>
      <w:bookmarkStart w:id="5" w:name="_CTVL001cf8746dd8d5a4793b336f5cd3a23b9ad"/>
      <w:r>
        <w:rPr>
          <w:lang w:val="en-AU"/>
        </w:rPr>
        <w:t xml:space="preserve">City of Melbourne (2015) </w:t>
      </w:r>
      <w:bookmarkEnd w:id="5"/>
      <w:r w:rsidRPr="00B42C32">
        <w:rPr>
          <w:i/>
          <w:lang w:val="en-AU"/>
        </w:rPr>
        <w:t>Daily Population Estimates and Forecasts: 2015 update</w:t>
      </w:r>
      <w:r w:rsidRPr="00B42C32">
        <w:rPr>
          <w:lang w:val="en-AU"/>
        </w:rPr>
        <w:t xml:space="preserve">. Available at: </w:t>
      </w:r>
      <w:r w:rsidR="00600DFA" w:rsidRPr="001543E8">
        <w:rPr>
          <w:lang w:val="en-AU"/>
        </w:rPr>
        <w:t>http://www.melbourne.vic.gov.au​/​SiteCollectionDocuments/​daily-population</w:t>
      </w:r>
      <w:r w:rsidR="001543E8">
        <w:rPr>
          <w:lang w:val="en-AU"/>
        </w:rPr>
        <w:t>-estimates-and-forecasts-report-</w:t>
      </w:r>
      <w:r w:rsidR="00600DFA" w:rsidRPr="001543E8">
        <w:rPr>
          <w:lang w:val="en-AU"/>
        </w:rPr>
        <w:t>2015.pdf</w:t>
      </w:r>
      <w:r w:rsidRPr="00B42C32">
        <w:rPr>
          <w:lang w:val="en-AU"/>
        </w:rPr>
        <w:t xml:space="preserve"> (Accessed: 10 June 2017).</w:t>
      </w:r>
    </w:p>
    <w:p w14:paraId="2D988BBC" w14:textId="127BD128" w:rsidR="00B42C32" w:rsidRDefault="00B42C32" w:rsidP="00B42C32">
      <w:pPr>
        <w:pStyle w:val="CitaviBibliographyEntry"/>
        <w:rPr>
          <w:lang w:val="en-AU"/>
        </w:rPr>
      </w:pPr>
      <w:bookmarkStart w:id="6" w:name="_CTVL0011870828410cc4abcae655d369aff968e"/>
      <w:r>
        <w:rPr>
          <w:lang w:val="en-AU"/>
        </w:rPr>
        <w:t>Colebatch, T. (2017) ‘Bursting at the seams: what you don</w:t>
      </w:r>
      <w:r w:rsidR="00600DFA">
        <w:rPr>
          <w:lang w:val="en-AU"/>
        </w:rPr>
        <w:t>’</w:t>
      </w:r>
      <w:r>
        <w:rPr>
          <w:lang w:val="en-AU"/>
        </w:rPr>
        <w:t>t know about Melbourne</w:t>
      </w:r>
      <w:r w:rsidR="00600DFA">
        <w:rPr>
          <w:lang w:val="en-AU"/>
        </w:rPr>
        <w:t>’</w:t>
      </w:r>
      <w:r>
        <w:rPr>
          <w:lang w:val="en-AU"/>
        </w:rPr>
        <w:t xml:space="preserve">s runaway growth’, </w:t>
      </w:r>
      <w:bookmarkEnd w:id="6"/>
      <w:r w:rsidRPr="00B42C32">
        <w:rPr>
          <w:i/>
          <w:lang w:val="en-AU"/>
        </w:rPr>
        <w:t xml:space="preserve">The Age, </w:t>
      </w:r>
      <w:r w:rsidRPr="00B42C32">
        <w:rPr>
          <w:lang w:val="en-AU"/>
        </w:rPr>
        <w:t xml:space="preserve">8 April. Available at: </w:t>
      </w:r>
      <w:r w:rsidR="00600DFA" w:rsidRPr="001543E8">
        <w:rPr>
          <w:lang w:val="en-AU"/>
        </w:rPr>
        <w:t>http://​www.theage.com.au​/​victoria/​bursting-at-the-seams-what-you-dont-know-about-melbournes-runaway-growth-20170406-gvewbk.html</w:t>
      </w:r>
      <w:r w:rsidRPr="00B42C32">
        <w:rPr>
          <w:lang w:val="en-AU"/>
        </w:rPr>
        <w:t xml:space="preserve"> (Accessed: 30 June 2017).</w:t>
      </w:r>
    </w:p>
    <w:p w14:paraId="50357CBE" w14:textId="77777777" w:rsidR="00B42C32" w:rsidRDefault="00B42C32" w:rsidP="00B42C32">
      <w:pPr>
        <w:pStyle w:val="CitaviBibliographyEntry"/>
        <w:rPr>
          <w:lang w:val="en-AU"/>
        </w:rPr>
      </w:pPr>
      <w:bookmarkStart w:id="7" w:name="_CTVL001401655a44788478fb088fd76ed870b48"/>
      <w:r>
        <w:rPr>
          <w:lang w:val="en-AU"/>
        </w:rPr>
        <w:t>Cook, N.</w:t>
      </w:r>
      <w:bookmarkEnd w:id="7"/>
      <w:r w:rsidRPr="00B42C32">
        <w:rPr>
          <w:i/>
          <w:lang w:val="en-AU"/>
        </w:rPr>
        <w:t xml:space="preserve"> et al.</w:t>
      </w:r>
      <w:r w:rsidRPr="00B42C32">
        <w:rPr>
          <w:lang w:val="en-AU"/>
        </w:rPr>
        <w:t xml:space="preserve"> (2012) </w:t>
      </w:r>
      <w:r w:rsidRPr="00B42C32">
        <w:rPr>
          <w:i/>
          <w:lang w:val="en-AU"/>
        </w:rPr>
        <w:t>Resident third party objections and appeals against planning applications: implications for higher density and social housing</w:t>
      </w:r>
      <w:r w:rsidRPr="00B42C32">
        <w:rPr>
          <w:lang w:val="en-AU"/>
        </w:rPr>
        <w:t>. (AHURI Final Report, no.197). Melbourne: Australian Housing and Urban Research Institute.</w:t>
      </w:r>
    </w:p>
    <w:p w14:paraId="2EFF6FDF" w14:textId="77777777" w:rsidR="00B42C32" w:rsidRDefault="00B42C32" w:rsidP="00B42C32">
      <w:pPr>
        <w:pStyle w:val="CitaviBibliographyEntry"/>
        <w:rPr>
          <w:lang w:val="en-AU"/>
        </w:rPr>
      </w:pPr>
      <w:bookmarkStart w:id="8" w:name="_CTVL001a499c62483694bc3aa5c2e4fa013ead4"/>
      <w:r>
        <w:rPr>
          <w:lang w:val="en-AU"/>
        </w:rPr>
        <w:t xml:space="preserve">Cook, N., Taylor, E. and Hurley, J. (2013) ‘At home with strategic planning: reconciling resident attachments to home with policies of residential densification’, </w:t>
      </w:r>
      <w:bookmarkEnd w:id="8"/>
      <w:r w:rsidRPr="00B42C32">
        <w:rPr>
          <w:i/>
          <w:lang w:val="en-AU"/>
        </w:rPr>
        <w:t>Australian Planner</w:t>
      </w:r>
      <w:r w:rsidRPr="00B42C32">
        <w:rPr>
          <w:lang w:val="en-AU"/>
        </w:rPr>
        <w:t xml:space="preserve">, 50(2), pp. 130–137. </w:t>
      </w:r>
      <w:proofErr w:type="spellStart"/>
      <w:r w:rsidRPr="00B42C32">
        <w:rPr>
          <w:lang w:val="en-AU"/>
        </w:rPr>
        <w:t>doi</w:t>
      </w:r>
      <w:proofErr w:type="spellEnd"/>
      <w:r w:rsidRPr="00B42C32">
        <w:rPr>
          <w:lang w:val="en-AU"/>
        </w:rPr>
        <w:t>: 10.1080/07293682.2013.776982</w:t>
      </w:r>
    </w:p>
    <w:p w14:paraId="1873989A" w14:textId="77777777" w:rsidR="00B42C32" w:rsidRDefault="00B42C32" w:rsidP="00B42C32">
      <w:pPr>
        <w:pStyle w:val="CitaviBibliographyEntry"/>
        <w:rPr>
          <w:lang w:val="en-AU"/>
        </w:rPr>
      </w:pPr>
      <w:bookmarkStart w:id="9" w:name="_CTVL001765b0f498c38450ea6c7edf4a1648896"/>
      <w:r>
        <w:rPr>
          <w:lang w:val="en-AU"/>
        </w:rPr>
        <w:t>Davison, G.</w:t>
      </w:r>
      <w:bookmarkEnd w:id="9"/>
      <w:r w:rsidRPr="00B42C32">
        <w:rPr>
          <w:i/>
          <w:lang w:val="en-AU"/>
        </w:rPr>
        <w:t xml:space="preserve"> et al.</w:t>
      </w:r>
      <w:r w:rsidRPr="00B42C32">
        <w:rPr>
          <w:lang w:val="en-AU"/>
        </w:rPr>
        <w:t xml:space="preserve"> (2016) ‘The Factors Driving the Escalation of Community Opposition to Affordable Housing Development’, </w:t>
      </w:r>
      <w:r w:rsidRPr="00B42C32">
        <w:rPr>
          <w:i/>
          <w:lang w:val="en-AU"/>
        </w:rPr>
        <w:t>Urban Policy and Research</w:t>
      </w:r>
      <w:r w:rsidRPr="00B42C32">
        <w:rPr>
          <w:lang w:val="en-AU"/>
        </w:rPr>
        <w:t xml:space="preserve">, 34(4), pp. 386–400. </w:t>
      </w:r>
      <w:proofErr w:type="spellStart"/>
      <w:r w:rsidRPr="00B42C32">
        <w:rPr>
          <w:lang w:val="en-AU"/>
        </w:rPr>
        <w:t>doi</w:t>
      </w:r>
      <w:proofErr w:type="spellEnd"/>
      <w:r w:rsidRPr="00B42C32">
        <w:rPr>
          <w:lang w:val="en-AU"/>
        </w:rPr>
        <w:t>: 10.1080/08111146.2015.1118377</w:t>
      </w:r>
    </w:p>
    <w:p w14:paraId="25B21693" w14:textId="77777777" w:rsidR="00B42C32" w:rsidRDefault="00B42C32" w:rsidP="00B42C32">
      <w:pPr>
        <w:pStyle w:val="CitaviBibliographyEntry"/>
        <w:rPr>
          <w:lang w:val="en-AU"/>
        </w:rPr>
      </w:pPr>
      <w:bookmarkStart w:id="10" w:name="_CTVL0014f791f5b55304696926a1bc299abf50a"/>
      <w:r>
        <w:rPr>
          <w:lang w:val="en-AU"/>
        </w:rPr>
        <w:t xml:space="preserve">Dear, M. (1992) ‘Understanding and Overcoming the NIMBY Syndrome’, </w:t>
      </w:r>
      <w:bookmarkEnd w:id="10"/>
      <w:r w:rsidRPr="00B42C32">
        <w:rPr>
          <w:i/>
          <w:lang w:val="en-AU"/>
        </w:rPr>
        <w:t>Journal of the American Planning Association</w:t>
      </w:r>
      <w:r w:rsidRPr="00B42C32">
        <w:rPr>
          <w:lang w:val="en-AU"/>
        </w:rPr>
        <w:t xml:space="preserve">, 58(3), pp. 288–300. </w:t>
      </w:r>
      <w:proofErr w:type="spellStart"/>
      <w:r w:rsidRPr="00B42C32">
        <w:rPr>
          <w:lang w:val="en-AU"/>
        </w:rPr>
        <w:t>doi</w:t>
      </w:r>
      <w:proofErr w:type="spellEnd"/>
      <w:r w:rsidRPr="00B42C32">
        <w:rPr>
          <w:lang w:val="en-AU"/>
        </w:rPr>
        <w:t>: 10.1080/01944369208975808</w:t>
      </w:r>
    </w:p>
    <w:p w14:paraId="3C18DBF2" w14:textId="77777777" w:rsidR="00B42C32" w:rsidRDefault="00B42C32" w:rsidP="00B42C32">
      <w:pPr>
        <w:pStyle w:val="CitaviBibliographyEntry"/>
        <w:rPr>
          <w:lang w:val="en-AU"/>
        </w:rPr>
      </w:pPr>
      <w:bookmarkStart w:id="11" w:name="_CTVL0018b90a442c7db42f6aafff6a9383d6854"/>
      <w:proofErr w:type="spellStart"/>
      <w:r>
        <w:rPr>
          <w:lang w:val="en-AU"/>
        </w:rPr>
        <w:t>Filion</w:t>
      </w:r>
      <w:proofErr w:type="spellEnd"/>
      <w:r>
        <w:rPr>
          <w:lang w:val="en-AU"/>
        </w:rPr>
        <w:t xml:space="preserve">, P. and </w:t>
      </w:r>
      <w:proofErr w:type="spellStart"/>
      <w:r>
        <w:rPr>
          <w:lang w:val="en-AU"/>
        </w:rPr>
        <w:t>Keil</w:t>
      </w:r>
      <w:proofErr w:type="spellEnd"/>
      <w:r>
        <w:rPr>
          <w:lang w:val="en-AU"/>
        </w:rPr>
        <w:t xml:space="preserve">, R. (2017) ‘Contested Infrastructures: Tension, Inequity and Innovation in the Global Suburb’, </w:t>
      </w:r>
      <w:bookmarkEnd w:id="11"/>
      <w:r w:rsidRPr="00B42C32">
        <w:rPr>
          <w:i/>
          <w:lang w:val="en-AU"/>
        </w:rPr>
        <w:t>Urban Policy and Research</w:t>
      </w:r>
      <w:r w:rsidRPr="00B42C32">
        <w:rPr>
          <w:lang w:val="en-AU"/>
        </w:rPr>
        <w:t xml:space="preserve">, 35(1), pp. 7–19. </w:t>
      </w:r>
      <w:proofErr w:type="spellStart"/>
      <w:r w:rsidRPr="00B42C32">
        <w:rPr>
          <w:lang w:val="en-AU"/>
        </w:rPr>
        <w:t>doi</w:t>
      </w:r>
      <w:proofErr w:type="spellEnd"/>
      <w:r w:rsidRPr="00B42C32">
        <w:rPr>
          <w:lang w:val="en-AU"/>
        </w:rPr>
        <w:t>: 10.1080/08111146.2016.1187122</w:t>
      </w:r>
    </w:p>
    <w:p w14:paraId="20BAA4E3" w14:textId="77777777" w:rsidR="00B42C32" w:rsidRDefault="00B42C32" w:rsidP="00B42C32">
      <w:pPr>
        <w:pStyle w:val="CitaviBibliographyEntry"/>
        <w:rPr>
          <w:lang w:val="en-AU"/>
        </w:rPr>
      </w:pPr>
      <w:bookmarkStart w:id="12" w:name="_CTVL001bb3fd1bbf7964964a737dbbf9faa481e"/>
      <w:r>
        <w:rPr>
          <w:lang w:val="en-AU"/>
        </w:rPr>
        <w:t xml:space="preserve">Graham, S. (2010) ‘When Infrastructures Fail’, in Graham, S. (ed.) </w:t>
      </w:r>
      <w:bookmarkEnd w:id="12"/>
      <w:r w:rsidRPr="00B42C32">
        <w:rPr>
          <w:i/>
          <w:lang w:val="en-AU"/>
        </w:rPr>
        <w:t xml:space="preserve">Disrupted cities: When infrastructure fails. </w:t>
      </w:r>
      <w:r w:rsidRPr="00B42C32">
        <w:rPr>
          <w:lang w:val="en-AU"/>
        </w:rPr>
        <w:t>London: Routledge, pp. 1–27.</w:t>
      </w:r>
    </w:p>
    <w:p w14:paraId="3354675E" w14:textId="2AEED82E" w:rsidR="00B42C32" w:rsidRDefault="00B42C32" w:rsidP="00B42C32">
      <w:pPr>
        <w:pStyle w:val="CitaviBibliographyEntry"/>
        <w:rPr>
          <w:lang w:val="en-AU"/>
        </w:rPr>
      </w:pPr>
      <w:bookmarkStart w:id="13" w:name="_CTVL001d47ff2cedf084083a817882a2784fa66"/>
      <w:proofErr w:type="spellStart"/>
      <w:r>
        <w:rPr>
          <w:lang w:val="en-AU"/>
        </w:rPr>
        <w:t>Gurran</w:t>
      </w:r>
      <w:proofErr w:type="spellEnd"/>
      <w:r>
        <w:rPr>
          <w:lang w:val="en-AU"/>
        </w:rPr>
        <w:t xml:space="preserve">, N. and Lawler, S. (2016) ‘Explainer: what is ‘value capture’ and what does it mean for cities?’ </w:t>
      </w:r>
      <w:bookmarkEnd w:id="13"/>
      <w:r w:rsidRPr="00B42C32">
        <w:rPr>
          <w:i/>
          <w:lang w:val="en-AU"/>
        </w:rPr>
        <w:t xml:space="preserve">The Conversation, </w:t>
      </w:r>
      <w:r w:rsidRPr="00B42C32">
        <w:rPr>
          <w:lang w:val="en-AU"/>
        </w:rPr>
        <w:t xml:space="preserve">22 June. Available at: </w:t>
      </w:r>
      <w:r w:rsidR="00600DFA" w:rsidRPr="001543E8">
        <w:rPr>
          <w:lang w:val="en-AU"/>
        </w:rPr>
        <w:t>https://​theconversation.com​/​explainer-what-is-value-capture-and-what-does-it-mean-for-cities-58776</w:t>
      </w:r>
      <w:r w:rsidRPr="00B42C32">
        <w:rPr>
          <w:lang w:val="en-AU"/>
        </w:rPr>
        <w:t xml:space="preserve"> (Accessed: 4 July 2017).</w:t>
      </w:r>
    </w:p>
    <w:p w14:paraId="480E3EE4" w14:textId="77777777" w:rsidR="00B42C32" w:rsidRDefault="00B42C32" w:rsidP="00B42C32">
      <w:pPr>
        <w:pStyle w:val="CitaviBibliographyEntry"/>
        <w:rPr>
          <w:lang w:val="en-AU"/>
        </w:rPr>
      </w:pPr>
      <w:bookmarkStart w:id="14" w:name="_CTVL001724f8b4d217f468ebf58d2f8290426a7"/>
      <w:proofErr w:type="spellStart"/>
      <w:r>
        <w:rPr>
          <w:lang w:val="en-AU"/>
        </w:rPr>
        <w:lastRenderedPageBreak/>
        <w:t>Kaika</w:t>
      </w:r>
      <w:proofErr w:type="spellEnd"/>
      <w:r>
        <w:rPr>
          <w:lang w:val="en-AU"/>
        </w:rPr>
        <w:t xml:space="preserve">, M. (2004) ‘Interrogating the geographies of the familiar: Domesticating nature and constructing the autonomy of the modern home’, </w:t>
      </w:r>
      <w:bookmarkEnd w:id="14"/>
      <w:r w:rsidRPr="00B42C32">
        <w:rPr>
          <w:i/>
          <w:lang w:val="en-AU"/>
        </w:rPr>
        <w:t>International Journal of Urban and Regional Research</w:t>
      </w:r>
      <w:r w:rsidRPr="00B42C32">
        <w:rPr>
          <w:lang w:val="en-AU"/>
        </w:rPr>
        <w:t xml:space="preserve">, 28(2), pp. 265–286. </w:t>
      </w:r>
      <w:proofErr w:type="spellStart"/>
      <w:proofErr w:type="gramStart"/>
      <w:r w:rsidRPr="00B42C32">
        <w:rPr>
          <w:lang w:val="en-AU"/>
        </w:rPr>
        <w:t>doi</w:t>
      </w:r>
      <w:proofErr w:type="spellEnd"/>
      <w:proofErr w:type="gramEnd"/>
      <w:r w:rsidRPr="00B42C32">
        <w:rPr>
          <w:lang w:val="en-AU"/>
        </w:rPr>
        <w:t>: 10.1111/j.0309-1317.2004.00519.x</w:t>
      </w:r>
    </w:p>
    <w:p w14:paraId="658F7E14" w14:textId="77777777" w:rsidR="00B42C32" w:rsidRDefault="00B42C32" w:rsidP="00B42C32">
      <w:pPr>
        <w:pStyle w:val="CitaviBibliographyEntry"/>
        <w:rPr>
          <w:lang w:val="en-AU"/>
        </w:rPr>
      </w:pPr>
      <w:bookmarkStart w:id="15" w:name="_CTVL001b449b910e42746bbb0ebec9ca9bf5c15"/>
      <w:r>
        <w:rPr>
          <w:lang w:val="en-AU"/>
        </w:rPr>
        <w:t xml:space="preserve">McFarlane, C. (2016) ‘The geographies of urban density: Topology, politics and the city’, </w:t>
      </w:r>
      <w:bookmarkEnd w:id="15"/>
      <w:r w:rsidRPr="00B42C32">
        <w:rPr>
          <w:i/>
          <w:lang w:val="en-AU"/>
        </w:rPr>
        <w:t>Progress in Human Geography</w:t>
      </w:r>
      <w:r w:rsidRPr="00B42C32">
        <w:rPr>
          <w:lang w:val="en-AU"/>
        </w:rPr>
        <w:t xml:space="preserve">, 40(5), pp. 629–648. </w:t>
      </w:r>
      <w:proofErr w:type="spellStart"/>
      <w:r w:rsidRPr="00B42C32">
        <w:rPr>
          <w:lang w:val="en-AU"/>
        </w:rPr>
        <w:t>doi</w:t>
      </w:r>
      <w:proofErr w:type="spellEnd"/>
      <w:r w:rsidRPr="00B42C32">
        <w:rPr>
          <w:lang w:val="en-AU"/>
        </w:rPr>
        <w:t>: 10.1177/0309132515608694</w:t>
      </w:r>
    </w:p>
    <w:p w14:paraId="4CE4A985" w14:textId="77777777" w:rsidR="00B42C32" w:rsidRDefault="00B42C32" w:rsidP="00B42C32">
      <w:pPr>
        <w:pStyle w:val="CitaviBibliographyEntry"/>
        <w:rPr>
          <w:lang w:val="en-AU"/>
        </w:rPr>
      </w:pPr>
      <w:bookmarkStart w:id="16" w:name="_CTVL001fb4f1da72ccb4e39a3d00d15896f5a93"/>
      <w:r>
        <w:rPr>
          <w:lang w:val="en-AU"/>
        </w:rPr>
        <w:t xml:space="preserve">Productivity Commission (2011) </w:t>
      </w:r>
      <w:bookmarkEnd w:id="16"/>
      <w:r w:rsidRPr="00B42C32">
        <w:rPr>
          <w:i/>
          <w:lang w:val="en-AU"/>
        </w:rPr>
        <w:t>Performance benchmarking of Australian business regulation: planning, zoning and development assessments</w:t>
      </w:r>
      <w:r w:rsidRPr="00B42C32">
        <w:rPr>
          <w:lang w:val="en-AU"/>
        </w:rPr>
        <w:t xml:space="preserve">. (Productivity Commission Research Report, Volume 1). </w:t>
      </w:r>
      <w:proofErr w:type="spellStart"/>
      <w:r w:rsidRPr="00B42C32">
        <w:rPr>
          <w:lang w:val="en-AU"/>
        </w:rPr>
        <w:t>Camberra</w:t>
      </w:r>
      <w:proofErr w:type="spellEnd"/>
      <w:r w:rsidRPr="00B42C32">
        <w:rPr>
          <w:lang w:val="en-AU"/>
        </w:rPr>
        <w:t>: Productivity Commission.</w:t>
      </w:r>
    </w:p>
    <w:p w14:paraId="7B482E80" w14:textId="77777777" w:rsidR="00B42C32" w:rsidRDefault="00B42C32" w:rsidP="00B42C32">
      <w:pPr>
        <w:pStyle w:val="CitaviBibliographyEntry"/>
        <w:rPr>
          <w:lang w:val="en-AU"/>
        </w:rPr>
      </w:pPr>
      <w:bookmarkStart w:id="17" w:name="_CTVL001211f21aee3664fb784be4eaa028d38e6"/>
      <w:r>
        <w:rPr>
          <w:lang w:val="en-AU"/>
        </w:rPr>
        <w:t xml:space="preserve">Randolph, B. (2006) </w:t>
      </w:r>
      <w:bookmarkEnd w:id="17"/>
      <w:r w:rsidRPr="00B42C32">
        <w:rPr>
          <w:i/>
          <w:lang w:val="en-AU"/>
        </w:rPr>
        <w:t>Delivering the compact city in Australia: current trends and future implications</w:t>
      </w:r>
      <w:r w:rsidRPr="00B42C32">
        <w:rPr>
          <w:lang w:val="en-AU"/>
        </w:rPr>
        <w:t>. (City Futures Research Centre research paper, no. 6). Kensington: City Futures Research Centre.</w:t>
      </w:r>
    </w:p>
    <w:p w14:paraId="1B2CE6E1" w14:textId="77777777" w:rsidR="00B42C32" w:rsidRDefault="00B42C32" w:rsidP="00B42C32">
      <w:pPr>
        <w:pStyle w:val="CitaviBibliographyEntry"/>
        <w:rPr>
          <w:lang w:val="en-AU"/>
        </w:rPr>
      </w:pPr>
      <w:bookmarkStart w:id="18" w:name="_CTVL0017e3485a73f4842c38d48b86f41efed9d"/>
      <w:proofErr w:type="spellStart"/>
      <w:r>
        <w:rPr>
          <w:lang w:val="en-AU"/>
        </w:rPr>
        <w:t>Ruming</w:t>
      </w:r>
      <w:proofErr w:type="spellEnd"/>
      <w:r>
        <w:rPr>
          <w:lang w:val="en-AU"/>
        </w:rPr>
        <w:t xml:space="preserve">, K., Houston, D. and Amati, M. (2012) ‘Multiple Suburban Publics: rethinking community opposition to consolidation in Sydney’, </w:t>
      </w:r>
      <w:bookmarkEnd w:id="18"/>
      <w:r w:rsidRPr="00B42C32">
        <w:rPr>
          <w:i/>
          <w:lang w:val="en-AU"/>
        </w:rPr>
        <w:t>Geographical Research</w:t>
      </w:r>
      <w:r w:rsidRPr="00B42C32">
        <w:rPr>
          <w:lang w:val="en-AU"/>
        </w:rPr>
        <w:t xml:space="preserve">, 50(4), pp. 421–435. </w:t>
      </w:r>
      <w:proofErr w:type="spellStart"/>
      <w:proofErr w:type="gramStart"/>
      <w:r w:rsidRPr="00B42C32">
        <w:rPr>
          <w:lang w:val="en-AU"/>
        </w:rPr>
        <w:t>doi</w:t>
      </w:r>
      <w:proofErr w:type="spellEnd"/>
      <w:proofErr w:type="gramEnd"/>
      <w:r w:rsidRPr="00B42C32">
        <w:rPr>
          <w:lang w:val="en-AU"/>
        </w:rPr>
        <w:t>: 10.1111/j.1745-5871.2012.00751.x</w:t>
      </w:r>
    </w:p>
    <w:p w14:paraId="24A1FB50" w14:textId="77777777" w:rsidR="00B42C32" w:rsidRDefault="00B42C32" w:rsidP="00B42C32">
      <w:pPr>
        <w:pStyle w:val="CitaviBibliographyEntry"/>
        <w:rPr>
          <w:lang w:val="en-AU"/>
        </w:rPr>
      </w:pPr>
      <w:bookmarkStart w:id="19" w:name="_CTVL0013050f3d158144a5581221bbacbb8287b"/>
      <w:r>
        <w:rPr>
          <w:lang w:val="en-AU"/>
        </w:rPr>
        <w:t xml:space="preserve">Taylor, E.J., Cook, N. and Hurley, J. (2016) ‘Do objections count? Estimating the influence of residents on housing development assessment in Melbourne’, </w:t>
      </w:r>
      <w:bookmarkEnd w:id="19"/>
      <w:r w:rsidRPr="00B42C32">
        <w:rPr>
          <w:i/>
          <w:lang w:val="en-AU"/>
        </w:rPr>
        <w:t>Urban Policy and Research</w:t>
      </w:r>
      <w:r w:rsidRPr="00B42C32">
        <w:rPr>
          <w:lang w:val="en-AU"/>
        </w:rPr>
        <w:t xml:space="preserve">, 34(3), pp. 269–283. </w:t>
      </w:r>
      <w:proofErr w:type="spellStart"/>
      <w:r w:rsidRPr="00B42C32">
        <w:rPr>
          <w:lang w:val="en-AU"/>
        </w:rPr>
        <w:t>doi</w:t>
      </w:r>
      <w:proofErr w:type="spellEnd"/>
      <w:r w:rsidRPr="00B42C32">
        <w:rPr>
          <w:lang w:val="en-AU"/>
        </w:rPr>
        <w:t>: 10.1080/08111146.2015.1081845</w:t>
      </w:r>
    </w:p>
    <w:p w14:paraId="75330107" w14:textId="52450B88" w:rsidR="00B42C32" w:rsidRDefault="00B42C32" w:rsidP="00B42C32">
      <w:pPr>
        <w:pStyle w:val="CitaviBibliographyEntry"/>
        <w:rPr>
          <w:lang w:val="en-AU"/>
        </w:rPr>
      </w:pPr>
      <w:bookmarkStart w:id="20" w:name="_CTVL001a68afe92c3a44193a91faaf5f2a3534b"/>
      <w:proofErr w:type="spellStart"/>
      <w:r>
        <w:rPr>
          <w:lang w:val="en-AU"/>
        </w:rPr>
        <w:t>Tomazin</w:t>
      </w:r>
      <w:proofErr w:type="spellEnd"/>
      <w:r>
        <w:rPr>
          <w:lang w:val="en-AU"/>
        </w:rPr>
        <w:t xml:space="preserve">, F. (2017) ‘Leafy suburbs forced to squeeze in more homes under new planning blueprint’, </w:t>
      </w:r>
      <w:bookmarkEnd w:id="20"/>
      <w:r w:rsidRPr="00B42C32">
        <w:rPr>
          <w:i/>
          <w:lang w:val="en-AU"/>
        </w:rPr>
        <w:t xml:space="preserve">The Age, </w:t>
      </w:r>
      <w:r w:rsidRPr="00B42C32">
        <w:rPr>
          <w:lang w:val="en-AU"/>
        </w:rPr>
        <w:t xml:space="preserve">11 March. Available at: </w:t>
      </w:r>
      <w:r w:rsidR="00600DFA" w:rsidRPr="001543E8">
        <w:rPr>
          <w:lang w:val="en-AU"/>
        </w:rPr>
        <w:t>http://​www.theage.com.au​/​victoria/​leafy-suburbs-forced-to-squeeze-in-more-homes-under-new-planning-blueprint-20170311-guw08u.html</w:t>
      </w:r>
      <w:r w:rsidRPr="00B42C32">
        <w:rPr>
          <w:lang w:val="en-AU"/>
        </w:rPr>
        <w:t xml:space="preserve"> (Accessed: 30 June 2017).</w:t>
      </w:r>
    </w:p>
    <w:p w14:paraId="40BB68FF" w14:textId="77777777" w:rsidR="00B42C32" w:rsidRDefault="00B42C32" w:rsidP="00B42C32">
      <w:pPr>
        <w:pStyle w:val="CitaviBibliographyEntry"/>
        <w:rPr>
          <w:lang w:val="en-AU"/>
        </w:rPr>
      </w:pPr>
      <w:bookmarkStart w:id="21" w:name="_CTVL001178dac5cb2734fada31f368f1105aa2a"/>
      <w:r>
        <w:rPr>
          <w:lang w:val="en-AU"/>
        </w:rPr>
        <w:t xml:space="preserve">Troy, L. (2017) ‘Red herrings in urban renewal: compact city planning and infrastructure efficiencies’, </w:t>
      </w:r>
      <w:bookmarkEnd w:id="21"/>
      <w:r w:rsidRPr="00B42C32">
        <w:rPr>
          <w:i/>
          <w:lang w:val="en-AU"/>
        </w:rPr>
        <w:t>2017 Australasian Housing Researchers Conference, Australasian Housing Researchers Conference</w:t>
      </w:r>
      <w:r w:rsidRPr="00B42C32">
        <w:rPr>
          <w:lang w:val="en-AU"/>
        </w:rPr>
        <w:t>, Melbourne, 14 - 17 February.</w:t>
      </w:r>
    </w:p>
    <w:p w14:paraId="70B7D76D" w14:textId="1461EB11" w:rsidR="00B42C32" w:rsidRDefault="00B42C32" w:rsidP="00B42C32">
      <w:pPr>
        <w:pStyle w:val="CitaviBibliographyEntry"/>
        <w:rPr>
          <w:lang w:val="en-AU"/>
        </w:rPr>
      </w:pPr>
      <w:bookmarkStart w:id="22" w:name="_CTVL001072392ef251d4fd48c87146950c9de92"/>
      <w:r>
        <w:rPr>
          <w:lang w:val="en-AU"/>
        </w:rPr>
        <w:t xml:space="preserve">Victorian Department of Environment, Land, Water and Planning (2017) </w:t>
      </w:r>
      <w:bookmarkEnd w:id="22"/>
      <w:r w:rsidRPr="00B42C32">
        <w:rPr>
          <w:i/>
          <w:lang w:val="en-AU"/>
        </w:rPr>
        <w:t>Plan Melbourne 2017-2050</w:t>
      </w:r>
      <w:r w:rsidRPr="00B42C32">
        <w:rPr>
          <w:lang w:val="en-AU"/>
        </w:rPr>
        <w:t xml:space="preserve">. Melbourne: State Government of Victoria. Available at: </w:t>
      </w:r>
      <w:r w:rsidR="00600DFA" w:rsidRPr="001543E8">
        <w:rPr>
          <w:lang w:val="en-AU"/>
        </w:rPr>
        <w:t>http://​www.planmelbourne.vic.gov.au​/_​_​data/​assets/​pdf_​file/​0007/​377206/​Plan_​Melbourne_​2017-2050_​Strategy_​.pdf</w:t>
      </w:r>
      <w:r w:rsidRPr="00B42C32">
        <w:rPr>
          <w:lang w:val="en-AU"/>
        </w:rPr>
        <w:t xml:space="preserve"> (Accessed: 30 June 2017).</w:t>
      </w:r>
    </w:p>
    <w:p w14:paraId="57D053CD" w14:textId="77777777" w:rsidR="00B42C32" w:rsidRDefault="00B42C32" w:rsidP="00B42C32">
      <w:pPr>
        <w:pStyle w:val="CitaviBibliographyEntry"/>
        <w:rPr>
          <w:lang w:val="en-AU"/>
        </w:rPr>
      </w:pPr>
      <w:bookmarkStart w:id="23" w:name="_CTVL001353b22e74dc54928b55283fcb6dde5b8"/>
      <w:r>
        <w:rPr>
          <w:lang w:val="en-AU"/>
        </w:rPr>
        <w:t xml:space="preserve">Victorian Department of Treasury and Finance (2015) </w:t>
      </w:r>
      <w:bookmarkEnd w:id="23"/>
      <w:r w:rsidRPr="00B42C32">
        <w:rPr>
          <w:i/>
          <w:lang w:val="en-AU"/>
        </w:rPr>
        <w:t>For Families: State Capital Program</w:t>
      </w:r>
      <w:r w:rsidRPr="00B42C32">
        <w:rPr>
          <w:lang w:val="en-AU"/>
        </w:rPr>
        <w:t>. (Victorian Budget 15/16, Budget Paper No. 4). Melbourne: State Government of Victoria.</w:t>
      </w:r>
    </w:p>
    <w:p w14:paraId="6E2BCC31" w14:textId="51220E2A" w:rsidR="00B42C32" w:rsidRDefault="00B42C32" w:rsidP="00B42C32">
      <w:pPr>
        <w:pStyle w:val="CitaviBibliographyEntry"/>
        <w:rPr>
          <w:lang w:val="en-AU"/>
        </w:rPr>
      </w:pPr>
      <w:bookmarkStart w:id="24" w:name="_CTVL001d0c8fe6a2a884367805392f9a6d93dc8"/>
      <w:r>
        <w:rPr>
          <w:lang w:val="en-AU"/>
        </w:rPr>
        <w:t xml:space="preserve">Victorian Department of Treasury and Finance (2017) </w:t>
      </w:r>
      <w:bookmarkEnd w:id="24"/>
      <w:r w:rsidRPr="00B42C32">
        <w:rPr>
          <w:i/>
          <w:lang w:val="en-AU"/>
        </w:rPr>
        <w:t>State Budget</w:t>
      </w:r>
      <w:r w:rsidRPr="00B42C32">
        <w:rPr>
          <w:lang w:val="en-AU"/>
        </w:rPr>
        <w:t xml:space="preserve">. Available at: </w:t>
      </w:r>
      <w:r w:rsidR="00600DFA" w:rsidRPr="001543E8">
        <w:rPr>
          <w:lang w:val="en-AU"/>
        </w:rPr>
        <w:t>http://​www.dtf.vic.gov.au​/​State-Budget/​Previous-budgets</w:t>
      </w:r>
      <w:r w:rsidRPr="00B42C32">
        <w:rPr>
          <w:lang w:val="en-AU"/>
        </w:rPr>
        <w:t xml:space="preserve"> (Accessed: 2 July 2017).</w:t>
      </w:r>
    </w:p>
    <w:p w14:paraId="21456325" w14:textId="69DA590A" w:rsidR="00C94FBE" w:rsidRPr="00505071" w:rsidRDefault="00B42C32" w:rsidP="00B42C32">
      <w:pPr>
        <w:pStyle w:val="CitaviBibliographyEntry"/>
        <w:rPr>
          <w:lang w:val="en-AU"/>
        </w:rPr>
      </w:pPr>
      <w:bookmarkStart w:id="25" w:name="_CTVL00159b8f1619b0f450ea2d1230033b88a5f"/>
      <w:r>
        <w:rPr>
          <w:lang w:val="en-AU"/>
        </w:rPr>
        <w:t xml:space="preserve">Wiesel, I., Liu, F. and Buckle, C.L. (in press) ‘Locational disadvantage and the spatial distribution of government expenditure on urban infrastructure and services in metropolitan Sydney (1988–2015)’, </w:t>
      </w:r>
      <w:bookmarkEnd w:id="25"/>
      <w:r w:rsidRPr="00B42C32">
        <w:rPr>
          <w:i/>
          <w:lang w:val="en-AU"/>
        </w:rPr>
        <w:t>Geographical Research</w:t>
      </w:r>
      <w:r w:rsidRPr="00B42C32">
        <w:rPr>
          <w:lang w:val="en-AU"/>
        </w:rPr>
        <w:t xml:space="preserve">. </w:t>
      </w:r>
      <w:proofErr w:type="spellStart"/>
      <w:r w:rsidRPr="00B42C32">
        <w:rPr>
          <w:lang w:val="en-AU"/>
        </w:rPr>
        <w:t>doi</w:t>
      </w:r>
      <w:proofErr w:type="spellEnd"/>
      <w:r w:rsidRPr="00B42C32">
        <w:rPr>
          <w:lang w:val="en-AU"/>
        </w:rPr>
        <w:t>: 10.1111/1745-5871.12245</w:t>
      </w:r>
    </w:p>
    <w:sectPr w:rsidR="00C94FBE" w:rsidRPr="00505071" w:rsidSect="00505071">
      <w:pgSz w:w="11906" w:h="16838"/>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77D9CC" w16cid:durableId="1D0E381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547F1" w14:textId="77777777" w:rsidR="001543E8" w:rsidRDefault="001543E8" w:rsidP="001543E8">
      <w:r>
        <w:separator/>
      </w:r>
    </w:p>
  </w:endnote>
  <w:endnote w:type="continuationSeparator" w:id="0">
    <w:p w14:paraId="6484C867" w14:textId="77777777" w:rsidR="001543E8" w:rsidRDefault="001543E8" w:rsidP="0015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华文新魏">
    <w:charset w:val="86"/>
    <w:family w:val="auto"/>
    <w:pitch w:val="variable"/>
    <w:sig w:usb0="00000001" w:usb1="080F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887D8" w14:textId="77777777" w:rsidR="001543E8" w:rsidRDefault="001543E8" w:rsidP="001543E8">
      <w:r>
        <w:separator/>
      </w:r>
    </w:p>
  </w:footnote>
  <w:footnote w:type="continuationSeparator" w:id="0">
    <w:p w14:paraId="6A2C7EFD" w14:textId="77777777" w:rsidR="001543E8" w:rsidRDefault="001543E8" w:rsidP="001543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1709" w14:textId="77777777" w:rsidR="00A80C2D" w:rsidRPr="00AC034E" w:rsidRDefault="00A80C2D" w:rsidP="00A80C2D">
    <w:pPr>
      <w:pStyle w:val="Header"/>
      <w:rPr>
        <w:rFonts w:cs="Arial"/>
      </w:rPr>
    </w:pPr>
    <w:r w:rsidRPr="00AC034E">
      <w:rPr>
        <w:rFonts w:cs="Arial"/>
      </w:rPr>
      <w:t>SOAC 2017</w:t>
    </w:r>
  </w:p>
  <w:p w14:paraId="62115B19" w14:textId="77777777" w:rsidR="00A80C2D" w:rsidRDefault="00A80C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30AF5"/>
    <w:multiLevelType w:val="hybridMultilevel"/>
    <w:tmpl w:val="8E98D134"/>
    <w:lvl w:ilvl="0" w:tplc="6252545A">
      <w:start w:val="1"/>
      <w:numFmt w:val="bullet"/>
      <w:pStyle w:val="Listi"/>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AD0840"/>
    <w:multiLevelType w:val="hybridMultilevel"/>
    <w:tmpl w:val="E41492B0"/>
    <w:lvl w:ilvl="0" w:tplc="0BEEE87C">
      <w:start w:val="1"/>
      <w:numFmt w:val="bullet"/>
      <w:pStyle w:val="Bullet"/>
      <w:lvlText w:val=""/>
      <w:lvlJc w:val="left"/>
      <w:pPr>
        <w:ind w:left="720" w:hanging="360"/>
      </w:pPr>
      <w:rPr>
        <w:rFonts w:ascii="Symbol" w:hAnsi="Symbol" w:hint="default"/>
        <w:color w:val="auto"/>
      </w:rPr>
    </w:lvl>
    <w:lvl w:ilvl="1" w:tplc="5ED810C2">
      <w:start w:val="1"/>
      <w:numFmt w:val="bullet"/>
      <w:pStyle w:val="BulletLevel2"/>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71"/>
    <w:rsid w:val="000265CC"/>
    <w:rsid w:val="000303AD"/>
    <w:rsid w:val="00046278"/>
    <w:rsid w:val="001543E8"/>
    <w:rsid w:val="001600F6"/>
    <w:rsid w:val="0020652E"/>
    <w:rsid w:val="002A0333"/>
    <w:rsid w:val="002A0C7D"/>
    <w:rsid w:val="0037044C"/>
    <w:rsid w:val="004A566A"/>
    <w:rsid w:val="00505071"/>
    <w:rsid w:val="0056155D"/>
    <w:rsid w:val="00600DFA"/>
    <w:rsid w:val="0069291B"/>
    <w:rsid w:val="007821BB"/>
    <w:rsid w:val="008720DA"/>
    <w:rsid w:val="008A185E"/>
    <w:rsid w:val="00A1338C"/>
    <w:rsid w:val="00A61DDE"/>
    <w:rsid w:val="00A80C2D"/>
    <w:rsid w:val="00AB0DD6"/>
    <w:rsid w:val="00B42C32"/>
    <w:rsid w:val="00C94FBE"/>
    <w:rsid w:val="00CD30D1"/>
    <w:rsid w:val="00D16CF4"/>
    <w:rsid w:val="00D31929"/>
    <w:rsid w:val="00DF15FE"/>
    <w:rsid w:val="00E6546A"/>
    <w:rsid w:val="00F16223"/>
    <w:rsid w:val="00F424FA"/>
    <w:rsid w:val="00FA18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85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AU" w:eastAsia="zh-CN"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71"/>
    <w:pPr>
      <w:spacing w:after="0" w:line="240" w:lineRule="auto"/>
    </w:pPr>
    <w:rPr>
      <w:rFonts w:ascii="Arial" w:hAnsi="Arial"/>
      <w:sz w:val="20"/>
      <w:lang w:val="en-GB"/>
    </w:rPr>
  </w:style>
  <w:style w:type="paragraph" w:styleId="Heading1">
    <w:name w:val="heading 1"/>
    <w:basedOn w:val="Normal"/>
    <w:next w:val="Normal"/>
    <w:link w:val="Heading1Char"/>
    <w:uiPriority w:val="9"/>
    <w:qFormat/>
    <w:rsid w:val="00D31929"/>
    <w:pPr>
      <w:keepNext/>
      <w:keepLines/>
      <w:pBdr>
        <w:left w:val="single" w:sz="12" w:space="12" w:color="629DD1" w:themeColor="accent2"/>
      </w:pBdr>
      <w:spacing w:before="80" w:after="80"/>
      <w:outlineLvl w:val="0"/>
    </w:pPr>
    <w:rPr>
      <w:rFonts w:asciiTheme="majorHAnsi" w:eastAsiaTheme="majorEastAsia" w:hAnsiTheme="majorHAnsi" w:cstheme="majorBidi"/>
      <w:caps/>
      <w:spacing w:val="10"/>
      <w:sz w:val="28"/>
      <w:szCs w:val="36"/>
    </w:rPr>
  </w:style>
  <w:style w:type="paragraph" w:styleId="Heading2">
    <w:name w:val="heading 2"/>
    <w:basedOn w:val="Normal"/>
    <w:next w:val="Normal"/>
    <w:link w:val="Heading2Char"/>
    <w:uiPriority w:val="9"/>
    <w:unhideWhenUsed/>
    <w:qFormat/>
    <w:rsid w:val="00D31929"/>
    <w:pPr>
      <w:keepNext/>
      <w:keepLines/>
      <w:spacing w:before="120"/>
      <w:outlineLvl w:val="1"/>
    </w:pPr>
    <w:rPr>
      <w:rFonts w:asciiTheme="majorHAnsi" w:eastAsiaTheme="majorEastAsia" w:hAnsiTheme="majorHAnsi" w:cstheme="majorBidi"/>
      <w:i/>
      <w:sz w:val="28"/>
      <w:szCs w:val="36"/>
    </w:rPr>
  </w:style>
  <w:style w:type="paragraph" w:styleId="Heading3">
    <w:name w:val="heading 3"/>
    <w:basedOn w:val="Normal"/>
    <w:next w:val="Normal"/>
    <w:link w:val="Heading3Char"/>
    <w:uiPriority w:val="9"/>
    <w:semiHidden/>
    <w:unhideWhenUsed/>
    <w:qFormat/>
    <w:rsid w:val="00D31929"/>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D31929"/>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D31929"/>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D31929"/>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D31929"/>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31929"/>
    <w:pPr>
      <w:keepNext/>
      <w:keepLines/>
      <w:spacing w:before="80"/>
      <w:outlineLvl w:val="7"/>
    </w:pPr>
    <w:rPr>
      <w:rFonts w:asciiTheme="majorHAnsi" w:eastAsiaTheme="majorEastAsia" w:hAnsiTheme="majorHAnsi" w:cstheme="majorBidi"/>
      <w:caps/>
      <w:sz w:val="21"/>
    </w:rPr>
  </w:style>
  <w:style w:type="paragraph" w:styleId="Heading9">
    <w:name w:val="heading 9"/>
    <w:basedOn w:val="Normal"/>
    <w:next w:val="Normal"/>
    <w:link w:val="Heading9Char"/>
    <w:uiPriority w:val="9"/>
    <w:unhideWhenUsed/>
    <w:qFormat/>
    <w:rsid w:val="00D31929"/>
    <w:pPr>
      <w:keepNext/>
      <w:keepLines/>
      <w:spacing w:before="80"/>
      <w:outlineLvl w:val="8"/>
    </w:pPr>
    <w:rPr>
      <w:rFonts w:asciiTheme="majorHAnsi" w:eastAsiaTheme="majorEastAsia" w:hAnsiTheme="majorHAnsi" w:cstheme="majorBidi"/>
      <w:i/>
      <w:iCs/>
      <w: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
    <w:name w:val="List i"/>
    <w:basedOn w:val="Normal"/>
    <w:autoRedefine/>
    <w:rsid w:val="00CD30D1"/>
    <w:pPr>
      <w:widowControl w:val="0"/>
      <w:numPr>
        <w:numId w:val="5"/>
      </w:numPr>
    </w:pPr>
    <w:rPr>
      <w:rFonts w:eastAsia="Times New Roman" w:cs="Times New Roman"/>
      <w:szCs w:val="20"/>
      <w:lang w:eastAsia="en-US"/>
    </w:rPr>
  </w:style>
  <w:style w:type="paragraph" w:customStyle="1" w:styleId="Quotesupdated">
    <w:name w:val="Quotes_updated"/>
    <w:basedOn w:val="Normal"/>
    <w:next w:val="Normal"/>
    <w:link w:val="QuotesupdatedChar"/>
    <w:rsid w:val="00CD30D1"/>
    <w:pPr>
      <w:tabs>
        <w:tab w:val="left" w:pos="851"/>
      </w:tabs>
      <w:ind w:left="567"/>
      <w:contextualSpacing/>
      <w:jc w:val="both"/>
    </w:pPr>
    <w:rPr>
      <w:rFonts w:eastAsia="Times New Roman" w:cs="Times New Roman"/>
      <w:i/>
      <w:szCs w:val="24"/>
      <w:lang w:eastAsia="en-US"/>
    </w:rPr>
  </w:style>
  <w:style w:type="character" w:customStyle="1" w:styleId="QuotesupdatedChar">
    <w:name w:val="Quotes_updated Char"/>
    <w:basedOn w:val="DefaultParagraphFont"/>
    <w:link w:val="Quotesupdated"/>
    <w:rsid w:val="00CD30D1"/>
    <w:rPr>
      <w:rFonts w:eastAsia="Times New Roman" w:cs="Times New Roman"/>
      <w:i/>
      <w:szCs w:val="24"/>
      <w:lang w:val="en-GB" w:eastAsia="en-US"/>
    </w:rPr>
  </w:style>
  <w:style w:type="paragraph" w:customStyle="1" w:styleId="Bullet">
    <w:name w:val="Bullet"/>
    <w:basedOn w:val="Normal"/>
    <w:autoRedefine/>
    <w:rsid w:val="00CD30D1"/>
    <w:pPr>
      <w:widowControl w:val="0"/>
      <w:numPr>
        <w:numId w:val="7"/>
      </w:numPr>
    </w:pPr>
    <w:rPr>
      <w:rFonts w:eastAsia="Times New Roman" w:cs="Arial"/>
      <w:szCs w:val="20"/>
      <w:lang w:val="en-US" w:eastAsia="en-US"/>
    </w:rPr>
  </w:style>
  <w:style w:type="paragraph" w:customStyle="1" w:styleId="BulletLevel2">
    <w:name w:val="Bullet Level 2"/>
    <w:basedOn w:val="Bullet"/>
    <w:autoRedefine/>
    <w:rsid w:val="00CD30D1"/>
    <w:pPr>
      <w:numPr>
        <w:ilvl w:val="1"/>
      </w:numPr>
    </w:pPr>
  </w:style>
  <w:style w:type="character" w:customStyle="1" w:styleId="Heading1Char">
    <w:name w:val="Heading 1 Char"/>
    <w:basedOn w:val="DefaultParagraphFont"/>
    <w:link w:val="Heading1"/>
    <w:uiPriority w:val="9"/>
    <w:rsid w:val="00D31929"/>
    <w:rPr>
      <w:rFonts w:asciiTheme="majorHAnsi" w:eastAsiaTheme="majorEastAsia" w:hAnsiTheme="majorHAnsi" w:cstheme="majorBidi"/>
      <w:caps/>
      <w:spacing w:val="10"/>
      <w:sz w:val="28"/>
      <w:szCs w:val="36"/>
    </w:rPr>
  </w:style>
  <w:style w:type="character" w:customStyle="1" w:styleId="Heading9Char">
    <w:name w:val="Heading 9 Char"/>
    <w:basedOn w:val="DefaultParagraphFont"/>
    <w:link w:val="Heading9"/>
    <w:uiPriority w:val="9"/>
    <w:rsid w:val="00D31929"/>
    <w:rPr>
      <w:rFonts w:asciiTheme="majorHAnsi" w:eastAsiaTheme="majorEastAsia" w:hAnsiTheme="majorHAnsi" w:cstheme="majorBidi"/>
      <w:i/>
      <w:iCs/>
      <w:caps/>
    </w:rPr>
  </w:style>
  <w:style w:type="paragraph" w:styleId="ListParagraph">
    <w:name w:val="List Paragraph"/>
    <w:basedOn w:val="Normal"/>
    <w:uiPriority w:val="34"/>
    <w:qFormat/>
    <w:rsid w:val="00D31929"/>
    <w:pPr>
      <w:ind w:left="720"/>
      <w:contextualSpacing/>
    </w:pPr>
  </w:style>
  <w:style w:type="character" w:customStyle="1" w:styleId="Heading2Char">
    <w:name w:val="Heading 2 Char"/>
    <w:basedOn w:val="DefaultParagraphFont"/>
    <w:link w:val="Heading2"/>
    <w:uiPriority w:val="9"/>
    <w:rsid w:val="00D31929"/>
    <w:rPr>
      <w:rFonts w:asciiTheme="majorHAnsi" w:eastAsiaTheme="majorEastAsia" w:hAnsiTheme="majorHAnsi" w:cstheme="majorBidi"/>
      <w:i/>
      <w:sz w:val="28"/>
      <w:szCs w:val="36"/>
    </w:rPr>
  </w:style>
  <w:style w:type="character" w:customStyle="1" w:styleId="Heading3Char">
    <w:name w:val="Heading 3 Char"/>
    <w:basedOn w:val="DefaultParagraphFont"/>
    <w:link w:val="Heading3"/>
    <w:uiPriority w:val="9"/>
    <w:semiHidden/>
    <w:rsid w:val="00D3192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D3192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D3192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D3192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D3192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31929"/>
    <w:rPr>
      <w:rFonts w:asciiTheme="majorHAnsi" w:eastAsiaTheme="majorEastAsia" w:hAnsiTheme="majorHAnsi" w:cstheme="majorBidi"/>
      <w:caps/>
    </w:rPr>
  </w:style>
  <w:style w:type="paragraph" w:styleId="Caption">
    <w:name w:val="caption"/>
    <w:basedOn w:val="Normal"/>
    <w:next w:val="Normal"/>
    <w:uiPriority w:val="35"/>
    <w:unhideWhenUsed/>
    <w:qFormat/>
    <w:rsid w:val="00D31929"/>
    <w:rPr>
      <w:b/>
      <w:bCs/>
      <w:color w:val="629DD1" w:themeColor="accent2"/>
      <w:spacing w:val="10"/>
      <w:sz w:val="16"/>
      <w:szCs w:val="16"/>
    </w:rPr>
  </w:style>
  <w:style w:type="paragraph" w:styleId="Title">
    <w:name w:val="Title"/>
    <w:basedOn w:val="Normal"/>
    <w:next w:val="Normal"/>
    <w:link w:val="TitleChar"/>
    <w:uiPriority w:val="10"/>
    <w:qFormat/>
    <w:rsid w:val="00505071"/>
    <w:pPr>
      <w:contextualSpacing/>
      <w:jc w:val="center"/>
    </w:pPr>
    <w:rPr>
      <w:rFonts w:eastAsiaTheme="majorEastAsia" w:cstheme="majorBidi"/>
      <w:b/>
      <w:spacing w:val="40"/>
      <w:sz w:val="28"/>
      <w:szCs w:val="76"/>
    </w:rPr>
  </w:style>
  <w:style w:type="character" w:customStyle="1" w:styleId="TitleChar">
    <w:name w:val="Title Char"/>
    <w:basedOn w:val="DefaultParagraphFont"/>
    <w:link w:val="Title"/>
    <w:uiPriority w:val="10"/>
    <w:rsid w:val="00505071"/>
    <w:rPr>
      <w:rFonts w:ascii="Arial" w:eastAsiaTheme="majorEastAsia" w:hAnsi="Arial" w:cstheme="majorBidi"/>
      <w:b/>
      <w:spacing w:val="40"/>
      <w:sz w:val="28"/>
      <w:szCs w:val="76"/>
      <w:lang w:val="en-GB"/>
    </w:rPr>
  </w:style>
  <w:style w:type="paragraph" w:styleId="Subtitle">
    <w:name w:val="Subtitle"/>
    <w:basedOn w:val="Normal"/>
    <w:next w:val="Normal"/>
    <w:link w:val="SubtitleChar"/>
    <w:uiPriority w:val="11"/>
    <w:qFormat/>
    <w:rsid w:val="00D3192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D31929"/>
    <w:rPr>
      <w:color w:val="000000" w:themeColor="text1"/>
      <w:sz w:val="24"/>
      <w:szCs w:val="24"/>
    </w:rPr>
  </w:style>
  <w:style w:type="character" w:styleId="Strong">
    <w:name w:val="Strong"/>
    <w:basedOn w:val="DefaultParagraphFont"/>
    <w:uiPriority w:val="22"/>
    <w:qFormat/>
    <w:rsid w:val="00D3192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D31929"/>
    <w:rPr>
      <w:rFonts w:asciiTheme="minorHAnsi" w:eastAsiaTheme="minorEastAsia" w:hAnsiTheme="minorHAnsi" w:cstheme="minorBidi"/>
      <w:i/>
      <w:iCs/>
      <w:color w:val="3476B1" w:themeColor="accent2" w:themeShade="BF"/>
      <w:sz w:val="20"/>
      <w:szCs w:val="20"/>
    </w:rPr>
  </w:style>
  <w:style w:type="paragraph" w:styleId="NoSpacing">
    <w:name w:val="No Spacing"/>
    <w:uiPriority w:val="1"/>
    <w:qFormat/>
    <w:rsid w:val="00D31929"/>
    <w:pPr>
      <w:spacing w:after="0" w:line="240" w:lineRule="auto"/>
    </w:pPr>
    <w:rPr>
      <w:rFonts w:ascii="Calibri" w:hAnsi="Calibri"/>
      <w:sz w:val="20"/>
    </w:rPr>
  </w:style>
  <w:style w:type="paragraph" w:styleId="Quote">
    <w:name w:val="Quote"/>
    <w:basedOn w:val="Normal"/>
    <w:next w:val="Normal"/>
    <w:link w:val="QuoteChar"/>
    <w:uiPriority w:val="29"/>
    <w:qFormat/>
    <w:rsid w:val="008A185E"/>
    <w:pPr>
      <w:ind w:left="720" w:right="720"/>
    </w:pPr>
    <w:rPr>
      <w:rFonts w:eastAsiaTheme="majorEastAsia" w:cstheme="majorBidi"/>
      <w:szCs w:val="24"/>
    </w:rPr>
  </w:style>
  <w:style w:type="character" w:customStyle="1" w:styleId="QuoteChar">
    <w:name w:val="Quote Char"/>
    <w:basedOn w:val="DefaultParagraphFont"/>
    <w:link w:val="Quote"/>
    <w:uiPriority w:val="29"/>
    <w:rsid w:val="008A185E"/>
    <w:rPr>
      <w:rFonts w:ascii="Arial" w:eastAsiaTheme="majorEastAsia" w:hAnsi="Arial" w:cstheme="majorBidi"/>
      <w:sz w:val="20"/>
      <w:szCs w:val="24"/>
      <w:lang w:val="en-GB"/>
    </w:rPr>
  </w:style>
  <w:style w:type="paragraph" w:styleId="IntenseQuote">
    <w:name w:val="Intense Quote"/>
    <w:basedOn w:val="Normal"/>
    <w:next w:val="Normal"/>
    <w:link w:val="IntenseQuoteChar"/>
    <w:uiPriority w:val="30"/>
    <w:qFormat/>
    <w:rsid w:val="00D31929"/>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eQuoteChar">
    <w:name w:val="Intense Quote Char"/>
    <w:basedOn w:val="DefaultParagraphFont"/>
    <w:link w:val="IntenseQuote"/>
    <w:uiPriority w:val="30"/>
    <w:rsid w:val="00D31929"/>
    <w:rPr>
      <w:rFonts w:asciiTheme="majorHAnsi" w:eastAsiaTheme="majorEastAsia" w:hAnsiTheme="majorHAnsi" w:cstheme="majorBidi"/>
      <w:caps/>
      <w:color w:val="3476B1" w:themeColor="accent2" w:themeShade="BF"/>
      <w:spacing w:val="10"/>
      <w:sz w:val="28"/>
      <w:szCs w:val="28"/>
    </w:rPr>
  </w:style>
  <w:style w:type="character" w:styleId="SubtleEmphasis">
    <w:name w:val="Subtle Emphasis"/>
    <w:basedOn w:val="DefaultParagraphFont"/>
    <w:uiPriority w:val="19"/>
    <w:qFormat/>
    <w:rsid w:val="00D31929"/>
    <w:rPr>
      <w:i/>
      <w:iCs/>
      <w:color w:val="auto"/>
    </w:rPr>
  </w:style>
  <w:style w:type="character" w:styleId="IntenseEmphasis">
    <w:name w:val="Intense Emphasis"/>
    <w:basedOn w:val="DefaultParagraphFont"/>
    <w:uiPriority w:val="21"/>
    <w:qFormat/>
    <w:rsid w:val="00D31929"/>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ubtleReference">
    <w:name w:val="Subtle Reference"/>
    <w:basedOn w:val="DefaultParagraphFont"/>
    <w:uiPriority w:val="31"/>
    <w:qFormat/>
    <w:rsid w:val="00D3192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D3192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D3192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D31929"/>
    <w:pPr>
      <w:outlineLvl w:val="9"/>
    </w:pPr>
  </w:style>
  <w:style w:type="paragraph" w:customStyle="1" w:styleId="TitleofPaper">
    <w:name w:val="Title of Paper"/>
    <w:basedOn w:val="Normal"/>
    <w:link w:val="TitleofPaperChar"/>
    <w:qFormat/>
    <w:rsid w:val="00505071"/>
    <w:pPr>
      <w:jc w:val="center"/>
    </w:pPr>
    <w:rPr>
      <w:rFonts w:cs="Arial"/>
      <w:b/>
      <w:sz w:val="28"/>
    </w:rPr>
  </w:style>
  <w:style w:type="paragraph" w:customStyle="1" w:styleId="Authorsnamesandaddresses">
    <w:name w:val="Authors' names and addresses"/>
    <w:basedOn w:val="Normal"/>
    <w:link w:val="AuthorsnamesandaddressesChar"/>
    <w:qFormat/>
    <w:rsid w:val="00505071"/>
    <w:pPr>
      <w:jc w:val="center"/>
    </w:pPr>
    <w:rPr>
      <w:rFonts w:cs="Arial"/>
    </w:rPr>
  </w:style>
  <w:style w:type="character" w:customStyle="1" w:styleId="TitleofPaperChar">
    <w:name w:val="Title of Paper Char"/>
    <w:basedOn w:val="DefaultParagraphFont"/>
    <w:link w:val="TitleofPaper"/>
    <w:rsid w:val="00505071"/>
    <w:rPr>
      <w:rFonts w:ascii="Arial" w:hAnsi="Arial" w:cs="Arial"/>
      <w:b/>
      <w:sz w:val="28"/>
      <w:lang w:val="en-GB"/>
    </w:rPr>
  </w:style>
  <w:style w:type="paragraph" w:customStyle="1" w:styleId="Headings">
    <w:name w:val="Headings"/>
    <w:basedOn w:val="Normal"/>
    <w:next w:val="Normal"/>
    <w:link w:val="HeadingsChar"/>
    <w:qFormat/>
    <w:rsid w:val="00505071"/>
    <w:rPr>
      <w:b/>
      <w:sz w:val="22"/>
    </w:rPr>
  </w:style>
  <w:style w:type="character" w:customStyle="1" w:styleId="AuthorsnamesandaddressesChar">
    <w:name w:val="Authors' names and addresses Char"/>
    <w:basedOn w:val="DefaultParagraphFont"/>
    <w:link w:val="Authorsnamesandaddresses"/>
    <w:rsid w:val="00505071"/>
    <w:rPr>
      <w:rFonts w:ascii="Arial" w:hAnsi="Arial" w:cs="Arial"/>
      <w:sz w:val="20"/>
      <w:lang w:val="en-GB"/>
    </w:rPr>
  </w:style>
  <w:style w:type="paragraph" w:customStyle="1" w:styleId="CitaviBibliographyEntry">
    <w:name w:val="Citavi Bibliography Entry"/>
    <w:basedOn w:val="Normal"/>
    <w:link w:val="CitaviBibliographyEntryChar"/>
    <w:rsid w:val="00C94FBE"/>
    <w:pPr>
      <w:spacing w:after="120"/>
    </w:pPr>
  </w:style>
  <w:style w:type="character" w:customStyle="1" w:styleId="HeadingsChar">
    <w:name w:val="Headings Char"/>
    <w:basedOn w:val="DefaultParagraphFont"/>
    <w:link w:val="Headings"/>
    <w:rsid w:val="00505071"/>
    <w:rPr>
      <w:rFonts w:ascii="Arial" w:hAnsi="Arial"/>
      <w:b/>
      <w:sz w:val="22"/>
      <w:lang w:val="en-GB"/>
    </w:rPr>
  </w:style>
  <w:style w:type="character" w:customStyle="1" w:styleId="CitaviBibliographyEntryChar">
    <w:name w:val="Citavi Bibliography Entry Char"/>
    <w:basedOn w:val="DefaultParagraphFont"/>
    <w:link w:val="CitaviBibliographyEntry"/>
    <w:rsid w:val="00C94FBE"/>
    <w:rPr>
      <w:rFonts w:ascii="Arial" w:hAnsi="Arial"/>
      <w:sz w:val="20"/>
      <w:lang w:val="en-GB"/>
    </w:rPr>
  </w:style>
  <w:style w:type="paragraph" w:customStyle="1" w:styleId="CitaviBibliographyHeading">
    <w:name w:val="Citavi Bibliography Heading"/>
    <w:basedOn w:val="Headings"/>
    <w:next w:val="Normal"/>
    <w:link w:val="CitaviBibliographyHeadingChar"/>
    <w:rsid w:val="00C94FBE"/>
  </w:style>
  <w:style w:type="character" w:customStyle="1" w:styleId="CitaviBibliographyHeadingChar">
    <w:name w:val="Citavi Bibliography Heading Char"/>
    <w:basedOn w:val="DefaultParagraphFont"/>
    <w:link w:val="CitaviBibliographyHeading"/>
    <w:rsid w:val="00B42C32"/>
    <w:rPr>
      <w:rFonts w:ascii="Arial" w:hAnsi="Arial"/>
      <w:b/>
      <w:sz w:val="22"/>
      <w:lang w:val="en-GB"/>
    </w:rPr>
  </w:style>
  <w:style w:type="paragraph" w:customStyle="1" w:styleId="CitaviBibliographySubheading1">
    <w:name w:val="Citavi Bibliography Subheading 1"/>
    <w:basedOn w:val="Heading2"/>
    <w:link w:val="CitaviBibliographySubheading1Char"/>
    <w:rsid w:val="00C94FBE"/>
    <w:pPr>
      <w:outlineLvl w:val="9"/>
    </w:pPr>
    <w:rPr>
      <w:lang w:val="en-AU"/>
    </w:rPr>
  </w:style>
  <w:style w:type="character" w:customStyle="1" w:styleId="CitaviBibliographySubheading1Char">
    <w:name w:val="Citavi Bibliography Subheading 1 Char"/>
    <w:basedOn w:val="DefaultParagraphFont"/>
    <w:link w:val="CitaviBibliographySubheading1"/>
    <w:rsid w:val="00C94FBE"/>
    <w:rPr>
      <w:rFonts w:asciiTheme="majorHAnsi" w:eastAsiaTheme="majorEastAsia" w:hAnsiTheme="majorHAnsi" w:cstheme="majorBidi"/>
      <w:i/>
      <w:sz w:val="28"/>
      <w:szCs w:val="36"/>
    </w:rPr>
  </w:style>
  <w:style w:type="paragraph" w:customStyle="1" w:styleId="CitaviBibliographySubheading2">
    <w:name w:val="Citavi Bibliography Subheading 2"/>
    <w:basedOn w:val="Heading3"/>
    <w:link w:val="CitaviBibliographySubheading2Char"/>
    <w:rsid w:val="00C94FBE"/>
    <w:pPr>
      <w:outlineLvl w:val="9"/>
    </w:pPr>
    <w:rPr>
      <w:lang w:val="en-AU"/>
    </w:rPr>
  </w:style>
  <w:style w:type="character" w:customStyle="1" w:styleId="CitaviBibliographySubheading2Char">
    <w:name w:val="Citavi Bibliography Subheading 2 Char"/>
    <w:basedOn w:val="DefaultParagraphFont"/>
    <w:link w:val="CitaviBibliographySubheading2"/>
    <w:rsid w:val="00C94FBE"/>
    <w:rPr>
      <w:rFonts w:asciiTheme="majorHAnsi" w:eastAsiaTheme="majorEastAsia" w:hAnsiTheme="majorHAnsi" w:cstheme="majorBidi"/>
      <w:caps/>
      <w:sz w:val="28"/>
      <w:szCs w:val="28"/>
    </w:rPr>
  </w:style>
  <w:style w:type="paragraph" w:customStyle="1" w:styleId="CitaviBibliographySubheading3">
    <w:name w:val="Citavi Bibliography Subheading 3"/>
    <w:basedOn w:val="Heading4"/>
    <w:link w:val="CitaviBibliographySubheading3Char"/>
    <w:rsid w:val="00C94FBE"/>
    <w:pPr>
      <w:outlineLvl w:val="9"/>
    </w:pPr>
    <w:rPr>
      <w:lang w:val="en-AU"/>
    </w:rPr>
  </w:style>
  <w:style w:type="character" w:customStyle="1" w:styleId="CitaviBibliographySubheading3Char">
    <w:name w:val="Citavi Bibliography Subheading 3 Char"/>
    <w:basedOn w:val="DefaultParagraphFont"/>
    <w:link w:val="CitaviBibliographySubheading3"/>
    <w:rsid w:val="00C94FBE"/>
    <w:rPr>
      <w:rFonts w:asciiTheme="majorHAnsi" w:eastAsiaTheme="majorEastAsia" w:hAnsiTheme="majorHAnsi" w:cstheme="majorBidi"/>
      <w:i/>
      <w:iCs/>
      <w:sz w:val="28"/>
      <w:szCs w:val="28"/>
    </w:rPr>
  </w:style>
  <w:style w:type="paragraph" w:customStyle="1" w:styleId="CitaviBibliographySubheading4">
    <w:name w:val="Citavi Bibliography Subheading 4"/>
    <w:basedOn w:val="Heading5"/>
    <w:link w:val="CitaviBibliographySubheading4Char"/>
    <w:rsid w:val="00C94FBE"/>
    <w:pPr>
      <w:outlineLvl w:val="9"/>
    </w:pPr>
    <w:rPr>
      <w:lang w:val="en-AU"/>
    </w:rPr>
  </w:style>
  <w:style w:type="character" w:customStyle="1" w:styleId="CitaviBibliographySubheading4Char">
    <w:name w:val="Citavi Bibliography Subheading 4 Char"/>
    <w:basedOn w:val="DefaultParagraphFont"/>
    <w:link w:val="CitaviBibliographySubheading4"/>
    <w:rsid w:val="00C94FBE"/>
    <w:rPr>
      <w:rFonts w:asciiTheme="majorHAnsi" w:eastAsiaTheme="majorEastAsia" w:hAnsiTheme="majorHAnsi" w:cstheme="majorBidi"/>
      <w:sz w:val="24"/>
      <w:szCs w:val="24"/>
    </w:rPr>
  </w:style>
  <w:style w:type="paragraph" w:customStyle="1" w:styleId="CitaviBibliographySubheading5">
    <w:name w:val="Citavi Bibliography Subheading 5"/>
    <w:basedOn w:val="Heading6"/>
    <w:link w:val="CitaviBibliographySubheading5Char"/>
    <w:rsid w:val="00C94FBE"/>
    <w:pPr>
      <w:outlineLvl w:val="9"/>
    </w:pPr>
    <w:rPr>
      <w:lang w:val="en-AU"/>
    </w:rPr>
  </w:style>
  <w:style w:type="character" w:customStyle="1" w:styleId="CitaviBibliographySubheading5Char">
    <w:name w:val="Citavi Bibliography Subheading 5 Char"/>
    <w:basedOn w:val="DefaultParagraphFont"/>
    <w:link w:val="CitaviBibliographySubheading5"/>
    <w:rsid w:val="00C94FBE"/>
    <w:rPr>
      <w:rFonts w:asciiTheme="majorHAnsi" w:eastAsiaTheme="majorEastAsia" w:hAnsiTheme="majorHAnsi" w:cstheme="majorBidi"/>
      <w:i/>
      <w:iCs/>
      <w:sz w:val="24"/>
      <w:szCs w:val="24"/>
    </w:rPr>
  </w:style>
  <w:style w:type="paragraph" w:customStyle="1" w:styleId="CitaviBibliographySubheading6">
    <w:name w:val="Citavi Bibliography Subheading 6"/>
    <w:basedOn w:val="Heading7"/>
    <w:link w:val="CitaviBibliographySubheading6Char"/>
    <w:rsid w:val="00C94FBE"/>
    <w:pPr>
      <w:outlineLvl w:val="9"/>
    </w:pPr>
    <w:rPr>
      <w:lang w:val="en-AU"/>
    </w:rPr>
  </w:style>
  <w:style w:type="character" w:customStyle="1" w:styleId="CitaviBibliographySubheading6Char">
    <w:name w:val="Citavi Bibliography Subheading 6 Char"/>
    <w:basedOn w:val="DefaultParagraphFont"/>
    <w:link w:val="CitaviBibliographySubheading6"/>
    <w:rsid w:val="00C94FBE"/>
    <w:rPr>
      <w:rFonts w:asciiTheme="majorHAnsi" w:eastAsiaTheme="majorEastAsia" w:hAnsiTheme="majorHAnsi" w:cstheme="majorBidi"/>
      <w:color w:val="595959" w:themeColor="text1" w:themeTint="A6"/>
      <w:sz w:val="24"/>
      <w:szCs w:val="24"/>
    </w:rPr>
  </w:style>
  <w:style w:type="paragraph" w:customStyle="1" w:styleId="CitaviBibliographySubheading7">
    <w:name w:val="Citavi Bibliography Subheading 7"/>
    <w:basedOn w:val="Heading8"/>
    <w:link w:val="CitaviBibliographySubheading7Char"/>
    <w:rsid w:val="00C94FBE"/>
    <w:pPr>
      <w:outlineLvl w:val="9"/>
    </w:pPr>
    <w:rPr>
      <w:lang w:val="en-AU"/>
    </w:rPr>
  </w:style>
  <w:style w:type="character" w:customStyle="1" w:styleId="CitaviBibliographySubheading7Char">
    <w:name w:val="Citavi Bibliography Subheading 7 Char"/>
    <w:basedOn w:val="DefaultParagraphFont"/>
    <w:link w:val="CitaviBibliographySubheading7"/>
    <w:rsid w:val="00C94FBE"/>
    <w:rPr>
      <w:rFonts w:asciiTheme="majorHAnsi" w:eastAsiaTheme="majorEastAsia" w:hAnsiTheme="majorHAnsi" w:cstheme="majorBidi"/>
      <w:caps/>
    </w:rPr>
  </w:style>
  <w:style w:type="paragraph" w:customStyle="1" w:styleId="CitaviBibliographySubheading8">
    <w:name w:val="Citavi Bibliography Subheading 8"/>
    <w:basedOn w:val="Heading9"/>
    <w:link w:val="CitaviBibliographySubheading8Char"/>
    <w:rsid w:val="00C94FBE"/>
    <w:pPr>
      <w:outlineLvl w:val="9"/>
    </w:pPr>
    <w:rPr>
      <w:lang w:val="en-AU"/>
    </w:rPr>
  </w:style>
  <w:style w:type="character" w:customStyle="1" w:styleId="CitaviBibliographySubheading8Char">
    <w:name w:val="Citavi Bibliography Subheading 8 Char"/>
    <w:basedOn w:val="DefaultParagraphFont"/>
    <w:link w:val="CitaviBibliographySubheading8"/>
    <w:rsid w:val="00C94FBE"/>
    <w:rPr>
      <w:rFonts w:asciiTheme="majorHAnsi" w:eastAsiaTheme="majorEastAsia" w:hAnsiTheme="majorHAnsi" w:cstheme="majorBidi"/>
      <w:i/>
      <w:iCs/>
      <w:caps/>
    </w:rPr>
  </w:style>
  <w:style w:type="paragraph" w:customStyle="1" w:styleId="Subheadings">
    <w:name w:val="Subheadings"/>
    <w:basedOn w:val="Headings"/>
    <w:next w:val="Normal"/>
    <w:link w:val="SubheadingsChar"/>
    <w:qFormat/>
    <w:rsid w:val="00DF15FE"/>
    <w:rPr>
      <w:i/>
      <w:lang w:val="en-AU"/>
    </w:rPr>
  </w:style>
  <w:style w:type="paragraph" w:customStyle="1" w:styleId="subsubheadings">
    <w:name w:val="sub subheadings"/>
    <w:basedOn w:val="Normal"/>
    <w:next w:val="Normal"/>
    <w:link w:val="subsubheadingsChar"/>
    <w:qFormat/>
    <w:rsid w:val="00A61DDE"/>
    <w:pPr>
      <w:ind w:firstLine="720"/>
    </w:pPr>
    <w:rPr>
      <w:b/>
      <w:lang w:val="en-AU"/>
    </w:rPr>
  </w:style>
  <w:style w:type="character" w:customStyle="1" w:styleId="SubheadingsChar">
    <w:name w:val="Subheadings Char"/>
    <w:basedOn w:val="HeadingsChar"/>
    <w:link w:val="Subheadings"/>
    <w:rsid w:val="00DF15FE"/>
    <w:rPr>
      <w:rFonts w:ascii="Arial" w:hAnsi="Arial"/>
      <w:b/>
      <w:i/>
      <w:sz w:val="22"/>
      <w:lang w:val="en-GB"/>
    </w:rPr>
  </w:style>
  <w:style w:type="character" w:styleId="Hyperlink">
    <w:name w:val="Hyperlink"/>
    <w:basedOn w:val="DefaultParagraphFont"/>
    <w:uiPriority w:val="99"/>
    <w:unhideWhenUsed/>
    <w:rsid w:val="0069291B"/>
    <w:rPr>
      <w:color w:val="9454C3" w:themeColor="hyperlink"/>
      <w:u w:val="single"/>
    </w:rPr>
  </w:style>
  <w:style w:type="character" w:customStyle="1" w:styleId="subsubheadingsChar">
    <w:name w:val="sub subheadings Char"/>
    <w:basedOn w:val="DefaultParagraphFont"/>
    <w:link w:val="subsubheadings"/>
    <w:rsid w:val="00A61DDE"/>
    <w:rPr>
      <w:rFonts w:ascii="Arial" w:hAnsi="Arial"/>
      <w:b/>
      <w:sz w:val="20"/>
    </w:rPr>
  </w:style>
  <w:style w:type="character" w:customStyle="1" w:styleId="apple-converted-space">
    <w:name w:val="apple-converted-space"/>
    <w:basedOn w:val="DefaultParagraphFont"/>
    <w:rsid w:val="0069291B"/>
  </w:style>
  <w:style w:type="character" w:styleId="CommentReference">
    <w:name w:val="annotation reference"/>
    <w:basedOn w:val="DefaultParagraphFont"/>
    <w:uiPriority w:val="99"/>
    <w:semiHidden/>
    <w:unhideWhenUsed/>
    <w:rsid w:val="00B42C32"/>
    <w:rPr>
      <w:sz w:val="16"/>
      <w:szCs w:val="16"/>
    </w:rPr>
  </w:style>
  <w:style w:type="paragraph" w:styleId="CommentText">
    <w:name w:val="annotation text"/>
    <w:basedOn w:val="Normal"/>
    <w:link w:val="CommentTextChar"/>
    <w:uiPriority w:val="99"/>
    <w:semiHidden/>
    <w:unhideWhenUsed/>
    <w:rsid w:val="00B42C32"/>
    <w:rPr>
      <w:szCs w:val="20"/>
    </w:rPr>
  </w:style>
  <w:style w:type="character" w:customStyle="1" w:styleId="CommentTextChar">
    <w:name w:val="Comment Text Char"/>
    <w:basedOn w:val="DefaultParagraphFont"/>
    <w:link w:val="CommentText"/>
    <w:uiPriority w:val="99"/>
    <w:semiHidden/>
    <w:rsid w:val="00B42C32"/>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42C32"/>
    <w:rPr>
      <w:b/>
      <w:bCs/>
    </w:rPr>
  </w:style>
  <w:style w:type="character" w:customStyle="1" w:styleId="CommentSubjectChar">
    <w:name w:val="Comment Subject Char"/>
    <w:basedOn w:val="CommentTextChar"/>
    <w:link w:val="CommentSubject"/>
    <w:uiPriority w:val="99"/>
    <w:semiHidden/>
    <w:rsid w:val="00B42C32"/>
    <w:rPr>
      <w:rFonts w:ascii="Arial" w:hAnsi="Arial"/>
      <w:b/>
      <w:bCs/>
      <w:sz w:val="20"/>
      <w:szCs w:val="20"/>
      <w:lang w:val="en-GB"/>
    </w:rPr>
  </w:style>
  <w:style w:type="paragraph" w:styleId="BalloonText">
    <w:name w:val="Balloon Text"/>
    <w:basedOn w:val="Normal"/>
    <w:link w:val="BalloonTextChar"/>
    <w:uiPriority w:val="99"/>
    <w:semiHidden/>
    <w:unhideWhenUsed/>
    <w:rsid w:val="00B42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C32"/>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600DFA"/>
    <w:rPr>
      <w:color w:val="808080"/>
      <w:shd w:val="clear" w:color="auto" w:fill="E6E6E6"/>
    </w:rPr>
  </w:style>
  <w:style w:type="paragraph" w:styleId="Header">
    <w:name w:val="header"/>
    <w:basedOn w:val="Normal"/>
    <w:link w:val="HeaderChar"/>
    <w:uiPriority w:val="99"/>
    <w:unhideWhenUsed/>
    <w:rsid w:val="001543E8"/>
    <w:pPr>
      <w:tabs>
        <w:tab w:val="center" w:pos="4513"/>
        <w:tab w:val="right" w:pos="9026"/>
      </w:tabs>
    </w:pPr>
  </w:style>
  <w:style w:type="character" w:customStyle="1" w:styleId="HeaderChar">
    <w:name w:val="Header Char"/>
    <w:basedOn w:val="DefaultParagraphFont"/>
    <w:link w:val="Header"/>
    <w:uiPriority w:val="99"/>
    <w:rsid w:val="001543E8"/>
    <w:rPr>
      <w:rFonts w:ascii="Arial" w:hAnsi="Arial"/>
      <w:sz w:val="20"/>
      <w:lang w:val="en-GB"/>
    </w:rPr>
  </w:style>
  <w:style w:type="paragraph" w:styleId="Footer">
    <w:name w:val="footer"/>
    <w:basedOn w:val="Normal"/>
    <w:link w:val="FooterChar"/>
    <w:uiPriority w:val="99"/>
    <w:unhideWhenUsed/>
    <w:rsid w:val="001543E8"/>
    <w:pPr>
      <w:tabs>
        <w:tab w:val="center" w:pos="4513"/>
        <w:tab w:val="right" w:pos="9026"/>
      </w:tabs>
    </w:pPr>
  </w:style>
  <w:style w:type="character" w:customStyle="1" w:styleId="FooterChar">
    <w:name w:val="Footer Char"/>
    <w:basedOn w:val="DefaultParagraphFont"/>
    <w:link w:val="Footer"/>
    <w:uiPriority w:val="99"/>
    <w:rsid w:val="001543E8"/>
    <w:rPr>
      <w:rFonts w:ascii="Arial" w:hAnsi="Arial"/>
      <w:sz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AU" w:eastAsia="zh-CN"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71"/>
    <w:pPr>
      <w:spacing w:after="0" w:line="240" w:lineRule="auto"/>
    </w:pPr>
    <w:rPr>
      <w:rFonts w:ascii="Arial" w:hAnsi="Arial"/>
      <w:sz w:val="20"/>
      <w:lang w:val="en-GB"/>
    </w:rPr>
  </w:style>
  <w:style w:type="paragraph" w:styleId="Heading1">
    <w:name w:val="heading 1"/>
    <w:basedOn w:val="Normal"/>
    <w:next w:val="Normal"/>
    <w:link w:val="Heading1Char"/>
    <w:uiPriority w:val="9"/>
    <w:qFormat/>
    <w:rsid w:val="00D31929"/>
    <w:pPr>
      <w:keepNext/>
      <w:keepLines/>
      <w:pBdr>
        <w:left w:val="single" w:sz="12" w:space="12" w:color="629DD1" w:themeColor="accent2"/>
      </w:pBdr>
      <w:spacing w:before="80" w:after="80"/>
      <w:outlineLvl w:val="0"/>
    </w:pPr>
    <w:rPr>
      <w:rFonts w:asciiTheme="majorHAnsi" w:eastAsiaTheme="majorEastAsia" w:hAnsiTheme="majorHAnsi" w:cstheme="majorBidi"/>
      <w:caps/>
      <w:spacing w:val="10"/>
      <w:sz w:val="28"/>
      <w:szCs w:val="36"/>
    </w:rPr>
  </w:style>
  <w:style w:type="paragraph" w:styleId="Heading2">
    <w:name w:val="heading 2"/>
    <w:basedOn w:val="Normal"/>
    <w:next w:val="Normal"/>
    <w:link w:val="Heading2Char"/>
    <w:uiPriority w:val="9"/>
    <w:unhideWhenUsed/>
    <w:qFormat/>
    <w:rsid w:val="00D31929"/>
    <w:pPr>
      <w:keepNext/>
      <w:keepLines/>
      <w:spacing w:before="120"/>
      <w:outlineLvl w:val="1"/>
    </w:pPr>
    <w:rPr>
      <w:rFonts w:asciiTheme="majorHAnsi" w:eastAsiaTheme="majorEastAsia" w:hAnsiTheme="majorHAnsi" w:cstheme="majorBidi"/>
      <w:i/>
      <w:sz w:val="28"/>
      <w:szCs w:val="36"/>
    </w:rPr>
  </w:style>
  <w:style w:type="paragraph" w:styleId="Heading3">
    <w:name w:val="heading 3"/>
    <w:basedOn w:val="Normal"/>
    <w:next w:val="Normal"/>
    <w:link w:val="Heading3Char"/>
    <w:uiPriority w:val="9"/>
    <w:semiHidden/>
    <w:unhideWhenUsed/>
    <w:qFormat/>
    <w:rsid w:val="00D31929"/>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D31929"/>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D31929"/>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D31929"/>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D31929"/>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31929"/>
    <w:pPr>
      <w:keepNext/>
      <w:keepLines/>
      <w:spacing w:before="80"/>
      <w:outlineLvl w:val="7"/>
    </w:pPr>
    <w:rPr>
      <w:rFonts w:asciiTheme="majorHAnsi" w:eastAsiaTheme="majorEastAsia" w:hAnsiTheme="majorHAnsi" w:cstheme="majorBidi"/>
      <w:caps/>
      <w:sz w:val="21"/>
    </w:rPr>
  </w:style>
  <w:style w:type="paragraph" w:styleId="Heading9">
    <w:name w:val="heading 9"/>
    <w:basedOn w:val="Normal"/>
    <w:next w:val="Normal"/>
    <w:link w:val="Heading9Char"/>
    <w:uiPriority w:val="9"/>
    <w:unhideWhenUsed/>
    <w:qFormat/>
    <w:rsid w:val="00D31929"/>
    <w:pPr>
      <w:keepNext/>
      <w:keepLines/>
      <w:spacing w:before="80"/>
      <w:outlineLvl w:val="8"/>
    </w:pPr>
    <w:rPr>
      <w:rFonts w:asciiTheme="majorHAnsi" w:eastAsiaTheme="majorEastAsia" w:hAnsiTheme="majorHAnsi" w:cstheme="majorBidi"/>
      <w:i/>
      <w:iCs/>
      <w: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
    <w:name w:val="List i"/>
    <w:basedOn w:val="Normal"/>
    <w:autoRedefine/>
    <w:rsid w:val="00CD30D1"/>
    <w:pPr>
      <w:widowControl w:val="0"/>
      <w:numPr>
        <w:numId w:val="5"/>
      </w:numPr>
    </w:pPr>
    <w:rPr>
      <w:rFonts w:eastAsia="Times New Roman" w:cs="Times New Roman"/>
      <w:szCs w:val="20"/>
      <w:lang w:eastAsia="en-US"/>
    </w:rPr>
  </w:style>
  <w:style w:type="paragraph" w:customStyle="1" w:styleId="Quotesupdated">
    <w:name w:val="Quotes_updated"/>
    <w:basedOn w:val="Normal"/>
    <w:next w:val="Normal"/>
    <w:link w:val="QuotesupdatedChar"/>
    <w:rsid w:val="00CD30D1"/>
    <w:pPr>
      <w:tabs>
        <w:tab w:val="left" w:pos="851"/>
      </w:tabs>
      <w:ind w:left="567"/>
      <w:contextualSpacing/>
      <w:jc w:val="both"/>
    </w:pPr>
    <w:rPr>
      <w:rFonts w:eastAsia="Times New Roman" w:cs="Times New Roman"/>
      <w:i/>
      <w:szCs w:val="24"/>
      <w:lang w:eastAsia="en-US"/>
    </w:rPr>
  </w:style>
  <w:style w:type="character" w:customStyle="1" w:styleId="QuotesupdatedChar">
    <w:name w:val="Quotes_updated Char"/>
    <w:basedOn w:val="DefaultParagraphFont"/>
    <w:link w:val="Quotesupdated"/>
    <w:rsid w:val="00CD30D1"/>
    <w:rPr>
      <w:rFonts w:eastAsia="Times New Roman" w:cs="Times New Roman"/>
      <w:i/>
      <w:szCs w:val="24"/>
      <w:lang w:val="en-GB" w:eastAsia="en-US"/>
    </w:rPr>
  </w:style>
  <w:style w:type="paragraph" w:customStyle="1" w:styleId="Bullet">
    <w:name w:val="Bullet"/>
    <w:basedOn w:val="Normal"/>
    <w:autoRedefine/>
    <w:rsid w:val="00CD30D1"/>
    <w:pPr>
      <w:widowControl w:val="0"/>
      <w:numPr>
        <w:numId w:val="7"/>
      </w:numPr>
    </w:pPr>
    <w:rPr>
      <w:rFonts w:eastAsia="Times New Roman" w:cs="Arial"/>
      <w:szCs w:val="20"/>
      <w:lang w:val="en-US" w:eastAsia="en-US"/>
    </w:rPr>
  </w:style>
  <w:style w:type="paragraph" w:customStyle="1" w:styleId="BulletLevel2">
    <w:name w:val="Bullet Level 2"/>
    <w:basedOn w:val="Bullet"/>
    <w:autoRedefine/>
    <w:rsid w:val="00CD30D1"/>
    <w:pPr>
      <w:numPr>
        <w:ilvl w:val="1"/>
      </w:numPr>
    </w:pPr>
  </w:style>
  <w:style w:type="character" w:customStyle="1" w:styleId="Heading1Char">
    <w:name w:val="Heading 1 Char"/>
    <w:basedOn w:val="DefaultParagraphFont"/>
    <w:link w:val="Heading1"/>
    <w:uiPriority w:val="9"/>
    <w:rsid w:val="00D31929"/>
    <w:rPr>
      <w:rFonts w:asciiTheme="majorHAnsi" w:eastAsiaTheme="majorEastAsia" w:hAnsiTheme="majorHAnsi" w:cstheme="majorBidi"/>
      <w:caps/>
      <w:spacing w:val="10"/>
      <w:sz w:val="28"/>
      <w:szCs w:val="36"/>
    </w:rPr>
  </w:style>
  <w:style w:type="character" w:customStyle="1" w:styleId="Heading9Char">
    <w:name w:val="Heading 9 Char"/>
    <w:basedOn w:val="DefaultParagraphFont"/>
    <w:link w:val="Heading9"/>
    <w:uiPriority w:val="9"/>
    <w:rsid w:val="00D31929"/>
    <w:rPr>
      <w:rFonts w:asciiTheme="majorHAnsi" w:eastAsiaTheme="majorEastAsia" w:hAnsiTheme="majorHAnsi" w:cstheme="majorBidi"/>
      <w:i/>
      <w:iCs/>
      <w:caps/>
    </w:rPr>
  </w:style>
  <w:style w:type="paragraph" w:styleId="ListParagraph">
    <w:name w:val="List Paragraph"/>
    <w:basedOn w:val="Normal"/>
    <w:uiPriority w:val="34"/>
    <w:qFormat/>
    <w:rsid w:val="00D31929"/>
    <w:pPr>
      <w:ind w:left="720"/>
      <w:contextualSpacing/>
    </w:pPr>
  </w:style>
  <w:style w:type="character" w:customStyle="1" w:styleId="Heading2Char">
    <w:name w:val="Heading 2 Char"/>
    <w:basedOn w:val="DefaultParagraphFont"/>
    <w:link w:val="Heading2"/>
    <w:uiPriority w:val="9"/>
    <w:rsid w:val="00D31929"/>
    <w:rPr>
      <w:rFonts w:asciiTheme="majorHAnsi" w:eastAsiaTheme="majorEastAsia" w:hAnsiTheme="majorHAnsi" w:cstheme="majorBidi"/>
      <w:i/>
      <w:sz w:val="28"/>
      <w:szCs w:val="36"/>
    </w:rPr>
  </w:style>
  <w:style w:type="character" w:customStyle="1" w:styleId="Heading3Char">
    <w:name w:val="Heading 3 Char"/>
    <w:basedOn w:val="DefaultParagraphFont"/>
    <w:link w:val="Heading3"/>
    <w:uiPriority w:val="9"/>
    <w:semiHidden/>
    <w:rsid w:val="00D3192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D3192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D3192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D3192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D3192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31929"/>
    <w:rPr>
      <w:rFonts w:asciiTheme="majorHAnsi" w:eastAsiaTheme="majorEastAsia" w:hAnsiTheme="majorHAnsi" w:cstheme="majorBidi"/>
      <w:caps/>
    </w:rPr>
  </w:style>
  <w:style w:type="paragraph" w:styleId="Caption">
    <w:name w:val="caption"/>
    <w:basedOn w:val="Normal"/>
    <w:next w:val="Normal"/>
    <w:uiPriority w:val="35"/>
    <w:unhideWhenUsed/>
    <w:qFormat/>
    <w:rsid w:val="00D31929"/>
    <w:rPr>
      <w:b/>
      <w:bCs/>
      <w:color w:val="629DD1" w:themeColor="accent2"/>
      <w:spacing w:val="10"/>
      <w:sz w:val="16"/>
      <w:szCs w:val="16"/>
    </w:rPr>
  </w:style>
  <w:style w:type="paragraph" w:styleId="Title">
    <w:name w:val="Title"/>
    <w:basedOn w:val="Normal"/>
    <w:next w:val="Normal"/>
    <w:link w:val="TitleChar"/>
    <w:uiPriority w:val="10"/>
    <w:qFormat/>
    <w:rsid w:val="00505071"/>
    <w:pPr>
      <w:contextualSpacing/>
      <w:jc w:val="center"/>
    </w:pPr>
    <w:rPr>
      <w:rFonts w:eastAsiaTheme="majorEastAsia" w:cstheme="majorBidi"/>
      <w:b/>
      <w:spacing w:val="40"/>
      <w:sz w:val="28"/>
      <w:szCs w:val="76"/>
    </w:rPr>
  </w:style>
  <w:style w:type="character" w:customStyle="1" w:styleId="TitleChar">
    <w:name w:val="Title Char"/>
    <w:basedOn w:val="DefaultParagraphFont"/>
    <w:link w:val="Title"/>
    <w:uiPriority w:val="10"/>
    <w:rsid w:val="00505071"/>
    <w:rPr>
      <w:rFonts w:ascii="Arial" w:eastAsiaTheme="majorEastAsia" w:hAnsi="Arial" w:cstheme="majorBidi"/>
      <w:b/>
      <w:spacing w:val="40"/>
      <w:sz w:val="28"/>
      <w:szCs w:val="76"/>
      <w:lang w:val="en-GB"/>
    </w:rPr>
  </w:style>
  <w:style w:type="paragraph" w:styleId="Subtitle">
    <w:name w:val="Subtitle"/>
    <w:basedOn w:val="Normal"/>
    <w:next w:val="Normal"/>
    <w:link w:val="SubtitleChar"/>
    <w:uiPriority w:val="11"/>
    <w:qFormat/>
    <w:rsid w:val="00D3192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D31929"/>
    <w:rPr>
      <w:color w:val="000000" w:themeColor="text1"/>
      <w:sz w:val="24"/>
      <w:szCs w:val="24"/>
    </w:rPr>
  </w:style>
  <w:style w:type="character" w:styleId="Strong">
    <w:name w:val="Strong"/>
    <w:basedOn w:val="DefaultParagraphFont"/>
    <w:uiPriority w:val="22"/>
    <w:qFormat/>
    <w:rsid w:val="00D3192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D31929"/>
    <w:rPr>
      <w:rFonts w:asciiTheme="minorHAnsi" w:eastAsiaTheme="minorEastAsia" w:hAnsiTheme="minorHAnsi" w:cstheme="minorBidi"/>
      <w:i/>
      <w:iCs/>
      <w:color w:val="3476B1" w:themeColor="accent2" w:themeShade="BF"/>
      <w:sz w:val="20"/>
      <w:szCs w:val="20"/>
    </w:rPr>
  </w:style>
  <w:style w:type="paragraph" w:styleId="NoSpacing">
    <w:name w:val="No Spacing"/>
    <w:uiPriority w:val="1"/>
    <w:qFormat/>
    <w:rsid w:val="00D31929"/>
    <w:pPr>
      <w:spacing w:after="0" w:line="240" w:lineRule="auto"/>
    </w:pPr>
    <w:rPr>
      <w:rFonts w:ascii="Calibri" w:hAnsi="Calibri"/>
      <w:sz w:val="20"/>
    </w:rPr>
  </w:style>
  <w:style w:type="paragraph" w:styleId="Quote">
    <w:name w:val="Quote"/>
    <w:basedOn w:val="Normal"/>
    <w:next w:val="Normal"/>
    <w:link w:val="QuoteChar"/>
    <w:uiPriority w:val="29"/>
    <w:qFormat/>
    <w:rsid w:val="008A185E"/>
    <w:pPr>
      <w:ind w:left="720" w:right="720"/>
    </w:pPr>
    <w:rPr>
      <w:rFonts w:eastAsiaTheme="majorEastAsia" w:cstheme="majorBidi"/>
      <w:szCs w:val="24"/>
    </w:rPr>
  </w:style>
  <w:style w:type="character" w:customStyle="1" w:styleId="QuoteChar">
    <w:name w:val="Quote Char"/>
    <w:basedOn w:val="DefaultParagraphFont"/>
    <w:link w:val="Quote"/>
    <w:uiPriority w:val="29"/>
    <w:rsid w:val="008A185E"/>
    <w:rPr>
      <w:rFonts w:ascii="Arial" w:eastAsiaTheme="majorEastAsia" w:hAnsi="Arial" w:cstheme="majorBidi"/>
      <w:sz w:val="20"/>
      <w:szCs w:val="24"/>
      <w:lang w:val="en-GB"/>
    </w:rPr>
  </w:style>
  <w:style w:type="paragraph" w:styleId="IntenseQuote">
    <w:name w:val="Intense Quote"/>
    <w:basedOn w:val="Normal"/>
    <w:next w:val="Normal"/>
    <w:link w:val="IntenseQuoteChar"/>
    <w:uiPriority w:val="30"/>
    <w:qFormat/>
    <w:rsid w:val="00D31929"/>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eQuoteChar">
    <w:name w:val="Intense Quote Char"/>
    <w:basedOn w:val="DefaultParagraphFont"/>
    <w:link w:val="IntenseQuote"/>
    <w:uiPriority w:val="30"/>
    <w:rsid w:val="00D31929"/>
    <w:rPr>
      <w:rFonts w:asciiTheme="majorHAnsi" w:eastAsiaTheme="majorEastAsia" w:hAnsiTheme="majorHAnsi" w:cstheme="majorBidi"/>
      <w:caps/>
      <w:color w:val="3476B1" w:themeColor="accent2" w:themeShade="BF"/>
      <w:spacing w:val="10"/>
      <w:sz w:val="28"/>
      <w:szCs w:val="28"/>
    </w:rPr>
  </w:style>
  <w:style w:type="character" w:styleId="SubtleEmphasis">
    <w:name w:val="Subtle Emphasis"/>
    <w:basedOn w:val="DefaultParagraphFont"/>
    <w:uiPriority w:val="19"/>
    <w:qFormat/>
    <w:rsid w:val="00D31929"/>
    <w:rPr>
      <w:i/>
      <w:iCs/>
      <w:color w:val="auto"/>
    </w:rPr>
  </w:style>
  <w:style w:type="character" w:styleId="IntenseEmphasis">
    <w:name w:val="Intense Emphasis"/>
    <w:basedOn w:val="DefaultParagraphFont"/>
    <w:uiPriority w:val="21"/>
    <w:qFormat/>
    <w:rsid w:val="00D31929"/>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ubtleReference">
    <w:name w:val="Subtle Reference"/>
    <w:basedOn w:val="DefaultParagraphFont"/>
    <w:uiPriority w:val="31"/>
    <w:qFormat/>
    <w:rsid w:val="00D3192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D3192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D3192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D31929"/>
    <w:pPr>
      <w:outlineLvl w:val="9"/>
    </w:pPr>
  </w:style>
  <w:style w:type="paragraph" w:customStyle="1" w:styleId="TitleofPaper">
    <w:name w:val="Title of Paper"/>
    <w:basedOn w:val="Normal"/>
    <w:link w:val="TitleofPaperChar"/>
    <w:qFormat/>
    <w:rsid w:val="00505071"/>
    <w:pPr>
      <w:jc w:val="center"/>
    </w:pPr>
    <w:rPr>
      <w:rFonts w:cs="Arial"/>
      <w:b/>
      <w:sz w:val="28"/>
    </w:rPr>
  </w:style>
  <w:style w:type="paragraph" w:customStyle="1" w:styleId="Authorsnamesandaddresses">
    <w:name w:val="Authors' names and addresses"/>
    <w:basedOn w:val="Normal"/>
    <w:link w:val="AuthorsnamesandaddressesChar"/>
    <w:qFormat/>
    <w:rsid w:val="00505071"/>
    <w:pPr>
      <w:jc w:val="center"/>
    </w:pPr>
    <w:rPr>
      <w:rFonts w:cs="Arial"/>
    </w:rPr>
  </w:style>
  <w:style w:type="character" w:customStyle="1" w:styleId="TitleofPaperChar">
    <w:name w:val="Title of Paper Char"/>
    <w:basedOn w:val="DefaultParagraphFont"/>
    <w:link w:val="TitleofPaper"/>
    <w:rsid w:val="00505071"/>
    <w:rPr>
      <w:rFonts w:ascii="Arial" w:hAnsi="Arial" w:cs="Arial"/>
      <w:b/>
      <w:sz w:val="28"/>
      <w:lang w:val="en-GB"/>
    </w:rPr>
  </w:style>
  <w:style w:type="paragraph" w:customStyle="1" w:styleId="Headings">
    <w:name w:val="Headings"/>
    <w:basedOn w:val="Normal"/>
    <w:next w:val="Normal"/>
    <w:link w:val="HeadingsChar"/>
    <w:qFormat/>
    <w:rsid w:val="00505071"/>
    <w:rPr>
      <w:b/>
      <w:sz w:val="22"/>
    </w:rPr>
  </w:style>
  <w:style w:type="character" w:customStyle="1" w:styleId="AuthorsnamesandaddressesChar">
    <w:name w:val="Authors' names and addresses Char"/>
    <w:basedOn w:val="DefaultParagraphFont"/>
    <w:link w:val="Authorsnamesandaddresses"/>
    <w:rsid w:val="00505071"/>
    <w:rPr>
      <w:rFonts w:ascii="Arial" w:hAnsi="Arial" w:cs="Arial"/>
      <w:sz w:val="20"/>
      <w:lang w:val="en-GB"/>
    </w:rPr>
  </w:style>
  <w:style w:type="paragraph" w:customStyle="1" w:styleId="CitaviBibliographyEntry">
    <w:name w:val="Citavi Bibliography Entry"/>
    <w:basedOn w:val="Normal"/>
    <w:link w:val="CitaviBibliographyEntryChar"/>
    <w:rsid w:val="00C94FBE"/>
    <w:pPr>
      <w:spacing w:after="120"/>
    </w:pPr>
  </w:style>
  <w:style w:type="character" w:customStyle="1" w:styleId="HeadingsChar">
    <w:name w:val="Headings Char"/>
    <w:basedOn w:val="DefaultParagraphFont"/>
    <w:link w:val="Headings"/>
    <w:rsid w:val="00505071"/>
    <w:rPr>
      <w:rFonts w:ascii="Arial" w:hAnsi="Arial"/>
      <w:b/>
      <w:sz w:val="22"/>
      <w:lang w:val="en-GB"/>
    </w:rPr>
  </w:style>
  <w:style w:type="character" w:customStyle="1" w:styleId="CitaviBibliographyEntryChar">
    <w:name w:val="Citavi Bibliography Entry Char"/>
    <w:basedOn w:val="DefaultParagraphFont"/>
    <w:link w:val="CitaviBibliographyEntry"/>
    <w:rsid w:val="00C94FBE"/>
    <w:rPr>
      <w:rFonts w:ascii="Arial" w:hAnsi="Arial"/>
      <w:sz w:val="20"/>
      <w:lang w:val="en-GB"/>
    </w:rPr>
  </w:style>
  <w:style w:type="paragraph" w:customStyle="1" w:styleId="CitaviBibliographyHeading">
    <w:name w:val="Citavi Bibliography Heading"/>
    <w:basedOn w:val="Headings"/>
    <w:next w:val="Normal"/>
    <w:link w:val="CitaviBibliographyHeadingChar"/>
    <w:rsid w:val="00C94FBE"/>
  </w:style>
  <w:style w:type="character" w:customStyle="1" w:styleId="CitaviBibliographyHeadingChar">
    <w:name w:val="Citavi Bibliography Heading Char"/>
    <w:basedOn w:val="DefaultParagraphFont"/>
    <w:link w:val="CitaviBibliographyHeading"/>
    <w:rsid w:val="00B42C32"/>
    <w:rPr>
      <w:rFonts w:ascii="Arial" w:hAnsi="Arial"/>
      <w:b/>
      <w:sz w:val="22"/>
      <w:lang w:val="en-GB"/>
    </w:rPr>
  </w:style>
  <w:style w:type="paragraph" w:customStyle="1" w:styleId="CitaviBibliographySubheading1">
    <w:name w:val="Citavi Bibliography Subheading 1"/>
    <w:basedOn w:val="Heading2"/>
    <w:link w:val="CitaviBibliographySubheading1Char"/>
    <w:rsid w:val="00C94FBE"/>
    <w:pPr>
      <w:outlineLvl w:val="9"/>
    </w:pPr>
    <w:rPr>
      <w:lang w:val="en-AU"/>
    </w:rPr>
  </w:style>
  <w:style w:type="character" w:customStyle="1" w:styleId="CitaviBibliographySubheading1Char">
    <w:name w:val="Citavi Bibliography Subheading 1 Char"/>
    <w:basedOn w:val="DefaultParagraphFont"/>
    <w:link w:val="CitaviBibliographySubheading1"/>
    <w:rsid w:val="00C94FBE"/>
    <w:rPr>
      <w:rFonts w:asciiTheme="majorHAnsi" w:eastAsiaTheme="majorEastAsia" w:hAnsiTheme="majorHAnsi" w:cstheme="majorBidi"/>
      <w:i/>
      <w:sz w:val="28"/>
      <w:szCs w:val="36"/>
    </w:rPr>
  </w:style>
  <w:style w:type="paragraph" w:customStyle="1" w:styleId="CitaviBibliographySubheading2">
    <w:name w:val="Citavi Bibliography Subheading 2"/>
    <w:basedOn w:val="Heading3"/>
    <w:link w:val="CitaviBibliographySubheading2Char"/>
    <w:rsid w:val="00C94FBE"/>
    <w:pPr>
      <w:outlineLvl w:val="9"/>
    </w:pPr>
    <w:rPr>
      <w:lang w:val="en-AU"/>
    </w:rPr>
  </w:style>
  <w:style w:type="character" w:customStyle="1" w:styleId="CitaviBibliographySubheading2Char">
    <w:name w:val="Citavi Bibliography Subheading 2 Char"/>
    <w:basedOn w:val="DefaultParagraphFont"/>
    <w:link w:val="CitaviBibliographySubheading2"/>
    <w:rsid w:val="00C94FBE"/>
    <w:rPr>
      <w:rFonts w:asciiTheme="majorHAnsi" w:eastAsiaTheme="majorEastAsia" w:hAnsiTheme="majorHAnsi" w:cstheme="majorBidi"/>
      <w:caps/>
      <w:sz w:val="28"/>
      <w:szCs w:val="28"/>
    </w:rPr>
  </w:style>
  <w:style w:type="paragraph" w:customStyle="1" w:styleId="CitaviBibliographySubheading3">
    <w:name w:val="Citavi Bibliography Subheading 3"/>
    <w:basedOn w:val="Heading4"/>
    <w:link w:val="CitaviBibliographySubheading3Char"/>
    <w:rsid w:val="00C94FBE"/>
    <w:pPr>
      <w:outlineLvl w:val="9"/>
    </w:pPr>
    <w:rPr>
      <w:lang w:val="en-AU"/>
    </w:rPr>
  </w:style>
  <w:style w:type="character" w:customStyle="1" w:styleId="CitaviBibliographySubheading3Char">
    <w:name w:val="Citavi Bibliography Subheading 3 Char"/>
    <w:basedOn w:val="DefaultParagraphFont"/>
    <w:link w:val="CitaviBibliographySubheading3"/>
    <w:rsid w:val="00C94FBE"/>
    <w:rPr>
      <w:rFonts w:asciiTheme="majorHAnsi" w:eastAsiaTheme="majorEastAsia" w:hAnsiTheme="majorHAnsi" w:cstheme="majorBidi"/>
      <w:i/>
      <w:iCs/>
      <w:sz w:val="28"/>
      <w:szCs w:val="28"/>
    </w:rPr>
  </w:style>
  <w:style w:type="paragraph" w:customStyle="1" w:styleId="CitaviBibliographySubheading4">
    <w:name w:val="Citavi Bibliography Subheading 4"/>
    <w:basedOn w:val="Heading5"/>
    <w:link w:val="CitaviBibliographySubheading4Char"/>
    <w:rsid w:val="00C94FBE"/>
    <w:pPr>
      <w:outlineLvl w:val="9"/>
    </w:pPr>
    <w:rPr>
      <w:lang w:val="en-AU"/>
    </w:rPr>
  </w:style>
  <w:style w:type="character" w:customStyle="1" w:styleId="CitaviBibliographySubheading4Char">
    <w:name w:val="Citavi Bibliography Subheading 4 Char"/>
    <w:basedOn w:val="DefaultParagraphFont"/>
    <w:link w:val="CitaviBibliographySubheading4"/>
    <w:rsid w:val="00C94FBE"/>
    <w:rPr>
      <w:rFonts w:asciiTheme="majorHAnsi" w:eastAsiaTheme="majorEastAsia" w:hAnsiTheme="majorHAnsi" w:cstheme="majorBidi"/>
      <w:sz w:val="24"/>
      <w:szCs w:val="24"/>
    </w:rPr>
  </w:style>
  <w:style w:type="paragraph" w:customStyle="1" w:styleId="CitaviBibliographySubheading5">
    <w:name w:val="Citavi Bibliography Subheading 5"/>
    <w:basedOn w:val="Heading6"/>
    <w:link w:val="CitaviBibliographySubheading5Char"/>
    <w:rsid w:val="00C94FBE"/>
    <w:pPr>
      <w:outlineLvl w:val="9"/>
    </w:pPr>
    <w:rPr>
      <w:lang w:val="en-AU"/>
    </w:rPr>
  </w:style>
  <w:style w:type="character" w:customStyle="1" w:styleId="CitaviBibliographySubheading5Char">
    <w:name w:val="Citavi Bibliography Subheading 5 Char"/>
    <w:basedOn w:val="DefaultParagraphFont"/>
    <w:link w:val="CitaviBibliographySubheading5"/>
    <w:rsid w:val="00C94FBE"/>
    <w:rPr>
      <w:rFonts w:asciiTheme="majorHAnsi" w:eastAsiaTheme="majorEastAsia" w:hAnsiTheme="majorHAnsi" w:cstheme="majorBidi"/>
      <w:i/>
      <w:iCs/>
      <w:sz w:val="24"/>
      <w:szCs w:val="24"/>
    </w:rPr>
  </w:style>
  <w:style w:type="paragraph" w:customStyle="1" w:styleId="CitaviBibliographySubheading6">
    <w:name w:val="Citavi Bibliography Subheading 6"/>
    <w:basedOn w:val="Heading7"/>
    <w:link w:val="CitaviBibliographySubheading6Char"/>
    <w:rsid w:val="00C94FBE"/>
    <w:pPr>
      <w:outlineLvl w:val="9"/>
    </w:pPr>
    <w:rPr>
      <w:lang w:val="en-AU"/>
    </w:rPr>
  </w:style>
  <w:style w:type="character" w:customStyle="1" w:styleId="CitaviBibliographySubheading6Char">
    <w:name w:val="Citavi Bibliography Subheading 6 Char"/>
    <w:basedOn w:val="DefaultParagraphFont"/>
    <w:link w:val="CitaviBibliographySubheading6"/>
    <w:rsid w:val="00C94FBE"/>
    <w:rPr>
      <w:rFonts w:asciiTheme="majorHAnsi" w:eastAsiaTheme="majorEastAsia" w:hAnsiTheme="majorHAnsi" w:cstheme="majorBidi"/>
      <w:color w:val="595959" w:themeColor="text1" w:themeTint="A6"/>
      <w:sz w:val="24"/>
      <w:szCs w:val="24"/>
    </w:rPr>
  </w:style>
  <w:style w:type="paragraph" w:customStyle="1" w:styleId="CitaviBibliographySubheading7">
    <w:name w:val="Citavi Bibliography Subheading 7"/>
    <w:basedOn w:val="Heading8"/>
    <w:link w:val="CitaviBibliographySubheading7Char"/>
    <w:rsid w:val="00C94FBE"/>
    <w:pPr>
      <w:outlineLvl w:val="9"/>
    </w:pPr>
    <w:rPr>
      <w:lang w:val="en-AU"/>
    </w:rPr>
  </w:style>
  <w:style w:type="character" w:customStyle="1" w:styleId="CitaviBibliographySubheading7Char">
    <w:name w:val="Citavi Bibliography Subheading 7 Char"/>
    <w:basedOn w:val="DefaultParagraphFont"/>
    <w:link w:val="CitaviBibliographySubheading7"/>
    <w:rsid w:val="00C94FBE"/>
    <w:rPr>
      <w:rFonts w:asciiTheme="majorHAnsi" w:eastAsiaTheme="majorEastAsia" w:hAnsiTheme="majorHAnsi" w:cstheme="majorBidi"/>
      <w:caps/>
    </w:rPr>
  </w:style>
  <w:style w:type="paragraph" w:customStyle="1" w:styleId="CitaviBibliographySubheading8">
    <w:name w:val="Citavi Bibliography Subheading 8"/>
    <w:basedOn w:val="Heading9"/>
    <w:link w:val="CitaviBibliographySubheading8Char"/>
    <w:rsid w:val="00C94FBE"/>
    <w:pPr>
      <w:outlineLvl w:val="9"/>
    </w:pPr>
    <w:rPr>
      <w:lang w:val="en-AU"/>
    </w:rPr>
  </w:style>
  <w:style w:type="character" w:customStyle="1" w:styleId="CitaviBibliographySubheading8Char">
    <w:name w:val="Citavi Bibliography Subheading 8 Char"/>
    <w:basedOn w:val="DefaultParagraphFont"/>
    <w:link w:val="CitaviBibliographySubheading8"/>
    <w:rsid w:val="00C94FBE"/>
    <w:rPr>
      <w:rFonts w:asciiTheme="majorHAnsi" w:eastAsiaTheme="majorEastAsia" w:hAnsiTheme="majorHAnsi" w:cstheme="majorBidi"/>
      <w:i/>
      <w:iCs/>
      <w:caps/>
    </w:rPr>
  </w:style>
  <w:style w:type="paragraph" w:customStyle="1" w:styleId="Subheadings">
    <w:name w:val="Subheadings"/>
    <w:basedOn w:val="Headings"/>
    <w:next w:val="Normal"/>
    <w:link w:val="SubheadingsChar"/>
    <w:qFormat/>
    <w:rsid w:val="00DF15FE"/>
    <w:rPr>
      <w:i/>
      <w:lang w:val="en-AU"/>
    </w:rPr>
  </w:style>
  <w:style w:type="paragraph" w:customStyle="1" w:styleId="subsubheadings">
    <w:name w:val="sub subheadings"/>
    <w:basedOn w:val="Normal"/>
    <w:next w:val="Normal"/>
    <w:link w:val="subsubheadingsChar"/>
    <w:qFormat/>
    <w:rsid w:val="00A61DDE"/>
    <w:pPr>
      <w:ind w:firstLine="720"/>
    </w:pPr>
    <w:rPr>
      <w:b/>
      <w:lang w:val="en-AU"/>
    </w:rPr>
  </w:style>
  <w:style w:type="character" w:customStyle="1" w:styleId="SubheadingsChar">
    <w:name w:val="Subheadings Char"/>
    <w:basedOn w:val="HeadingsChar"/>
    <w:link w:val="Subheadings"/>
    <w:rsid w:val="00DF15FE"/>
    <w:rPr>
      <w:rFonts w:ascii="Arial" w:hAnsi="Arial"/>
      <w:b/>
      <w:i/>
      <w:sz w:val="22"/>
      <w:lang w:val="en-GB"/>
    </w:rPr>
  </w:style>
  <w:style w:type="character" w:styleId="Hyperlink">
    <w:name w:val="Hyperlink"/>
    <w:basedOn w:val="DefaultParagraphFont"/>
    <w:uiPriority w:val="99"/>
    <w:unhideWhenUsed/>
    <w:rsid w:val="0069291B"/>
    <w:rPr>
      <w:color w:val="9454C3" w:themeColor="hyperlink"/>
      <w:u w:val="single"/>
    </w:rPr>
  </w:style>
  <w:style w:type="character" w:customStyle="1" w:styleId="subsubheadingsChar">
    <w:name w:val="sub subheadings Char"/>
    <w:basedOn w:val="DefaultParagraphFont"/>
    <w:link w:val="subsubheadings"/>
    <w:rsid w:val="00A61DDE"/>
    <w:rPr>
      <w:rFonts w:ascii="Arial" w:hAnsi="Arial"/>
      <w:b/>
      <w:sz w:val="20"/>
    </w:rPr>
  </w:style>
  <w:style w:type="character" w:customStyle="1" w:styleId="apple-converted-space">
    <w:name w:val="apple-converted-space"/>
    <w:basedOn w:val="DefaultParagraphFont"/>
    <w:rsid w:val="0069291B"/>
  </w:style>
  <w:style w:type="character" w:styleId="CommentReference">
    <w:name w:val="annotation reference"/>
    <w:basedOn w:val="DefaultParagraphFont"/>
    <w:uiPriority w:val="99"/>
    <w:semiHidden/>
    <w:unhideWhenUsed/>
    <w:rsid w:val="00B42C32"/>
    <w:rPr>
      <w:sz w:val="16"/>
      <w:szCs w:val="16"/>
    </w:rPr>
  </w:style>
  <w:style w:type="paragraph" w:styleId="CommentText">
    <w:name w:val="annotation text"/>
    <w:basedOn w:val="Normal"/>
    <w:link w:val="CommentTextChar"/>
    <w:uiPriority w:val="99"/>
    <w:semiHidden/>
    <w:unhideWhenUsed/>
    <w:rsid w:val="00B42C32"/>
    <w:rPr>
      <w:szCs w:val="20"/>
    </w:rPr>
  </w:style>
  <w:style w:type="character" w:customStyle="1" w:styleId="CommentTextChar">
    <w:name w:val="Comment Text Char"/>
    <w:basedOn w:val="DefaultParagraphFont"/>
    <w:link w:val="CommentText"/>
    <w:uiPriority w:val="99"/>
    <w:semiHidden/>
    <w:rsid w:val="00B42C32"/>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42C32"/>
    <w:rPr>
      <w:b/>
      <w:bCs/>
    </w:rPr>
  </w:style>
  <w:style w:type="character" w:customStyle="1" w:styleId="CommentSubjectChar">
    <w:name w:val="Comment Subject Char"/>
    <w:basedOn w:val="CommentTextChar"/>
    <w:link w:val="CommentSubject"/>
    <w:uiPriority w:val="99"/>
    <w:semiHidden/>
    <w:rsid w:val="00B42C32"/>
    <w:rPr>
      <w:rFonts w:ascii="Arial" w:hAnsi="Arial"/>
      <w:b/>
      <w:bCs/>
      <w:sz w:val="20"/>
      <w:szCs w:val="20"/>
      <w:lang w:val="en-GB"/>
    </w:rPr>
  </w:style>
  <w:style w:type="paragraph" w:styleId="BalloonText">
    <w:name w:val="Balloon Text"/>
    <w:basedOn w:val="Normal"/>
    <w:link w:val="BalloonTextChar"/>
    <w:uiPriority w:val="99"/>
    <w:semiHidden/>
    <w:unhideWhenUsed/>
    <w:rsid w:val="00B42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C32"/>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600DFA"/>
    <w:rPr>
      <w:color w:val="808080"/>
      <w:shd w:val="clear" w:color="auto" w:fill="E6E6E6"/>
    </w:rPr>
  </w:style>
  <w:style w:type="paragraph" w:styleId="Header">
    <w:name w:val="header"/>
    <w:basedOn w:val="Normal"/>
    <w:link w:val="HeaderChar"/>
    <w:uiPriority w:val="99"/>
    <w:unhideWhenUsed/>
    <w:rsid w:val="001543E8"/>
    <w:pPr>
      <w:tabs>
        <w:tab w:val="center" w:pos="4513"/>
        <w:tab w:val="right" w:pos="9026"/>
      </w:tabs>
    </w:pPr>
  </w:style>
  <w:style w:type="character" w:customStyle="1" w:styleId="HeaderChar">
    <w:name w:val="Header Char"/>
    <w:basedOn w:val="DefaultParagraphFont"/>
    <w:link w:val="Header"/>
    <w:uiPriority w:val="99"/>
    <w:rsid w:val="001543E8"/>
    <w:rPr>
      <w:rFonts w:ascii="Arial" w:hAnsi="Arial"/>
      <w:sz w:val="20"/>
      <w:lang w:val="en-GB"/>
    </w:rPr>
  </w:style>
  <w:style w:type="paragraph" w:styleId="Footer">
    <w:name w:val="footer"/>
    <w:basedOn w:val="Normal"/>
    <w:link w:val="FooterChar"/>
    <w:uiPriority w:val="99"/>
    <w:unhideWhenUsed/>
    <w:rsid w:val="001543E8"/>
    <w:pPr>
      <w:tabs>
        <w:tab w:val="center" w:pos="4513"/>
        <w:tab w:val="right" w:pos="9026"/>
      </w:tabs>
    </w:pPr>
  </w:style>
  <w:style w:type="character" w:customStyle="1" w:styleId="FooterChar">
    <w:name w:val="Footer Char"/>
    <w:basedOn w:val="DefaultParagraphFont"/>
    <w:link w:val="Footer"/>
    <w:uiPriority w:val="99"/>
    <w:rsid w:val="001543E8"/>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tif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Light-Constantia">
      <a:majorFont>
        <a:latin typeface="Calibri Light"/>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E9F3-5697-4A4E-9C2B-5A9BB7BE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5188</Words>
  <Characters>29576</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Fanqi Liu</dc:creator>
  <cp:keywords/>
  <dc:description/>
  <cp:lastModifiedBy>Lesley K  Woods</cp:lastModifiedBy>
  <cp:revision>4</cp:revision>
  <dcterms:created xsi:type="dcterms:W3CDTF">2017-07-16T23:50:00Z</dcterms:created>
  <dcterms:modified xsi:type="dcterms:W3CDTF">2018-04-24T04:31:00Z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6">
    <vt:lpwstr>False</vt:lpwstr>
  </property>
</Properties>
</file>