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721425" w14:textId="77777777" w:rsidR="0058259B" w:rsidRPr="000332FF" w:rsidRDefault="006F5B60" w:rsidP="00E65684">
      <w:pPr>
        <w:pStyle w:val="Title"/>
        <w:rPr>
          <w:sz w:val="28"/>
        </w:rPr>
      </w:pPr>
      <w:r w:rsidRPr="000332FF">
        <w:rPr>
          <w:sz w:val="28"/>
        </w:rPr>
        <w:t>Rental Vulnerability: a new methodology for measuring and mapping disadvantage in rental housing</w:t>
      </w:r>
    </w:p>
    <w:p w14:paraId="737BAD8D" w14:textId="77777777" w:rsidR="0058259B" w:rsidRPr="006F5B60" w:rsidRDefault="0058259B" w:rsidP="006F5B60">
      <w:pPr>
        <w:rPr>
          <w:lang w:val="en-GB"/>
        </w:rPr>
      </w:pPr>
    </w:p>
    <w:p w14:paraId="6ABDF075" w14:textId="77777777" w:rsidR="000332FF" w:rsidRPr="00E76A8A" w:rsidRDefault="000332FF" w:rsidP="000332FF">
      <w:pPr>
        <w:jc w:val="center"/>
        <w:rPr>
          <w:sz w:val="24"/>
          <w:lang w:val="en-GB"/>
        </w:rPr>
      </w:pPr>
      <w:r w:rsidRPr="00E76A8A">
        <w:rPr>
          <w:sz w:val="24"/>
          <w:lang w:val="en-GB"/>
        </w:rPr>
        <w:t>Laurence Troy and Chris Martin</w:t>
      </w:r>
    </w:p>
    <w:p w14:paraId="13BEAA9F" w14:textId="77777777" w:rsidR="0058259B" w:rsidRDefault="000332FF" w:rsidP="000332FF">
      <w:pPr>
        <w:jc w:val="center"/>
        <w:rPr>
          <w:sz w:val="24"/>
          <w:lang w:val="en-GB"/>
        </w:rPr>
      </w:pPr>
      <w:r w:rsidRPr="00E76A8A">
        <w:rPr>
          <w:sz w:val="24"/>
          <w:lang w:val="en-GB"/>
        </w:rPr>
        <w:t>UNSW Sydney</w:t>
      </w:r>
    </w:p>
    <w:p w14:paraId="14A461BE" w14:textId="77777777" w:rsidR="000332FF" w:rsidRPr="006F5B60" w:rsidRDefault="000332FF" w:rsidP="000332FF">
      <w:pPr>
        <w:jc w:val="center"/>
        <w:rPr>
          <w:lang w:val="en-GB"/>
        </w:rPr>
      </w:pPr>
      <w:bookmarkStart w:id="0" w:name="_GoBack"/>
      <w:bookmarkEnd w:id="0"/>
    </w:p>
    <w:p w14:paraId="0146708C" w14:textId="77777777" w:rsidR="0058259B" w:rsidRPr="006F5B60" w:rsidRDefault="0058259B" w:rsidP="006F5B60">
      <w:pPr>
        <w:rPr>
          <w:lang w:val="en-GB"/>
        </w:rPr>
      </w:pPr>
      <w:r w:rsidRPr="006F5B60">
        <w:rPr>
          <w:b/>
          <w:bCs/>
          <w:lang w:val="en-GB"/>
        </w:rPr>
        <w:t>Abstract</w:t>
      </w:r>
      <w:r w:rsidRPr="006F5B60">
        <w:rPr>
          <w:lang w:val="en-GB"/>
        </w:rPr>
        <w:t xml:space="preserve">:  </w:t>
      </w:r>
      <w:r w:rsidR="006F5B60" w:rsidRPr="006F5B60">
        <w:rPr>
          <w:lang w:val="en-GB"/>
        </w:rPr>
        <w:t>There is a large body of work on rental stress in Australian cities that is largely premised on the nexus between housing costs and income (Hulse et al 2015; Liu et al 2016; National Shelter and SGS, 2017).  These studies map the (real and hypothetical) incidence of rental stress, discuss the financial stresses placed on various households and explore the misallocation of rental properties and households. While these measures are important and provide vital insights into aspects of the housing market, the focus on affordability alone does not capture how this issue may compound with other disadvantages experienced by households.  This paper presents the outcomes of research undertaken for Tenants Queensland to develop and map a ‘rental vulnerability index’ (RVI) for Queensland. Originally conceived of to help plan the delivery of tenant advice services, the RVI combines various housing system indicators and indicators of disadvantage to produce a composite measure of rental vulnerability.  Mapping of rental vulnerability across Queensland reveals further evidence of the geographical sorting of disadvantaged groups over the past couple of decades (see Randolph and Tice 2016), but shows a stronger regional characterisation, moving beyond the fringes of the major urban centres.  In addition, not only is there a geographical sorting of disadvantage, but a concentration of multiple types of disadvantage into various locations. The analysis of rental vulnerability gives new insights into differing experiences of disadvantage by renter households, and into its geographical distribution and concentration.</w:t>
      </w:r>
    </w:p>
    <w:p w14:paraId="06585905" w14:textId="77777777" w:rsidR="0058259B" w:rsidRPr="006F5B60" w:rsidRDefault="0058259B" w:rsidP="006F5B60">
      <w:pPr>
        <w:rPr>
          <w:lang w:val="en-GB"/>
        </w:rPr>
      </w:pPr>
    </w:p>
    <w:p w14:paraId="065BC41A" w14:textId="77777777" w:rsidR="00872392" w:rsidRPr="006F5B60" w:rsidRDefault="00872392" w:rsidP="006F5B60">
      <w:pPr>
        <w:pStyle w:val="Heading6"/>
        <w:rPr>
          <w:sz w:val="22"/>
          <w:lang w:val="en-GB"/>
        </w:rPr>
      </w:pPr>
      <w:r w:rsidRPr="006F5B60">
        <w:rPr>
          <w:sz w:val="22"/>
          <w:lang w:val="en-GB"/>
        </w:rPr>
        <w:t xml:space="preserve">Key words: </w:t>
      </w:r>
      <w:r w:rsidR="00264FFB">
        <w:rPr>
          <w:lang w:val="en-GB"/>
        </w:rPr>
        <w:t>rental</w:t>
      </w:r>
      <w:r w:rsidRPr="006F5B60">
        <w:rPr>
          <w:lang w:val="en-GB"/>
        </w:rPr>
        <w:t xml:space="preserve">; </w:t>
      </w:r>
      <w:r w:rsidR="00264FFB">
        <w:rPr>
          <w:lang w:val="en-GB"/>
        </w:rPr>
        <w:t>vulnerability</w:t>
      </w:r>
      <w:r w:rsidRPr="006F5B60">
        <w:rPr>
          <w:lang w:val="en-GB"/>
        </w:rPr>
        <w:t xml:space="preserve">; </w:t>
      </w:r>
      <w:r w:rsidR="00264FFB">
        <w:rPr>
          <w:lang w:val="en-GB"/>
        </w:rPr>
        <w:t>disadvantage</w:t>
      </w:r>
      <w:r w:rsidRPr="006F5B60">
        <w:rPr>
          <w:lang w:val="en-GB"/>
        </w:rPr>
        <w:t xml:space="preserve">; </w:t>
      </w:r>
      <w:r w:rsidR="00264FFB">
        <w:rPr>
          <w:lang w:val="en-GB"/>
        </w:rPr>
        <w:t>mapping</w:t>
      </w:r>
      <w:r w:rsidRPr="006F5B60">
        <w:rPr>
          <w:lang w:val="en-GB"/>
        </w:rPr>
        <w:t xml:space="preserve">; </w:t>
      </w:r>
      <w:r w:rsidR="00264FFB">
        <w:rPr>
          <w:lang w:val="en-GB"/>
        </w:rPr>
        <w:t>Queensland</w:t>
      </w:r>
      <w:r w:rsidRPr="006F5B60">
        <w:rPr>
          <w:lang w:val="en-GB"/>
        </w:rPr>
        <w:t>.</w:t>
      </w:r>
    </w:p>
    <w:p w14:paraId="097EC9A9" w14:textId="77777777" w:rsidR="00872392" w:rsidRPr="006F5B60" w:rsidRDefault="00872392" w:rsidP="006F5B60">
      <w:pPr>
        <w:pStyle w:val="Heading6"/>
        <w:rPr>
          <w:lang w:val="en-GB"/>
        </w:rPr>
      </w:pPr>
    </w:p>
    <w:p w14:paraId="600B130A" w14:textId="77777777" w:rsidR="0058259B" w:rsidRPr="006F5B60" w:rsidRDefault="006F5B60" w:rsidP="006F5B60">
      <w:pPr>
        <w:pStyle w:val="Heading1"/>
        <w:rPr>
          <w:lang w:val="en-GB"/>
        </w:rPr>
      </w:pPr>
      <w:r w:rsidRPr="006F5B60">
        <w:rPr>
          <w:lang w:val="en-GB"/>
        </w:rPr>
        <w:t>Introduction</w:t>
      </w:r>
    </w:p>
    <w:p w14:paraId="23E64951" w14:textId="77777777" w:rsidR="006F5B60" w:rsidRPr="006F5B60" w:rsidRDefault="006F5B60" w:rsidP="006F5B60">
      <w:pPr>
        <w:rPr>
          <w:lang w:val="en-GB"/>
        </w:rPr>
      </w:pPr>
      <w:r w:rsidRPr="006F5B60">
        <w:rPr>
          <w:lang w:val="en-GB"/>
        </w:rPr>
        <w:t xml:space="preserve">There is a large body of work on rental stress in Australian cities that is largely premised on the nexus between housing costs and income (Hulse et al 2015; Liu et al 2016; National Shelter and SGS, 2017).  These studies map the (real and hypothetical) incidence of rental stress, discuss the financial stresses placed on various households and explore the misallocation of rental properties and households. While these measures are important and provide vital insights into aspects of the housing market, the focus on affordability alone does not capture how this issue may compound with other disadvantages experienced by households.  </w:t>
      </w:r>
    </w:p>
    <w:p w14:paraId="5497645E" w14:textId="77777777" w:rsidR="006F5B60" w:rsidRPr="006F5B60" w:rsidRDefault="006F5B60" w:rsidP="006F5B60">
      <w:pPr>
        <w:rPr>
          <w:lang w:val="en-GB"/>
        </w:rPr>
      </w:pPr>
    </w:p>
    <w:p w14:paraId="4EF24FFA" w14:textId="77777777" w:rsidR="006F5B60" w:rsidRPr="006F5B60" w:rsidRDefault="006F5B60" w:rsidP="006F5B60">
      <w:pPr>
        <w:rPr>
          <w:lang w:val="en-GB"/>
        </w:rPr>
      </w:pPr>
      <w:r w:rsidRPr="006F5B60">
        <w:rPr>
          <w:lang w:val="en-GB"/>
        </w:rPr>
        <w:t>This paper presents the outcomes of research undertaken for Tenants Queensland to develop and map a ‘rental vulnerability index’ (RVI) for Queensland. Originally conceived of to help plan the delivery of tenant advice services, the RVI combines various housing system indicators and indicators of disadvantage to produce a composite measure of rental vulnerability.  Mapping of rental vulnerability across Queensland reveals further evidence of the geographical sorting of disadvantaged groups over the past couple of decades (see Randolph and Tice 2016), but shows a stronger regional characterisation, moving beyond the fringes of the major urban centres.  In addition, not only is there a geographical sorting of disadvantage, but a concentration of multiple types of disadvantage into various locations.</w:t>
      </w:r>
    </w:p>
    <w:p w14:paraId="40F2FDE4" w14:textId="77777777" w:rsidR="0058259B" w:rsidRPr="006F5B60" w:rsidRDefault="0058259B" w:rsidP="006F5B60">
      <w:pPr>
        <w:rPr>
          <w:lang w:val="en-GB"/>
        </w:rPr>
      </w:pPr>
    </w:p>
    <w:p w14:paraId="4502E606" w14:textId="77777777" w:rsidR="006F5B60" w:rsidRPr="006F5B60" w:rsidRDefault="006F5B60" w:rsidP="006F5B60">
      <w:pPr>
        <w:pStyle w:val="Heading1"/>
        <w:rPr>
          <w:lang w:val="en-GB"/>
        </w:rPr>
      </w:pPr>
      <w:r w:rsidRPr="006F5B60">
        <w:rPr>
          <w:lang w:val="en-GB"/>
        </w:rPr>
        <w:t>Rental stress and disadvantage in the literature</w:t>
      </w:r>
    </w:p>
    <w:p w14:paraId="1B3F57FD" w14:textId="77777777" w:rsidR="006F5B60" w:rsidRPr="006F5B60" w:rsidRDefault="006F5B60" w:rsidP="006F5B60">
      <w:pPr>
        <w:rPr>
          <w:lang w:val="en-GB"/>
        </w:rPr>
      </w:pPr>
      <w:r w:rsidRPr="006F5B60">
        <w:rPr>
          <w:lang w:val="en-GB"/>
        </w:rPr>
        <w:t xml:space="preserve">The most commonly used measures to understand stresses related to housing focus on either the cost of housing, or the relationship to household incomes to cost.  This analysis of the relationship between income and cost of housing is often based on median measures and mostly reaffirms what we have long known: capital cities are more expensive than regional centres, and inner cities are most expensive.  Patterns of unaffordability within Australian cities tend to align with previously understood socio-economic divisions, that is housing is most expensive in high wealth or most advantaged parts of the city or state, while housing is cheapest in areas typically associated with low economic status.  Measures based on medians, however, tend to miss some of the complexity in the way different households actually experience the housing market.  For example, costs of housing may be high in inner locations, but affordable for the high-income households living there.  </w:t>
      </w:r>
    </w:p>
    <w:p w14:paraId="681F3649" w14:textId="77777777" w:rsidR="006F5B60" w:rsidRPr="006F5B60" w:rsidRDefault="006F5B60" w:rsidP="006F5B60">
      <w:pPr>
        <w:rPr>
          <w:lang w:val="en-GB"/>
        </w:rPr>
      </w:pPr>
    </w:p>
    <w:p w14:paraId="10728343" w14:textId="77777777" w:rsidR="006F5B60" w:rsidRPr="006F5B60" w:rsidRDefault="006F5B60" w:rsidP="006F5B60">
      <w:pPr>
        <w:rPr>
          <w:lang w:val="en-GB"/>
        </w:rPr>
      </w:pPr>
      <w:r w:rsidRPr="006F5B60">
        <w:rPr>
          <w:lang w:val="en-GB"/>
        </w:rPr>
        <w:t>Previously, this has been addressed through the 30:40 rule, whereby households on 40</w:t>
      </w:r>
      <w:r w:rsidRPr="006F5B60">
        <w:rPr>
          <w:vertAlign w:val="superscript"/>
          <w:lang w:val="en-GB"/>
        </w:rPr>
        <w:t>th</w:t>
      </w:r>
      <w:r w:rsidRPr="006F5B60">
        <w:rPr>
          <w:lang w:val="en-GB"/>
        </w:rPr>
        <w:t xml:space="preserve"> percentile of income should not be expected to spend more than 30% of their income to meet housing needs (Yates &amp; Gabriel 2006).  This in effect sets a maximum dollar limit to which costs of housing can be compared.  This measure, though widely used, does not incorporate any understanding of what kind of dwellings types and associated cost are available within the local market, or actually available to different households.  For example, to assume the average house should be able to afford the average rent may be legitimate, but assuming the average single person should be able to afford the average (2-3 bedroom) dwelling may be flawed. A recent report produced by SGS Economics for Shelter Australia started to address this issue by analysing to the affordability of appropriately sized dwellings for different household types (pensioners, single parents and so on), but it did not address variations in the geographical distribution of dwelling types, nor, as a result, actual affordability outcomes.</w:t>
      </w:r>
    </w:p>
    <w:p w14:paraId="142254AB" w14:textId="77777777" w:rsidR="006F5B60" w:rsidRPr="006F5B60" w:rsidRDefault="006F5B60" w:rsidP="006F5B60">
      <w:pPr>
        <w:rPr>
          <w:lang w:val="en-GB"/>
        </w:rPr>
      </w:pPr>
    </w:p>
    <w:p w14:paraId="0416E7DC" w14:textId="77777777" w:rsidR="006F5B60" w:rsidRPr="006F5B60" w:rsidRDefault="006F5B60" w:rsidP="006F5B60">
      <w:pPr>
        <w:rPr>
          <w:lang w:val="en-GB"/>
        </w:rPr>
      </w:pPr>
      <w:r w:rsidRPr="006F5B60">
        <w:rPr>
          <w:lang w:val="en-GB"/>
        </w:rPr>
        <w:t xml:space="preserve">Compounding the issue of distribution of both household types and dwelling types across different areas is question of dwellings households actually occupy. Previous research by Yates and Hulse </w:t>
      </w:r>
      <w:r w:rsidRPr="006F5B60">
        <w:rPr>
          <w:i/>
          <w:lang w:val="en-GB"/>
        </w:rPr>
        <w:t>et al</w:t>
      </w:r>
      <w:r w:rsidRPr="006F5B60">
        <w:rPr>
          <w:lang w:val="en-GB"/>
        </w:rPr>
        <w:t xml:space="preserve"> (2014) shows that there is often a misallocation in the rental sector where higher income households occupy cheaper dwellings, thus reducing the potential pool of dwellings to lower income households. In other words, are there dwellings that are both affordable and available. This research is effectively a measure of rent </w:t>
      </w:r>
      <w:proofErr w:type="gramStart"/>
      <w:r w:rsidRPr="006F5B60">
        <w:rPr>
          <w:lang w:val="en-GB"/>
        </w:rPr>
        <w:t>stress which</w:t>
      </w:r>
      <w:proofErr w:type="gramEnd"/>
      <w:r w:rsidRPr="006F5B60">
        <w:rPr>
          <w:lang w:val="en-GB"/>
        </w:rPr>
        <w:t xml:space="preserve"> seeks to understand how much rent households actually pay compared with their actual household incomes.  </w:t>
      </w:r>
    </w:p>
    <w:p w14:paraId="7DC99E30" w14:textId="77777777" w:rsidR="006F5B60" w:rsidRPr="006F5B60" w:rsidRDefault="006F5B60" w:rsidP="006F5B60">
      <w:pPr>
        <w:rPr>
          <w:lang w:val="en-GB"/>
        </w:rPr>
      </w:pPr>
    </w:p>
    <w:p w14:paraId="3AC68B47" w14:textId="77777777" w:rsidR="006F5B60" w:rsidRPr="006F5B60" w:rsidRDefault="006F5B60" w:rsidP="006F5B60">
      <w:pPr>
        <w:rPr>
          <w:lang w:val="en-GB"/>
        </w:rPr>
      </w:pPr>
      <w:r w:rsidRPr="006F5B60">
        <w:rPr>
          <w:lang w:val="en-GB"/>
        </w:rPr>
        <w:t xml:space="preserve">Notwithstanding limitations, each of these measures do express different stresses in the housing market, and help us understand the important relationship between geography, size and quality of dwellings, income and housing costs.  Some of these are more explicitly about the housing market than they are about the conditions of the people themselves, but neither extend beyond an assessment of income-rent relationships.  In critiquing the ‘30:40’ rule, other research has noted that choices people are able to exercise in relationship to their other household spending has material implications on standard of living (Rowley &amp; Ong 2012).  </w:t>
      </w:r>
    </w:p>
    <w:p w14:paraId="6DD9F5BC" w14:textId="77777777" w:rsidR="006F5B60" w:rsidRPr="006F5B60" w:rsidRDefault="006F5B60" w:rsidP="006F5B60">
      <w:pPr>
        <w:rPr>
          <w:lang w:val="en-GB"/>
        </w:rPr>
      </w:pPr>
    </w:p>
    <w:p w14:paraId="5DB5306B" w14:textId="77777777" w:rsidR="006F5B60" w:rsidRPr="006F5B60" w:rsidRDefault="006F5B60" w:rsidP="006F5B60">
      <w:pPr>
        <w:rPr>
          <w:lang w:val="en-GB"/>
        </w:rPr>
      </w:pPr>
      <w:r w:rsidRPr="006F5B60">
        <w:rPr>
          <w:lang w:val="en-GB"/>
        </w:rPr>
        <w:t xml:space="preserve">There are also other factors in the circumstances of households that may expose them to pressures making their housing situation more of less precarious.  Being a renter in Australia is one factor that works against ontological security of households, and other research has noted a range of factors that may help or hinder households to exercise their rights within tenancy law (Hulse, et al, 2011).  Having a demanding landlord, for example, with limited recourse to challenge behaviour because of knowledge or financial capacity, will have material implications for housing security. Research within the legal literature has identified as series of person characteristics that are associate with higher legal needs. This is important in relation to housing security for renters, as disputes in relation to tenancy agreements is a key factor in experiences of insecurity.  For some households, living in rent stress may be temporary, while others this may represent a long-term condition.  This is where factors such as age, education attainment and employment status may impact on someone’s ability to secure and maintain a tenancy.  </w:t>
      </w:r>
    </w:p>
    <w:p w14:paraId="0B0F7448" w14:textId="77777777" w:rsidR="006F5B60" w:rsidRPr="006F5B60" w:rsidRDefault="006F5B60" w:rsidP="006F5B60">
      <w:pPr>
        <w:rPr>
          <w:lang w:val="en-GB"/>
        </w:rPr>
      </w:pPr>
    </w:p>
    <w:p w14:paraId="6AECA7D9" w14:textId="77777777" w:rsidR="006F5B60" w:rsidRPr="006F5B60" w:rsidRDefault="006F5B60" w:rsidP="006F5B60">
      <w:pPr>
        <w:rPr>
          <w:lang w:val="en-GB"/>
        </w:rPr>
      </w:pPr>
      <w:r w:rsidRPr="006F5B60">
        <w:rPr>
          <w:lang w:val="en-GB"/>
        </w:rPr>
        <w:t xml:space="preserve">Many of these factors also represent disadvantage indicators broadly, and not just in relation to housing.  SEIFA, for example, makes use of employment, education, disability and household type in generating a composite measure of socio-economic disadvantage across Australia (ABS 2013).  SEIFA, however, is a broad-based measure that is not specific to different housing tenures, specifically renting. </w:t>
      </w:r>
    </w:p>
    <w:p w14:paraId="13F02ACB" w14:textId="77777777" w:rsidR="006F5B60" w:rsidRPr="006F5B60" w:rsidRDefault="006F5B60" w:rsidP="006F5B60">
      <w:pPr>
        <w:rPr>
          <w:lang w:val="en-GB"/>
        </w:rPr>
      </w:pPr>
    </w:p>
    <w:p w14:paraId="7FA66411" w14:textId="77777777" w:rsidR="006F5B60" w:rsidRPr="006F5B60" w:rsidRDefault="006F5B60" w:rsidP="006F5B60">
      <w:pPr>
        <w:rPr>
          <w:lang w:val="en-GB"/>
        </w:rPr>
      </w:pPr>
      <w:r w:rsidRPr="006F5B60">
        <w:rPr>
          <w:lang w:val="en-GB"/>
        </w:rPr>
        <w:t xml:space="preserve">There is no composite measure available that captures both housing level indicators of stress and person level indicators that may place renter households in more vulnerable situations when it comes to securing housing. This paper therefore, combines various measures of housing market stresses and personal disadvantage and legal needs indicators, to produce a composite measure of rental vulnerability.  The focus on rental households is informed both by the needs of Tenants Queensland who commissioned this research and the general status of tenants within the Australian housing system.  </w:t>
      </w:r>
    </w:p>
    <w:p w14:paraId="2D59D477" w14:textId="77777777" w:rsidR="006F5B60" w:rsidRPr="006F5B60" w:rsidRDefault="006F5B60" w:rsidP="006F5B60">
      <w:pPr>
        <w:rPr>
          <w:lang w:val="en-GB"/>
        </w:rPr>
      </w:pPr>
    </w:p>
    <w:p w14:paraId="6A38AF78" w14:textId="77777777" w:rsidR="006F5B60" w:rsidRPr="006F5B60" w:rsidRDefault="006F5B60" w:rsidP="006F5B60">
      <w:pPr>
        <w:pStyle w:val="Heading1"/>
        <w:rPr>
          <w:lang w:val="en-GB"/>
        </w:rPr>
      </w:pPr>
      <w:r w:rsidRPr="006F5B60">
        <w:rPr>
          <w:lang w:val="en-GB"/>
        </w:rPr>
        <w:t>Rental vulnerability: concept and method</w:t>
      </w:r>
    </w:p>
    <w:p w14:paraId="1BB0916C" w14:textId="77777777" w:rsidR="006F5B60" w:rsidRPr="006F5B60" w:rsidRDefault="006F5B60" w:rsidP="006F5B60">
      <w:pPr>
        <w:rPr>
          <w:lang w:val="en-GB"/>
        </w:rPr>
      </w:pPr>
      <w:r w:rsidRPr="006F5B60">
        <w:rPr>
          <w:lang w:val="en-GB"/>
        </w:rPr>
        <w:t xml:space="preserve">We conceived of ‘rental vulnerability’ in terms of the intended primary purpose of the RVI, as the vulnerability of persons to problems that may make their rental housing unaffordable, inappropriate or </w:t>
      </w:r>
      <w:r w:rsidRPr="006F5B60">
        <w:rPr>
          <w:lang w:val="en-GB"/>
        </w:rPr>
        <w:lastRenderedPageBreak/>
        <w:t>insecure – and hence that may indicate a need for assistance from a tenant advisory service. This conceptualisation is similar to the conceptualisation of ‘vulnerability to legal problems’ in legal needs research (</w:t>
      </w:r>
      <w:proofErr w:type="spellStart"/>
      <w:r w:rsidRPr="006F5B60">
        <w:rPr>
          <w:lang w:val="en-GB"/>
        </w:rPr>
        <w:t>Coumarelos</w:t>
      </w:r>
      <w:proofErr w:type="spellEnd"/>
      <w:r w:rsidRPr="006F5B60">
        <w:rPr>
          <w:lang w:val="en-GB"/>
        </w:rPr>
        <w:t xml:space="preserve"> et al, 2012: 16). That body of research has consistently linked vulnerability to legal problems to demographic characteristics, including characteristics of socio-economic disadvantage.</w:t>
      </w:r>
    </w:p>
    <w:p w14:paraId="5FC79541" w14:textId="77777777" w:rsidR="006F5B60" w:rsidRDefault="006F5B60" w:rsidP="006F5B60">
      <w:pPr>
        <w:rPr>
          <w:lang w:val="en-GB"/>
        </w:rPr>
      </w:pPr>
      <w:r w:rsidRPr="006F5B60">
        <w:rPr>
          <w:lang w:val="en-GB"/>
        </w:rPr>
        <w:t xml:space="preserve">We identified 13 indicators of rental vulnerability, in two broad groups (Table 1). For the identification of indicators, particularly in the ‘people indicators’ group, we have drawn on and adapted the analysis by </w:t>
      </w:r>
      <w:proofErr w:type="spellStart"/>
      <w:r w:rsidRPr="006F5B60">
        <w:rPr>
          <w:lang w:val="en-GB"/>
        </w:rPr>
        <w:t>Coumarelos</w:t>
      </w:r>
      <w:proofErr w:type="spellEnd"/>
      <w:r w:rsidRPr="006F5B60">
        <w:rPr>
          <w:lang w:val="en-GB"/>
        </w:rPr>
        <w:t xml:space="preserve"> et al (2012) of the Queensland results of the ‘Legal Australia-Wide Survey’ (LAWS) for the NSW Law and Justice Foundation.</w:t>
      </w:r>
    </w:p>
    <w:p w14:paraId="06B5C139" w14:textId="77777777" w:rsidR="006F5B60" w:rsidRPr="006F5B60" w:rsidRDefault="006F5B60" w:rsidP="006F5B60">
      <w:pPr>
        <w:rPr>
          <w:lang w:val="en-GB"/>
        </w:rPr>
      </w:pPr>
    </w:p>
    <w:p w14:paraId="05C25CAF" w14:textId="77777777" w:rsidR="006F5B60" w:rsidRPr="006F5B60" w:rsidRDefault="006F5B60" w:rsidP="006F5B60">
      <w:pPr>
        <w:rPr>
          <w:rStyle w:val="Strong"/>
          <w:lang w:val="en-GB"/>
        </w:rPr>
      </w:pPr>
      <w:r w:rsidRPr="006F5B60">
        <w:rPr>
          <w:rStyle w:val="Strong"/>
          <w:lang w:val="en-GB"/>
        </w:rPr>
        <w:t>Table 1. Rental vulnerability indicators, by group.</w:t>
      </w:r>
    </w:p>
    <w:tbl>
      <w:tblPr>
        <w:tblStyle w:val="TableGrid"/>
        <w:tblW w:w="0" w:type="auto"/>
        <w:tblLook w:val="04A0" w:firstRow="1" w:lastRow="0" w:firstColumn="1" w:lastColumn="0" w:noHBand="0" w:noVBand="1"/>
      </w:tblPr>
      <w:tblGrid>
        <w:gridCol w:w="2365"/>
        <w:gridCol w:w="4894"/>
        <w:gridCol w:w="2317"/>
      </w:tblGrid>
      <w:tr w:rsidR="006F5B60" w:rsidRPr="006F5B60" w14:paraId="70A17C72" w14:textId="77777777" w:rsidTr="00075631">
        <w:tc>
          <w:tcPr>
            <w:tcW w:w="2422" w:type="dxa"/>
          </w:tcPr>
          <w:p w14:paraId="0C6A692A" w14:textId="77777777" w:rsidR="006F5B60" w:rsidRPr="006F5B60" w:rsidRDefault="006F5B60" w:rsidP="00075631">
            <w:pPr>
              <w:rPr>
                <w:b/>
                <w:lang w:val="en-GB"/>
              </w:rPr>
            </w:pPr>
            <w:r w:rsidRPr="006F5B60">
              <w:rPr>
                <w:b/>
                <w:lang w:val="en-GB"/>
              </w:rPr>
              <w:t>Group</w:t>
            </w:r>
          </w:p>
        </w:tc>
        <w:tc>
          <w:tcPr>
            <w:tcW w:w="5057" w:type="dxa"/>
          </w:tcPr>
          <w:p w14:paraId="69511D96" w14:textId="77777777" w:rsidR="006F5B60" w:rsidRPr="006F5B60" w:rsidRDefault="006F5B60" w:rsidP="00075631">
            <w:pPr>
              <w:rPr>
                <w:b/>
                <w:lang w:val="en-GB"/>
              </w:rPr>
            </w:pPr>
            <w:r w:rsidRPr="006F5B60">
              <w:rPr>
                <w:b/>
                <w:lang w:val="en-GB"/>
              </w:rPr>
              <w:t>Indicator</w:t>
            </w:r>
          </w:p>
        </w:tc>
        <w:tc>
          <w:tcPr>
            <w:tcW w:w="2375" w:type="dxa"/>
          </w:tcPr>
          <w:p w14:paraId="67E8FF92" w14:textId="77777777" w:rsidR="006F5B60" w:rsidRPr="006F5B60" w:rsidRDefault="006F5B60" w:rsidP="00075631">
            <w:pPr>
              <w:rPr>
                <w:b/>
                <w:lang w:val="en-GB"/>
              </w:rPr>
            </w:pPr>
            <w:r w:rsidRPr="006F5B60">
              <w:rPr>
                <w:b/>
                <w:lang w:val="en-GB"/>
              </w:rPr>
              <w:t>Data source</w:t>
            </w:r>
          </w:p>
        </w:tc>
      </w:tr>
      <w:tr w:rsidR="006F5B60" w:rsidRPr="006F5B60" w14:paraId="325E6C98" w14:textId="77777777" w:rsidTr="00075631">
        <w:trPr>
          <w:trHeight w:val="58"/>
        </w:trPr>
        <w:tc>
          <w:tcPr>
            <w:tcW w:w="2422" w:type="dxa"/>
            <w:vMerge w:val="restart"/>
          </w:tcPr>
          <w:p w14:paraId="7E301DA4" w14:textId="77777777" w:rsidR="006F5B60" w:rsidRPr="006F5B60" w:rsidRDefault="006F5B60" w:rsidP="00075631">
            <w:pPr>
              <w:rPr>
                <w:lang w:val="en-GB"/>
              </w:rPr>
            </w:pPr>
            <w:r w:rsidRPr="006F5B60">
              <w:rPr>
                <w:lang w:val="en-GB"/>
              </w:rPr>
              <w:t>People indicators</w:t>
            </w:r>
          </w:p>
        </w:tc>
        <w:tc>
          <w:tcPr>
            <w:tcW w:w="5057" w:type="dxa"/>
          </w:tcPr>
          <w:p w14:paraId="16EE2314" w14:textId="77777777" w:rsidR="006F5B60" w:rsidRPr="006F5B60" w:rsidRDefault="006F5B60" w:rsidP="00075631">
            <w:pPr>
              <w:rPr>
                <w:lang w:val="en-GB"/>
              </w:rPr>
            </w:pPr>
            <w:r w:rsidRPr="006F5B60">
              <w:rPr>
                <w:lang w:val="en-GB"/>
              </w:rPr>
              <w:t>Tenants with disability</w:t>
            </w:r>
          </w:p>
        </w:tc>
        <w:tc>
          <w:tcPr>
            <w:tcW w:w="2375" w:type="dxa"/>
          </w:tcPr>
          <w:p w14:paraId="48C46B8A" w14:textId="77777777" w:rsidR="006F5B60" w:rsidRPr="006F5B60" w:rsidRDefault="006F5B60" w:rsidP="00075631">
            <w:pPr>
              <w:rPr>
                <w:lang w:val="en-GB"/>
              </w:rPr>
            </w:pPr>
            <w:r w:rsidRPr="006F5B60">
              <w:rPr>
                <w:lang w:val="en-GB"/>
              </w:rPr>
              <w:t>2011 Census</w:t>
            </w:r>
          </w:p>
        </w:tc>
      </w:tr>
      <w:tr w:rsidR="006F5B60" w:rsidRPr="006F5B60" w14:paraId="5F93A7A8" w14:textId="77777777" w:rsidTr="00075631">
        <w:tc>
          <w:tcPr>
            <w:tcW w:w="2422" w:type="dxa"/>
            <w:vMerge/>
          </w:tcPr>
          <w:p w14:paraId="6B78C66D" w14:textId="77777777" w:rsidR="006F5B60" w:rsidRPr="006F5B60" w:rsidRDefault="006F5B60" w:rsidP="00075631">
            <w:pPr>
              <w:rPr>
                <w:lang w:val="en-GB"/>
              </w:rPr>
            </w:pPr>
          </w:p>
        </w:tc>
        <w:tc>
          <w:tcPr>
            <w:tcW w:w="5057" w:type="dxa"/>
          </w:tcPr>
          <w:p w14:paraId="1361412E" w14:textId="77777777" w:rsidR="006F5B60" w:rsidRPr="006F5B60" w:rsidRDefault="006F5B60" w:rsidP="00075631">
            <w:pPr>
              <w:rPr>
                <w:lang w:val="en-GB"/>
              </w:rPr>
            </w:pPr>
            <w:r w:rsidRPr="006F5B60">
              <w:rPr>
                <w:lang w:val="en-GB"/>
              </w:rPr>
              <w:t>Unemployed tenants</w:t>
            </w:r>
          </w:p>
        </w:tc>
        <w:tc>
          <w:tcPr>
            <w:tcW w:w="2375" w:type="dxa"/>
          </w:tcPr>
          <w:p w14:paraId="150E45AD" w14:textId="77777777" w:rsidR="006F5B60" w:rsidRPr="006F5B60" w:rsidRDefault="006F5B60" w:rsidP="00075631">
            <w:pPr>
              <w:rPr>
                <w:lang w:val="en-GB"/>
              </w:rPr>
            </w:pPr>
            <w:r w:rsidRPr="006F5B60">
              <w:rPr>
                <w:lang w:val="en-GB"/>
              </w:rPr>
              <w:t>2011 Census</w:t>
            </w:r>
          </w:p>
        </w:tc>
      </w:tr>
      <w:tr w:rsidR="006F5B60" w:rsidRPr="006F5B60" w14:paraId="5913F1DC" w14:textId="77777777" w:rsidTr="00075631">
        <w:tc>
          <w:tcPr>
            <w:tcW w:w="2422" w:type="dxa"/>
            <w:vMerge/>
          </w:tcPr>
          <w:p w14:paraId="3E93BF82" w14:textId="77777777" w:rsidR="006F5B60" w:rsidRPr="006F5B60" w:rsidRDefault="006F5B60" w:rsidP="00075631">
            <w:pPr>
              <w:rPr>
                <w:lang w:val="en-GB"/>
              </w:rPr>
            </w:pPr>
          </w:p>
        </w:tc>
        <w:tc>
          <w:tcPr>
            <w:tcW w:w="5057" w:type="dxa"/>
          </w:tcPr>
          <w:p w14:paraId="4526B225" w14:textId="77777777" w:rsidR="006F5B60" w:rsidRPr="006F5B60" w:rsidRDefault="006F5B60" w:rsidP="00075631">
            <w:pPr>
              <w:rPr>
                <w:lang w:val="en-GB"/>
              </w:rPr>
            </w:pPr>
            <w:r w:rsidRPr="006F5B60">
              <w:rPr>
                <w:lang w:val="en-GB"/>
              </w:rPr>
              <w:t>Single parent tenants</w:t>
            </w:r>
          </w:p>
        </w:tc>
        <w:tc>
          <w:tcPr>
            <w:tcW w:w="2375" w:type="dxa"/>
          </w:tcPr>
          <w:p w14:paraId="788D2010" w14:textId="77777777" w:rsidR="006F5B60" w:rsidRPr="006F5B60" w:rsidRDefault="006F5B60" w:rsidP="00075631">
            <w:pPr>
              <w:rPr>
                <w:lang w:val="en-GB"/>
              </w:rPr>
            </w:pPr>
            <w:r w:rsidRPr="006F5B60">
              <w:rPr>
                <w:lang w:val="en-GB"/>
              </w:rPr>
              <w:t>2011 Census</w:t>
            </w:r>
          </w:p>
        </w:tc>
      </w:tr>
      <w:tr w:rsidR="006F5B60" w:rsidRPr="006F5B60" w14:paraId="1A34E5DA" w14:textId="77777777" w:rsidTr="00075631">
        <w:tc>
          <w:tcPr>
            <w:tcW w:w="2422" w:type="dxa"/>
            <w:vMerge/>
          </w:tcPr>
          <w:p w14:paraId="6D325C10" w14:textId="77777777" w:rsidR="006F5B60" w:rsidRPr="006F5B60" w:rsidRDefault="006F5B60" w:rsidP="00075631">
            <w:pPr>
              <w:rPr>
                <w:lang w:val="en-GB"/>
              </w:rPr>
            </w:pPr>
          </w:p>
        </w:tc>
        <w:tc>
          <w:tcPr>
            <w:tcW w:w="5057" w:type="dxa"/>
          </w:tcPr>
          <w:p w14:paraId="4002B52B" w14:textId="77777777" w:rsidR="006F5B60" w:rsidRPr="006F5B60" w:rsidRDefault="006F5B60" w:rsidP="00075631">
            <w:pPr>
              <w:rPr>
                <w:lang w:val="en-GB"/>
              </w:rPr>
            </w:pPr>
            <w:r w:rsidRPr="006F5B60">
              <w:rPr>
                <w:lang w:val="en-GB"/>
              </w:rPr>
              <w:t>Indigenous tenants</w:t>
            </w:r>
          </w:p>
        </w:tc>
        <w:tc>
          <w:tcPr>
            <w:tcW w:w="2375" w:type="dxa"/>
          </w:tcPr>
          <w:p w14:paraId="42ED0711" w14:textId="77777777" w:rsidR="006F5B60" w:rsidRPr="006F5B60" w:rsidRDefault="006F5B60" w:rsidP="00075631">
            <w:pPr>
              <w:rPr>
                <w:lang w:val="en-GB"/>
              </w:rPr>
            </w:pPr>
            <w:r w:rsidRPr="006F5B60">
              <w:rPr>
                <w:lang w:val="en-GB"/>
              </w:rPr>
              <w:t>2011 Census</w:t>
            </w:r>
          </w:p>
        </w:tc>
      </w:tr>
      <w:tr w:rsidR="006F5B60" w:rsidRPr="006F5B60" w14:paraId="796854FB" w14:textId="77777777" w:rsidTr="00075631">
        <w:tc>
          <w:tcPr>
            <w:tcW w:w="2422" w:type="dxa"/>
            <w:vMerge/>
          </w:tcPr>
          <w:p w14:paraId="7A62AB64" w14:textId="77777777" w:rsidR="006F5B60" w:rsidRPr="006F5B60" w:rsidRDefault="006F5B60" w:rsidP="00075631">
            <w:pPr>
              <w:rPr>
                <w:lang w:val="en-GB"/>
              </w:rPr>
            </w:pPr>
          </w:p>
        </w:tc>
        <w:tc>
          <w:tcPr>
            <w:tcW w:w="5057" w:type="dxa"/>
          </w:tcPr>
          <w:p w14:paraId="36561B4E" w14:textId="77777777" w:rsidR="006F5B60" w:rsidRPr="006F5B60" w:rsidRDefault="006F5B60" w:rsidP="00075631">
            <w:pPr>
              <w:rPr>
                <w:lang w:val="en-GB"/>
              </w:rPr>
            </w:pPr>
            <w:r w:rsidRPr="006F5B60">
              <w:rPr>
                <w:lang w:val="en-GB"/>
              </w:rPr>
              <w:t>Young tenants</w:t>
            </w:r>
          </w:p>
        </w:tc>
        <w:tc>
          <w:tcPr>
            <w:tcW w:w="2375" w:type="dxa"/>
          </w:tcPr>
          <w:p w14:paraId="20626278" w14:textId="77777777" w:rsidR="006F5B60" w:rsidRPr="006F5B60" w:rsidRDefault="006F5B60" w:rsidP="00075631">
            <w:pPr>
              <w:rPr>
                <w:lang w:val="en-GB"/>
              </w:rPr>
            </w:pPr>
            <w:r w:rsidRPr="006F5B60">
              <w:rPr>
                <w:lang w:val="en-GB"/>
              </w:rPr>
              <w:t>2011 Census</w:t>
            </w:r>
          </w:p>
        </w:tc>
      </w:tr>
      <w:tr w:rsidR="006F5B60" w:rsidRPr="006F5B60" w14:paraId="1B4A61F6" w14:textId="77777777" w:rsidTr="00075631">
        <w:tc>
          <w:tcPr>
            <w:tcW w:w="2422" w:type="dxa"/>
            <w:vMerge/>
          </w:tcPr>
          <w:p w14:paraId="329114A6" w14:textId="77777777" w:rsidR="006F5B60" w:rsidRPr="006F5B60" w:rsidRDefault="006F5B60" w:rsidP="00075631">
            <w:pPr>
              <w:rPr>
                <w:lang w:val="en-GB"/>
              </w:rPr>
            </w:pPr>
          </w:p>
        </w:tc>
        <w:tc>
          <w:tcPr>
            <w:tcW w:w="5057" w:type="dxa"/>
          </w:tcPr>
          <w:p w14:paraId="02D1FAB3" w14:textId="77777777" w:rsidR="006F5B60" w:rsidRPr="006F5B60" w:rsidRDefault="006F5B60" w:rsidP="00075631">
            <w:pPr>
              <w:rPr>
                <w:lang w:val="en-GB"/>
              </w:rPr>
            </w:pPr>
            <w:r w:rsidRPr="006F5B60">
              <w:rPr>
                <w:lang w:val="en-GB"/>
              </w:rPr>
              <w:t>Older tenants</w:t>
            </w:r>
          </w:p>
        </w:tc>
        <w:tc>
          <w:tcPr>
            <w:tcW w:w="2375" w:type="dxa"/>
          </w:tcPr>
          <w:p w14:paraId="4C8B6910" w14:textId="77777777" w:rsidR="006F5B60" w:rsidRPr="006F5B60" w:rsidRDefault="006F5B60" w:rsidP="00075631">
            <w:pPr>
              <w:rPr>
                <w:lang w:val="en-GB"/>
              </w:rPr>
            </w:pPr>
            <w:r w:rsidRPr="006F5B60">
              <w:rPr>
                <w:lang w:val="en-GB"/>
              </w:rPr>
              <w:t>2011 Census</w:t>
            </w:r>
          </w:p>
        </w:tc>
      </w:tr>
      <w:tr w:rsidR="006F5B60" w:rsidRPr="006F5B60" w14:paraId="6CD59100" w14:textId="77777777" w:rsidTr="00075631">
        <w:tc>
          <w:tcPr>
            <w:tcW w:w="2422" w:type="dxa"/>
            <w:vMerge/>
          </w:tcPr>
          <w:p w14:paraId="0F9CC800" w14:textId="77777777" w:rsidR="006F5B60" w:rsidRPr="006F5B60" w:rsidRDefault="006F5B60" w:rsidP="00075631">
            <w:pPr>
              <w:rPr>
                <w:lang w:val="en-GB"/>
              </w:rPr>
            </w:pPr>
          </w:p>
        </w:tc>
        <w:tc>
          <w:tcPr>
            <w:tcW w:w="5057" w:type="dxa"/>
          </w:tcPr>
          <w:p w14:paraId="0CB1733B" w14:textId="77777777" w:rsidR="006F5B60" w:rsidRPr="006F5B60" w:rsidRDefault="006F5B60" w:rsidP="00075631">
            <w:pPr>
              <w:rPr>
                <w:lang w:val="en-GB"/>
              </w:rPr>
            </w:pPr>
            <w:r w:rsidRPr="006F5B60">
              <w:rPr>
                <w:lang w:val="en-GB"/>
              </w:rPr>
              <w:t>Low-education tenants</w:t>
            </w:r>
          </w:p>
        </w:tc>
        <w:tc>
          <w:tcPr>
            <w:tcW w:w="2375" w:type="dxa"/>
          </w:tcPr>
          <w:p w14:paraId="0E9E6000" w14:textId="77777777" w:rsidR="006F5B60" w:rsidRPr="006F5B60" w:rsidRDefault="006F5B60" w:rsidP="00075631">
            <w:pPr>
              <w:rPr>
                <w:lang w:val="en-GB"/>
              </w:rPr>
            </w:pPr>
            <w:r w:rsidRPr="006F5B60">
              <w:rPr>
                <w:lang w:val="en-GB"/>
              </w:rPr>
              <w:t>2011 Census</w:t>
            </w:r>
          </w:p>
        </w:tc>
      </w:tr>
      <w:tr w:rsidR="006F5B60" w:rsidRPr="006F5B60" w14:paraId="18D27204" w14:textId="77777777" w:rsidTr="00075631">
        <w:tc>
          <w:tcPr>
            <w:tcW w:w="2422" w:type="dxa"/>
            <w:vMerge w:val="restart"/>
          </w:tcPr>
          <w:p w14:paraId="5828A542" w14:textId="77777777" w:rsidR="006F5B60" w:rsidRPr="006F5B60" w:rsidRDefault="006F5B60" w:rsidP="00264FFB">
            <w:pPr>
              <w:jc w:val="left"/>
              <w:rPr>
                <w:lang w:val="en-GB"/>
              </w:rPr>
            </w:pPr>
            <w:r w:rsidRPr="006F5B60">
              <w:rPr>
                <w:lang w:val="en-GB"/>
              </w:rPr>
              <w:t>Housing system indicators</w:t>
            </w:r>
          </w:p>
        </w:tc>
        <w:tc>
          <w:tcPr>
            <w:tcW w:w="5057" w:type="dxa"/>
          </w:tcPr>
          <w:p w14:paraId="2A58C359" w14:textId="77777777" w:rsidR="006F5B60" w:rsidRPr="006F5B60" w:rsidRDefault="006F5B60" w:rsidP="00075631">
            <w:pPr>
              <w:rPr>
                <w:lang w:val="en-GB"/>
              </w:rPr>
            </w:pPr>
            <w:r w:rsidRPr="006F5B60">
              <w:rPr>
                <w:lang w:val="en-GB"/>
              </w:rPr>
              <w:t>Rental stress</w:t>
            </w:r>
          </w:p>
        </w:tc>
        <w:tc>
          <w:tcPr>
            <w:tcW w:w="2375" w:type="dxa"/>
          </w:tcPr>
          <w:p w14:paraId="2A4AF62A" w14:textId="77777777" w:rsidR="006F5B60" w:rsidRPr="006F5B60" w:rsidRDefault="006F5B60" w:rsidP="00075631">
            <w:pPr>
              <w:rPr>
                <w:lang w:val="en-GB"/>
              </w:rPr>
            </w:pPr>
            <w:r w:rsidRPr="006F5B60">
              <w:rPr>
                <w:lang w:val="en-GB"/>
              </w:rPr>
              <w:t>2011 Census</w:t>
            </w:r>
          </w:p>
        </w:tc>
      </w:tr>
      <w:tr w:rsidR="006F5B60" w:rsidRPr="006F5B60" w14:paraId="775094F9" w14:textId="77777777" w:rsidTr="00075631">
        <w:tc>
          <w:tcPr>
            <w:tcW w:w="2422" w:type="dxa"/>
            <w:vMerge/>
          </w:tcPr>
          <w:p w14:paraId="5C6CC53D" w14:textId="77777777" w:rsidR="006F5B60" w:rsidRPr="006F5B60" w:rsidRDefault="006F5B60" w:rsidP="00075631">
            <w:pPr>
              <w:rPr>
                <w:lang w:val="en-GB"/>
              </w:rPr>
            </w:pPr>
          </w:p>
        </w:tc>
        <w:tc>
          <w:tcPr>
            <w:tcW w:w="5057" w:type="dxa"/>
          </w:tcPr>
          <w:p w14:paraId="53D7A16E" w14:textId="77777777" w:rsidR="006F5B60" w:rsidRPr="006F5B60" w:rsidRDefault="006F5B60" w:rsidP="00075631">
            <w:pPr>
              <w:rPr>
                <w:lang w:val="en-GB"/>
              </w:rPr>
            </w:pPr>
            <w:r w:rsidRPr="006F5B60">
              <w:rPr>
                <w:lang w:val="en-GB"/>
              </w:rPr>
              <w:t xml:space="preserve">New private tenancies affordable to low-income households </w:t>
            </w:r>
          </w:p>
        </w:tc>
        <w:tc>
          <w:tcPr>
            <w:tcW w:w="2375" w:type="dxa"/>
          </w:tcPr>
          <w:p w14:paraId="1258E4DC" w14:textId="77777777" w:rsidR="006F5B60" w:rsidRPr="006F5B60" w:rsidRDefault="006F5B60" w:rsidP="00264FFB">
            <w:pPr>
              <w:jc w:val="left"/>
              <w:rPr>
                <w:lang w:val="en-GB"/>
              </w:rPr>
            </w:pPr>
            <w:r w:rsidRPr="006F5B60">
              <w:rPr>
                <w:lang w:val="en-GB"/>
              </w:rPr>
              <w:t>RTA, 2011 Census Average Weekly Earnings</w:t>
            </w:r>
          </w:p>
        </w:tc>
      </w:tr>
      <w:tr w:rsidR="006F5B60" w:rsidRPr="006F5B60" w14:paraId="6D8D7905" w14:textId="77777777" w:rsidTr="00075631">
        <w:tc>
          <w:tcPr>
            <w:tcW w:w="2422" w:type="dxa"/>
            <w:vMerge/>
          </w:tcPr>
          <w:p w14:paraId="6970187A" w14:textId="77777777" w:rsidR="006F5B60" w:rsidRPr="006F5B60" w:rsidRDefault="006F5B60" w:rsidP="00075631">
            <w:pPr>
              <w:rPr>
                <w:lang w:val="en-GB"/>
              </w:rPr>
            </w:pPr>
          </w:p>
        </w:tc>
        <w:tc>
          <w:tcPr>
            <w:tcW w:w="5057" w:type="dxa"/>
          </w:tcPr>
          <w:p w14:paraId="0C6802A0" w14:textId="77777777" w:rsidR="006F5B60" w:rsidRPr="006F5B60" w:rsidRDefault="006F5B60" w:rsidP="00075631">
            <w:pPr>
              <w:rPr>
                <w:lang w:val="en-GB"/>
              </w:rPr>
            </w:pPr>
            <w:r w:rsidRPr="006F5B60">
              <w:rPr>
                <w:lang w:val="en-GB"/>
              </w:rPr>
              <w:t>Tenancy disputes</w:t>
            </w:r>
          </w:p>
        </w:tc>
        <w:tc>
          <w:tcPr>
            <w:tcW w:w="2375" w:type="dxa"/>
          </w:tcPr>
          <w:p w14:paraId="0D3962BC" w14:textId="77777777" w:rsidR="006F5B60" w:rsidRPr="006F5B60" w:rsidRDefault="006F5B60" w:rsidP="00075631">
            <w:pPr>
              <w:rPr>
                <w:lang w:val="en-GB"/>
              </w:rPr>
            </w:pPr>
            <w:r w:rsidRPr="006F5B60">
              <w:rPr>
                <w:lang w:val="en-GB"/>
              </w:rPr>
              <w:t>RTA</w:t>
            </w:r>
          </w:p>
        </w:tc>
      </w:tr>
      <w:tr w:rsidR="006F5B60" w:rsidRPr="006F5B60" w14:paraId="664AF9A7" w14:textId="77777777" w:rsidTr="00075631">
        <w:tc>
          <w:tcPr>
            <w:tcW w:w="2422" w:type="dxa"/>
            <w:vMerge/>
          </w:tcPr>
          <w:p w14:paraId="6768B3E5" w14:textId="77777777" w:rsidR="006F5B60" w:rsidRPr="006F5B60" w:rsidRDefault="006F5B60" w:rsidP="00075631">
            <w:pPr>
              <w:rPr>
                <w:lang w:val="en-GB"/>
              </w:rPr>
            </w:pPr>
          </w:p>
        </w:tc>
        <w:tc>
          <w:tcPr>
            <w:tcW w:w="5057" w:type="dxa"/>
          </w:tcPr>
          <w:p w14:paraId="36CA346E" w14:textId="77777777" w:rsidR="006F5B60" w:rsidRPr="006F5B60" w:rsidRDefault="006F5B60" w:rsidP="00075631">
            <w:pPr>
              <w:rPr>
                <w:lang w:val="en-GB"/>
              </w:rPr>
            </w:pPr>
            <w:r w:rsidRPr="006F5B60">
              <w:rPr>
                <w:lang w:val="en-GB"/>
              </w:rPr>
              <w:t>Social housing (public housing and community housing) tenants</w:t>
            </w:r>
          </w:p>
        </w:tc>
        <w:tc>
          <w:tcPr>
            <w:tcW w:w="2375" w:type="dxa"/>
          </w:tcPr>
          <w:p w14:paraId="064A2A72" w14:textId="77777777" w:rsidR="006F5B60" w:rsidRPr="006F5B60" w:rsidRDefault="006F5B60" w:rsidP="00075631">
            <w:pPr>
              <w:rPr>
                <w:lang w:val="en-GB"/>
              </w:rPr>
            </w:pPr>
            <w:proofErr w:type="spellStart"/>
            <w:r w:rsidRPr="006F5B60">
              <w:rPr>
                <w:lang w:val="en-GB"/>
              </w:rPr>
              <w:t>Qld</w:t>
            </w:r>
            <w:proofErr w:type="spellEnd"/>
            <w:r w:rsidRPr="006F5B60">
              <w:rPr>
                <w:lang w:val="en-GB"/>
              </w:rPr>
              <w:t xml:space="preserve"> open data</w:t>
            </w:r>
          </w:p>
        </w:tc>
      </w:tr>
      <w:tr w:rsidR="006F5B60" w:rsidRPr="006F5B60" w14:paraId="0EF86FF9" w14:textId="77777777" w:rsidTr="00075631">
        <w:tc>
          <w:tcPr>
            <w:tcW w:w="2422" w:type="dxa"/>
            <w:vMerge/>
          </w:tcPr>
          <w:p w14:paraId="65587C3E" w14:textId="77777777" w:rsidR="006F5B60" w:rsidRPr="006F5B60" w:rsidRDefault="006F5B60" w:rsidP="00075631">
            <w:pPr>
              <w:rPr>
                <w:lang w:val="en-GB"/>
              </w:rPr>
            </w:pPr>
          </w:p>
        </w:tc>
        <w:tc>
          <w:tcPr>
            <w:tcW w:w="5057" w:type="dxa"/>
          </w:tcPr>
          <w:p w14:paraId="0EA34B0A" w14:textId="77777777" w:rsidR="006F5B60" w:rsidRPr="006F5B60" w:rsidRDefault="006F5B60" w:rsidP="00075631">
            <w:pPr>
              <w:rPr>
                <w:lang w:val="en-GB"/>
              </w:rPr>
            </w:pPr>
            <w:r w:rsidRPr="006F5B60">
              <w:rPr>
                <w:lang w:val="en-GB"/>
              </w:rPr>
              <w:t>Boarding house residents</w:t>
            </w:r>
          </w:p>
        </w:tc>
        <w:tc>
          <w:tcPr>
            <w:tcW w:w="2375" w:type="dxa"/>
          </w:tcPr>
          <w:p w14:paraId="2982836B" w14:textId="77777777" w:rsidR="006F5B60" w:rsidRPr="006F5B60" w:rsidRDefault="006F5B60" w:rsidP="00075631">
            <w:pPr>
              <w:rPr>
                <w:lang w:val="en-GB"/>
              </w:rPr>
            </w:pPr>
            <w:proofErr w:type="spellStart"/>
            <w:r w:rsidRPr="006F5B60">
              <w:rPr>
                <w:lang w:val="en-GB"/>
              </w:rPr>
              <w:t>Qld</w:t>
            </w:r>
            <w:proofErr w:type="spellEnd"/>
            <w:r w:rsidRPr="006F5B60">
              <w:rPr>
                <w:lang w:val="en-GB"/>
              </w:rPr>
              <w:t xml:space="preserve"> open data</w:t>
            </w:r>
          </w:p>
        </w:tc>
      </w:tr>
      <w:tr w:rsidR="006F5B60" w:rsidRPr="006F5B60" w14:paraId="163D6830" w14:textId="77777777" w:rsidTr="00075631">
        <w:tc>
          <w:tcPr>
            <w:tcW w:w="2422" w:type="dxa"/>
            <w:vMerge/>
          </w:tcPr>
          <w:p w14:paraId="6BEC5D99" w14:textId="77777777" w:rsidR="006F5B60" w:rsidRPr="006F5B60" w:rsidRDefault="006F5B60" w:rsidP="00075631">
            <w:pPr>
              <w:rPr>
                <w:lang w:val="en-GB"/>
              </w:rPr>
            </w:pPr>
          </w:p>
        </w:tc>
        <w:tc>
          <w:tcPr>
            <w:tcW w:w="5057" w:type="dxa"/>
          </w:tcPr>
          <w:p w14:paraId="65CFB4FC" w14:textId="77777777" w:rsidR="006F5B60" w:rsidRPr="006F5B60" w:rsidRDefault="006F5B60" w:rsidP="00075631">
            <w:pPr>
              <w:rPr>
                <w:lang w:val="en-GB"/>
              </w:rPr>
            </w:pPr>
            <w:r w:rsidRPr="006F5B60">
              <w:rPr>
                <w:lang w:val="en-GB"/>
              </w:rPr>
              <w:t>Residential park residents</w:t>
            </w:r>
          </w:p>
        </w:tc>
        <w:tc>
          <w:tcPr>
            <w:tcW w:w="2375" w:type="dxa"/>
          </w:tcPr>
          <w:p w14:paraId="6C5F11DE" w14:textId="77777777" w:rsidR="006F5B60" w:rsidRPr="006F5B60" w:rsidRDefault="006F5B60" w:rsidP="00075631">
            <w:pPr>
              <w:rPr>
                <w:lang w:val="en-GB"/>
              </w:rPr>
            </w:pPr>
            <w:proofErr w:type="spellStart"/>
            <w:r w:rsidRPr="006F5B60">
              <w:rPr>
                <w:lang w:val="en-GB"/>
              </w:rPr>
              <w:t>Qld</w:t>
            </w:r>
            <w:proofErr w:type="spellEnd"/>
            <w:r w:rsidRPr="006F5B60">
              <w:rPr>
                <w:lang w:val="en-GB"/>
              </w:rPr>
              <w:t xml:space="preserve"> open data</w:t>
            </w:r>
          </w:p>
        </w:tc>
      </w:tr>
    </w:tbl>
    <w:p w14:paraId="4CD2BAB3" w14:textId="77777777" w:rsidR="006F5B60" w:rsidRPr="006F5B60" w:rsidRDefault="006F5B60" w:rsidP="006F5B60">
      <w:pPr>
        <w:rPr>
          <w:lang w:val="en-GB"/>
        </w:rPr>
      </w:pPr>
    </w:p>
    <w:p w14:paraId="4B5146E2" w14:textId="77777777" w:rsidR="006F5B60" w:rsidRPr="006F5B60" w:rsidRDefault="006F5B60" w:rsidP="006F5B60">
      <w:pPr>
        <w:pStyle w:val="Heading2"/>
        <w:rPr>
          <w:lang w:val="en-GB"/>
        </w:rPr>
      </w:pPr>
      <w:r w:rsidRPr="006F5B60">
        <w:rPr>
          <w:lang w:val="en-GB"/>
        </w:rPr>
        <w:t>The indicators</w:t>
      </w:r>
    </w:p>
    <w:p w14:paraId="08192E7C" w14:textId="77777777" w:rsidR="006F5B60" w:rsidRDefault="006F5B60" w:rsidP="006F5B60">
      <w:pPr>
        <w:rPr>
          <w:lang w:val="en-GB"/>
        </w:rPr>
      </w:pPr>
      <w:r w:rsidRPr="006F5B60">
        <w:rPr>
          <w:rStyle w:val="Strong"/>
          <w:lang w:val="en-GB"/>
        </w:rPr>
        <w:t>Tenants with disability (‘in need of assistance’).</w:t>
      </w:r>
      <w:r w:rsidRPr="006F5B60">
        <w:rPr>
          <w:lang w:val="en-GB"/>
        </w:rPr>
        <w:t xml:space="preserve"> In the LAWS analysis, disability stands out as indicator of legal need: persons with disability were twice as likely as persons without disability to have a legal problem; they were also 2.5 times as likely to have a ‘substantial’ legal problem and 30 per cent more likely to have multiple legal problems (</w:t>
      </w:r>
      <w:proofErr w:type="spellStart"/>
      <w:r w:rsidRPr="006F5B60">
        <w:rPr>
          <w:lang w:val="en-GB"/>
        </w:rPr>
        <w:t>Coumarelos</w:t>
      </w:r>
      <w:proofErr w:type="spellEnd"/>
      <w:r w:rsidRPr="006F5B60">
        <w:rPr>
          <w:lang w:val="en-GB"/>
        </w:rPr>
        <w:t xml:space="preserve"> et al, 2013: 65-70). Specifically in connection with rental housing, disability may restrict alternative housing options, because the tenant needs to live in proximity to medical and other support services; equipment and modifications may be difficult or expensive to relocate; appropriately configured premises may be hard to find; and discrimination by lessors. Private rental housing, in particular, is difficult for many people with disability: in a major study of disability and housing assistance in Australia, Tually, Beer and McLoughlin (2011) conclude that ‘much more needs to be done to improve outcomes for people living with disability accommodated in the private rental market.’</w:t>
      </w:r>
    </w:p>
    <w:p w14:paraId="4919117B" w14:textId="77777777" w:rsidR="00264FFB" w:rsidRPr="006F5B60" w:rsidRDefault="00264FFB" w:rsidP="006F5B60">
      <w:pPr>
        <w:rPr>
          <w:lang w:val="en-GB"/>
        </w:rPr>
      </w:pPr>
    </w:p>
    <w:p w14:paraId="61C06BA1" w14:textId="77777777" w:rsidR="006F5B60" w:rsidRDefault="006F5B60" w:rsidP="006F5B60">
      <w:pPr>
        <w:rPr>
          <w:lang w:val="en-GB"/>
        </w:rPr>
      </w:pPr>
      <w:r w:rsidRPr="006F5B60">
        <w:rPr>
          <w:rStyle w:val="Strong"/>
          <w:lang w:val="en-GB"/>
        </w:rPr>
        <w:t>Unemployed tenants.</w:t>
      </w:r>
      <w:r w:rsidRPr="006F5B60">
        <w:rPr>
          <w:lang w:val="en-GB"/>
        </w:rPr>
        <w:t xml:space="preserve"> In the LAWS analysis, unemployment is another strong indicator of legal need: unemployed persons were more than twice as likely as other persons to have a legal problem, more than two-and-a half times as likely to have a ‘substantial’ legal problem, and 70 per cent more likely to have multiple legal problems. Obviously, unemployment causes low income (about 60 per cent are in poverty: ACOSS-SPRC 2016: 19), which causes risk of arrears and difficulty in accessing alternative rental housing.</w:t>
      </w:r>
    </w:p>
    <w:p w14:paraId="2DEDF86D" w14:textId="77777777" w:rsidR="00264FFB" w:rsidRPr="006F5B60" w:rsidRDefault="00264FFB" w:rsidP="006F5B60">
      <w:pPr>
        <w:rPr>
          <w:lang w:val="en-GB"/>
        </w:rPr>
      </w:pPr>
    </w:p>
    <w:p w14:paraId="1D602785" w14:textId="77777777" w:rsidR="006F5B60" w:rsidRPr="006F5B60" w:rsidRDefault="006F5B60" w:rsidP="006F5B60">
      <w:pPr>
        <w:rPr>
          <w:lang w:val="en-GB"/>
        </w:rPr>
      </w:pPr>
      <w:r w:rsidRPr="006F5B60">
        <w:rPr>
          <w:rStyle w:val="Strong"/>
          <w:lang w:val="en-GB"/>
        </w:rPr>
        <w:t>Single parent tenants.</w:t>
      </w:r>
      <w:r w:rsidRPr="006F5B60">
        <w:rPr>
          <w:lang w:val="en-GB"/>
        </w:rPr>
        <w:t xml:space="preserve"> In the LAWS analysis, single parents were 80 per cent more likely than persons with other family types to have a legal problem, more than twice as likely to have a ‘substantial’ legal problem, and 50 per cent more likely to have multiple legal problems. Single parent households are the household type most likely to be in poverty (33 per cent: ACOSS-SPRC, 2016: 7); which causes risk of arrears and difficulty in accessing rental housing.</w:t>
      </w:r>
    </w:p>
    <w:p w14:paraId="0CD8DC75" w14:textId="77777777" w:rsidR="006F5B60" w:rsidRPr="006F5B60" w:rsidRDefault="006F5B60" w:rsidP="006F5B60">
      <w:pPr>
        <w:spacing w:before="120" w:after="120"/>
        <w:rPr>
          <w:color w:val="484848"/>
          <w:lang w:val="en-GB" w:eastAsia="en-AU"/>
        </w:rPr>
      </w:pPr>
      <w:r w:rsidRPr="006F5B60">
        <w:rPr>
          <w:rStyle w:val="Strong"/>
          <w:lang w:val="en-GB"/>
        </w:rPr>
        <w:lastRenderedPageBreak/>
        <w:t>Indigenous tenants.</w:t>
      </w:r>
      <w:r w:rsidRPr="006F5B60">
        <w:rPr>
          <w:lang w:val="en-GB"/>
        </w:rPr>
        <w:t xml:space="preserve"> In the LAWS analysis, Indigenous persons were no more likely than non-Indigenous persons to have a legal problem. However, in connection with rental housing, Indigenous persons experience discrimination from private landlords and agents, and the housing that is available to them may tend to be poorer quality. Indigenous family obligations may mean disputes with landlords about visitors and overcrowding (</w:t>
      </w:r>
      <w:proofErr w:type="spellStart"/>
      <w:r w:rsidRPr="006F5B60">
        <w:rPr>
          <w:lang w:val="en-GB" w:eastAsia="en-AU"/>
        </w:rPr>
        <w:t>Memmott</w:t>
      </w:r>
      <w:proofErr w:type="spellEnd"/>
      <w:r w:rsidRPr="006F5B60">
        <w:rPr>
          <w:lang w:val="en-GB" w:eastAsia="en-AU"/>
        </w:rPr>
        <w:t>, et al, 2012).</w:t>
      </w:r>
    </w:p>
    <w:p w14:paraId="768E1E63" w14:textId="77777777" w:rsidR="006F5B60" w:rsidRDefault="006F5B60" w:rsidP="006F5B60">
      <w:r w:rsidRPr="006F5B60">
        <w:rPr>
          <w:rStyle w:val="Strong"/>
          <w:lang w:val="en-GB"/>
        </w:rPr>
        <w:t xml:space="preserve">Young tenants (18-24 years). </w:t>
      </w:r>
      <w:r w:rsidRPr="006F5B60">
        <w:t>As discussed above, the LAWS analysis indicates that rental housing problems are more prevalent amongst young persons. Young tenants are more likely to have low incomes, share their housing and move more frequently (Burke, Pinkney and Ewing, 2002), all of which may mean greater exposure to tenancy legal problems.</w:t>
      </w:r>
    </w:p>
    <w:p w14:paraId="4530AA69" w14:textId="77777777" w:rsidR="006F5B60" w:rsidRPr="006F5B60" w:rsidRDefault="006F5B60" w:rsidP="006F5B60"/>
    <w:p w14:paraId="77064E17" w14:textId="77777777" w:rsidR="006F5B60" w:rsidRDefault="006F5B60" w:rsidP="006F5B60">
      <w:r w:rsidRPr="006F5B60">
        <w:rPr>
          <w:rStyle w:val="Strong"/>
          <w:lang w:val="en-GB"/>
        </w:rPr>
        <w:t xml:space="preserve">Older tenants (65 years and over). </w:t>
      </w:r>
      <w:r w:rsidRPr="006F5B60">
        <w:t>In the LAWS analysis, persons aged 65 years and over are generally less likely than other age groups to have legal problems. However, we regarded older tenants as a particularly vulnerable group: they can less readily find and move to alternative accommodation, which reduces the market power they bring to disputes, and makes rent increases and terminations more threatening to their wellbeing (Morris, 2016; Wood, et al, 2010); this is particularly so where they have lost a partner (Wood, et al, 2007).  Many older tenants tend to be on lower and fixed incomes, which increase the chance of this cohort being in financial stress from being in unaffordable housing.</w:t>
      </w:r>
    </w:p>
    <w:p w14:paraId="47EEC14A" w14:textId="77777777" w:rsidR="006F5B60" w:rsidRPr="006F5B60" w:rsidRDefault="006F5B60" w:rsidP="006F5B60">
      <w:pPr>
        <w:rPr>
          <w:rStyle w:val="Strong"/>
          <w:b w:val="0"/>
          <w:lang w:val="en-GB"/>
        </w:rPr>
      </w:pPr>
    </w:p>
    <w:p w14:paraId="2D7A1451" w14:textId="77777777" w:rsidR="006F5B60" w:rsidRDefault="006F5B60" w:rsidP="006F5B60">
      <w:pPr>
        <w:rPr>
          <w:lang w:val="en-GB"/>
        </w:rPr>
      </w:pPr>
      <w:r w:rsidRPr="006F5B60">
        <w:rPr>
          <w:rStyle w:val="Strong"/>
          <w:lang w:val="en-GB"/>
        </w:rPr>
        <w:t>Low-education tenants.</w:t>
      </w:r>
      <w:r w:rsidRPr="006F5B60">
        <w:rPr>
          <w:lang w:val="en-GB"/>
        </w:rPr>
        <w:t xml:space="preserve"> Unlike most other indicators of disadvantage, persons with low education were, in the LAWS analysis, </w:t>
      </w:r>
      <w:r w:rsidRPr="006F5B60">
        <w:rPr>
          <w:i/>
          <w:lang w:val="en-GB"/>
        </w:rPr>
        <w:t>less</w:t>
      </w:r>
      <w:r w:rsidRPr="006F5B60">
        <w:rPr>
          <w:lang w:val="en-GB"/>
        </w:rPr>
        <w:t xml:space="preserve"> likely than other persons to have a legal problem. </w:t>
      </w:r>
      <w:proofErr w:type="spellStart"/>
      <w:r w:rsidRPr="006F5B60">
        <w:rPr>
          <w:lang w:val="en-GB"/>
        </w:rPr>
        <w:t>Coumarelos</w:t>
      </w:r>
      <w:proofErr w:type="spellEnd"/>
      <w:r w:rsidRPr="006F5B60">
        <w:rPr>
          <w:lang w:val="en-GB"/>
        </w:rPr>
        <w:t xml:space="preserve"> et al suggests one reason for this is that persons with low education may have fewer opportunities to be involved in activities that occasionally give rise to legal problems; however, our indicator considers low-education persons who are actually renting, and so have overcome the opportunity hurdle at least with regard to housing. Secondly, </w:t>
      </w:r>
      <w:proofErr w:type="spellStart"/>
      <w:r w:rsidRPr="006F5B60">
        <w:rPr>
          <w:lang w:val="en-GB"/>
        </w:rPr>
        <w:t>Coumarelos</w:t>
      </w:r>
      <w:proofErr w:type="spellEnd"/>
      <w:r w:rsidRPr="006F5B60">
        <w:rPr>
          <w:lang w:val="en-GB"/>
        </w:rPr>
        <w:t xml:space="preserve"> et al suggest that persons with low education may be less able to identify legal problems and hence their own need for legal assistance, and that it may be appropriate to regards low-education as indicating need for community legal education.</w:t>
      </w:r>
    </w:p>
    <w:p w14:paraId="3F6A3880" w14:textId="77777777" w:rsidR="006F5B60" w:rsidRPr="006F5B60" w:rsidRDefault="006F5B60" w:rsidP="006F5B60">
      <w:pPr>
        <w:rPr>
          <w:lang w:val="en-GB"/>
        </w:rPr>
      </w:pPr>
    </w:p>
    <w:p w14:paraId="69064E81" w14:textId="77777777" w:rsidR="006F5B60" w:rsidRDefault="006F5B60" w:rsidP="006F5B60">
      <w:pPr>
        <w:rPr>
          <w:lang w:val="en-GB"/>
        </w:rPr>
      </w:pPr>
      <w:r w:rsidRPr="006F5B60">
        <w:rPr>
          <w:rStyle w:val="Strong"/>
          <w:lang w:val="en-GB"/>
        </w:rPr>
        <w:t>Rental stress.</w:t>
      </w:r>
      <w:r w:rsidRPr="006F5B60">
        <w:rPr>
          <w:lang w:val="en-GB"/>
        </w:rPr>
        <w:t xml:space="preserve"> This is the number of all rental households (private and social housing) that have a low-income (bottom 40 per cent of incomes for the area in which they live) and that pay more than 30 per cent of their income in rent. Because social housing landlords charge income-related rents, rental stress is uncommon in social housing – but is common in private rental housing. Rental stress presents a risk for rent arrears and consequent loss of housing, and is associated with other forms of deprivation (Burke and Pinnegar, 2007).</w:t>
      </w:r>
    </w:p>
    <w:p w14:paraId="31FE9A0F" w14:textId="77777777" w:rsidR="006F5B60" w:rsidRPr="006F5B60" w:rsidRDefault="006F5B60" w:rsidP="006F5B60">
      <w:pPr>
        <w:rPr>
          <w:lang w:val="en-GB"/>
        </w:rPr>
      </w:pPr>
    </w:p>
    <w:p w14:paraId="0F68FA35" w14:textId="77777777" w:rsidR="006F5B60" w:rsidRDefault="006F5B60" w:rsidP="006F5B60">
      <w:pPr>
        <w:rPr>
          <w:lang w:val="en-GB"/>
        </w:rPr>
      </w:pPr>
      <w:r w:rsidRPr="006F5B60">
        <w:rPr>
          <w:rStyle w:val="Strong"/>
          <w:lang w:val="en-GB"/>
        </w:rPr>
        <w:t>New private tenancies affordable to low-income households.</w:t>
      </w:r>
      <w:r w:rsidRPr="006F5B60">
        <w:rPr>
          <w:lang w:val="en-GB"/>
        </w:rPr>
        <w:t xml:space="preserve"> This is the proportion of all new private tenancies (represented by new bond lodgements in 2015) that a household of corresponding size (</w:t>
      </w:r>
      <w:proofErr w:type="spellStart"/>
      <w:r w:rsidRPr="006F5B60">
        <w:rPr>
          <w:lang w:val="en-GB"/>
        </w:rPr>
        <w:t>ie</w:t>
      </w:r>
      <w:proofErr w:type="spellEnd"/>
      <w:r w:rsidRPr="006F5B60">
        <w:rPr>
          <w:lang w:val="en-GB"/>
        </w:rPr>
        <w:t xml:space="preserve"> one bedroom dwellings for single person households; two-bedroom dwellings for 3-4 person family households) on a low income (bottom 40 per cent of incomes for the area) could afford (</w:t>
      </w:r>
      <w:proofErr w:type="spellStart"/>
      <w:r w:rsidRPr="006F5B60">
        <w:rPr>
          <w:lang w:val="en-GB"/>
        </w:rPr>
        <w:t>ie</w:t>
      </w:r>
      <w:proofErr w:type="spellEnd"/>
      <w:r w:rsidRPr="006F5B60">
        <w:rPr>
          <w:lang w:val="en-GB"/>
        </w:rPr>
        <w:t xml:space="preserve"> rent not more than 30 per cent of income). This indicates the availability or otherwise of alternative housing options for tenants, and hence the market power they may have – or lack – when dealing with tenancy issues such as repairs, rent increases and landlords’ access to the property. </w:t>
      </w:r>
    </w:p>
    <w:p w14:paraId="4953850A" w14:textId="77777777" w:rsidR="006F5B60" w:rsidRPr="006F5B60" w:rsidRDefault="006F5B60" w:rsidP="006F5B60">
      <w:pPr>
        <w:rPr>
          <w:lang w:val="en-GB"/>
        </w:rPr>
      </w:pPr>
    </w:p>
    <w:p w14:paraId="2423BCE8" w14:textId="77777777" w:rsidR="006F5B60" w:rsidRDefault="006F5B60" w:rsidP="006F5B60">
      <w:pPr>
        <w:rPr>
          <w:lang w:val="en-GB"/>
        </w:rPr>
      </w:pPr>
      <w:r w:rsidRPr="006F5B60">
        <w:rPr>
          <w:rStyle w:val="Strong"/>
          <w:lang w:val="en-GB"/>
        </w:rPr>
        <w:t xml:space="preserve">Tenancy disputes. </w:t>
      </w:r>
      <w:r w:rsidRPr="006F5B60">
        <w:rPr>
          <w:lang w:val="en-GB"/>
        </w:rPr>
        <w:t>This is the number of applications regarding tenancy disputes lodged with the Residential Tenancies Authority, and indicates demand for the specific service of advice and advocacy in dispute resolution proceedings.</w:t>
      </w:r>
    </w:p>
    <w:p w14:paraId="0A12D5D1" w14:textId="77777777" w:rsidR="006F5B60" w:rsidRPr="006F5B60" w:rsidRDefault="006F5B60" w:rsidP="006F5B60">
      <w:pPr>
        <w:rPr>
          <w:lang w:val="en-GB"/>
        </w:rPr>
      </w:pPr>
    </w:p>
    <w:p w14:paraId="0FA17BFC" w14:textId="77777777" w:rsidR="006F5B60" w:rsidRDefault="006F5B60" w:rsidP="006F5B60">
      <w:pPr>
        <w:rPr>
          <w:lang w:val="en-GB"/>
        </w:rPr>
      </w:pPr>
      <w:r w:rsidRPr="006F5B60">
        <w:rPr>
          <w:rStyle w:val="Strong"/>
          <w:lang w:val="en-GB"/>
        </w:rPr>
        <w:t xml:space="preserve">Social housing (public housing and community housing) tenants. </w:t>
      </w:r>
      <w:r w:rsidRPr="006F5B60">
        <w:rPr>
          <w:lang w:val="en-GB"/>
        </w:rPr>
        <w:t xml:space="preserve">This is the number of households in public housing or community housing. As discussed above, persons living in public housing are part (the larger part) of the ‘disadvantaged housing’ group in the LAWS analysis, which had a higher incidence of legal problems. Aside from being targeted to households with low incomes and high needs, social housing – particularly public housing – is subject to laws and policies that may present problems and calls for assistance that do not arise in other tenures. For example, social housing landlords’ decisions about eligibility for housing, offers of properties, tenant transfers and rent calculations are not subject to residential tenancies legislation, but may be subject to administrative law and processes for review and appeal. Some decisions – in particular, decisions about rental subsidies – may also affect tenants’ </w:t>
      </w:r>
      <w:r w:rsidRPr="006F5B60">
        <w:rPr>
          <w:lang w:val="en-GB"/>
        </w:rPr>
        <w:lastRenderedPageBreak/>
        <w:t>liabilities under their tenancy agreements and expose them to termination proceedings under residential tenancies legislation. Public housing landlords, in particular, are heavy users of tenancy legal proceedings in response to a wide range of conduct issues (Martin, 2015).</w:t>
      </w:r>
    </w:p>
    <w:p w14:paraId="411E29D8" w14:textId="77777777" w:rsidR="006F5B60" w:rsidRPr="006F5B60" w:rsidRDefault="006F5B60" w:rsidP="006F5B60">
      <w:pPr>
        <w:rPr>
          <w:lang w:val="en-GB"/>
        </w:rPr>
      </w:pPr>
    </w:p>
    <w:p w14:paraId="3D381F42" w14:textId="77777777" w:rsidR="006F5B60" w:rsidRDefault="006F5B60" w:rsidP="006F5B60">
      <w:pPr>
        <w:rPr>
          <w:lang w:val="en-GB"/>
        </w:rPr>
      </w:pPr>
      <w:r w:rsidRPr="006F5B60">
        <w:rPr>
          <w:rStyle w:val="Strong"/>
          <w:lang w:val="en-GB"/>
        </w:rPr>
        <w:t>Residential services.</w:t>
      </w:r>
      <w:r w:rsidRPr="006F5B60">
        <w:rPr>
          <w:lang w:val="en-GB"/>
        </w:rPr>
        <w:t xml:space="preserve"> Residential services indicate boarding houses. As discussed above, persons living in boarding houses represent a small part of the ‘disadvantaged housing’ group in the LAWS analysis, which had a higher incidence of legal problems. Aside from catering largely to persons with low incomes and few other housing options, boarding houses are subject to their own legal regime, which generally provides residents with fewer rights and less notice of termination and rent increases than mainstream tenants (Dalton, et al, 2015). Boarding house residents are also in closer contact with their landlords (who may attend the premises frequently, if not live on the premises) and with other residents (with whom they share space), which may mean that disputes may arise more frequently (Goodman, et al, 2013).</w:t>
      </w:r>
    </w:p>
    <w:p w14:paraId="2D13EE03" w14:textId="77777777" w:rsidR="006F5B60" w:rsidRPr="006F5B60" w:rsidRDefault="006F5B60" w:rsidP="006F5B60">
      <w:pPr>
        <w:rPr>
          <w:lang w:val="en-GB"/>
        </w:rPr>
      </w:pPr>
    </w:p>
    <w:p w14:paraId="709EA40E" w14:textId="77777777" w:rsidR="006F5B60" w:rsidRDefault="006F5B60" w:rsidP="006F5B60">
      <w:pPr>
        <w:rPr>
          <w:lang w:val="en-GB"/>
        </w:rPr>
      </w:pPr>
      <w:r w:rsidRPr="006F5B60">
        <w:rPr>
          <w:rStyle w:val="Strong"/>
          <w:lang w:val="en-GB"/>
        </w:rPr>
        <w:t xml:space="preserve">Manufactured home sites. </w:t>
      </w:r>
      <w:r w:rsidRPr="006F5B60">
        <w:rPr>
          <w:lang w:val="en-GB"/>
        </w:rPr>
        <w:t>Manufactured home sites indicate residential parks, on which two groups of persons live: those who rent their dwelling, often a caravan; and those who own their dwelling – which may be a van or manufactured home – and rent the site on which it sits. We regard both, for different reasons, as vulnerable to problems in connections with their rental housing. Residents who rent vans may be regarded as homeless and part of the ‘disadvantaged housing’ group in the LAWS analysis. Residents who own their dwelling are often older persons and face some special disadvantages as consumers: typically they will have paid a large part of their savings to the purchase of the dwelling, and the dwelling will not be readily relocatable to another park (Goodman, et al, 2013).</w:t>
      </w:r>
    </w:p>
    <w:p w14:paraId="1108AB6B" w14:textId="77777777" w:rsidR="006F5B60" w:rsidRPr="006F5B60" w:rsidRDefault="006F5B60" w:rsidP="006F5B60">
      <w:pPr>
        <w:rPr>
          <w:lang w:val="en-GB"/>
        </w:rPr>
      </w:pPr>
    </w:p>
    <w:p w14:paraId="14A4E4F1" w14:textId="77777777" w:rsidR="006F5B60" w:rsidRPr="006F5B60" w:rsidRDefault="006F5B60" w:rsidP="00264FFB">
      <w:pPr>
        <w:pStyle w:val="Heading2"/>
      </w:pPr>
      <w:r w:rsidRPr="006F5B60">
        <w:t>Compiling the Rental Vulnerability Index: method</w:t>
      </w:r>
    </w:p>
    <w:p w14:paraId="14EFA674" w14:textId="77777777" w:rsidR="006F5B60" w:rsidRDefault="006F5B60" w:rsidP="006F5B60">
      <w:pPr>
        <w:rPr>
          <w:lang w:val="en-GB"/>
        </w:rPr>
      </w:pPr>
      <w:r w:rsidRPr="006F5B60">
        <w:rPr>
          <w:lang w:val="en-GB"/>
        </w:rPr>
        <w:t xml:space="preserve">The RVI has been created using a Principle Component Analysis (PCA), which is a dimension reduction method to statistically identify clusters of observations based on a wide range of impact variables.  A principle component analysis takes a large number of correlated variables to produce a set of uncorrelated components.  This produces a number of components, however, for this task we are interested in only the first principle component as a descriptor of rental vulnerability.  This is a similar method used by the Australian Bureau of Statistics in compiling their SEIFA indices (ABS 2013).  </w:t>
      </w:r>
    </w:p>
    <w:p w14:paraId="48D16CC2" w14:textId="77777777" w:rsidR="00264FFB" w:rsidRPr="006F5B60" w:rsidRDefault="00264FFB" w:rsidP="006F5B60">
      <w:pPr>
        <w:rPr>
          <w:lang w:val="en-GB"/>
        </w:rPr>
      </w:pPr>
    </w:p>
    <w:p w14:paraId="2546264B" w14:textId="77777777" w:rsidR="006F5B60" w:rsidRDefault="006F5B60" w:rsidP="006F5B60">
      <w:pPr>
        <w:rPr>
          <w:lang w:val="en-GB"/>
        </w:rPr>
      </w:pPr>
      <w:r w:rsidRPr="006F5B60">
        <w:rPr>
          <w:lang w:val="en-GB"/>
        </w:rPr>
        <w:t xml:space="preserve">The above indicators of rental vulnerability were input and progressive iterations of the PCA were run to remove any variables that did not load strongly (produced coefficients of less than 0.3 in the component matrix) onto the first principle component, meaning those which did not help ‘explain’ an overall vulnerability index.  The final first principle component explained 43.7% of the variance in the dataset and had a sampling adequacy of 0.607.  Both the percent variance and sampling adequacy were sufficient to represent a valid output.  The final output PCA score for the first principle component was then ranked from lowest to highest for all postcodes measured.  A percentile value was allocated based on this ranking to produce an output of rental vulnerability from low vulnerability to high vulnerability.  </w:t>
      </w:r>
    </w:p>
    <w:p w14:paraId="0F37E098" w14:textId="77777777" w:rsidR="00264FFB" w:rsidRPr="006F5B60" w:rsidRDefault="00264FFB" w:rsidP="006F5B60">
      <w:pPr>
        <w:rPr>
          <w:lang w:val="en-GB"/>
        </w:rPr>
      </w:pPr>
    </w:p>
    <w:p w14:paraId="6DAFD66C" w14:textId="77777777" w:rsidR="006F5B60" w:rsidRPr="006F5B60" w:rsidRDefault="006F5B60" w:rsidP="006F5B60">
      <w:pPr>
        <w:pStyle w:val="Heading1"/>
        <w:rPr>
          <w:lang w:val="en-GB"/>
        </w:rPr>
      </w:pPr>
      <w:r w:rsidRPr="006F5B60">
        <w:rPr>
          <w:lang w:val="en-GB"/>
        </w:rPr>
        <w:t>Visualising rental vulnerability</w:t>
      </w:r>
    </w:p>
    <w:p w14:paraId="0DC1D7B6" w14:textId="77777777" w:rsidR="006F5B60" w:rsidRDefault="006F5B60" w:rsidP="006F5B60">
      <w:pPr>
        <w:rPr>
          <w:lang w:val="en-GB"/>
        </w:rPr>
      </w:pPr>
      <w:r w:rsidRPr="006F5B60">
        <w:rPr>
          <w:lang w:val="en-GB"/>
        </w:rPr>
        <w:t xml:space="preserve">The Rental Vulnerability Index was mapped at postcode level across Queensland (see Figure 1) and the most immediately striking feature of the visualisation is the regional incidence of high rental vulnerability, particularly in areas north of the Sunshine Coast and inland of the Gold Coast. Postcodes in these areas also have some of the highest RVI scores in the state. Conversely, Brisbane does not show up as vulnerable, except for some highly vulnerable postcodes around Logan and Inala on the metropolitan fringe. This is in contrast with visualisations of rental affordability (e.g. SGS 2017), which showed some of these regional locations to be the most ‘affordable’ in the state.  </w:t>
      </w:r>
    </w:p>
    <w:p w14:paraId="607D18F0" w14:textId="77777777" w:rsidR="00264FFB" w:rsidRPr="006F5B60" w:rsidRDefault="00264FFB" w:rsidP="006F5B60">
      <w:pPr>
        <w:rPr>
          <w:lang w:val="en-GB"/>
        </w:rPr>
      </w:pPr>
    </w:p>
    <w:p w14:paraId="3A329564" w14:textId="77777777" w:rsidR="006F5B60" w:rsidRDefault="006F5B60" w:rsidP="006F5B60">
      <w:pPr>
        <w:rPr>
          <w:lang w:val="en-GB"/>
        </w:rPr>
      </w:pPr>
      <w:r w:rsidRPr="006F5B60">
        <w:rPr>
          <w:lang w:val="en-GB"/>
        </w:rPr>
        <w:t xml:space="preserve">Renters experiencing rent stress is show in figure 2, while the proportion of new bonds affordable to median renter households (figure 3) also reveal different housing market geographies.  There were relatively large numbers of renters in rent stress in inner areas (figure 2), reflecting higher costs in these areas, and in part borne out of the higher volumes of rental availability.  Figure 3 shows that the proportion of affordable rentals in inner Brisbane locations appear to be high, however this is relative to incomes of the renters living in that area.  That is higher income households are more likely to live in higher rent areas, which is generally affordable to them.  As noted above, each of these measures of affordability of stress which included in the RVI. </w:t>
      </w:r>
    </w:p>
    <w:p w14:paraId="4199EDE0" w14:textId="77777777" w:rsidR="00264FFB" w:rsidRPr="006F5B60" w:rsidRDefault="00264FFB" w:rsidP="006F5B60">
      <w:pPr>
        <w:rPr>
          <w:lang w:val="en-GB"/>
        </w:rPr>
      </w:pPr>
    </w:p>
    <w:p w14:paraId="49478E54" w14:textId="77777777" w:rsidR="006F5B60" w:rsidRDefault="006F5B60" w:rsidP="006F5B60">
      <w:pPr>
        <w:rPr>
          <w:lang w:val="en-GB"/>
        </w:rPr>
      </w:pPr>
      <w:r w:rsidRPr="006F5B60">
        <w:rPr>
          <w:lang w:val="en-GB"/>
        </w:rPr>
        <w:t xml:space="preserve">In interpreting the visualisation, it is important to be clear as to how the RVI, the indicators and the geographic scale of analysis used – postcodes – present information about vulnerability. Most of the indicators – particularly the people indicators, and the rent stress indicator – show the </w:t>
      </w:r>
      <w:r w:rsidRPr="006F5B60">
        <w:rPr>
          <w:i/>
          <w:lang w:val="en-GB"/>
        </w:rPr>
        <w:t>relative</w:t>
      </w:r>
      <w:r w:rsidRPr="006F5B60">
        <w:rPr>
          <w:lang w:val="en-GB"/>
        </w:rPr>
        <w:t xml:space="preserve"> incidence of vulnerability: that is, the proportion or percentage of households living in the postcode that have the vulnerability characteristic. Using percentages helps account for geographic variation in the population sizes of postcodes, and so generally better articulates underlying conditions and allows for constituent comparison across the different geographies of Queensland. </w:t>
      </w:r>
    </w:p>
    <w:p w14:paraId="592C1231" w14:textId="77777777" w:rsidR="00264FFB" w:rsidRPr="006F5B60" w:rsidRDefault="00264FFB" w:rsidP="006F5B60">
      <w:pPr>
        <w:rPr>
          <w:lang w:val="en-GB"/>
        </w:rPr>
      </w:pPr>
    </w:p>
    <w:p w14:paraId="0AC2CE4D" w14:textId="77777777" w:rsidR="006F5B60" w:rsidRDefault="006F5B60" w:rsidP="006F5B60">
      <w:pPr>
        <w:rPr>
          <w:lang w:val="en-GB"/>
        </w:rPr>
      </w:pPr>
      <w:r w:rsidRPr="006F5B60">
        <w:rPr>
          <w:lang w:val="en-GB"/>
        </w:rPr>
        <w:t xml:space="preserve">However, when looking at the other housing indicators, which present </w:t>
      </w:r>
      <w:r w:rsidRPr="006F5B60">
        <w:rPr>
          <w:i/>
          <w:lang w:val="en-GB"/>
        </w:rPr>
        <w:t>absolute</w:t>
      </w:r>
      <w:r w:rsidRPr="006F5B60">
        <w:rPr>
          <w:lang w:val="en-GB"/>
        </w:rPr>
        <w:t xml:space="preserve"> numbers in vulnerable tenures, we see Brisbane stands out more. This reflects that Brisbane postcodes contain larger absolute numbers of renters, many of whom do not have vulnerability characteristics and hence dilute the prevalence of vulnerability as indicated in the other indictors. In other words, there are many vulnerable renters in Brisbane postcodes – perhaps in absolute numbers that are comparable with those in the most vulnerable regional postcodes – but their vulnerability is obscured by their living amongst large numbers of non-vulnerable neighbours. The indictors that present absolute numbers make a case for providing services to address rental vulnerability in Brisbane. Also, the people indictors give further insights into some specific types of vulnerability here. Early iterations of the PCA analysis identified unaffordability of tenancies and presence of younger tenants as key factors in these locations.  Unaffordability reflects a more expensive residential market and younger tenants is partly a reflection of the housing pathways of this age cohort, many of who are likely to go on to earn higher incomes and move out of vulnerability.  While this group may experience problems that require assistance, the nature of needs are likely different to other population groupings.</w:t>
      </w:r>
    </w:p>
    <w:p w14:paraId="6E71140C" w14:textId="77777777" w:rsidR="00264FFB" w:rsidRPr="006F5B60" w:rsidRDefault="00264FFB" w:rsidP="006F5B60">
      <w:pPr>
        <w:rPr>
          <w:lang w:val="en-GB"/>
        </w:rPr>
      </w:pPr>
    </w:p>
    <w:p w14:paraId="031AF36B" w14:textId="77777777" w:rsidR="006F5B60" w:rsidRDefault="006F5B60" w:rsidP="006F5B60">
      <w:pPr>
        <w:rPr>
          <w:lang w:val="en-GB"/>
        </w:rPr>
      </w:pPr>
      <w:r w:rsidRPr="006F5B60">
        <w:rPr>
          <w:lang w:val="en-GB"/>
        </w:rPr>
        <w:t>In those regional postcodes with high relative incidence of vulnerability and high RVI scores, we can see at work signs of different processes, with different implications for vulnerable households. The strong regional patterning of the RVI may be interpreted as the result of an historic displacement of vulnerable groups to urban fringe and regional areas. Research on the suburbanisation of disadvantage has noted that underlying housing pressures (both in owner-occupied and rental sectors) have pushed disadvantaged groups to outer locations where housing costs are less expensive, with the rental sector showing the most movement because rising land values more quickly register in rent increases for established tenants than in higher costs for established owner-occupiers (Pawson, et al, 2015; Randolph and Tice, 2016). Specifically, in the case of Queensland, Randolph and Tice have shown that the dispersal of disadvantaged households from inner suburbs over the period 1986-2011 was more pronounced in Brisbane than other Australian capital cities (Randolph and Tice, 2016). Another interpretation – not inconsistent with the displacement of disadvantage from the urban core– is that Queensland’s regions have experienced a decline, and that households there are ‘locked out’ of the relative advantages of the capital by its high housing costs.</w:t>
      </w:r>
    </w:p>
    <w:p w14:paraId="3BF90871" w14:textId="77777777" w:rsidR="00264FFB" w:rsidRPr="006F5B60" w:rsidRDefault="00264FFB" w:rsidP="006F5B60">
      <w:pPr>
        <w:rPr>
          <w:lang w:val="en-GB"/>
        </w:rPr>
      </w:pPr>
    </w:p>
    <w:p w14:paraId="5BC5B636" w14:textId="77777777" w:rsidR="006F5B60" w:rsidRDefault="006F5B60" w:rsidP="006F5B60">
      <w:pPr>
        <w:rPr>
          <w:lang w:val="en-GB"/>
        </w:rPr>
      </w:pPr>
      <w:r w:rsidRPr="006F5B60">
        <w:rPr>
          <w:lang w:val="en-GB"/>
        </w:rPr>
        <w:t xml:space="preserve">The RVI analysis indicates that the ‘disadvantaging’ process – whether by displacement, or locking out – may extend beyond one of ‘suburbanisation’ to a ‘regionalisation’ of disadvantage. It also shows that this process is not merely a geographical sorting of people by income; more than that, it concentrates multiple problems – in particular, disability, low-education, unemployment, rental stress </w:t>
      </w:r>
      <w:r w:rsidRPr="006F5B60">
        <w:rPr>
          <w:lang w:val="en-GB"/>
        </w:rPr>
        <w:softHyphen/>
        <w:t xml:space="preserve">– in places distant from economic opportunities and social capital. Many vulnerable households may have been limited to the urban fringe and regional areas because of its relatively cheap housing, but they still face rental stress, and they do so in locations without much social capital, and with fewer opportunities to improve their circumstances over the longer term. </w:t>
      </w:r>
    </w:p>
    <w:p w14:paraId="4AEC1A52" w14:textId="77777777" w:rsidR="00264FFB" w:rsidRPr="006F5B60" w:rsidRDefault="00264FFB" w:rsidP="006F5B60">
      <w:pPr>
        <w:rPr>
          <w:lang w:val="en-GB"/>
        </w:rPr>
      </w:pPr>
    </w:p>
    <w:p w14:paraId="5EBA9A6C" w14:textId="77777777" w:rsidR="006F5B60" w:rsidRPr="006F5B60" w:rsidRDefault="006F5B60" w:rsidP="006F5B60">
      <w:pPr>
        <w:rPr>
          <w:lang w:val="en-GB"/>
        </w:rPr>
      </w:pPr>
      <w:r w:rsidRPr="006F5B60">
        <w:rPr>
          <w:lang w:val="en-GB"/>
        </w:rPr>
        <w:t>Further insights into these processes will be gained as in future research into changes in the RVI over time – particularly as we update the RVI with 2016 Census data – and into how places of high rental vulnerability differ in terms of the component indicators.</w:t>
      </w:r>
    </w:p>
    <w:p w14:paraId="37C30AE2" w14:textId="77777777" w:rsidR="006F5B60" w:rsidRPr="006F5B60" w:rsidRDefault="006F5B60" w:rsidP="006F5B60">
      <w:pPr>
        <w:rPr>
          <w:lang w:val="en-GB"/>
        </w:rPr>
      </w:pPr>
    </w:p>
    <w:p w14:paraId="50855E49" w14:textId="77777777" w:rsidR="00264FFB" w:rsidRDefault="00264FFB" w:rsidP="00264FFB">
      <w:pPr>
        <w:rPr>
          <w:noProof/>
        </w:rPr>
      </w:pPr>
      <w:r>
        <w:rPr>
          <w:noProof/>
        </w:rPr>
        <w:br w:type="page"/>
      </w:r>
    </w:p>
    <w:p w14:paraId="277EFCB9" w14:textId="77777777" w:rsidR="00264FFB" w:rsidRDefault="00264FFB" w:rsidP="00264FFB">
      <w:r>
        <w:rPr>
          <w:noProof/>
        </w:rPr>
        <w:lastRenderedPageBreak/>
        <w:drawing>
          <wp:inline distT="0" distB="0" distL="0" distR="0" wp14:anchorId="560FC329" wp14:editId="35BECD91">
            <wp:extent cx="5731200" cy="7959600"/>
            <wp:effectExtent l="0" t="0" r="3175" b="3810"/>
            <wp:docPr id="2" name="Picture 2" descr="C:\Users\z3493661\AppData\Local\Microsoft\Windows\INetCache\Content.Word\RV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3493661\AppData\Local\Microsoft\Windows\INetCache\Content.Word\RVI.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200" cy="7959600"/>
                    </a:xfrm>
                    <a:prstGeom prst="rect">
                      <a:avLst/>
                    </a:prstGeom>
                    <a:noFill/>
                    <a:ln>
                      <a:noFill/>
                    </a:ln>
                  </pic:spPr>
                </pic:pic>
              </a:graphicData>
            </a:graphic>
          </wp:inline>
        </w:drawing>
      </w:r>
    </w:p>
    <w:p w14:paraId="4DB215C1" w14:textId="77777777" w:rsidR="00264FFB" w:rsidRPr="00264FFB" w:rsidRDefault="00264FFB" w:rsidP="00264FFB">
      <w:pPr>
        <w:rPr>
          <w:b/>
        </w:rPr>
      </w:pPr>
      <w:r w:rsidRPr="00264FFB">
        <w:rPr>
          <w:b/>
        </w:rPr>
        <w:t>Figure 1. Rental vulnerability index, Queensland.</w:t>
      </w:r>
    </w:p>
    <w:p w14:paraId="43F97111" w14:textId="77777777" w:rsidR="00264FFB" w:rsidRDefault="00264FFB" w:rsidP="00264FFB">
      <w:r>
        <w:rPr>
          <w:noProof/>
        </w:rPr>
        <w:lastRenderedPageBreak/>
        <w:drawing>
          <wp:inline distT="0" distB="0" distL="0" distR="0" wp14:anchorId="73E10D10" wp14:editId="1BBF1367">
            <wp:extent cx="5731510" cy="7958904"/>
            <wp:effectExtent l="0" t="0" r="2540" b="4445"/>
            <wp:docPr id="4" name="Picture 4" descr="C:\Users\z3493661\AppData\Local\Microsoft\Windows\INetCache\Content.Word\rent_stress_numb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3493661\AppData\Local\Microsoft\Windows\INetCache\Content.Word\rent_stress_number.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958904"/>
                    </a:xfrm>
                    <a:prstGeom prst="rect">
                      <a:avLst/>
                    </a:prstGeom>
                    <a:noFill/>
                    <a:ln>
                      <a:noFill/>
                    </a:ln>
                  </pic:spPr>
                </pic:pic>
              </a:graphicData>
            </a:graphic>
          </wp:inline>
        </w:drawing>
      </w:r>
    </w:p>
    <w:p w14:paraId="53737EDA" w14:textId="77777777" w:rsidR="00264FFB" w:rsidRPr="00264FFB" w:rsidRDefault="00264FFB" w:rsidP="00264FFB">
      <w:pPr>
        <w:rPr>
          <w:b/>
          <w:noProof/>
        </w:rPr>
      </w:pPr>
      <w:r w:rsidRPr="00264FFB">
        <w:rPr>
          <w:b/>
          <w:noProof/>
        </w:rPr>
        <w:t>Figure 2. Households in rental stress, Queensland [note wrong image]</w:t>
      </w:r>
    </w:p>
    <w:p w14:paraId="10D65DB2" w14:textId="77777777" w:rsidR="00264FFB" w:rsidRDefault="00264FFB" w:rsidP="00264FFB">
      <w:r>
        <w:rPr>
          <w:noProof/>
        </w:rPr>
        <w:lastRenderedPageBreak/>
        <w:drawing>
          <wp:inline distT="0" distB="0" distL="0" distR="0" wp14:anchorId="0C58222D" wp14:editId="2C23BDF7">
            <wp:extent cx="5731510" cy="7958455"/>
            <wp:effectExtent l="0" t="0" r="2540" b="4445"/>
            <wp:docPr id="3" name="Picture 3" descr="C:\Users\z3493661\AppData\Local\Microsoft\Windows\INetCache\Content.Word\affordability_2015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3493661\AppData\Local\Microsoft\Windows\INetCache\Content.Word\affordability_2015_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958455"/>
                    </a:xfrm>
                    <a:prstGeom prst="rect">
                      <a:avLst/>
                    </a:prstGeom>
                    <a:noFill/>
                    <a:ln>
                      <a:noFill/>
                    </a:ln>
                  </pic:spPr>
                </pic:pic>
              </a:graphicData>
            </a:graphic>
          </wp:inline>
        </w:drawing>
      </w:r>
    </w:p>
    <w:p w14:paraId="0AD529BE" w14:textId="77777777" w:rsidR="00264FFB" w:rsidRPr="00264FFB" w:rsidRDefault="00264FFB" w:rsidP="00264FFB">
      <w:pPr>
        <w:rPr>
          <w:b/>
        </w:rPr>
      </w:pPr>
      <w:r w:rsidRPr="00264FFB">
        <w:rPr>
          <w:b/>
        </w:rPr>
        <w:t>Figure 3. New tenancies affordable to low-income houses, Queensland.</w:t>
      </w:r>
    </w:p>
    <w:p w14:paraId="2EAF1AB7" w14:textId="77777777" w:rsidR="00264FFB" w:rsidRPr="00264FFB" w:rsidRDefault="00264FFB" w:rsidP="00264FFB">
      <w:pPr>
        <w:pStyle w:val="Heading1"/>
      </w:pPr>
      <w:r w:rsidRPr="00264FFB">
        <w:lastRenderedPageBreak/>
        <w:t>Conclusion</w:t>
      </w:r>
    </w:p>
    <w:p w14:paraId="0EA0BD45" w14:textId="77777777" w:rsidR="00264FFB" w:rsidRDefault="00264FFB" w:rsidP="00264FFB">
      <w:r w:rsidRPr="00F26610">
        <w:t xml:space="preserve">The RVI has been developed primarily as a tool for planning the provision of </w:t>
      </w:r>
      <w:proofErr w:type="gramStart"/>
      <w:r w:rsidRPr="00F26610">
        <w:t>tenants</w:t>
      </w:r>
      <w:proofErr w:type="gramEnd"/>
      <w:r w:rsidRPr="00F26610">
        <w:t xml:space="preserve"> advice services, but it is also a means for understanding broader social and economic processes affecting renters in Queensland. It complements measures that focus on housing costs and draws attention to other dimensions of disadvantage. In doing so, it suggests a range of policy responses that may not be countenanced by attending only to rental stress.</w:t>
      </w:r>
    </w:p>
    <w:p w14:paraId="4789AAED" w14:textId="77777777" w:rsidR="00264FFB" w:rsidRPr="00F26610" w:rsidRDefault="00264FFB" w:rsidP="00264FFB"/>
    <w:p w14:paraId="076F1C0B" w14:textId="77777777" w:rsidR="00264FFB" w:rsidRDefault="00264FFB" w:rsidP="00264FFB">
      <w:r w:rsidRPr="00F26610">
        <w:t>In particular, the rental stress perspective highlights the need for policies to increase the supply of affordable rental housing, particularly in our capital cities. These measures would include building </w:t>
      </w:r>
      <w:r w:rsidRPr="00EE1318">
        <w:rPr>
          <w:rFonts w:eastAsiaTheme="majorEastAsia"/>
        </w:rPr>
        <w:t>more social housing</w:t>
      </w:r>
      <w:r w:rsidRPr="00F26610">
        <w:rPr>
          <w:rFonts w:eastAsiaTheme="majorEastAsia"/>
        </w:rPr>
        <w:t xml:space="preserve">; </w:t>
      </w:r>
      <w:r w:rsidRPr="00F26610">
        <w:t>changing planning rules to allow more residential development; using </w:t>
      </w:r>
      <w:r w:rsidRPr="00EE1318">
        <w:rPr>
          <w:rFonts w:eastAsiaTheme="majorEastAsia"/>
        </w:rPr>
        <w:t>inclusionary zoning</w:t>
      </w:r>
      <w:r w:rsidRPr="00F26610">
        <w:t> to ensure a proportion of new development is kept as affordable rental; and making greater use of </w:t>
      </w:r>
      <w:r w:rsidRPr="00EE1318">
        <w:rPr>
          <w:rFonts w:eastAsiaTheme="majorEastAsia"/>
        </w:rPr>
        <w:t>land tax</w:t>
      </w:r>
      <w:r w:rsidRPr="00F26610">
        <w:t xml:space="preserve">, including on owner-occupied housing, to </w:t>
      </w:r>
      <w:r>
        <w:t xml:space="preserve">discourage </w:t>
      </w:r>
      <w:r w:rsidRPr="00F26610">
        <w:t xml:space="preserve">land owners </w:t>
      </w:r>
      <w:r>
        <w:t>from</w:t>
      </w:r>
      <w:r w:rsidRPr="00F26610">
        <w:t xml:space="preserve"> speculatively sit</w:t>
      </w:r>
      <w:r>
        <w:t>ting</w:t>
      </w:r>
      <w:r w:rsidRPr="00F26610">
        <w:t xml:space="preserve"> on development opportunities.</w:t>
      </w:r>
    </w:p>
    <w:p w14:paraId="4C939295" w14:textId="77777777" w:rsidR="00264FFB" w:rsidRPr="00F26610" w:rsidRDefault="00264FFB" w:rsidP="00264FFB"/>
    <w:p w14:paraId="546B4DFF" w14:textId="77777777" w:rsidR="00264FFB" w:rsidRPr="00F26610" w:rsidRDefault="00264FFB" w:rsidP="00264FFB">
      <w:r w:rsidRPr="00F26610">
        <w:t>The rental vulnerability perspective highlights that housing problems are multidimensional and extend beyond the capital cities. Regional areas have a pressing need for services – including, but not limited to tenants advice services – that give vulnerable households material assistance in dealing with housing problem. But more than that, we need to build up the economic and social capital of these places – so that they offer greater opportunities for the vulnerable households who are concentrated there – just as we need policies to increase affordable housing opportunities in our cities.</w:t>
      </w:r>
    </w:p>
    <w:p w14:paraId="339C10BF" w14:textId="77777777" w:rsidR="00264FFB" w:rsidRDefault="00264FFB" w:rsidP="00264FFB"/>
    <w:p w14:paraId="053B3274" w14:textId="77777777" w:rsidR="00264FFB" w:rsidRDefault="00264FFB" w:rsidP="00264FFB">
      <w:pPr>
        <w:pStyle w:val="Heading1"/>
      </w:pPr>
      <w:r>
        <w:t>References</w:t>
      </w:r>
    </w:p>
    <w:p w14:paraId="4B0B2F0F" w14:textId="77777777" w:rsidR="00264FFB" w:rsidRPr="00DC2B85" w:rsidRDefault="00264FFB" w:rsidP="00264FFB">
      <w:r>
        <w:t xml:space="preserve">Australian Bureau of Statistics (2013) </w:t>
      </w:r>
      <w:r>
        <w:rPr>
          <w:i/>
        </w:rPr>
        <w:t xml:space="preserve">Technical Paper: </w:t>
      </w:r>
      <w:r w:rsidRPr="00DC2B85">
        <w:rPr>
          <w:i/>
        </w:rPr>
        <w:t>Socio-Economic Indexes</w:t>
      </w:r>
      <w:r>
        <w:rPr>
          <w:i/>
        </w:rPr>
        <w:t xml:space="preserve"> </w:t>
      </w:r>
      <w:r w:rsidRPr="00DC2B85">
        <w:rPr>
          <w:i/>
        </w:rPr>
        <w:t>for Areas (SEIFA</w:t>
      </w:r>
      <w:r>
        <w:rPr>
          <w:i/>
        </w:rPr>
        <w:t>) 2011</w:t>
      </w:r>
      <w:r>
        <w:t xml:space="preserve">, (catalogue number: </w:t>
      </w:r>
      <w:r w:rsidRPr="00DC2B85">
        <w:t>2033.0.55.001</w:t>
      </w:r>
      <w:r>
        <w:t>), Australian Bureau of Statistics, Canberra</w:t>
      </w:r>
    </w:p>
    <w:p w14:paraId="07191EA8" w14:textId="77777777" w:rsidR="00264FFB" w:rsidRDefault="00264FFB" w:rsidP="00264FFB">
      <w:r>
        <w:t xml:space="preserve">Australian Council of Social Service – Social Policy Research Centre (2016) </w:t>
      </w:r>
      <w:r w:rsidRPr="0030720C">
        <w:rPr>
          <w:i/>
        </w:rPr>
        <w:t>Poverty in Australia 2016</w:t>
      </w:r>
      <w:r>
        <w:t>, ACOSS, Sydney.</w:t>
      </w:r>
    </w:p>
    <w:p w14:paraId="69B9BC17" w14:textId="77777777" w:rsidR="00264FFB" w:rsidRDefault="00264FFB" w:rsidP="00264FFB">
      <w:r>
        <w:t xml:space="preserve">Burke, T, Pinkney, S and Ewing, S (2002) </w:t>
      </w:r>
      <w:r>
        <w:rPr>
          <w:i/>
        </w:rPr>
        <w:t>Rent assistance and young people’s decision-making</w:t>
      </w:r>
      <w:r>
        <w:t>, AHURI Final Report no 6, AHURI, Melbourne.</w:t>
      </w:r>
    </w:p>
    <w:p w14:paraId="1571ACE1" w14:textId="77777777" w:rsidR="00264FFB" w:rsidRDefault="00264FFB" w:rsidP="00264FFB">
      <w:r>
        <w:t xml:space="preserve">Burke, T and Pinnegar, S (2007) </w:t>
      </w:r>
      <w:r>
        <w:rPr>
          <w:i/>
        </w:rPr>
        <w:t>Experiencing the housing affordability problem: blocked aspirations, trade-offs and financial hardships</w:t>
      </w:r>
      <w:r>
        <w:t>, AHURI, Melbourne.</w:t>
      </w:r>
    </w:p>
    <w:p w14:paraId="4501E424" w14:textId="77777777" w:rsidR="00264FFB" w:rsidRDefault="00264FFB" w:rsidP="00264FFB">
      <w:proofErr w:type="spellStart"/>
      <w:r>
        <w:t>Coumarelos</w:t>
      </w:r>
      <w:proofErr w:type="spellEnd"/>
      <w:r>
        <w:t xml:space="preserve">, C, </w:t>
      </w:r>
      <w:proofErr w:type="spellStart"/>
      <w:r>
        <w:t>Macourt</w:t>
      </w:r>
      <w:proofErr w:type="spellEnd"/>
      <w:r>
        <w:t xml:space="preserve">, D, People, J, McDonald, H M, Wei, Z, </w:t>
      </w:r>
      <w:proofErr w:type="spellStart"/>
      <w:r>
        <w:t>Iriana</w:t>
      </w:r>
      <w:proofErr w:type="spellEnd"/>
      <w:r>
        <w:t xml:space="preserve">, R and Ramsey, S (2012) </w:t>
      </w:r>
      <w:r>
        <w:rPr>
          <w:i/>
        </w:rPr>
        <w:t>Legal Australia-Wide Survey: legal need in Queensland</w:t>
      </w:r>
      <w:r>
        <w:t>, Law and Justice Foundation, Sydney.</w:t>
      </w:r>
    </w:p>
    <w:p w14:paraId="749A1FF4" w14:textId="77777777" w:rsidR="00264FFB" w:rsidRDefault="00264FFB" w:rsidP="00264FFB">
      <w:r>
        <w:t>Dalton, T, Pawson, H and Hulse, K</w:t>
      </w:r>
      <w:r w:rsidRPr="00FC51DC">
        <w:t xml:space="preserve"> (2015)</w:t>
      </w:r>
      <w:r>
        <w:rPr>
          <w:rStyle w:val="apple-converted-space"/>
        </w:rPr>
        <w:t xml:space="preserve"> </w:t>
      </w:r>
      <w:r w:rsidRPr="00FC51DC">
        <w:rPr>
          <w:i/>
          <w:iCs/>
        </w:rPr>
        <w:t>Rooming house futures: governing for growth, fairness and transparency</w:t>
      </w:r>
      <w:r>
        <w:t>, AHURI Final Report no</w:t>
      </w:r>
      <w:r w:rsidRPr="00FC51DC">
        <w:t xml:space="preserve"> 245, Australian Housing and Urban Research Institute Limited, Melbourne</w:t>
      </w:r>
      <w:r>
        <w:t>.</w:t>
      </w:r>
    </w:p>
    <w:p w14:paraId="57C8BC8A" w14:textId="77777777" w:rsidR="00264FFB" w:rsidRDefault="00264FFB" w:rsidP="00264FFB">
      <w:r>
        <w:t xml:space="preserve">Goodman, R, Nelson, A, Dalton, T, </w:t>
      </w:r>
      <w:proofErr w:type="spellStart"/>
      <w:r>
        <w:t>Cigdem</w:t>
      </w:r>
      <w:proofErr w:type="spellEnd"/>
      <w:r>
        <w:t>, M, Gabriel, M</w:t>
      </w:r>
      <w:r w:rsidRPr="00FC51DC">
        <w:t xml:space="preserve"> and Jacobs, K (2013)</w:t>
      </w:r>
      <w:r>
        <w:rPr>
          <w:rStyle w:val="apple-converted-space"/>
        </w:rPr>
        <w:t xml:space="preserve"> </w:t>
      </w:r>
      <w:r w:rsidRPr="00FC51DC">
        <w:rPr>
          <w:i/>
          <w:iCs/>
        </w:rPr>
        <w:t>The experience of marginal rental housing in Australia</w:t>
      </w:r>
      <w:r>
        <w:t>, AHURI Final Report no</w:t>
      </w:r>
      <w:r w:rsidRPr="00FC51DC">
        <w:t xml:space="preserve"> 210, Australian Housing and Urban Research Institute Limited, Melbourne</w:t>
      </w:r>
      <w:r>
        <w:t>.</w:t>
      </w:r>
    </w:p>
    <w:p w14:paraId="4AF5DF5C" w14:textId="77777777" w:rsidR="00264FFB" w:rsidRPr="00F46E79" w:rsidRDefault="00264FFB" w:rsidP="00264FFB">
      <w:pPr>
        <w:autoSpaceDE w:val="0"/>
        <w:autoSpaceDN w:val="0"/>
        <w:adjustRightInd w:val="0"/>
      </w:pPr>
      <w:r>
        <w:t xml:space="preserve">Hulse, K, Milligan, V and Easthope, H (2011) </w:t>
      </w:r>
      <w:r>
        <w:rPr>
          <w:i/>
        </w:rPr>
        <w:t>Secure Occupancy in Rental Housing: conceptual foundations and comparative perspectives</w:t>
      </w:r>
      <w:r>
        <w:t xml:space="preserve">, AHURI final report no 170, AHURI, Melbourne. </w:t>
      </w:r>
      <w:r w:rsidRPr="00032DD4">
        <w:t>https://www.ahuri.edu.au/research/final-reports/170</w:t>
      </w:r>
    </w:p>
    <w:p w14:paraId="5586B578" w14:textId="77777777" w:rsidR="00264FFB" w:rsidRDefault="00264FFB" w:rsidP="00264FFB">
      <w:pPr>
        <w:autoSpaceDE w:val="0"/>
        <w:autoSpaceDN w:val="0"/>
        <w:adjustRightInd w:val="0"/>
        <w:rPr>
          <w:lang w:eastAsia="en-AU"/>
        </w:rPr>
      </w:pPr>
      <w:r>
        <w:t xml:space="preserve">Hulse, K., Reynolds, M. and Yates, J. (2014) </w:t>
      </w:r>
      <w:r>
        <w:rPr>
          <w:i/>
          <w:iCs/>
        </w:rPr>
        <w:t>Changes in the supply of affordable housing in the private rental sector for lower income households, 2006–11</w:t>
      </w:r>
      <w:r>
        <w:t>, AHURI Final Report No. 235, Australian Housing and Urban Research Institute Limited, Melbourne</w:t>
      </w:r>
    </w:p>
    <w:p w14:paraId="2BECAFC3" w14:textId="77777777" w:rsidR="000C39EC" w:rsidRDefault="000C39EC" w:rsidP="000C39EC">
      <w:pPr>
        <w:autoSpaceDE w:val="0"/>
        <w:autoSpaceDN w:val="0"/>
        <w:adjustRightInd w:val="0"/>
        <w:rPr>
          <w:lang w:eastAsia="en-AU"/>
        </w:rPr>
      </w:pPr>
      <w:r w:rsidRPr="00AE0092">
        <w:rPr>
          <w:lang w:eastAsia="en-AU"/>
        </w:rPr>
        <w:t xml:space="preserve">Liu, Y., Cheshire, L. &amp; Wadley, D. (2016), 'Mapping </w:t>
      </w:r>
      <w:proofErr w:type="spellStart"/>
      <w:r w:rsidRPr="00AE0092">
        <w:rPr>
          <w:lang w:eastAsia="en-AU"/>
        </w:rPr>
        <w:t>mis</w:t>
      </w:r>
      <w:proofErr w:type="spellEnd"/>
      <w:r w:rsidRPr="00AE0092">
        <w:rPr>
          <w:lang w:eastAsia="en-AU"/>
        </w:rPr>
        <w:t xml:space="preserve">-location and housing stress in the private rental sector: A case study of Brisbane, </w:t>
      </w:r>
      <w:r>
        <w:rPr>
          <w:lang w:eastAsia="en-AU"/>
        </w:rPr>
        <w:t xml:space="preserve">Australia', </w:t>
      </w:r>
      <w:r w:rsidRPr="00AE0092">
        <w:rPr>
          <w:i/>
          <w:lang w:eastAsia="en-AU"/>
        </w:rPr>
        <w:t>Applied Geography</w:t>
      </w:r>
      <w:r>
        <w:rPr>
          <w:lang w:eastAsia="en-AU"/>
        </w:rPr>
        <w:t xml:space="preserve">, </w:t>
      </w:r>
      <w:r w:rsidRPr="00AE0092">
        <w:rPr>
          <w:lang w:eastAsia="en-AU"/>
        </w:rPr>
        <w:t>76</w:t>
      </w:r>
      <w:r>
        <w:rPr>
          <w:lang w:eastAsia="en-AU"/>
        </w:rPr>
        <w:t xml:space="preserve">, </w:t>
      </w:r>
      <w:r w:rsidRPr="00AE0092">
        <w:rPr>
          <w:lang w:eastAsia="en-AU"/>
        </w:rPr>
        <w:t>pp. 207-16.</w:t>
      </w:r>
    </w:p>
    <w:p w14:paraId="321F8649" w14:textId="77777777" w:rsidR="000C39EC" w:rsidRPr="00AE0092" w:rsidRDefault="000C39EC" w:rsidP="000C39EC">
      <w:r w:rsidRPr="00AE0092">
        <w:t xml:space="preserve">Martin, C (2015) ‘Contracts and conduct: Using tenancy law to govern crime and disorder in public housing in New South Wales’, </w:t>
      </w:r>
      <w:r w:rsidRPr="00AE0092">
        <w:rPr>
          <w:i/>
        </w:rPr>
        <w:t>Property Law Review</w:t>
      </w:r>
      <w:r w:rsidRPr="00AE0092">
        <w:t xml:space="preserve">, </w:t>
      </w:r>
      <w:proofErr w:type="spellStart"/>
      <w:r w:rsidRPr="00AE0092">
        <w:t>vol</w:t>
      </w:r>
      <w:proofErr w:type="spellEnd"/>
      <w:r w:rsidRPr="00AE0092">
        <w:t xml:space="preserve"> 5: 81-101.</w:t>
      </w:r>
    </w:p>
    <w:p w14:paraId="7E6F6C11" w14:textId="77777777" w:rsidR="00264FFB" w:rsidRDefault="00264FFB" w:rsidP="00264FFB">
      <w:pPr>
        <w:rPr>
          <w:lang w:eastAsia="en-AU"/>
        </w:rPr>
      </w:pPr>
      <w:proofErr w:type="spellStart"/>
      <w:r w:rsidRPr="007A4C7F">
        <w:rPr>
          <w:lang w:eastAsia="en-AU"/>
        </w:rPr>
        <w:t>Memmott</w:t>
      </w:r>
      <w:proofErr w:type="spellEnd"/>
      <w:r w:rsidRPr="007A4C7F">
        <w:rPr>
          <w:lang w:eastAsia="en-AU"/>
        </w:rPr>
        <w:t>, P, Bi</w:t>
      </w:r>
      <w:r>
        <w:rPr>
          <w:lang w:eastAsia="en-AU"/>
        </w:rPr>
        <w:t xml:space="preserve">rdsall-Jones, C and </w:t>
      </w:r>
      <w:proofErr w:type="spellStart"/>
      <w:r>
        <w:rPr>
          <w:lang w:eastAsia="en-AU"/>
        </w:rPr>
        <w:t>Greenop</w:t>
      </w:r>
      <w:proofErr w:type="spellEnd"/>
      <w:r>
        <w:rPr>
          <w:lang w:eastAsia="en-AU"/>
        </w:rPr>
        <w:t>, K</w:t>
      </w:r>
      <w:r w:rsidRPr="007A4C7F">
        <w:rPr>
          <w:lang w:eastAsia="en-AU"/>
        </w:rPr>
        <w:t xml:space="preserve"> (2012)</w:t>
      </w:r>
      <w:r>
        <w:rPr>
          <w:lang w:eastAsia="en-AU"/>
        </w:rPr>
        <w:t xml:space="preserve"> </w:t>
      </w:r>
      <w:r w:rsidRPr="007A4C7F">
        <w:rPr>
          <w:i/>
          <w:iCs/>
          <w:lang w:eastAsia="en-AU"/>
        </w:rPr>
        <w:t>Australian Indigenous house crowding</w:t>
      </w:r>
      <w:r w:rsidRPr="007A4C7F">
        <w:rPr>
          <w:lang w:eastAsia="en-AU"/>
        </w:rPr>
        <w:t>, AHURI Final Report No. 194, Australian Housing and Urban Researc</w:t>
      </w:r>
      <w:r>
        <w:rPr>
          <w:lang w:eastAsia="en-AU"/>
        </w:rPr>
        <w:t>h Institute Limited, Melbourne.</w:t>
      </w:r>
    </w:p>
    <w:p w14:paraId="1391C84E" w14:textId="77777777" w:rsidR="00264FFB" w:rsidRDefault="00264FFB" w:rsidP="00264FFB">
      <w:r>
        <w:t xml:space="preserve">Morris, A (2016) </w:t>
      </w:r>
      <w:r>
        <w:rPr>
          <w:i/>
        </w:rPr>
        <w:t>The Australian Dream: housing experiences of older Australians</w:t>
      </w:r>
      <w:r>
        <w:t>, CSIRO Publishing, Clayton.</w:t>
      </w:r>
    </w:p>
    <w:p w14:paraId="5ABE2330" w14:textId="77777777" w:rsidR="00264FFB" w:rsidRPr="00F36425" w:rsidRDefault="00264FFB" w:rsidP="00264FFB">
      <w:r w:rsidRPr="00F36425">
        <w:t xml:space="preserve">Pawson, H, Hulse, K, and Cheshire, L (2015) </w:t>
      </w:r>
      <w:r w:rsidRPr="00F36425">
        <w:rPr>
          <w:i/>
        </w:rPr>
        <w:t>Addressing concentrations of disadvantage in urban Australia</w:t>
      </w:r>
      <w:r w:rsidRPr="00F36425">
        <w:t>, AHURI Final Report No. 247, Australian Housing and Urban Research Institute Limited, Melbourne.</w:t>
      </w:r>
    </w:p>
    <w:p w14:paraId="4B58D3E2" w14:textId="77777777" w:rsidR="00264FFB" w:rsidRDefault="00264FFB" w:rsidP="00264FFB">
      <w:r>
        <w:lastRenderedPageBreak/>
        <w:t xml:space="preserve">Randolph, B and Tice, A (2016) ‘Relocating disadvantage in five Australian cities: socio-spatial </w:t>
      </w:r>
      <w:proofErr w:type="spellStart"/>
      <w:r>
        <w:t>polarisation</w:t>
      </w:r>
      <w:proofErr w:type="spellEnd"/>
      <w:r>
        <w:t xml:space="preserve"> under neo-liberalism’, </w:t>
      </w:r>
      <w:r>
        <w:rPr>
          <w:i/>
        </w:rPr>
        <w:t>Urban Policy and Research</w:t>
      </w:r>
      <w:r>
        <w:t>, DOI: 10.1080/08111146.2016.1221337</w:t>
      </w:r>
    </w:p>
    <w:p w14:paraId="29C57113" w14:textId="77777777" w:rsidR="00264FFB" w:rsidRDefault="00264FFB" w:rsidP="00264FFB">
      <w:r w:rsidRPr="00EE1318">
        <w:t xml:space="preserve">Rowley, S. and Ong, R. (2012) </w:t>
      </w:r>
      <w:r w:rsidRPr="00EE1318">
        <w:rPr>
          <w:i/>
        </w:rPr>
        <w:t>Housing affordability, housing stress and household wellbeing in Australia</w:t>
      </w:r>
      <w:r w:rsidRPr="00EE1318">
        <w:t>, AHURI Final Report No. 192, Australian Housing and Urban Research Institute Limited, Melbourne</w:t>
      </w:r>
    </w:p>
    <w:p w14:paraId="168FB5EE" w14:textId="77777777" w:rsidR="00264FFB" w:rsidRPr="00331919" w:rsidRDefault="00264FFB" w:rsidP="00264FFB">
      <w:r>
        <w:t xml:space="preserve">SGS Economics &amp; Planning (2017), </w:t>
      </w:r>
      <w:r w:rsidRPr="003A54AE">
        <w:rPr>
          <w:i/>
        </w:rPr>
        <w:t>Rental Affordability Index: key findings report</w:t>
      </w:r>
      <w:r w:rsidRPr="003A54AE">
        <w:t>,</w:t>
      </w:r>
      <w:r>
        <w:t xml:space="preserve"> SGS Economics &amp; Planning </w:t>
      </w:r>
    </w:p>
    <w:p w14:paraId="22431EA4" w14:textId="77777777" w:rsidR="00264FFB" w:rsidRDefault="00264FFB" w:rsidP="00264FFB">
      <w:r>
        <w:t xml:space="preserve">Tually, S, Beer, A and McLoughlin, P (2011) </w:t>
      </w:r>
      <w:r>
        <w:rPr>
          <w:i/>
        </w:rPr>
        <w:t>Housing assistance, social inclusion and people living with a disability</w:t>
      </w:r>
      <w:r>
        <w:t>, AHURI Final Report no 178, AHURI, Melbourne.</w:t>
      </w:r>
    </w:p>
    <w:p w14:paraId="03FB2F61" w14:textId="77777777" w:rsidR="00264FFB" w:rsidRDefault="00264FFB" w:rsidP="00264FFB">
      <w:pPr>
        <w:rPr>
          <w:lang w:eastAsia="en-AU"/>
        </w:rPr>
      </w:pPr>
      <w:r>
        <w:rPr>
          <w:lang w:eastAsia="en-AU"/>
        </w:rPr>
        <w:t xml:space="preserve">Wood, G, Chamberlain, C, </w:t>
      </w:r>
      <w:proofErr w:type="spellStart"/>
      <w:r>
        <w:rPr>
          <w:lang w:eastAsia="en-AU"/>
        </w:rPr>
        <w:t>Babacan</w:t>
      </w:r>
      <w:proofErr w:type="spellEnd"/>
      <w:r>
        <w:rPr>
          <w:lang w:eastAsia="en-AU"/>
        </w:rPr>
        <w:t xml:space="preserve">, A, Dockery, M, Cullen, C., Costello, G, Nygaard, A, </w:t>
      </w:r>
      <w:proofErr w:type="spellStart"/>
      <w:r>
        <w:rPr>
          <w:lang w:eastAsia="en-AU"/>
        </w:rPr>
        <w:t>Stoakes</w:t>
      </w:r>
      <w:proofErr w:type="spellEnd"/>
      <w:r>
        <w:rPr>
          <w:lang w:eastAsia="en-AU"/>
        </w:rPr>
        <w:t>, A, Adam, M</w:t>
      </w:r>
      <w:r w:rsidRPr="00A615FD">
        <w:rPr>
          <w:lang w:eastAsia="en-AU"/>
        </w:rPr>
        <w:t xml:space="preserve">, </w:t>
      </w:r>
      <w:r>
        <w:rPr>
          <w:lang w:eastAsia="en-AU"/>
        </w:rPr>
        <w:t xml:space="preserve">and </w:t>
      </w:r>
      <w:proofErr w:type="spellStart"/>
      <w:r w:rsidRPr="00A615FD">
        <w:rPr>
          <w:lang w:eastAsia="en-AU"/>
        </w:rPr>
        <w:t>Mo</w:t>
      </w:r>
      <w:r>
        <w:rPr>
          <w:lang w:eastAsia="en-AU"/>
        </w:rPr>
        <w:t>loney</w:t>
      </w:r>
      <w:proofErr w:type="spellEnd"/>
      <w:r>
        <w:rPr>
          <w:lang w:eastAsia="en-AU"/>
        </w:rPr>
        <w:t>, K</w:t>
      </w:r>
      <w:r w:rsidRPr="00A615FD">
        <w:rPr>
          <w:lang w:eastAsia="en-AU"/>
        </w:rPr>
        <w:t xml:space="preserve"> (2008)</w:t>
      </w:r>
      <w:r>
        <w:rPr>
          <w:lang w:eastAsia="en-AU"/>
        </w:rPr>
        <w:t xml:space="preserve"> </w:t>
      </w:r>
      <w:r w:rsidRPr="00A615FD">
        <w:rPr>
          <w:i/>
          <w:iCs/>
          <w:lang w:eastAsia="en-AU"/>
        </w:rPr>
        <w:t>The implications of loss of a partner for older private renters</w:t>
      </w:r>
      <w:r w:rsidRPr="00A615FD">
        <w:rPr>
          <w:lang w:eastAsia="en-AU"/>
        </w:rPr>
        <w:t>, AHURI Final Report No. 116, Australian Housing and Urban Resear</w:t>
      </w:r>
      <w:r>
        <w:rPr>
          <w:lang w:eastAsia="en-AU"/>
        </w:rPr>
        <w:t>ch Institute Limited, Melbourne.</w:t>
      </w:r>
    </w:p>
    <w:p w14:paraId="56555FBF" w14:textId="77777777" w:rsidR="00264FFB" w:rsidRDefault="00264FFB" w:rsidP="00264FFB">
      <w:r>
        <w:t>Wood, G, Colic-</w:t>
      </w:r>
      <w:proofErr w:type="spellStart"/>
      <w:r>
        <w:t>Peisker</w:t>
      </w:r>
      <w:proofErr w:type="spellEnd"/>
      <w:r>
        <w:t xml:space="preserve">, V, Berry, M and Ong R (2010) </w:t>
      </w:r>
      <w:r w:rsidRPr="0089695B">
        <w:rPr>
          <w:i/>
        </w:rPr>
        <w:t>Asset poverty and older Australians’ transitions onto housing assistance programs</w:t>
      </w:r>
      <w:r>
        <w:t>, AHURI Final Report no 15, Australian Housing and Urban Research Institute, Melbourne</w:t>
      </w:r>
    </w:p>
    <w:p w14:paraId="2447157B" w14:textId="77777777" w:rsidR="00264FFB" w:rsidRDefault="00264FFB" w:rsidP="00264FFB">
      <w:r>
        <w:t xml:space="preserve">Yates, J. Gabriel, M. (2006) </w:t>
      </w:r>
      <w:r>
        <w:rPr>
          <w:i/>
          <w:iCs/>
        </w:rPr>
        <w:t>Housing affordability in Australia</w:t>
      </w:r>
      <w:r>
        <w:t>, AHURI Research Paper No. NRV3-3, Australian Housing and Urban Research Institute Limited, Melbourne</w:t>
      </w:r>
    </w:p>
    <w:sectPr w:rsidR="00264FFB" w:rsidSect="00EC1981">
      <w:headerReference w:type="default" r:id="rId12"/>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B52186" w14:textId="77777777" w:rsidR="00771C3E" w:rsidRDefault="00771C3E" w:rsidP="006F5B60">
      <w:r>
        <w:separator/>
      </w:r>
    </w:p>
  </w:endnote>
  <w:endnote w:type="continuationSeparator" w:id="0">
    <w:p w14:paraId="7E441BE2" w14:textId="77777777" w:rsidR="00771C3E" w:rsidRDefault="00771C3E" w:rsidP="006F5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3B673F" w14:textId="77777777" w:rsidR="00771C3E" w:rsidRDefault="00771C3E" w:rsidP="006F5B60">
      <w:r>
        <w:separator/>
      </w:r>
    </w:p>
  </w:footnote>
  <w:footnote w:type="continuationSeparator" w:id="0">
    <w:p w14:paraId="2AE01936" w14:textId="77777777" w:rsidR="00771C3E" w:rsidRDefault="00771C3E" w:rsidP="006F5B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74223" w14:textId="77777777" w:rsidR="002E374A" w:rsidRPr="002E374A" w:rsidRDefault="00872392" w:rsidP="006F5B60">
    <w:pPr>
      <w:pStyle w:val="Header"/>
    </w:pPr>
    <w:r>
      <w:t>SOAC 2017</w:t>
    </w:r>
  </w:p>
  <w:p w14:paraId="00512A03" w14:textId="77777777" w:rsidR="00674F13" w:rsidRPr="00674F13" w:rsidRDefault="00674F13" w:rsidP="006F5B6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A3CD1"/>
    <w:multiLevelType w:val="hybridMultilevel"/>
    <w:tmpl w:val="1B981B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2492D7F"/>
    <w:multiLevelType w:val="hybridMultilevel"/>
    <w:tmpl w:val="5462CB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E7C4E5D"/>
    <w:multiLevelType w:val="hybridMultilevel"/>
    <w:tmpl w:val="082AA9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F46"/>
    <w:rsid w:val="000332FF"/>
    <w:rsid w:val="00036DC9"/>
    <w:rsid w:val="000627C5"/>
    <w:rsid w:val="000C39EC"/>
    <w:rsid w:val="001907BF"/>
    <w:rsid w:val="00264FFB"/>
    <w:rsid w:val="002E374A"/>
    <w:rsid w:val="00341A68"/>
    <w:rsid w:val="0040338F"/>
    <w:rsid w:val="004474A1"/>
    <w:rsid w:val="004C584D"/>
    <w:rsid w:val="00521DA2"/>
    <w:rsid w:val="0054249B"/>
    <w:rsid w:val="0058259B"/>
    <w:rsid w:val="005E6F46"/>
    <w:rsid w:val="00674F13"/>
    <w:rsid w:val="006F5B60"/>
    <w:rsid w:val="00771C3E"/>
    <w:rsid w:val="00835149"/>
    <w:rsid w:val="00872392"/>
    <w:rsid w:val="00994D97"/>
    <w:rsid w:val="00A0420A"/>
    <w:rsid w:val="00B84E17"/>
    <w:rsid w:val="00CA2367"/>
    <w:rsid w:val="00D7568E"/>
    <w:rsid w:val="00E3687B"/>
    <w:rsid w:val="00E65684"/>
    <w:rsid w:val="00EC1981"/>
    <w:rsid w:val="00FC24D9"/>
  </w:rsids>
  <m:mathPr>
    <m:mathFont m:val="Cambria Math"/>
    <m:brkBin m:val="before"/>
    <m:brkBinSub m:val="--"/>
    <m:smallFrac m:val="0"/>
    <m:dispDef/>
    <m:lMargin m:val="0"/>
    <m:rMargin m:val="0"/>
    <m:defJc m:val="centerGroup"/>
    <m:wrapIndent m:val="1440"/>
    <m:intLim m:val="subSup"/>
    <m:naryLim m:val="undOvr"/>
  </m:mathPr>
  <w:attachedSchema w:val="http://www.facebook.com/2008/fbml"/>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68AD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B60"/>
    <w:pPr>
      <w:jc w:val="both"/>
    </w:pPr>
    <w:rPr>
      <w:rFonts w:ascii="Arial" w:hAnsi="Arial" w:cs="Arial"/>
      <w:szCs w:val="24"/>
      <w:lang w:val="en-US" w:eastAsia="en-US"/>
    </w:rPr>
  </w:style>
  <w:style w:type="paragraph" w:styleId="Heading1">
    <w:name w:val="heading 1"/>
    <w:basedOn w:val="Heading6"/>
    <w:next w:val="Normal"/>
    <w:link w:val="Heading1Char"/>
    <w:uiPriority w:val="9"/>
    <w:qFormat/>
    <w:rsid w:val="006F5B60"/>
    <w:pPr>
      <w:outlineLvl w:val="0"/>
    </w:pPr>
    <w:rPr>
      <w:sz w:val="22"/>
    </w:rPr>
  </w:style>
  <w:style w:type="paragraph" w:styleId="Heading2">
    <w:name w:val="heading 2"/>
    <w:basedOn w:val="Heading7"/>
    <w:next w:val="Normal"/>
    <w:qFormat/>
    <w:rsid w:val="006F5B60"/>
    <w:pPr>
      <w:outlineLvl w:val="1"/>
    </w:pPr>
    <w:rPr>
      <w:sz w:val="22"/>
    </w:rPr>
  </w:style>
  <w:style w:type="paragraph" w:styleId="Heading3">
    <w:name w:val="heading 3"/>
    <w:basedOn w:val="Heading8"/>
    <w:next w:val="Normal"/>
    <w:qFormat/>
    <w:rsid w:val="006F5B60"/>
    <w:pPr>
      <w:outlineLvl w:val="2"/>
    </w:pPr>
  </w:style>
  <w:style w:type="paragraph" w:styleId="Heading4">
    <w:name w:val="heading 4"/>
    <w:basedOn w:val="Normal"/>
    <w:next w:val="Normal"/>
    <w:qFormat/>
    <w:pPr>
      <w:keepNext/>
      <w:outlineLvl w:val="3"/>
    </w:pPr>
    <w:rPr>
      <w:b/>
      <w:bCs/>
      <w:sz w:val="22"/>
      <w:szCs w:val="20"/>
      <w:lang w:val="en-AU"/>
    </w:rPr>
  </w:style>
  <w:style w:type="paragraph" w:styleId="Heading5">
    <w:name w:val="heading 5"/>
    <w:basedOn w:val="Normal"/>
    <w:next w:val="Normal"/>
    <w:qFormat/>
    <w:pPr>
      <w:keepNext/>
      <w:outlineLvl w:val="4"/>
    </w:pPr>
    <w:rPr>
      <w:b/>
      <w:bCs/>
      <w:sz w:val="22"/>
      <w:szCs w:val="20"/>
      <w:lang w:val="en-AU"/>
    </w:rPr>
  </w:style>
  <w:style w:type="paragraph" w:styleId="Heading6">
    <w:name w:val="heading 6"/>
    <w:basedOn w:val="Normal"/>
    <w:next w:val="Normal"/>
    <w:qFormat/>
    <w:pPr>
      <w:keepNext/>
      <w:outlineLvl w:val="5"/>
    </w:pPr>
    <w:rPr>
      <w:b/>
      <w:bCs/>
      <w:szCs w:val="20"/>
      <w:lang w:val="en-AU"/>
    </w:rPr>
  </w:style>
  <w:style w:type="paragraph" w:styleId="Heading7">
    <w:name w:val="heading 7"/>
    <w:basedOn w:val="Normal"/>
    <w:next w:val="Normal"/>
    <w:qFormat/>
    <w:pPr>
      <w:keepNext/>
      <w:outlineLvl w:val="6"/>
    </w:pPr>
    <w:rPr>
      <w:b/>
      <w:bCs/>
      <w:i/>
      <w:iCs/>
      <w:szCs w:val="20"/>
      <w:lang w:val="en-AU"/>
    </w:rPr>
  </w:style>
  <w:style w:type="paragraph" w:styleId="Heading8">
    <w:name w:val="heading 8"/>
    <w:basedOn w:val="Normal"/>
    <w:next w:val="Normal"/>
    <w:qFormat/>
    <w:pPr>
      <w:keepNext/>
      <w:ind w:firstLine="720"/>
      <w:outlineLvl w:val="7"/>
    </w:pPr>
    <w:rPr>
      <w:b/>
      <w:bCs/>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Cs w:val="20"/>
      <w:lang w:val="en-AU"/>
    </w:rPr>
  </w:style>
  <w:style w:type="paragraph" w:styleId="BodyText2">
    <w:name w:val="Body Text 2"/>
    <w:basedOn w:val="Normal"/>
    <w:semiHidden/>
    <w:rPr>
      <w:sz w:val="22"/>
      <w:szCs w:val="20"/>
      <w:lang w:val="en-AU"/>
    </w:rPr>
  </w:style>
  <w:style w:type="paragraph" w:styleId="BodyText3">
    <w:name w:val="Body Text 3"/>
    <w:basedOn w:val="Normal"/>
    <w:semiHidden/>
    <w:rPr>
      <w:szCs w:val="20"/>
      <w:lang w:val="en-AU"/>
    </w:rPr>
  </w:style>
  <w:style w:type="paragraph" w:styleId="NormalWeb">
    <w:name w:val="Normal (Web)"/>
    <w:basedOn w:val="Normal"/>
    <w:uiPriority w:val="99"/>
    <w:semiHidden/>
    <w:pPr>
      <w:spacing w:before="100" w:beforeAutospacing="1" w:after="100" w:afterAutospacing="1"/>
    </w:pPr>
    <w:rPr>
      <w:szCs w:val="20"/>
      <w:lang w:val="en-AU"/>
    </w:rPr>
  </w:style>
  <w:style w:type="paragraph" w:styleId="BalloonText">
    <w:name w:val="Balloon Text"/>
    <w:basedOn w:val="Normal"/>
    <w:semiHidden/>
    <w:rPr>
      <w:rFonts w:ascii="Tahoma" w:hAnsi="Tahoma" w:cs="Tahoma"/>
      <w:sz w:val="16"/>
      <w:szCs w:val="16"/>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HeaderChar">
    <w:name w:val="Header Char"/>
    <w:link w:val="Header"/>
    <w:uiPriority w:val="99"/>
    <w:rsid w:val="00674F13"/>
    <w:rPr>
      <w:sz w:val="24"/>
      <w:szCs w:val="24"/>
      <w:lang w:val="en-US" w:eastAsia="en-US"/>
    </w:rPr>
  </w:style>
  <w:style w:type="character" w:customStyle="1" w:styleId="FooterChar">
    <w:name w:val="Footer Char"/>
    <w:link w:val="Footer"/>
    <w:uiPriority w:val="99"/>
    <w:rsid w:val="00674F13"/>
    <w:rPr>
      <w:sz w:val="24"/>
      <w:szCs w:val="24"/>
      <w:lang w:val="en-US" w:eastAsia="en-US"/>
    </w:rPr>
  </w:style>
  <w:style w:type="character" w:customStyle="1" w:styleId="Heading1Char">
    <w:name w:val="Heading 1 Char"/>
    <w:link w:val="Heading1"/>
    <w:uiPriority w:val="9"/>
    <w:rsid w:val="006F5B60"/>
    <w:rPr>
      <w:rFonts w:ascii="Arial" w:hAnsi="Arial" w:cs="Arial"/>
      <w:b/>
      <w:bCs/>
      <w:sz w:val="22"/>
      <w:lang w:val="en-AU" w:eastAsia="en-US"/>
    </w:rPr>
  </w:style>
  <w:style w:type="table" w:styleId="TableGrid">
    <w:name w:val="Table Grid"/>
    <w:basedOn w:val="TableNormal"/>
    <w:uiPriority w:val="59"/>
    <w:rsid w:val="006F5B60"/>
    <w:rPr>
      <w:rFonts w:ascii="Calibri" w:eastAsia="Calibri" w:hAnsi="Calibri" w:cs="Arial"/>
      <w:sz w:val="22"/>
      <w:szCs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6F5B60"/>
    <w:rPr>
      <w:b/>
      <w:bCs/>
    </w:rPr>
  </w:style>
  <w:style w:type="paragraph" w:styleId="Title">
    <w:name w:val="Title"/>
    <w:basedOn w:val="Heading2"/>
    <w:next w:val="Normal"/>
    <w:link w:val="TitleChar"/>
    <w:uiPriority w:val="10"/>
    <w:qFormat/>
    <w:rsid w:val="00E65684"/>
    <w:pPr>
      <w:jc w:val="center"/>
    </w:pPr>
    <w:rPr>
      <w:i w:val="0"/>
      <w:sz w:val="24"/>
      <w:szCs w:val="24"/>
      <w:lang w:val="en-GB"/>
    </w:rPr>
  </w:style>
  <w:style w:type="character" w:customStyle="1" w:styleId="TitleChar">
    <w:name w:val="Title Char"/>
    <w:basedOn w:val="DefaultParagraphFont"/>
    <w:link w:val="Title"/>
    <w:uiPriority w:val="10"/>
    <w:rsid w:val="00E65684"/>
    <w:rPr>
      <w:rFonts w:ascii="Arial" w:hAnsi="Arial" w:cs="Arial"/>
      <w:b/>
      <w:bCs/>
      <w:iCs/>
      <w:sz w:val="24"/>
      <w:szCs w:val="24"/>
      <w:lang w:eastAsia="en-US"/>
    </w:rPr>
  </w:style>
  <w:style w:type="character" w:styleId="Hyperlink">
    <w:name w:val="Hyperlink"/>
    <w:basedOn w:val="DefaultParagraphFont"/>
    <w:uiPriority w:val="99"/>
    <w:unhideWhenUsed/>
    <w:rsid w:val="00264FFB"/>
    <w:rPr>
      <w:color w:val="0563C1" w:themeColor="hyperlink"/>
      <w:u w:val="single"/>
    </w:rPr>
  </w:style>
  <w:style w:type="character" w:customStyle="1" w:styleId="apple-converted-space">
    <w:name w:val="apple-converted-space"/>
    <w:basedOn w:val="DefaultParagraphFont"/>
    <w:rsid w:val="00264FF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B60"/>
    <w:pPr>
      <w:jc w:val="both"/>
    </w:pPr>
    <w:rPr>
      <w:rFonts w:ascii="Arial" w:hAnsi="Arial" w:cs="Arial"/>
      <w:szCs w:val="24"/>
      <w:lang w:val="en-US" w:eastAsia="en-US"/>
    </w:rPr>
  </w:style>
  <w:style w:type="paragraph" w:styleId="Heading1">
    <w:name w:val="heading 1"/>
    <w:basedOn w:val="Heading6"/>
    <w:next w:val="Normal"/>
    <w:link w:val="Heading1Char"/>
    <w:uiPriority w:val="9"/>
    <w:qFormat/>
    <w:rsid w:val="006F5B60"/>
    <w:pPr>
      <w:outlineLvl w:val="0"/>
    </w:pPr>
    <w:rPr>
      <w:sz w:val="22"/>
    </w:rPr>
  </w:style>
  <w:style w:type="paragraph" w:styleId="Heading2">
    <w:name w:val="heading 2"/>
    <w:basedOn w:val="Heading7"/>
    <w:next w:val="Normal"/>
    <w:qFormat/>
    <w:rsid w:val="006F5B60"/>
    <w:pPr>
      <w:outlineLvl w:val="1"/>
    </w:pPr>
    <w:rPr>
      <w:sz w:val="22"/>
    </w:rPr>
  </w:style>
  <w:style w:type="paragraph" w:styleId="Heading3">
    <w:name w:val="heading 3"/>
    <w:basedOn w:val="Heading8"/>
    <w:next w:val="Normal"/>
    <w:qFormat/>
    <w:rsid w:val="006F5B60"/>
    <w:pPr>
      <w:outlineLvl w:val="2"/>
    </w:pPr>
  </w:style>
  <w:style w:type="paragraph" w:styleId="Heading4">
    <w:name w:val="heading 4"/>
    <w:basedOn w:val="Normal"/>
    <w:next w:val="Normal"/>
    <w:qFormat/>
    <w:pPr>
      <w:keepNext/>
      <w:outlineLvl w:val="3"/>
    </w:pPr>
    <w:rPr>
      <w:b/>
      <w:bCs/>
      <w:sz w:val="22"/>
      <w:szCs w:val="20"/>
      <w:lang w:val="en-AU"/>
    </w:rPr>
  </w:style>
  <w:style w:type="paragraph" w:styleId="Heading5">
    <w:name w:val="heading 5"/>
    <w:basedOn w:val="Normal"/>
    <w:next w:val="Normal"/>
    <w:qFormat/>
    <w:pPr>
      <w:keepNext/>
      <w:outlineLvl w:val="4"/>
    </w:pPr>
    <w:rPr>
      <w:b/>
      <w:bCs/>
      <w:sz w:val="22"/>
      <w:szCs w:val="20"/>
      <w:lang w:val="en-AU"/>
    </w:rPr>
  </w:style>
  <w:style w:type="paragraph" w:styleId="Heading6">
    <w:name w:val="heading 6"/>
    <w:basedOn w:val="Normal"/>
    <w:next w:val="Normal"/>
    <w:qFormat/>
    <w:pPr>
      <w:keepNext/>
      <w:outlineLvl w:val="5"/>
    </w:pPr>
    <w:rPr>
      <w:b/>
      <w:bCs/>
      <w:szCs w:val="20"/>
      <w:lang w:val="en-AU"/>
    </w:rPr>
  </w:style>
  <w:style w:type="paragraph" w:styleId="Heading7">
    <w:name w:val="heading 7"/>
    <w:basedOn w:val="Normal"/>
    <w:next w:val="Normal"/>
    <w:qFormat/>
    <w:pPr>
      <w:keepNext/>
      <w:outlineLvl w:val="6"/>
    </w:pPr>
    <w:rPr>
      <w:b/>
      <w:bCs/>
      <w:i/>
      <w:iCs/>
      <w:szCs w:val="20"/>
      <w:lang w:val="en-AU"/>
    </w:rPr>
  </w:style>
  <w:style w:type="paragraph" w:styleId="Heading8">
    <w:name w:val="heading 8"/>
    <w:basedOn w:val="Normal"/>
    <w:next w:val="Normal"/>
    <w:qFormat/>
    <w:pPr>
      <w:keepNext/>
      <w:ind w:firstLine="720"/>
      <w:outlineLvl w:val="7"/>
    </w:pPr>
    <w:rPr>
      <w:b/>
      <w:bCs/>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Cs w:val="20"/>
      <w:lang w:val="en-AU"/>
    </w:rPr>
  </w:style>
  <w:style w:type="paragraph" w:styleId="BodyText2">
    <w:name w:val="Body Text 2"/>
    <w:basedOn w:val="Normal"/>
    <w:semiHidden/>
    <w:rPr>
      <w:sz w:val="22"/>
      <w:szCs w:val="20"/>
      <w:lang w:val="en-AU"/>
    </w:rPr>
  </w:style>
  <w:style w:type="paragraph" w:styleId="BodyText3">
    <w:name w:val="Body Text 3"/>
    <w:basedOn w:val="Normal"/>
    <w:semiHidden/>
    <w:rPr>
      <w:szCs w:val="20"/>
      <w:lang w:val="en-AU"/>
    </w:rPr>
  </w:style>
  <w:style w:type="paragraph" w:styleId="NormalWeb">
    <w:name w:val="Normal (Web)"/>
    <w:basedOn w:val="Normal"/>
    <w:uiPriority w:val="99"/>
    <w:semiHidden/>
    <w:pPr>
      <w:spacing w:before="100" w:beforeAutospacing="1" w:after="100" w:afterAutospacing="1"/>
    </w:pPr>
    <w:rPr>
      <w:szCs w:val="20"/>
      <w:lang w:val="en-AU"/>
    </w:rPr>
  </w:style>
  <w:style w:type="paragraph" w:styleId="BalloonText">
    <w:name w:val="Balloon Text"/>
    <w:basedOn w:val="Normal"/>
    <w:semiHidden/>
    <w:rPr>
      <w:rFonts w:ascii="Tahoma" w:hAnsi="Tahoma" w:cs="Tahoma"/>
      <w:sz w:val="16"/>
      <w:szCs w:val="16"/>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HeaderChar">
    <w:name w:val="Header Char"/>
    <w:link w:val="Header"/>
    <w:uiPriority w:val="99"/>
    <w:rsid w:val="00674F13"/>
    <w:rPr>
      <w:sz w:val="24"/>
      <w:szCs w:val="24"/>
      <w:lang w:val="en-US" w:eastAsia="en-US"/>
    </w:rPr>
  </w:style>
  <w:style w:type="character" w:customStyle="1" w:styleId="FooterChar">
    <w:name w:val="Footer Char"/>
    <w:link w:val="Footer"/>
    <w:uiPriority w:val="99"/>
    <w:rsid w:val="00674F13"/>
    <w:rPr>
      <w:sz w:val="24"/>
      <w:szCs w:val="24"/>
      <w:lang w:val="en-US" w:eastAsia="en-US"/>
    </w:rPr>
  </w:style>
  <w:style w:type="character" w:customStyle="1" w:styleId="Heading1Char">
    <w:name w:val="Heading 1 Char"/>
    <w:link w:val="Heading1"/>
    <w:uiPriority w:val="9"/>
    <w:rsid w:val="006F5B60"/>
    <w:rPr>
      <w:rFonts w:ascii="Arial" w:hAnsi="Arial" w:cs="Arial"/>
      <w:b/>
      <w:bCs/>
      <w:sz w:val="22"/>
      <w:lang w:val="en-AU" w:eastAsia="en-US"/>
    </w:rPr>
  </w:style>
  <w:style w:type="table" w:styleId="TableGrid">
    <w:name w:val="Table Grid"/>
    <w:basedOn w:val="TableNormal"/>
    <w:uiPriority w:val="59"/>
    <w:rsid w:val="006F5B60"/>
    <w:rPr>
      <w:rFonts w:ascii="Calibri" w:eastAsia="Calibri" w:hAnsi="Calibri" w:cs="Arial"/>
      <w:sz w:val="22"/>
      <w:szCs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6F5B60"/>
    <w:rPr>
      <w:b/>
      <w:bCs/>
    </w:rPr>
  </w:style>
  <w:style w:type="paragraph" w:styleId="Title">
    <w:name w:val="Title"/>
    <w:basedOn w:val="Heading2"/>
    <w:next w:val="Normal"/>
    <w:link w:val="TitleChar"/>
    <w:uiPriority w:val="10"/>
    <w:qFormat/>
    <w:rsid w:val="00E65684"/>
    <w:pPr>
      <w:jc w:val="center"/>
    </w:pPr>
    <w:rPr>
      <w:i w:val="0"/>
      <w:sz w:val="24"/>
      <w:szCs w:val="24"/>
      <w:lang w:val="en-GB"/>
    </w:rPr>
  </w:style>
  <w:style w:type="character" w:customStyle="1" w:styleId="TitleChar">
    <w:name w:val="Title Char"/>
    <w:basedOn w:val="DefaultParagraphFont"/>
    <w:link w:val="Title"/>
    <w:uiPriority w:val="10"/>
    <w:rsid w:val="00E65684"/>
    <w:rPr>
      <w:rFonts w:ascii="Arial" w:hAnsi="Arial" w:cs="Arial"/>
      <w:b/>
      <w:bCs/>
      <w:iCs/>
      <w:sz w:val="24"/>
      <w:szCs w:val="24"/>
      <w:lang w:eastAsia="en-US"/>
    </w:rPr>
  </w:style>
  <w:style w:type="character" w:styleId="Hyperlink">
    <w:name w:val="Hyperlink"/>
    <w:basedOn w:val="DefaultParagraphFont"/>
    <w:uiPriority w:val="99"/>
    <w:unhideWhenUsed/>
    <w:rsid w:val="00264FFB"/>
    <w:rPr>
      <w:color w:val="0563C1" w:themeColor="hyperlink"/>
      <w:u w:val="single"/>
    </w:rPr>
  </w:style>
  <w:style w:type="character" w:customStyle="1" w:styleId="apple-converted-space">
    <w:name w:val="apple-converted-space"/>
    <w:basedOn w:val="DefaultParagraphFont"/>
    <w:rsid w:val="00264F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463037">
      <w:bodyDiv w:val="1"/>
      <w:marLeft w:val="0"/>
      <w:marRight w:val="0"/>
      <w:marTop w:val="0"/>
      <w:marBottom w:val="0"/>
      <w:divBdr>
        <w:top w:val="none" w:sz="0" w:space="0" w:color="auto"/>
        <w:left w:val="none" w:sz="0" w:space="0" w:color="auto"/>
        <w:bottom w:val="none" w:sz="0" w:space="0" w:color="auto"/>
        <w:right w:val="none" w:sz="0" w:space="0" w:color="auto"/>
      </w:divBdr>
      <w:divsChild>
        <w:div w:id="1219130848">
          <w:marLeft w:val="0"/>
          <w:marRight w:val="0"/>
          <w:marTop w:val="0"/>
          <w:marBottom w:val="0"/>
          <w:divBdr>
            <w:top w:val="none" w:sz="0" w:space="0" w:color="auto"/>
            <w:left w:val="none" w:sz="0" w:space="0" w:color="auto"/>
            <w:bottom w:val="none" w:sz="0" w:space="0" w:color="auto"/>
            <w:right w:val="none" w:sz="0" w:space="0" w:color="auto"/>
          </w:divBdr>
          <w:divsChild>
            <w:div w:id="201945668">
              <w:marLeft w:val="0"/>
              <w:marRight w:val="0"/>
              <w:marTop w:val="0"/>
              <w:marBottom w:val="0"/>
              <w:divBdr>
                <w:top w:val="none" w:sz="0" w:space="0" w:color="auto"/>
                <w:left w:val="none" w:sz="0" w:space="0" w:color="auto"/>
                <w:bottom w:val="none" w:sz="0" w:space="0" w:color="auto"/>
                <w:right w:val="none" w:sz="0" w:space="0" w:color="auto"/>
              </w:divBdr>
              <w:divsChild>
                <w:div w:id="1983460533">
                  <w:marLeft w:val="0"/>
                  <w:marRight w:val="0"/>
                  <w:marTop w:val="0"/>
                  <w:marBottom w:val="0"/>
                  <w:divBdr>
                    <w:top w:val="none" w:sz="0" w:space="0" w:color="auto"/>
                    <w:left w:val="none" w:sz="0" w:space="0" w:color="auto"/>
                    <w:bottom w:val="none" w:sz="0" w:space="0" w:color="auto"/>
                    <w:right w:val="none" w:sz="0" w:space="0" w:color="auto"/>
                  </w:divBdr>
                  <w:divsChild>
                    <w:div w:id="1635256991">
                      <w:marLeft w:val="0"/>
                      <w:marRight w:val="0"/>
                      <w:marTop w:val="0"/>
                      <w:marBottom w:val="0"/>
                      <w:divBdr>
                        <w:top w:val="none" w:sz="0" w:space="0" w:color="auto"/>
                        <w:left w:val="none" w:sz="0" w:space="0" w:color="auto"/>
                        <w:bottom w:val="none" w:sz="0" w:space="0" w:color="auto"/>
                        <w:right w:val="none" w:sz="0" w:space="0" w:color="auto"/>
                      </w:divBdr>
                      <w:divsChild>
                        <w:div w:id="1831213030">
                          <w:marLeft w:val="0"/>
                          <w:marRight w:val="0"/>
                          <w:marTop w:val="0"/>
                          <w:marBottom w:val="0"/>
                          <w:divBdr>
                            <w:top w:val="none" w:sz="0" w:space="0" w:color="auto"/>
                            <w:left w:val="none" w:sz="0" w:space="0" w:color="auto"/>
                            <w:bottom w:val="none" w:sz="0" w:space="0" w:color="auto"/>
                            <w:right w:val="none" w:sz="0" w:space="0" w:color="auto"/>
                          </w:divBdr>
                          <w:divsChild>
                            <w:div w:id="1000042810">
                              <w:marLeft w:val="0"/>
                              <w:marRight w:val="0"/>
                              <w:marTop w:val="0"/>
                              <w:marBottom w:val="0"/>
                              <w:divBdr>
                                <w:top w:val="none" w:sz="0" w:space="0" w:color="auto"/>
                                <w:left w:val="none" w:sz="0" w:space="0" w:color="auto"/>
                                <w:bottom w:val="none" w:sz="0" w:space="0" w:color="auto"/>
                                <w:right w:val="none" w:sz="0" w:space="0" w:color="auto"/>
                              </w:divBdr>
                              <w:divsChild>
                                <w:div w:id="427971124">
                                  <w:marLeft w:val="0"/>
                                  <w:marRight w:val="0"/>
                                  <w:marTop w:val="0"/>
                                  <w:marBottom w:val="0"/>
                                  <w:divBdr>
                                    <w:top w:val="none" w:sz="0" w:space="0" w:color="auto"/>
                                    <w:left w:val="none" w:sz="0" w:space="0" w:color="auto"/>
                                    <w:bottom w:val="none" w:sz="0" w:space="0" w:color="auto"/>
                                    <w:right w:val="none" w:sz="0" w:space="0" w:color="auto"/>
                                  </w:divBdr>
                                  <w:divsChild>
                                    <w:div w:id="590821040">
                                      <w:marLeft w:val="0"/>
                                      <w:marRight w:val="0"/>
                                      <w:marTop w:val="0"/>
                                      <w:marBottom w:val="0"/>
                                      <w:divBdr>
                                        <w:top w:val="none" w:sz="0" w:space="0" w:color="auto"/>
                                        <w:left w:val="none" w:sz="0" w:space="0" w:color="auto"/>
                                        <w:bottom w:val="none" w:sz="0" w:space="0" w:color="auto"/>
                                        <w:right w:val="none" w:sz="0" w:space="0" w:color="auto"/>
                                      </w:divBdr>
                                      <w:divsChild>
                                        <w:div w:id="1203518082">
                                          <w:marLeft w:val="0"/>
                                          <w:marRight w:val="0"/>
                                          <w:marTop w:val="0"/>
                                          <w:marBottom w:val="0"/>
                                          <w:divBdr>
                                            <w:top w:val="none" w:sz="0" w:space="0" w:color="auto"/>
                                            <w:left w:val="none" w:sz="0" w:space="0" w:color="auto"/>
                                            <w:bottom w:val="none" w:sz="0" w:space="0" w:color="auto"/>
                                            <w:right w:val="none" w:sz="0" w:space="0" w:color="auto"/>
                                          </w:divBdr>
                                          <w:divsChild>
                                            <w:div w:id="152686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5791910">
      <w:bodyDiv w:val="1"/>
      <w:marLeft w:val="0"/>
      <w:marRight w:val="0"/>
      <w:marTop w:val="0"/>
      <w:marBottom w:val="0"/>
      <w:divBdr>
        <w:top w:val="none" w:sz="0" w:space="0" w:color="auto"/>
        <w:left w:val="none" w:sz="0" w:space="0" w:color="auto"/>
        <w:bottom w:val="none" w:sz="0" w:space="0" w:color="auto"/>
        <w:right w:val="none" w:sz="0" w:space="0" w:color="auto"/>
      </w:divBdr>
      <w:divsChild>
        <w:div w:id="1450975453">
          <w:marLeft w:val="0"/>
          <w:marRight w:val="0"/>
          <w:marTop w:val="0"/>
          <w:marBottom w:val="0"/>
          <w:divBdr>
            <w:top w:val="none" w:sz="0" w:space="0" w:color="auto"/>
            <w:left w:val="none" w:sz="0" w:space="0" w:color="auto"/>
            <w:bottom w:val="none" w:sz="0" w:space="0" w:color="auto"/>
            <w:right w:val="none" w:sz="0" w:space="0" w:color="auto"/>
          </w:divBdr>
          <w:divsChild>
            <w:div w:id="1671787177">
              <w:marLeft w:val="0"/>
              <w:marRight w:val="0"/>
              <w:marTop w:val="0"/>
              <w:marBottom w:val="0"/>
              <w:divBdr>
                <w:top w:val="single" w:sz="2" w:space="0" w:color="E2E2DD"/>
                <w:left w:val="single" w:sz="6" w:space="19" w:color="E2E2DD"/>
                <w:bottom w:val="single" w:sz="2" w:space="0" w:color="E2E2DD"/>
                <w:right w:val="single" w:sz="6" w:space="19" w:color="E2E2DD"/>
              </w:divBdr>
              <w:divsChild>
                <w:div w:id="398945243">
                  <w:marLeft w:val="0"/>
                  <w:marRight w:val="300"/>
                  <w:marTop w:val="0"/>
                  <w:marBottom w:val="300"/>
                  <w:divBdr>
                    <w:top w:val="none" w:sz="0" w:space="0" w:color="auto"/>
                    <w:left w:val="none" w:sz="0" w:space="0" w:color="auto"/>
                    <w:bottom w:val="none" w:sz="0" w:space="0" w:color="auto"/>
                    <w:right w:val="none" w:sz="0" w:space="0" w:color="auto"/>
                  </w:divBdr>
                  <w:divsChild>
                    <w:div w:id="610820417">
                      <w:marLeft w:val="0"/>
                      <w:marRight w:val="0"/>
                      <w:marTop w:val="0"/>
                      <w:marBottom w:val="0"/>
                      <w:divBdr>
                        <w:top w:val="none" w:sz="0" w:space="0" w:color="auto"/>
                        <w:left w:val="none" w:sz="0" w:space="0" w:color="auto"/>
                        <w:bottom w:val="none" w:sz="0" w:space="0" w:color="auto"/>
                        <w:right w:val="none" w:sz="0" w:space="0" w:color="auto"/>
                      </w:divBdr>
                      <w:divsChild>
                        <w:div w:id="2436046">
                          <w:marLeft w:val="0"/>
                          <w:marRight w:val="0"/>
                          <w:marTop w:val="0"/>
                          <w:marBottom w:val="0"/>
                          <w:divBdr>
                            <w:top w:val="none" w:sz="0" w:space="0" w:color="auto"/>
                            <w:left w:val="none" w:sz="0" w:space="0" w:color="auto"/>
                            <w:bottom w:val="none" w:sz="0" w:space="0" w:color="auto"/>
                            <w:right w:val="none" w:sz="0" w:space="0" w:color="auto"/>
                          </w:divBdr>
                        </w:div>
                        <w:div w:id="2102295571">
                          <w:marLeft w:val="150"/>
                          <w:marRight w:val="0"/>
                          <w:marTop w:val="150"/>
                          <w:marBottom w:val="150"/>
                          <w:divBdr>
                            <w:top w:val="none" w:sz="0" w:space="0" w:color="auto"/>
                            <w:left w:val="none" w:sz="0" w:space="0" w:color="auto"/>
                            <w:bottom w:val="none" w:sz="0" w:space="0" w:color="auto"/>
                            <w:right w:val="none" w:sz="0" w:space="0" w:color="auto"/>
                          </w:divBdr>
                        </w:div>
                      </w:divsChild>
                    </w:div>
                    <w:div w:id="1113280554">
                      <w:marLeft w:val="0"/>
                      <w:marRight w:val="0"/>
                      <w:marTop w:val="192"/>
                      <w:marBottom w:val="0"/>
                      <w:divBdr>
                        <w:top w:val="none" w:sz="0" w:space="0" w:color="auto"/>
                        <w:left w:val="none" w:sz="0" w:space="0" w:color="auto"/>
                        <w:bottom w:val="none" w:sz="0" w:space="0" w:color="auto"/>
                        <w:right w:val="none" w:sz="0" w:space="0" w:color="auto"/>
                      </w:divBdr>
                      <w:divsChild>
                        <w:div w:id="472530887">
                          <w:marLeft w:val="0"/>
                          <w:marRight w:val="0"/>
                          <w:marTop w:val="0"/>
                          <w:marBottom w:val="0"/>
                          <w:divBdr>
                            <w:top w:val="none" w:sz="0" w:space="0" w:color="auto"/>
                            <w:left w:val="none" w:sz="0" w:space="0" w:color="auto"/>
                            <w:bottom w:val="none" w:sz="0" w:space="0" w:color="auto"/>
                            <w:right w:val="none" w:sz="0" w:space="0" w:color="auto"/>
                          </w:divBdr>
                          <w:divsChild>
                            <w:div w:id="967125613">
                              <w:marLeft w:val="0"/>
                              <w:marRight w:val="0"/>
                              <w:marTop w:val="0"/>
                              <w:marBottom w:val="480"/>
                              <w:divBdr>
                                <w:top w:val="dotted" w:sz="6" w:space="5" w:color="DCDCDC"/>
                                <w:left w:val="none" w:sz="0" w:space="0" w:color="auto"/>
                                <w:bottom w:val="single" w:sz="6" w:space="1" w:color="DCDCDC"/>
                                <w:right w:val="none" w:sz="0" w:space="0" w:color="auto"/>
                              </w:divBdr>
                              <w:divsChild>
                                <w:div w:id="206182029">
                                  <w:marLeft w:val="0"/>
                                  <w:marRight w:val="0"/>
                                  <w:marTop w:val="0"/>
                                  <w:marBottom w:val="0"/>
                                  <w:divBdr>
                                    <w:top w:val="none" w:sz="0" w:space="0" w:color="auto"/>
                                    <w:left w:val="none" w:sz="0" w:space="0" w:color="auto"/>
                                    <w:bottom w:val="single" w:sz="12" w:space="0" w:color="CCCCCC"/>
                                    <w:right w:val="none" w:sz="0" w:space="0" w:color="auto"/>
                                  </w:divBdr>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59FB9-2811-5544-9E68-3A8A41C67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4817</Words>
  <Characters>27461</Characters>
  <Application>Microsoft Macintosh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Concrete 2007 - Final Paper Template</vt:lpstr>
    </vt:vector>
  </TitlesOfParts>
  <Company>Plevin and Associates</Company>
  <LinksUpToDate>false</LinksUpToDate>
  <CharactersWithSpaces>32214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Concrete 2007 - Final Paper Template</dc:title>
  <dc:subject/>
  <dc:creator>Phil</dc:creator>
  <cp:keywords/>
  <cp:lastModifiedBy>Lesley K  Woods</cp:lastModifiedBy>
  <cp:revision>3</cp:revision>
  <cp:lastPrinted>2007-05-22T02:29:00Z</cp:lastPrinted>
  <dcterms:created xsi:type="dcterms:W3CDTF">2018-04-12T07:16:00Z</dcterms:created>
  <dcterms:modified xsi:type="dcterms:W3CDTF">2018-04-24T02:54:00Z</dcterms:modified>
</cp:coreProperties>
</file>