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05D1F" w14:textId="77777777" w:rsidR="000D0A66" w:rsidRPr="00E4229C" w:rsidRDefault="000D0A66" w:rsidP="00A30DD6">
      <w:pPr>
        <w:pStyle w:val="Heading2"/>
        <w:spacing w:before="0"/>
        <w:rPr>
          <w:szCs w:val="28"/>
        </w:rPr>
      </w:pPr>
      <w:r w:rsidRPr="00E4229C">
        <w:rPr>
          <w:szCs w:val="28"/>
        </w:rPr>
        <w:t>Distributions of End-Use Water Consumption among Households</w:t>
      </w:r>
    </w:p>
    <w:p w14:paraId="1D011DB2" w14:textId="77777777" w:rsidR="00A30DD6" w:rsidRPr="00800E41" w:rsidRDefault="00A30DD6" w:rsidP="00A30DD6">
      <w:pPr>
        <w:spacing w:before="0"/>
        <w:jc w:val="center"/>
        <w:rPr>
          <w:rFonts w:cs="Arial"/>
        </w:rPr>
      </w:pPr>
    </w:p>
    <w:p w14:paraId="4EDCE851" w14:textId="77777777" w:rsidR="007C53ED" w:rsidRPr="007C53ED" w:rsidRDefault="007C53ED" w:rsidP="007C53ED">
      <w:pPr>
        <w:jc w:val="center"/>
        <w:rPr>
          <w:i/>
          <w:sz w:val="24"/>
        </w:rPr>
      </w:pPr>
      <w:proofErr w:type="spellStart"/>
      <w:r w:rsidRPr="007C53ED">
        <w:rPr>
          <w:sz w:val="24"/>
          <w:u w:val="single"/>
        </w:rPr>
        <w:t>Mishka</w:t>
      </w:r>
      <w:proofErr w:type="spellEnd"/>
      <w:r w:rsidRPr="007C53ED">
        <w:rPr>
          <w:sz w:val="24"/>
          <w:u w:val="single"/>
        </w:rPr>
        <w:t xml:space="preserve"> Talent</w:t>
      </w:r>
      <w:r w:rsidRPr="007C53ED">
        <w:rPr>
          <w:sz w:val="24"/>
        </w:rPr>
        <w:br/>
      </w:r>
      <w:bookmarkStart w:id="0" w:name="_GoBack"/>
      <w:r w:rsidRPr="007C53ED">
        <w:rPr>
          <w:rStyle w:val="Emphasis"/>
          <w:i w:val="0"/>
          <w:sz w:val="24"/>
        </w:rPr>
        <w:t>Australian National University, Canberra, ACT, Australia</w:t>
      </w:r>
    </w:p>
    <w:bookmarkEnd w:id="0"/>
    <w:p w14:paraId="0BC93D2D" w14:textId="77777777" w:rsidR="00F16E16" w:rsidRPr="00E4229C" w:rsidRDefault="00F16E16" w:rsidP="00A30DD6">
      <w:pPr>
        <w:spacing w:before="0"/>
        <w:jc w:val="center"/>
        <w:rPr>
          <w:rFonts w:cs="Arial"/>
        </w:rPr>
      </w:pPr>
    </w:p>
    <w:p w14:paraId="423CA158" w14:textId="77777777" w:rsidR="000D0A66" w:rsidRDefault="000D0A66" w:rsidP="00A30DD6">
      <w:pPr>
        <w:spacing w:before="0"/>
        <w:rPr>
          <w:rFonts w:cs="Arial"/>
        </w:rPr>
      </w:pPr>
      <w:r w:rsidRPr="004875B5">
        <w:rPr>
          <w:rFonts w:cs="Arial"/>
          <w:b/>
          <w:bCs/>
        </w:rPr>
        <w:t>Abstract</w:t>
      </w:r>
      <w:r w:rsidRPr="004875B5">
        <w:rPr>
          <w:rFonts w:cs="Arial"/>
          <w:b/>
        </w:rPr>
        <w:t>:</w:t>
      </w:r>
      <w:r w:rsidRPr="00E4229C">
        <w:rPr>
          <w:rFonts w:cs="Arial"/>
        </w:rPr>
        <w:t xml:space="preserve">  Estimating the distribution of domestic water consumption among households is important for establishing baselines against which policy success can be measured.  Estimates of this kind are typically produced using household surveys.</w:t>
      </w:r>
      <w:r w:rsidR="00272146">
        <w:rPr>
          <w:rFonts w:cs="Arial"/>
        </w:rPr>
        <w:t xml:space="preserve"> This study aimed</w:t>
      </w:r>
      <w:r w:rsidR="00272146" w:rsidRPr="00E4229C">
        <w:rPr>
          <w:rFonts w:cs="Arial"/>
        </w:rPr>
        <w:t xml:space="preserve"> to investigate how simple heuristic estimates of water consumption and surveys compare with measures of water consumption obtained from </w:t>
      </w:r>
      <w:r w:rsidR="00272146">
        <w:rPr>
          <w:rFonts w:cs="Arial"/>
        </w:rPr>
        <w:t>meter readings. It also aimed</w:t>
      </w:r>
      <w:r w:rsidR="00272146" w:rsidRPr="00E4229C">
        <w:rPr>
          <w:rFonts w:cs="Arial"/>
        </w:rPr>
        <w:t xml:space="preserve"> to characterise (parameterise) the distribution of metered water consumption in Canberra.</w:t>
      </w:r>
      <w:r w:rsidR="00272146">
        <w:rPr>
          <w:rFonts w:cs="Arial"/>
        </w:rPr>
        <w:t xml:space="preserve"> </w:t>
      </w:r>
      <w:r w:rsidRPr="00E4229C">
        <w:rPr>
          <w:rFonts w:cs="Arial"/>
        </w:rPr>
        <w:t xml:space="preserve">The ‘gold standard’ measure of consumption was 7 years of quarterly metered </w:t>
      </w:r>
      <w:r w:rsidRPr="005E42D6">
        <w:rPr>
          <w:rFonts w:cs="Arial"/>
        </w:rPr>
        <w:t xml:space="preserve">readings of </w:t>
      </w:r>
      <w:r w:rsidR="005E42D6" w:rsidRPr="005E42D6">
        <w:rPr>
          <w:rFonts w:cs="Arial"/>
          <w:color w:val="000000"/>
        </w:rPr>
        <w:t>27,174</w:t>
      </w:r>
      <w:r w:rsidR="005E42D6" w:rsidRPr="00E4229C">
        <w:rPr>
          <w:rFonts w:cs="Arial"/>
          <w:color w:val="000000"/>
        </w:rPr>
        <w:t xml:space="preserve"> </w:t>
      </w:r>
      <w:r w:rsidRPr="00E4229C">
        <w:rPr>
          <w:rFonts w:cs="Arial"/>
        </w:rPr>
        <w:t>dwellings in C</w:t>
      </w:r>
      <w:r w:rsidR="00272146">
        <w:rPr>
          <w:rFonts w:cs="Arial"/>
        </w:rPr>
        <w:t>anberra</w:t>
      </w:r>
      <w:r w:rsidRPr="00E4229C">
        <w:rPr>
          <w:rFonts w:cs="Arial"/>
        </w:rPr>
        <w:t xml:space="preserve">. Heuristic estimates and survey-derived estimates were compared with these actual meter readings. Survey estimates were obtained by population weighting an online panel survey that asked respondents about their consumption behaviours. Heuristic estimates were obtained on the assumption that total water consumption can be approximated by combining </w:t>
      </w:r>
      <w:r w:rsidRPr="00E4229C">
        <w:rPr>
          <w:rFonts w:cs="Arial"/>
          <w:i/>
        </w:rPr>
        <w:t>a priori</w:t>
      </w:r>
      <w:r w:rsidRPr="00E4229C">
        <w:rPr>
          <w:rFonts w:cs="Arial"/>
        </w:rPr>
        <w:t xml:space="preserve"> estimates of consumption for toilet use, shower use, washing of dishes, washing machine use, teeth brushing, cooking and drinking.</w:t>
      </w:r>
      <w:r w:rsidR="00272146">
        <w:rPr>
          <w:rFonts w:cs="Arial"/>
        </w:rPr>
        <w:t xml:space="preserve"> </w:t>
      </w:r>
      <w:r w:rsidRPr="00E4229C">
        <w:rPr>
          <w:rFonts w:cs="Arial"/>
        </w:rPr>
        <w:t xml:space="preserve">Heuristic estimates of consumption underestimated extreme values. Survey derived estimates provided unreliable indicators of actual consumption. End-use analysis typically involves expensive and detailed house visit surveys or participant reporting surveys. This study suggests that both self-report surveys and heuristic models should be treated with caution. The extreme variation in distribution of consumption among households requires population sampling much larger than normally undertaken. </w:t>
      </w:r>
      <w:r w:rsidR="004875B5">
        <w:rPr>
          <w:rFonts w:cs="Arial"/>
        </w:rPr>
        <w:t>Nine common mathematical distributions were parameterised using the metered household consumption. T</w:t>
      </w:r>
      <w:r w:rsidRPr="00E4229C">
        <w:rPr>
          <w:rFonts w:cs="Arial"/>
        </w:rPr>
        <w:t>his work has application in evaluating policies aiming to modify water consumption.</w:t>
      </w:r>
    </w:p>
    <w:p w14:paraId="2B067713" w14:textId="77777777" w:rsidR="000D0A66" w:rsidRPr="00E4229C" w:rsidRDefault="000D0A66" w:rsidP="000D0A66">
      <w:pPr>
        <w:pStyle w:val="Heading6"/>
        <w:rPr>
          <w:rFonts w:cs="Arial"/>
          <w:b w:val="0"/>
          <w:i/>
          <w:sz w:val="20"/>
        </w:rPr>
      </w:pPr>
      <w:r w:rsidRPr="00E4229C">
        <w:rPr>
          <w:rFonts w:cs="Arial"/>
        </w:rPr>
        <w:t xml:space="preserve">Key words: </w:t>
      </w:r>
      <w:r w:rsidR="00743DE7" w:rsidRPr="00E4229C">
        <w:rPr>
          <w:rFonts w:cs="Arial"/>
          <w:b w:val="0"/>
          <w:i/>
          <w:sz w:val="20"/>
        </w:rPr>
        <w:t>Residential Water Consumption</w:t>
      </w:r>
      <w:r w:rsidR="002745AF" w:rsidRPr="00E4229C">
        <w:rPr>
          <w:rFonts w:cs="Arial"/>
          <w:b w:val="0"/>
          <w:i/>
          <w:sz w:val="20"/>
        </w:rPr>
        <w:t>;</w:t>
      </w:r>
      <w:r w:rsidR="00743DE7" w:rsidRPr="00E4229C">
        <w:rPr>
          <w:rFonts w:cs="Arial"/>
          <w:b w:val="0"/>
          <w:i/>
          <w:sz w:val="20"/>
        </w:rPr>
        <w:t xml:space="preserve"> Smart Cities</w:t>
      </w:r>
      <w:r w:rsidR="002745AF" w:rsidRPr="00E4229C">
        <w:rPr>
          <w:rFonts w:cs="Arial"/>
          <w:b w:val="0"/>
          <w:i/>
          <w:sz w:val="20"/>
        </w:rPr>
        <w:t>;</w:t>
      </w:r>
      <w:r w:rsidR="00743DE7" w:rsidRPr="00E4229C">
        <w:rPr>
          <w:rFonts w:cs="Arial"/>
          <w:b w:val="0"/>
          <w:i/>
          <w:sz w:val="20"/>
        </w:rPr>
        <w:t xml:space="preserve"> Water </w:t>
      </w:r>
      <w:r w:rsidR="00943743">
        <w:rPr>
          <w:rFonts w:cs="Arial"/>
          <w:b w:val="0"/>
          <w:i/>
          <w:sz w:val="20"/>
        </w:rPr>
        <w:t>end-use</w:t>
      </w:r>
      <w:r w:rsidR="002745AF" w:rsidRPr="00E4229C">
        <w:rPr>
          <w:rFonts w:cs="Arial"/>
          <w:b w:val="0"/>
          <w:i/>
          <w:sz w:val="20"/>
        </w:rPr>
        <w:t>;</w:t>
      </w:r>
      <w:r w:rsidR="00743DE7" w:rsidRPr="00E4229C">
        <w:rPr>
          <w:rFonts w:cs="Arial"/>
          <w:b w:val="0"/>
          <w:i/>
          <w:sz w:val="20"/>
        </w:rPr>
        <w:t xml:space="preserve"> Water demand forecasting</w:t>
      </w:r>
      <w:r w:rsidR="002745AF" w:rsidRPr="00E4229C">
        <w:rPr>
          <w:rFonts w:cs="Arial"/>
          <w:b w:val="0"/>
          <w:i/>
          <w:sz w:val="20"/>
        </w:rPr>
        <w:t>;</w:t>
      </w:r>
      <w:r w:rsidR="00390B3D" w:rsidRPr="00E4229C">
        <w:rPr>
          <w:rFonts w:cs="Arial"/>
          <w:b w:val="0"/>
          <w:i/>
          <w:sz w:val="20"/>
        </w:rPr>
        <w:t xml:space="preserve"> Water demand management</w:t>
      </w:r>
      <w:r w:rsidRPr="00E4229C">
        <w:rPr>
          <w:rFonts w:cs="Arial"/>
          <w:b w:val="0"/>
          <w:i/>
          <w:sz w:val="20"/>
        </w:rPr>
        <w:t>.</w:t>
      </w:r>
    </w:p>
    <w:p w14:paraId="3212E008" w14:textId="77777777" w:rsidR="000D0A66" w:rsidRPr="00E4229C" w:rsidRDefault="000D0A66" w:rsidP="00390B3D">
      <w:pPr>
        <w:pStyle w:val="Heading6"/>
        <w:numPr>
          <w:ilvl w:val="0"/>
          <w:numId w:val="8"/>
        </w:numPr>
        <w:rPr>
          <w:rFonts w:cs="Arial"/>
        </w:rPr>
      </w:pPr>
      <w:r w:rsidRPr="00E4229C">
        <w:rPr>
          <w:rStyle w:val="Heading1Char"/>
          <w:rFonts w:ascii="Arial" w:hAnsi="Arial" w:cs="Arial"/>
          <w:b/>
          <w:bCs/>
          <w:kern w:val="0"/>
          <w:sz w:val="22"/>
          <w:szCs w:val="20"/>
          <w:lang w:val="en-AU"/>
        </w:rPr>
        <w:t>Intro</w:t>
      </w:r>
      <w:r w:rsidR="00743DE7" w:rsidRPr="00E4229C">
        <w:rPr>
          <w:rStyle w:val="Heading1Char"/>
          <w:rFonts w:ascii="Arial" w:hAnsi="Arial" w:cs="Arial"/>
          <w:b/>
          <w:bCs/>
          <w:kern w:val="0"/>
          <w:sz w:val="22"/>
          <w:szCs w:val="20"/>
          <w:lang w:val="en-AU"/>
        </w:rPr>
        <w:t>d</w:t>
      </w:r>
      <w:r w:rsidRPr="00E4229C">
        <w:rPr>
          <w:rStyle w:val="Heading1Char"/>
          <w:rFonts w:ascii="Arial" w:hAnsi="Arial" w:cs="Arial"/>
          <w:b/>
          <w:bCs/>
          <w:kern w:val="0"/>
          <w:sz w:val="22"/>
          <w:szCs w:val="20"/>
          <w:lang w:val="en-AU"/>
        </w:rPr>
        <w:t>uction</w:t>
      </w:r>
    </w:p>
    <w:p w14:paraId="19295B5D" w14:textId="77777777" w:rsidR="000D0A66" w:rsidRPr="00E4229C" w:rsidRDefault="000D0A66" w:rsidP="000D0A66">
      <w:pPr>
        <w:rPr>
          <w:rFonts w:cs="Arial"/>
        </w:rPr>
      </w:pPr>
      <w:r w:rsidRPr="00E4229C">
        <w:rPr>
          <w:rFonts w:cs="Arial"/>
        </w:rPr>
        <w:t>Potable water is a scarce natural resource but is under pres</w:t>
      </w:r>
      <w:r w:rsidR="00B95353">
        <w:rPr>
          <w:rFonts w:cs="Arial"/>
        </w:rPr>
        <w:t>sure in Australia from increasing</w:t>
      </w:r>
      <w:r w:rsidRPr="00E4229C">
        <w:rPr>
          <w:rFonts w:cs="Arial"/>
        </w:rPr>
        <w:t xml:space="preserve"> demand. Water is an important factor in the arrangement of cities </w:t>
      </w:r>
      <w:r w:rsidRPr="00E4229C">
        <w:rPr>
          <w:rFonts w:cs="Arial"/>
        </w:rPr>
        <w:fldChar w:fldCharType="begin"/>
      </w:r>
      <w:r w:rsidRPr="00E4229C">
        <w:rPr>
          <w:rFonts w:cs="Arial"/>
        </w:rPr>
        <w:instrText xml:space="preserve"> ADDIN EN.CITE &lt;EndNote&gt;&lt;Cite&gt;&lt;Author&gt;Marshall&lt;/Author&gt;&lt;Year&gt;1879&lt;/Year&gt;&lt;RecNum&gt;252&lt;/RecNum&gt;&lt;DisplayText&gt;(Marshall, 1879)&lt;/DisplayText&gt;&lt;record&gt;&lt;rec-number&gt;252&lt;/rec-number&gt;&lt;foreign-keys&gt;&lt;key app="EN" db-id="wd2xatvs5e2wadeaa53pvef6sdtsa9rwv55d" timestamp="1499401065"&gt;252&lt;/key&gt;&lt;/foreign-keys&gt;&lt;ref-type name="Book Section"&gt;5&lt;/ref-type&gt;&lt;contributors&gt;&lt;authors&gt;&lt;author&gt;Marshall, A&lt;/author&gt;&lt;/authors&gt;&lt;secondary-authors&gt;&lt;author&gt;Pigou, A&lt;/author&gt;&lt;/secondary-authors&gt;&lt;/contributors&gt;&lt;titles&gt;&lt;title&gt;Water as an element of national wealth&amp;#xD;&lt;/title&gt;&lt;secondary-title&gt;Memorials of Alfred Marshall&lt;/secondary-title&gt;&lt;/titles&gt;&lt;dates&gt;&lt;year&gt;1879&lt;/year&gt;&lt;/dates&gt;&lt;pub-location&gt;New York&lt;/pub-location&gt;&lt;publisher&gt;Kelley &amp;amp; Millman&lt;/publisher&gt;&lt;urls&gt;&lt;/urls&gt;&lt;/record&gt;&lt;/Cite&gt;&lt;/EndNote&gt;</w:instrText>
      </w:r>
      <w:r w:rsidRPr="00E4229C">
        <w:rPr>
          <w:rFonts w:cs="Arial"/>
        </w:rPr>
        <w:fldChar w:fldCharType="separate"/>
      </w:r>
      <w:r w:rsidRPr="00E4229C">
        <w:rPr>
          <w:rFonts w:cs="Arial"/>
          <w:noProof/>
        </w:rPr>
        <w:t>(Marshall, 1879)</w:t>
      </w:r>
      <w:r w:rsidRPr="00E4229C">
        <w:rPr>
          <w:rFonts w:cs="Arial"/>
        </w:rPr>
        <w:fldChar w:fldCharType="end"/>
      </w:r>
      <w:r w:rsidRPr="00E4229C">
        <w:rPr>
          <w:rFonts w:cs="Arial"/>
        </w:rPr>
        <w:t xml:space="preserve"> but also vital for their continual growth. The location of Australia Capital Territory (ACT), for example was influenced by a requirement of a suitable water source. Twenty percent of the Territory’s land area is used for water catchment. But there is continual pressure to supply increasing demand for water as the city grows from a planned population of 20,000 to almost 400,000 inhabitants. In the ACT, the additional water required to meet a growing population was met by increasing storage capacity </w:t>
      </w:r>
      <w:r w:rsidRPr="00E4229C">
        <w:rPr>
          <w:rFonts w:cs="Arial"/>
        </w:rPr>
        <w:fldChar w:fldCharType="begin"/>
      </w:r>
      <w:r w:rsidRPr="00E4229C">
        <w:rPr>
          <w:rFonts w:cs="Arial"/>
        </w:rPr>
        <w:instrText xml:space="preserve"> ADDIN EN.CITE &lt;EndNote&gt;&lt;Cite&gt;&lt;Author&gt;Water&lt;/Author&gt;&lt;Year&gt;2017&lt;/Year&gt;&lt;RecNum&gt;253&lt;/RecNum&gt;&lt;DisplayText&gt;(Icon Water Limited, 2017)&lt;/DisplayText&gt;&lt;record&gt;&lt;rec-number&gt;253&lt;/rec-number&gt;&lt;foreign-keys&gt;&lt;key app="EN" db-id="wd2xatvs5e2wadeaa53pvef6sdtsa9rwv55d" timestamp="1499401805"&gt;253&lt;/key&gt;&lt;/foreign-keys&gt;&lt;ref-type name="Web Page"&gt;12&lt;/ref-type&gt;&lt;contributors&gt;&lt;authors&gt;&lt;author&gt;Icon Water Limited,&lt;/author&gt;&lt;/authors&gt;&lt;/contributors&gt;&lt;titles&gt;&lt;title&gt;Enlarged Cotter Dam&lt;/title&gt;&lt;/titles&gt;&lt;number&gt;1/7/2017&lt;/number&gt;&lt;dates&gt;&lt;year&gt;2017&lt;/year&gt;&lt;/dates&gt;&lt;urls&gt;&lt;related-urls&gt;&lt;url&gt;https://www.iconwater.com.au/Community-and-Education/Our-projects/Water%20Security%20Projects/Enlarged-Cotter-Dam.aspx&lt;/url&gt;&lt;/related-urls&gt;&lt;/urls&gt;&lt;/record&gt;&lt;/Cite&gt;&lt;/EndNote&gt;</w:instrText>
      </w:r>
      <w:r w:rsidRPr="00E4229C">
        <w:rPr>
          <w:rFonts w:cs="Arial"/>
        </w:rPr>
        <w:fldChar w:fldCharType="separate"/>
      </w:r>
      <w:r w:rsidRPr="00E4229C">
        <w:rPr>
          <w:rFonts w:cs="Arial"/>
          <w:noProof/>
        </w:rPr>
        <w:t>(Icon Water Limited, 2017)</w:t>
      </w:r>
      <w:r w:rsidRPr="00E4229C">
        <w:rPr>
          <w:rFonts w:cs="Arial"/>
        </w:rPr>
        <w:fldChar w:fldCharType="end"/>
      </w:r>
      <w:r w:rsidRPr="00E4229C">
        <w:rPr>
          <w:rFonts w:cs="Arial"/>
        </w:rPr>
        <w:t xml:space="preserve">. In other cities in Australia, desalination plants have been built at great expense </w:t>
      </w:r>
      <w:r w:rsidRPr="00E4229C">
        <w:rPr>
          <w:rFonts w:cs="Arial"/>
        </w:rPr>
        <w:fldChar w:fldCharType="begin"/>
      </w:r>
      <w:r w:rsidRPr="00E4229C">
        <w:rPr>
          <w:rFonts w:cs="Arial"/>
        </w:rPr>
        <w:instrText xml:space="preserve"> ADDIN EN.CITE &lt;EndNote&gt;&lt;Cite&gt;&lt;Author&gt;El Saliby&lt;/Author&gt;&lt;Year&gt;2009&lt;/Year&gt;&lt;RecNum&gt;254&lt;/RecNum&gt;&lt;DisplayText&gt;(El Saliby et al., 2009)&lt;/DisplayText&gt;&lt;record&gt;&lt;rec-number&gt;254&lt;/rec-number&gt;&lt;foreign-keys&gt;&lt;key app="EN" db-id="wd2xatvs5e2wadeaa53pvef6sdtsa9rwv55d" timestamp="1499401998"&gt;254&lt;/key&gt;&lt;/foreign-keys&gt;&lt;ref-type name="Journal Article"&gt;17&lt;/ref-type&gt;&lt;contributors&gt;&lt;authors&gt;&lt;author&gt;El Saliby, I&lt;/author&gt;&lt;author&gt;Okour, Y&lt;/author&gt;&lt;author&gt;Shon, HK&lt;/author&gt;&lt;author&gt;Kandasamy, J&lt;/author&gt;&lt;author&gt;Kim, In S&lt;/author&gt;&lt;/authors&gt;&lt;/contributors&gt;&lt;titles&gt;&lt;title&gt;Desalination plants in Australia, review and facts&lt;/title&gt;&lt;secondary-title&gt;Desalination&lt;/secondary-title&gt;&lt;/titles&gt;&lt;periodical&gt;&lt;full-title&gt;Desalination&lt;/full-title&gt;&lt;/periodical&gt;&lt;pages&gt;1-14&lt;/pages&gt;&lt;volume&gt;247&lt;/volume&gt;&lt;number&gt;1-3&lt;/number&gt;&lt;dates&gt;&lt;year&gt;2009&lt;/year&gt;&lt;/dates&gt;&lt;isbn&gt;0011-9164&lt;/isbn&gt;&lt;urls&gt;&lt;/urls&gt;&lt;/record&gt;&lt;/Cite&gt;&lt;/EndNote&gt;</w:instrText>
      </w:r>
      <w:r w:rsidRPr="00E4229C">
        <w:rPr>
          <w:rFonts w:cs="Arial"/>
        </w:rPr>
        <w:fldChar w:fldCharType="separate"/>
      </w:r>
      <w:r w:rsidRPr="00E4229C">
        <w:rPr>
          <w:rFonts w:cs="Arial"/>
          <w:noProof/>
        </w:rPr>
        <w:t>(El Saliby et al., 2009)</w:t>
      </w:r>
      <w:r w:rsidRPr="00E4229C">
        <w:rPr>
          <w:rFonts w:cs="Arial"/>
        </w:rPr>
        <w:fldChar w:fldCharType="end"/>
      </w:r>
      <w:r w:rsidRPr="00E4229C">
        <w:rPr>
          <w:rFonts w:cs="Arial"/>
        </w:rPr>
        <w:t xml:space="preserve">. Increasing storage, catchment size or desalination plants are referred to as supply-side solutions. Since the “Millennium Drought” (2001–2009) in Australia </w:t>
      </w:r>
      <w:r w:rsidRPr="00E4229C">
        <w:rPr>
          <w:rFonts w:cs="Arial"/>
        </w:rPr>
        <w:fldChar w:fldCharType="begin"/>
      </w:r>
      <w:r w:rsidRPr="00E4229C">
        <w:rPr>
          <w:rFonts w:cs="Arial"/>
        </w:rPr>
        <w:instrText xml:space="preserve"> ADDIN EN.CITE &lt;EndNote&gt;&lt;Cite&gt;&lt;Author&gt;Dijk&lt;/Author&gt;&lt;Year&gt;2013&lt;/Year&gt;&lt;RecNum&gt;255&lt;/RecNum&gt;&lt;DisplayText&gt;(Dijk et al., 2013)&lt;/DisplayText&gt;&lt;record&gt;&lt;rec-number&gt;255&lt;/rec-number&gt;&lt;foreign-keys&gt;&lt;key app="EN" db-id="wd2xatvs5e2wadeaa53pvef6sdtsa9rwv55d" timestamp="1499402213"&gt;255&lt;/key&gt;&lt;/foreign-keys&gt;&lt;ref-type name="Journal Article"&gt;17&lt;/ref-type&gt;&lt;contributors&gt;&lt;authors&gt;&lt;author&gt;Dijk, Albert IJM&lt;/author&gt;&lt;author&gt;Beck, Hylke E&lt;/author&gt;&lt;author&gt;Crosbie, Russell S&lt;/author&gt;&lt;author&gt;Jeu, Richard AM&lt;/author&gt;&lt;author&gt;Liu, Yi Y&lt;/author&gt;&lt;author&gt;Podger, Geoff M&lt;/author&gt;&lt;author&gt;Timbal, Bertrand&lt;/author&gt;&lt;author&gt;Viney, Neil R&lt;/author&gt;&lt;/authors&gt;&lt;/contributors&gt;&lt;titles&gt;&lt;title&gt;The Millennium Drought in southeast Australia (2001–2009): Natural and human causes and implications for water resources, ecosystems, economy, and society&lt;/title&gt;&lt;secondary-title&gt;Water Resources Research&lt;/secondary-title&gt;&lt;/titles&gt;&lt;periodical&gt;&lt;full-title&gt;Water Resources Research&lt;/full-title&gt;&lt;/periodical&gt;&lt;pages&gt;1040-1057&lt;/pages&gt;&lt;volume&gt;49&lt;/volume&gt;&lt;number&gt;2&lt;/number&gt;&lt;dates&gt;&lt;year&gt;2013&lt;/year&gt;&lt;/dates&gt;&lt;isbn&gt;1944-7973&lt;/isbn&gt;&lt;urls&gt;&lt;/urls&gt;&lt;/record&gt;&lt;/Cite&gt;&lt;/EndNote&gt;</w:instrText>
      </w:r>
      <w:r w:rsidRPr="00E4229C">
        <w:rPr>
          <w:rFonts w:cs="Arial"/>
        </w:rPr>
        <w:fldChar w:fldCharType="separate"/>
      </w:r>
      <w:r w:rsidRPr="00E4229C">
        <w:rPr>
          <w:rFonts w:cs="Arial"/>
          <w:noProof/>
        </w:rPr>
        <w:t>(Dijk et al., 2013)</w:t>
      </w:r>
      <w:r w:rsidRPr="00E4229C">
        <w:rPr>
          <w:rFonts w:cs="Arial"/>
        </w:rPr>
        <w:fldChar w:fldCharType="end"/>
      </w:r>
      <w:r w:rsidRPr="00E4229C">
        <w:rPr>
          <w:rFonts w:cs="Arial"/>
        </w:rPr>
        <w:t xml:space="preserve"> governments and local utilities have implemented a range of policies aimed at influencing the demand for water, commonly referred to as demand-side solutions. These include, for example, water restrictions, toilet replacement schemes, and the installation of rainwater tanks. For such policies to be effective it is vital for policy makers to understand how water is ‘consumed’ </w:t>
      </w:r>
      <w:r w:rsidRPr="00E4229C">
        <w:rPr>
          <w:rFonts w:cs="Arial"/>
        </w:rPr>
        <w:fldChar w:fldCharType="begin"/>
      </w:r>
      <w:r w:rsidRPr="00E4229C">
        <w:rPr>
          <w:rFonts w:cs="Arial"/>
        </w:rPr>
        <w:instrText xml:space="preserve"> ADDIN EN.CITE &lt;EndNote&gt;&lt;Cite&gt;&lt;Author&gt;Troy&lt;/Author&gt;&lt;Year&gt;2008&lt;/Year&gt;&lt;RecNum&gt;234&lt;/RecNum&gt;&lt;DisplayText&gt;(Troy, 2008)&lt;/DisplayText&gt;&lt;record&gt;&lt;rec-number&gt;234&lt;/rec-number&gt;&lt;foreign-keys&gt;&lt;key app="EN" db-id="wd2xatvs5e2wadeaa53pvef6sdtsa9rwv55d" timestamp="1470286542"&gt;234&lt;/key&gt;&lt;/foreign-keys&gt;&lt;ref-type name="Book"&gt;6&lt;/ref-type&gt;&lt;contributors&gt;&lt;authors&gt;&lt;author&gt;Troy, Patrick&lt;/author&gt;&lt;/authors&gt;&lt;/contributors&gt;&lt;titles&gt;&lt;title&gt;Troubled waters: Confronting the water crisis in Australia&amp;apos;s cities&lt;/title&gt;&lt;/titles&gt;&lt;dates&gt;&lt;year&gt;2008&lt;/year&gt;&lt;/dates&gt;&lt;publisher&gt;ANU Press&lt;/publisher&gt;&lt;isbn&gt;1921313846&lt;/isbn&gt;&lt;urls&gt;&lt;/urls&gt;&lt;/record&gt;&lt;/Cite&gt;&lt;/EndNote&gt;</w:instrText>
      </w:r>
      <w:r w:rsidRPr="00E4229C">
        <w:rPr>
          <w:rFonts w:cs="Arial"/>
        </w:rPr>
        <w:fldChar w:fldCharType="separate"/>
      </w:r>
      <w:r w:rsidRPr="00E4229C">
        <w:rPr>
          <w:rFonts w:cs="Arial"/>
        </w:rPr>
        <w:t>(Troy, 2008)</w:t>
      </w:r>
      <w:r w:rsidRPr="00E4229C">
        <w:rPr>
          <w:rFonts w:cs="Arial"/>
        </w:rPr>
        <w:fldChar w:fldCharType="end"/>
      </w:r>
      <w:r w:rsidRPr="00E4229C">
        <w:rPr>
          <w:rFonts w:cs="Arial"/>
        </w:rPr>
        <w:t>.</w:t>
      </w:r>
    </w:p>
    <w:p w14:paraId="62A2CB0F" w14:textId="77777777" w:rsidR="000D0A66" w:rsidRPr="00E4229C" w:rsidRDefault="000D0A66" w:rsidP="000D0A66">
      <w:pPr>
        <w:rPr>
          <w:rFonts w:cs="Arial"/>
        </w:rPr>
      </w:pPr>
      <w:r w:rsidRPr="00E4229C">
        <w:rPr>
          <w:rFonts w:cs="Arial"/>
        </w:rPr>
        <w:t xml:space="preserve">The present paper is concerned only with consumption of water by households. </w:t>
      </w:r>
      <w:r w:rsidR="00040043" w:rsidRPr="00E4229C">
        <w:rPr>
          <w:rFonts w:cs="Arial"/>
        </w:rPr>
        <w:t>Households consume</w:t>
      </w:r>
      <w:r w:rsidRPr="00E4229C">
        <w:rPr>
          <w:rFonts w:cs="Arial"/>
        </w:rPr>
        <w:t xml:space="preserve"> approximately 50% of </w:t>
      </w:r>
      <w:r w:rsidR="00040043" w:rsidRPr="00E4229C">
        <w:rPr>
          <w:rFonts w:cs="Arial"/>
        </w:rPr>
        <w:t xml:space="preserve">the </w:t>
      </w:r>
      <w:r w:rsidRPr="00E4229C">
        <w:rPr>
          <w:rFonts w:cs="Arial"/>
        </w:rPr>
        <w:t xml:space="preserve">water in Australia </w:t>
      </w:r>
      <w:r w:rsidRPr="00E4229C">
        <w:rPr>
          <w:rFonts w:cs="Arial"/>
        </w:rPr>
        <w:fldChar w:fldCharType="begin"/>
      </w:r>
      <w:r w:rsidR="00632FD2">
        <w:rPr>
          <w:rFonts w:cs="Arial"/>
        </w:rPr>
        <w:instrText xml:space="preserve"> ADDIN EN.CITE &lt;EndNote&gt;&lt;Cite&gt;&lt;Author&gt;Australian Bureau of Statistics&lt;/Author&gt;&lt;Year&gt;2016&lt;/Year&gt;&lt;RecNum&gt;256&lt;/RecNum&gt;&lt;DisplayText&gt;(Australian Bureau of Statistics, 2016)&lt;/DisplayText&gt;&lt;record&gt;&lt;rec-number&gt;256&lt;/rec-number&gt;&lt;foreign-keys&gt;&lt;key app="EN" db-id="wd2xatvs5e2wadeaa53pvef6sdtsa9rwv55d" timestamp="1499403101"&gt;256&lt;/key&gt;&lt;/foreign-keys&gt;&lt;ref-type name="Report"&gt;27&lt;/ref-type&gt;&lt;contributors&gt;&lt;authors&gt;&lt;author&gt;Australian Bureau of Statistics,&lt;/author&gt;&lt;/authors&gt;&lt;tertiary-authors&gt;&lt;author&gt;ABS&lt;/author&gt;&lt;/tertiary-authors&gt;&lt;/contributors&gt;&lt;titles&gt;&lt;title&gt;Cat 4610.0 - Water Account, Australia, 2014-15&lt;/title&gt;&lt;/titles&gt;&lt;dates&gt;&lt;year&gt;2016&lt;/year&gt;&lt;/dates&gt;&lt;pub-location&gt;Canberra&lt;/pub-location&gt;&lt;publisher&gt;ABS&lt;/publisher&gt;&lt;urls&gt;&lt;/urls&gt;&lt;/record&gt;&lt;/Cite&gt;&lt;/EndNote&gt;</w:instrText>
      </w:r>
      <w:r w:rsidRPr="00E4229C">
        <w:rPr>
          <w:rFonts w:cs="Arial"/>
        </w:rPr>
        <w:fldChar w:fldCharType="separate"/>
      </w:r>
      <w:r w:rsidR="00632FD2">
        <w:rPr>
          <w:rFonts w:cs="Arial"/>
          <w:noProof/>
        </w:rPr>
        <w:t>(Australian Bureau of Statistics, 2016)</w:t>
      </w:r>
      <w:r w:rsidRPr="00E4229C">
        <w:rPr>
          <w:rFonts w:cs="Arial"/>
        </w:rPr>
        <w:fldChar w:fldCharType="end"/>
      </w:r>
      <w:r w:rsidRPr="00E4229C">
        <w:rPr>
          <w:rFonts w:cs="Arial"/>
        </w:rPr>
        <w:t>. ‘Consumption’ is inc</w:t>
      </w:r>
      <w:r w:rsidR="006F76CB" w:rsidRPr="00E4229C">
        <w:rPr>
          <w:rFonts w:cs="Arial"/>
        </w:rPr>
        <w:t>lude</w:t>
      </w:r>
      <w:r w:rsidR="00B95353">
        <w:rPr>
          <w:rFonts w:cs="Arial"/>
        </w:rPr>
        <w:t>s</w:t>
      </w:r>
      <w:r w:rsidR="006F76CB" w:rsidRPr="00E4229C">
        <w:rPr>
          <w:rFonts w:cs="Arial"/>
        </w:rPr>
        <w:t xml:space="preserve"> all metered water ‘used’ by </w:t>
      </w:r>
      <w:r w:rsidRPr="00E4229C">
        <w:rPr>
          <w:rFonts w:cs="Arial"/>
        </w:rPr>
        <w:t>household</w:t>
      </w:r>
      <w:r w:rsidR="006F76CB" w:rsidRPr="00E4229C">
        <w:rPr>
          <w:rFonts w:cs="Arial"/>
        </w:rPr>
        <w:t>s</w:t>
      </w:r>
      <w:r w:rsidRPr="00E4229C">
        <w:rPr>
          <w:rFonts w:cs="Arial"/>
        </w:rPr>
        <w:t>. Most policies have approached water consumption by devising systems to supply water for a ‘once only use’ whether the water is ingested, used for pleasure or as the medium to transport waste (including human body wastes). Very little delivered water is directly consumed by ingestion. Most is transformed from highly cleaned water into a waste stream</w:t>
      </w:r>
      <w:r w:rsidR="00D52FC6" w:rsidRPr="00E4229C">
        <w:rPr>
          <w:rFonts w:cs="Arial"/>
        </w:rPr>
        <w:t xml:space="preserve"> </w:t>
      </w:r>
      <w:r w:rsidR="00D52FC6" w:rsidRPr="00E4229C">
        <w:rPr>
          <w:rFonts w:cs="Arial"/>
        </w:rPr>
        <w:fldChar w:fldCharType="begin"/>
      </w:r>
      <w:r w:rsidR="00D52FC6" w:rsidRPr="00E4229C">
        <w:rPr>
          <w:rFonts w:cs="Arial"/>
        </w:rPr>
        <w:instrText xml:space="preserve"> ADDIN EN.CITE &lt;EndNote&gt;&lt;Cite&gt;&lt;Author&gt;Archer&lt;/Author&gt;&lt;Year&gt;1991&lt;/Year&gt;&lt;RecNum&gt;269&lt;/RecNum&gt;&lt;DisplayText&gt;(Archer, 1991)&lt;/DisplayText&gt;&lt;record&gt;&lt;rec-number&gt;269&lt;/rec-number&gt;&lt;foreign-keys&gt;&lt;key app="EN" db-id="wd2xatvs5e2wadeaa53pvef6sdtsa9rwv55d" timestamp="1499829164"&gt;269&lt;/key&gt;&lt;/foreign-keys&gt;&lt;ref-type name="Book"&gt;6&lt;/ref-type&gt;&lt;contributors&gt;&lt;authors&gt;&lt;author&gt;Archer, John&lt;/author&gt;&lt;/authors&gt;&lt;/contributors&gt;&lt;titles&gt;&lt;title&gt;On the water front: making your water safe to drink&lt;/title&gt;&lt;/titles&gt;&lt;dates&gt;&lt;year&gt;1991&lt;/year&gt;&lt;/dates&gt;&lt;publisher&gt;Pure Water Press&lt;/publisher&gt;&lt;isbn&gt;0646043188&lt;/isbn&gt;&lt;urls&gt;&lt;/urls&gt;&lt;/record&gt;&lt;/Cite&gt;&lt;/EndNote&gt;</w:instrText>
      </w:r>
      <w:r w:rsidR="00D52FC6" w:rsidRPr="00E4229C">
        <w:rPr>
          <w:rFonts w:cs="Arial"/>
        </w:rPr>
        <w:fldChar w:fldCharType="separate"/>
      </w:r>
      <w:r w:rsidR="00D52FC6" w:rsidRPr="00E4229C">
        <w:rPr>
          <w:rFonts w:cs="Arial"/>
          <w:noProof/>
        </w:rPr>
        <w:t>(Archer, 1991)</w:t>
      </w:r>
      <w:r w:rsidR="00D52FC6" w:rsidRPr="00E4229C">
        <w:rPr>
          <w:rFonts w:cs="Arial"/>
        </w:rPr>
        <w:fldChar w:fldCharType="end"/>
      </w:r>
      <w:r w:rsidRPr="00E4229C">
        <w:rPr>
          <w:rFonts w:cs="Arial"/>
        </w:rPr>
        <w:t xml:space="preserve">. </w:t>
      </w:r>
    </w:p>
    <w:p w14:paraId="1A54FB35" w14:textId="77777777" w:rsidR="00040043" w:rsidRPr="00E4229C" w:rsidRDefault="00EA54AA" w:rsidP="008364E1">
      <w:pPr>
        <w:rPr>
          <w:rFonts w:cs="Arial"/>
        </w:rPr>
      </w:pPr>
      <w:r w:rsidRPr="00E4229C">
        <w:rPr>
          <w:rFonts w:cs="Arial"/>
        </w:rPr>
        <w:lastRenderedPageBreak/>
        <w:t xml:space="preserve">How </w:t>
      </w:r>
      <w:proofErr w:type="gramStart"/>
      <w:r w:rsidRPr="00E4229C">
        <w:rPr>
          <w:rFonts w:cs="Arial"/>
        </w:rPr>
        <w:t>water is consumed by households</w:t>
      </w:r>
      <w:proofErr w:type="gramEnd"/>
      <w:r w:rsidRPr="00E4229C">
        <w:rPr>
          <w:rFonts w:cs="Arial"/>
        </w:rPr>
        <w:t xml:space="preserve">, that is, the distribution among various end-uses, </w:t>
      </w:r>
      <w:r w:rsidR="000D0A66" w:rsidRPr="00E4229C">
        <w:rPr>
          <w:rFonts w:cs="Arial"/>
        </w:rPr>
        <w:t xml:space="preserve">is poorly </w:t>
      </w:r>
      <w:r w:rsidRPr="00E4229C">
        <w:rPr>
          <w:rFonts w:cs="Arial"/>
        </w:rPr>
        <w:t>understood. Estimating the distribution among households is important for establishing baselines against which policy success can be measured</w:t>
      </w:r>
      <w:r w:rsidR="000D0A66" w:rsidRPr="00E4229C">
        <w:rPr>
          <w:rFonts w:cs="Arial"/>
        </w:rPr>
        <w:t xml:space="preserve">. Beyond the essential life-preserving requirements, the factors affecting consumption remain largely unexplained despite 40 years of investigation </w:t>
      </w:r>
      <w:r w:rsidR="000D0A66" w:rsidRPr="00E4229C">
        <w:rPr>
          <w:rFonts w:cs="Arial"/>
        </w:rPr>
        <w:fldChar w:fldCharType="begin"/>
      </w:r>
      <w:r w:rsidR="000D0A66" w:rsidRPr="00E4229C">
        <w:rPr>
          <w:rFonts w:cs="Arial"/>
        </w:rPr>
        <w:instrText xml:space="preserve"> ADDIN EN.CITE &lt;EndNote&gt;&lt;Cite&gt;&lt;Author&gt;Tanverakul&lt;/Author&gt;&lt;Year&gt;2016&lt;/Year&gt;&lt;RecNum&gt;233&lt;/RecNum&gt;&lt;DisplayText&gt;(Tanverakul and Lee, 2016)&lt;/DisplayText&gt;&lt;record&gt;&lt;rec-number&gt;233&lt;/rec-number&gt;&lt;foreign-keys&gt;&lt;key app="EN" db-id="wd2xatvs5e2wadeaa53pvef6sdtsa9rwv55d" timestamp="1470272708"&gt;233&lt;/key&gt;&lt;/foreign-keys&gt;&lt;ref-type name="Journal Article"&gt;17&lt;/ref-type&gt;&lt;contributors&gt;&lt;authors&gt;&lt;author&gt;Tanverakul, Stephanie A&lt;/author&gt;&lt;author&gt;Lee, Juneseok&lt;/author&gt;&lt;/authors&gt;&lt;/contributors&gt;&lt;titles&gt;&lt;title&gt;Decadal review of residential water demand analysis from a practical perspective&lt;/title&gt;&lt;secondary-title&gt;Water Practice and Technology&lt;/secondary-title&gt;&lt;/titles&gt;&lt;periodical&gt;&lt;full-title&gt;Water Practice and Technology&lt;/full-title&gt;&lt;/periodical&gt;&lt;pages&gt;433-447&lt;/pages&gt;&lt;volume&gt;11&lt;/volume&gt;&lt;number&gt;2&lt;/number&gt;&lt;dates&gt;&lt;year&gt;2016&lt;/year&gt;&lt;/dates&gt;&lt;isbn&gt;1751-231X&lt;/isbn&gt;&lt;urls&gt;&lt;/urls&gt;&lt;/record&gt;&lt;/Cite&gt;&lt;/EndNote&gt;</w:instrText>
      </w:r>
      <w:r w:rsidR="000D0A66" w:rsidRPr="00E4229C">
        <w:rPr>
          <w:rFonts w:cs="Arial"/>
        </w:rPr>
        <w:fldChar w:fldCharType="separate"/>
      </w:r>
      <w:r w:rsidR="000D0A66" w:rsidRPr="00E4229C">
        <w:rPr>
          <w:rFonts w:cs="Arial"/>
          <w:noProof/>
        </w:rPr>
        <w:t>(Tanverakul and Lee, 2016)</w:t>
      </w:r>
      <w:r w:rsidR="000D0A66" w:rsidRPr="00E4229C">
        <w:rPr>
          <w:rFonts w:cs="Arial"/>
        </w:rPr>
        <w:fldChar w:fldCharType="end"/>
      </w:r>
      <w:r w:rsidR="000D0A66" w:rsidRPr="00E4229C">
        <w:rPr>
          <w:rFonts w:cs="Arial"/>
        </w:rPr>
        <w:t>. Durin</w:t>
      </w:r>
      <w:r w:rsidR="00E1204E">
        <w:rPr>
          <w:rFonts w:cs="Arial"/>
        </w:rPr>
        <w:t xml:space="preserve">g the droughts in Australia between </w:t>
      </w:r>
      <w:r w:rsidR="000D0A66" w:rsidRPr="00E4229C">
        <w:rPr>
          <w:rFonts w:cs="Arial"/>
        </w:rPr>
        <w:t>2001</w:t>
      </w:r>
      <w:r w:rsidR="00E1204E">
        <w:rPr>
          <w:rFonts w:cs="Arial"/>
        </w:rPr>
        <w:t xml:space="preserve"> and </w:t>
      </w:r>
      <w:r w:rsidR="000D0A66" w:rsidRPr="00E4229C">
        <w:rPr>
          <w:rFonts w:cs="Arial"/>
        </w:rPr>
        <w:t>2009</w:t>
      </w:r>
      <w:r w:rsidR="00E1204E">
        <w:rPr>
          <w:rFonts w:cs="Arial"/>
        </w:rPr>
        <w:t>,</w:t>
      </w:r>
      <w:r w:rsidR="000D0A66" w:rsidRPr="00E4229C">
        <w:rPr>
          <w:rFonts w:cs="Arial"/>
        </w:rPr>
        <w:t xml:space="preserve"> many governments enacted water restriction programs </w:t>
      </w:r>
      <w:r w:rsidR="000D0A66" w:rsidRPr="00E4229C">
        <w:rPr>
          <w:rFonts w:cs="Arial"/>
        </w:rPr>
        <w:fldChar w:fldCharType="begin"/>
      </w:r>
      <w:r w:rsidR="00040043" w:rsidRPr="00E4229C">
        <w:rPr>
          <w:rFonts w:cs="Arial"/>
        </w:rPr>
        <w:instrText xml:space="preserve"> ADDIN EN.CITE &lt;EndNote&gt;&lt;Cite&gt;&lt;Author&gt;Australia&lt;/Author&gt;&lt;Year&gt;2006&lt;/Year&gt;&lt;RecNum&gt;259&lt;/RecNum&gt;&lt;DisplayText&gt;(Australian National Water Commission et al., 2006)&lt;/DisplayText&gt;&lt;record&gt;&lt;rec-number&gt;259&lt;/rec-number&gt;&lt;foreign-keys&gt;&lt;key app="EN" db-id="wd2xatvs5e2wadeaa53pvef6sdtsa9rwv55d" timestamp="1499404413"&gt;259&lt;/key&gt;&lt;/foreign-keys&gt;&lt;ref-type name="Journal Article"&gt;17&lt;/ref-type&gt;&lt;contributors&gt;&lt;authors&gt;&lt;author&gt;Australian National Water Commission, &lt;/author&gt;&lt;author&gt;Water Services Association of Australia,&lt;/author&gt;&lt;author&gt;National Water Initiative (Australia),&lt;/author&gt;&lt;/authors&gt;&lt;/contributors&gt;&lt;titles&gt;&lt;title&gt;National performance report ... major urban water utilities&lt;/title&gt;&lt;/titles&gt;&lt;dates&gt;&lt;year&gt;2006&lt;/year&gt;&lt;/dates&gt;&lt;publisher&gt;Water Services Association of Australia&lt;/publisher&gt;&lt;isbn&gt;1834-3899&lt;/isbn&gt;&lt;urls&gt;&lt;/urls&gt;&lt;language&gt;English&lt;/language&gt;&lt;/record&gt;&lt;/Cite&gt;&lt;/EndNote&gt;</w:instrText>
      </w:r>
      <w:r w:rsidR="000D0A66" w:rsidRPr="00E4229C">
        <w:rPr>
          <w:rFonts w:cs="Arial"/>
        </w:rPr>
        <w:fldChar w:fldCharType="separate"/>
      </w:r>
      <w:r w:rsidR="00040043" w:rsidRPr="00E4229C">
        <w:rPr>
          <w:rFonts w:cs="Arial"/>
          <w:noProof/>
        </w:rPr>
        <w:t>(Australian National Water Commission et al., 2006)</w:t>
      </w:r>
      <w:r w:rsidR="000D0A66" w:rsidRPr="00E4229C">
        <w:rPr>
          <w:rFonts w:cs="Arial"/>
        </w:rPr>
        <w:fldChar w:fldCharType="end"/>
      </w:r>
      <w:r w:rsidR="000D0A66" w:rsidRPr="00E4229C">
        <w:rPr>
          <w:rFonts w:cs="Arial"/>
        </w:rPr>
        <w:t xml:space="preserve">. These policies typically penalised particular activities such as outdoor garden watering and therefor only penalised </w:t>
      </w:r>
      <w:r w:rsidR="00DB442C" w:rsidRPr="00E4229C">
        <w:rPr>
          <w:rFonts w:cs="Arial"/>
        </w:rPr>
        <w:t>some types of</w:t>
      </w:r>
      <w:r w:rsidR="000D0A66" w:rsidRPr="00E4229C">
        <w:rPr>
          <w:rFonts w:cs="Arial"/>
        </w:rPr>
        <w:t xml:space="preserve"> living arrangements such as those living in detached dwellings. A notable exception was the Target 140 campaign which did not restrict particular activities but instead limited total per capita consumption. Residents were free to use water within their 140 L per person per day allocation. This policy was arguably </w:t>
      </w:r>
      <w:r w:rsidR="00040043" w:rsidRPr="00E4229C">
        <w:rPr>
          <w:rFonts w:cs="Arial"/>
        </w:rPr>
        <w:t xml:space="preserve">equally </w:t>
      </w:r>
      <w:r w:rsidR="000D0A66" w:rsidRPr="00E4229C">
        <w:rPr>
          <w:rFonts w:cs="Arial"/>
        </w:rPr>
        <w:t xml:space="preserve">effective </w:t>
      </w:r>
      <w:r w:rsidR="000D0A66" w:rsidRPr="00E4229C">
        <w:rPr>
          <w:rFonts w:cs="Arial"/>
        </w:rPr>
        <w:fldChar w:fldCharType="begin"/>
      </w:r>
      <w:r w:rsidR="000D0A66" w:rsidRPr="00E4229C">
        <w:rPr>
          <w:rFonts w:cs="Arial"/>
        </w:rPr>
        <w:instrText xml:space="preserve"> ADDIN EN.CITE &lt;EndNote&gt;&lt;Cite&gt;&lt;Author&gt;Walton&lt;/Author&gt;&lt;Year&gt;2011&lt;/Year&gt;&lt;RecNum&gt;258&lt;/RecNum&gt;&lt;DisplayText&gt;(Walton and Hume, 2011)&lt;/DisplayText&gt;&lt;record&gt;&lt;rec-number&gt;258&lt;/rec-number&gt;&lt;foreign-keys&gt;&lt;key app="EN" db-id="wd2xatvs5e2wadeaa53pvef6sdtsa9rwv55d" timestamp="1499404011"&gt;258&lt;/key&gt;&lt;/foreign-keys&gt;&lt;ref-type name="Journal Article"&gt;17&lt;/ref-type&gt;&lt;contributors&gt;&lt;authors&gt;&lt;author&gt;Walton, Andrea&lt;/author&gt;&lt;author&gt;Hume, Margee&lt;/author&gt;&lt;/authors&gt;&lt;/contributors&gt;&lt;titles&gt;&lt;title&gt;Creating positive habits in water conservation: the case of the Queensland Water Commission and the Target 140 campaign&lt;/title&gt;&lt;secondary-title&gt;International Journal of Nonprofit and Voluntary Sector Marketing&lt;/secondary-title&gt;&lt;/titles&gt;&lt;periodical&gt;&lt;full-title&gt;International Journal of Nonprofit and Voluntary Sector Marketing&lt;/full-title&gt;&lt;/periodical&gt;&lt;pages&gt;215-224&lt;/pages&gt;&lt;volume&gt;16&lt;/volume&gt;&lt;number&gt;3&lt;/number&gt;&lt;dates&gt;&lt;year&gt;2011&lt;/year&gt;&lt;/dates&gt;&lt;isbn&gt;1479-103X&lt;/isbn&gt;&lt;urls&gt;&lt;/urls&gt;&lt;/record&gt;&lt;/Cite&gt;&lt;/EndNote&gt;</w:instrText>
      </w:r>
      <w:r w:rsidR="000D0A66" w:rsidRPr="00E4229C">
        <w:rPr>
          <w:rFonts w:cs="Arial"/>
        </w:rPr>
        <w:fldChar w:fldCharType="separate"/>
      </w:r>
      <w:r w:rsidR="000D0A66" w:rsidRPr="00E4229C">
        <w:rPr>
          <w:rFonts w:cs="Arial"/>
          <w:noProof/>
        </w:rPr>
        <w:t>(Walton and Hume, 2011)</w:t>
      </w:r>
      <w:r w:rsidR="000D0A66" w:rsidRPr="00E4229C">
        <w:rPr>
          <w:rFonts w:cs="Arial"/>
        </w:rPr>
        <w:fldChar w:fldCharType="end"/>
      </w:r>
      <w:r w:rsidR="000D0A66" w:rsidRPr="00E4229C">
        <w:rPr>
          <w:rFonts w:cs="Arial"/>
        </w:rPr>
        <w:t xml:space="preserve"> but far less oppressive</w:t>
      </w:r>
      <w:r w:rsidR="00E1204E">
        <w:rPr>
          <w:rFonts w:cs="Arial"/>
        </w:rPr>
        <w:t xml:space="preserve"> than policies that penalised certain uses of water</w:t>
      </w:r>
      <w:r w:rsidR="000D0A66" w:rsidRPr="00E4229C">
        <w:rPr>
          <w:rFonts w:cs="Arial"/>
        </w:rPr>
        <w:t>.</w:t>
      </w:r>
      <w:r w:rsidR="008364E1" w:rsidRPr="00E4229C">
        <w:rPr>
          <w:rFonts w:cs="Arial"/>
        </w:rPr>
        <w:t xml:space="preserve"> </w:t>
      </w:r>
    </w:p>
    <w:p w14:paraId="4935E44A" w14:textId="77777777" w:rsidR="00FA50B6" w:rsidRPr="00E4229C" w:rsidRDefault="00040043" w:rsidP="008364E1">
      <w:pPr>
        <w:rPr>
          <w:rFonts w:cs="Arial"/>
        </w:rPr>
      </w:pPr>
      <w:r w:rsidRPr="00E4229C">
        <w:rPr>
          <w:rFonts w:cs="Arial"/>
        </w:rPr>
        <w:t xml:space="preserve">The current work focusses on </w:t>
      </w:r>
      <w:r w:rsidR="00E1204E">
        <w:rPr>
          <w:rFonts w:cs="Arial"/>
        </w:rPr>
        <w:t>average (</w:t>
      </w:r>
      <w:r w:rsidRPr="00E4229C">
        <w:rPr>
          <w:rFonts w:cs="Arial"/>
        </w:rPr>
        <w:t>mean</w:t>
      </w:r>
      <w:r w:rsidR="00E1204E">
        <w:rPr>
          <w:rFonts w:cs="Arial"/>
        </w:rPr>
        <w:t>)</w:t>
      </w:r>
      <w:r w:rsidRPr="00E4229C">
        <w:rPr>
          <w:rFonts w:cs="Arial"/>
        </w:rPr>
        <w:t xml:space="preserve"> consumption </w:t>
      </w:r>
      <w:r w:rsidR="00F04D7B">
        <w:rPr>
          <w:rFonts w:cs="Arial"/>
        </w:rPr>
        <w:t>by</w:t>
      </w:r>
      <w:r w:rsidRPr="00E4229C">
        <w:rPr>
          <w:rFonts w:cs="Arial"/>
        </w:rPr>
        <w:t xml:space="preserve"> households and </w:t>
      </w:r>
      <w:r w:rsidR="00F04D7B">
        <w:rPr>
          <w:rFonts w:cs="Arial"/>
        </w:rPr>
        <w:t xml:space="preserve">on </w:t>
      </w:r>
      <w:r w:rsidRPr="00E4229C">
        <w:rPr>
          <w:rFonts w:cs="Arial"/>
        </w:rPr>
        <w:t xml:space="preserve">those households that use high, or </w:t>
      </w:r>
      <w:r w:rsidR="00F04D7B">
        <w:rPr>
          <w:rFonts w:cs="Arial"/>
        </w:rPr>
        <w:t>‘</w:t>
      </w:r>
      <w:r w:rsidRPr="00E4229C">
        <w:rPr>
          <w:rFonts w:cs="Arial"/>
        </w:rPr>
        <w:t>extreme</w:t>
      </w:r>
      <w:r w:rsidR="00F04D7B">
        <w:rPr>
          <w:rFonts w:cs="Arial"/>
        </w:rPr>
        <w:t>’</w:t>
      </w:r>
      <w:r w:rsidRPr="00E4229C">
        <w:rPr>
          <w:rFonts w:cs="Arial"/>
        </w:rPr>
        <w:t xml:space="preserve"> quantities of water. </w:t>
      </w:r>
      <w:r w:rsidR="00F04D7B" w:rsidRPr="00E4229C">
        <w:rPr>
          <w:rFonts w:cs="Arial"/>
        </w:rPr>
        <w:t>The average (mean) consumption of water is valuable in evaluating the effectiveness of directed policies like rainwater tank installation or toilet replacement programs</w:t>
      </w:r>
      <w:r w:rsidR="00F04D7B">
        <w:rPr>
          <w:rFonts w:cs="Arial"/>
        </w:rPr>
        <w:t xml:space="preserve">. </w:t>
      </w:r>
      <w:r w:rsidRPr="00E4229C">
        <w:rPr>
          <w:rFonts w:cs="Arial"/>
        </w:rPr>
        <w:t xml:space="preserve">The social equity (fairness) of different policies can only be evaluated with </w:t>
      </w:r>
      <w:r w:rsidR="008364E1" w:rsidRPr="00E4229C">
        <w:rPr>
          <w:rFonts w:cs="Arial"/>
        </w:rPr>
        <w:t>knowledge of the factors leading to high consumption</w:t>
      </w:r>
      <w:r w:rsidRPr="00E4229C">
        <w:rPr>
          <w:rFonts w:cs="Arial"/>
        </w:rPr>
        <w:t xml:space="preserve">. </w:t>
      </w:r>
    </w:p>
    <w:p w14:paraId="3383C207" w14:textId="77777777" w:rsidR="000D0A66" w:rsidRPr="00E4229C" w:rsidRDefault="000D0A66" w:rsidP="000D0A66">
      <w:pPr>
        <w:rPr>
          <w:rFonts w:cs="Arial"/>
        </w:rPr>
      </w:pPr>
      <w:r w:rsidRPr="00E4229C">
        <w:rPr>
          <w:rFonts w:cs="Arial"/>
        </w:rPr>
        <w:t xml:space="preserve">Estimates of the distribution of water consumption among households </w:t>
      </w:r>
      <w:r w:rsidR="00DB442C" w:rsidRPr="00E4229C">
        <w:rPr>
          <w:rFonts w:cs="Arial"/>
        </w:rPr>
        <w:t>are</w:t>
      </w:r>
      <w:r w:rsidRPr="00E4229C">
        <w:rPr>
          <w:rFonts w:cs="Arial"/>
        </w:rPr>
        <w:t xml:space="preserve"> typically produced using expensive and invasive household surveys. Such surveys typically attempt</w:t>
      </w:r>
      <w:r w:rsidR="00DB442C" w:rsidRPr="00E4229C">
        <w:rPr>
          <w:rFonts w:cs="Arial"/>
        </w:rPr>
        <w:t xml:space="preserve"> to</w:t>
      </w:r>
      <w:r w:rsidRPr="00E4229C">
        <w:rPr>
          <w:rFonts w:cs="Arial"/>
        </w:rPr>
        <w:t xml:space="preserve"> estimate water use of each appliance in a </w:t>
      </w:r>
      <w:r w:rsidR="00DB442C" w:rsidRPr="00E4229C">
        <w:rPr>
          <w:rFonts w:cs="Arial"/>
        </w:rPr>
        <w:t>dwelling</w:t>
      </w:r>
      <w:r w:rsidRPr="00E4229C">
        <w:rPr>
          <w:rFonts w:cs="Arial"/>
        </w:rPr>
        <w:t>; so called end-use surveys. The Australian Bureau of Statistics undertook self-reported end-use water surveys by randomly sampling households. The survey was relatively small indicating a belief in low variability in consumption distribution</w:t>
      </w:r>
      <w:r w:rsidR="00DB442C" w:rsidRPr="00E4229C">
        <w:rPr>
          <w:rFonts w:cs="Arial"/>
        </w:rPr>
        <w:t xml:space="preserve"> among households. For example, i</w:t>
      </w:r>
      <w:r w:rsidRPr="00E4229C">
        <w:rPr>
          <w:rFonts w:cs="Arial"/>
        </w:rPr>
        <w:t xml:space="preserve">n New South Wales, 7000 households were sampled from a population of approximately 2.3 million </w:t>
      </w:r>
      <w:r w:rsidRPr="00E4229C">
        <w:rPr>
          <w:rFonts w:cs="Arial"/>
        </w:rPr>
        <w:fldChar w:fldCharType="begin"/>
      </w:r>
      <w:r w:rsidR="00632FD2">
        <w:rPr>
          <w:rFonts w:cs="Arial"/>
        </w:rPr>
        <w:instrText xml:space="preserve"> ADDIN EN.CITE &lt;EndNote&gt;&lt;Cite&gt;&lt;Author&gt;Australian Bureau of Statistics&lt;/Author&gt;&lt;Year&gt;2006&lt;/Year&gt;&lt;RecNum&gt;260&lt;/RecNum&gt;&lt;DisplayText&gt;(Australian Bureau of Statistics, 2006)&lt;/DisplayText&gt;&lt;record&gt;&lt;rec-number&gt;260&lt;/rec-number&gt;&lt;foreign-keys&gt;&lt;key app="EN" db-id="wd2xatvs5e2wadeaa53pvef6sdtsa9rwv55d" timestamp="1499411214"&gt;260&lt;/key&gt;&lt;/foreign-keys&gt;&lt;ref-type name="Report"&gt;27&lt;/ref-type&gt;&lt;contributors&gt;&lt;authors&gt;&lt;author&gt;Australian Bureau of Statistics,&lt;/author&gt;&lt;/authors&gt;&lt;/contributors&gt;&lt;titles&gt;&lt;title&gt;Cat 4652.5 - Domestic Water and Energy Use, Western Australia, Oct 2006  &lt;/title&gt;&lt;/titles&gt;&lt;dates&gt;&lt;year&gt;2006&lt;/year&gt;&lt;/dates&gt;&lt;pub-location&gt;Canberra&lt;/pub-location&gt;&lt;publisher&gt;ABS&lt;/publisher&gt;&lt;urls&gt;&lt;/urls&gt;&lt;/record&gt;&lt;/Cite&gt;&lt;/EndNote&gt;</w:instrText>
      </w:r>
      <w:r w:rsidRPr="00E4229C">
        <w:rPr>
          <w:rFonts w:cs="Arial"/>
        </w:rPr>
        <w:fldChar w:fldCharType="separate"/>
      </w:r>
      <w:r w:rsidR="00632FD2">
        <w:rPr>
          <w:rFonts w:cs="Arial"/>
          <w:noProof/>
        </w:rPr>
        <w:t>(Australian Bureau of Statistics, 2006)</w:t>
      </w:r>
      <w:r w:rsidRPr="00E4229C">
        <w:rPr>
          <w:rFonts w:cs="Arial"/>
        </w:rPr>
        <w:fldChar w:fldCharType="end"/>
      </w:r>
      <w:r w:rsidRPr="00E4229C">
        <w:rPr>
          <w:rFonts w:cs="Arial"/>
        </w:rPr>
        <w:t xml:space="preserve">. </w:t>
      </w:r>
      <w:r w:rsidRPr="00E4229C">
        <w:rPr>
          <w:rFonts w:cs="Arial"/>
        </w:rPr>
        <w:fldChar w:fldCharType="begin"/>
      </w:r>
      <w:r w:rsidRPr="00E4229C">
        <w:rPr>
          <w:rFonts w:cs="Arial"/>
        </w:rPr>
        <w:instrText xml:space="preserve"> ADDIN EN.CITE &lt;EndNote&gt;&lt;Cite AuthorYear="1"&gt;&lt;Author&gt;Reinhardt&lt;/Author&gt;&lt;Year&gt;2015&lt;/Year&gt;&lt;RecNum&gt;268&lt;/RecNum&gt;&lt;DisplayText&gt;Reinhardt (2015)&lt;/DisplayText&gt;&lt;record&gt;&lt;rec-number&gt;268&lt;/rec-number&gt;&lt;foreign-keys&gt;&lt;key app="EN" db-id="wd2xatvs5e2wadeaa53pvef6sdtsa9rwv55d" timestamp="1499579915"&gt;268&lt;/key&gt;&lt;/foreign-keys&gt;&lt;ref-type name="Thesis"&gt;32&lt;/ref-type&gt;&lt;contributors&gt;&lt;authors&gt;&lt;author&gt;Reinhardt, Walter;&lt;/author&gt;&lt;/authors&gt;&lt;/contributors&gt;&lt;titles&gt;&lt;title&gt;Knowing more, using less: The prospects for household-led change in energy and water systems&lt;/title&gt;&lt;secondary-title&gt;Fenner School of Environment and Society&lt;/secondary-title&gt;&lt;/titles&gt;&lt;dates&gt;&lt;year&gt;2015&lt;/year&gt;&lt;/dates&gt;&lt;pub-location&gt;Canberra&lt;/pub-location&gt;&lt;publisher&gt;Australian National University&lt;/publisher&gt;&lt;urls&gt;&lt;/urls&gt;&lt;/record&gt;&lt;/Cite&gt;&lt;/EndNote&gt;</w:instrText>
      </w:r>
      <w:r w:rsidRPr="00E4229C">
        <w:rPr>
          <w:rFonts w:cs="Arial"/>
        </w:rPr>
        <w:fldChar w:fldCharType="separate"/>
      </w:r>
      <w:r w:rsidRPr="00E4229C">
        <w:rPr>
          <w:rFonts w:cs="Arial"/>
          <w:noProof/>
        </w:rPr>
        <w:t>Reinhardt (2015)</w:t>
      </w:r>
      <w:r w:rsidRPr="00E4229C">
        <w:rPr>
          <w:rFonts w:cs="Arial"/>
        </w:rPr>
        <w:fldChar w:fldCharType="end"/>
      </w:r>
      <w:r w:rsidRPr="00E4229C">
        <w:rPr>
          <w:rFonts w:cs="Arial"/>
        </w:rPr>
        <w:t xml:space="preserve"> as part of his doctoral thesis undertook a panel survey to investigate the prospects for household-led change in energy and water consumptions. The survey was undertaken by a third-party survey company. A total of 1254 responses were received at, typical of outsourced surveys, </w:t>
      </w:r>
      <w:r w:rsidR="00DB442C" w:rsidRPr="00E4229C">
        <w:rPr>
          <w:rFonts w:cs="Arial"/>
        </w:rPr>
        <w:t xml:space="preserve">approximately </w:t>
      </w:r>
      <w:r w:rsidRPr="00E4229C">
        <w:rPr>
          <w:rFonts w:cs="Arial"/>
        </w:rPr>
        <w:t>$10 per response.</w:t>
      </w:r>
    </w:p>
    <w:p w14:paraId="60B74388" w14:textId="77777777" w:rsidR="00F51E6D" w:rsidRPr="00E4229C" w:rsidRDefault="00DB442C" w:rsidP="007B69B2">
      <w:pPr>
        <w:rPr>
          <w:rFonts w:cs="Arial"/>
        </w:rPr>
      </w:pPr>
      <w:r w:rsidRPr="00E4229C">
        <w:rPr>
          <w:rFonts w:cs="Arial"/>
        </w:rPr>
        <w:t>Detailed e</w:t>
      </w:r>
      <w:r w:rsidR="000D0A66" w:rsidRPr="00E4229C">
        <w:rPr>
          <w:rFonts w:cs="Arial"/>
        </w:rPr>
        <w:t xml:space="preserve">nd-use surveys typically involve continued monitoring of water consumption, for example, every 5 minutes </w:t>
      </w:r>
      <w:r w:rsidRPr="00E4229C">
        <w:rPr>
          <w:rFonts w:cs="Arial"/>
        </w:rPr>
        <w:t>and for</w:t>
      </w:r>
      <w:r w:rsidR="000D0A66" w:rsidRPr="00E4229C">
        <w:rPr>
          <w:rFonts w:cs="Arial"/>
        </w:rPr>
        <w:t xml:space="preserve"> each household appliance. </w:t>
      </w:r>
      <w:r w:rsidR="000D0A66" w:rsidRPr="00E4229C">
        <w:rPr>
          <w:rFonts w:cs="Arial"/>
        </w:rPr>
        <w:fldChar w:fldCharType="begin"/>
      </w:r>
      <w:r w:rsidR="000D0A66" w:rsidRPr="00E4229C">
        <w:rPr>
          <w:rFonts w:cs="Arial"/>
        </w:rPr>
        <w:instrText xml:space="preserve"> ADDIN EN.CITE &lt;EndNote&gt;&lt;Cite AuthorYear="1"&gt;&lt;Author&gt;Mayer&lt;/Author&gt;&lt;Year&gt;1999&lt;/Year&gt;&lt;RecNum&gt;246&lt;/RecNum&gt;&lt;DisplayText&gt;Mayer et al. (1999)&lt;/DisplayText&gt;&lt;record&gt;&lt;rec-number&gt;246&lt;/rec-number&gt;&lt;foreign-keys&gt;&lt;key app="EN" db-id="wd2xatvs5e2wadeaa53pvef6sdtsa9rwv55d" timestamp="1470709012"&gt;246&lt;/key&gt;&lt;/foreign-keys&gt;&lt;ref-type name="Report"&gt;27&lt;/ref-type&gt;&lt;contributors&gt;&lt;authors&gt;&lt;author&gt;Mayer, Peter W&lt;/author&gt;&lt;author&gt;DeOreo, William B&lt;/author&gt;&lt;author&gt;Opitz, Eva M&lt;/author&gt;&lt;author&gt;Kiefer, Jack C&lt;/author&gt;&lt;author&gt;Davis, William Y&lt;/author&gt;&lt;author&gt;Dziegielewski, Benedykt&lt;/author&gt;&lt;author&gt;Nelson, John Olaf&lt;/author&gt;&lt;/authors&gt;&lt;/contributors&gt;&lt;titles&gt;&lt;title&gt;Residential end uses of water&lt;/title&gt;&lt;/titles&gt;&lt;dates&gt;&lt;year&gt;1999&lt;/year&gt;&lt;/dates&gt;&lt;pub-location&gt;Denver, CO&lt;/pub-location&gt;&lt;publisher&gt;American Water Works Association Research Foundation&lt;/publisher&gt;&lt;urls&gt;&lt;/urls&gt;&lt;/record&gt;&lt;/Cite&gt;&lt;/EndNote&gt;</w:instrText>
      </w:r>
      <w:r w:rsidR="000D0A66" w:rsidRPr="00E4229C">
        <w:rPr>
          <w:rFonts w:cs="Arial"/>
        </w:rPr>
        <w:fldChar w:fldCharType="separate"/>
      </w:r>
      <w:r w:rsidR="000D0A66" w:rsidRPr="00E4229C">
        <w:rPr>
          <w:rFonts w:cs="Arial"/>
          <w:noProof/>
        </w:rPr>
        <w:t>Mayer et al. (1999)</w:t>
      </w:r>
      <w:r w:rsidR="000D0A66" w:rsidRPr="00E4229C">
        <w:rPr>
          <w:rFonts w:cs="Arial"/>
        </w:rPr>
        <w:fldChar w:fldCharType="end"/>
      </w:r>
      <w:r w:rsidR="000D0A66" w:rsidRPr="00E4229C">
        <w:rPr>
          <w:rFonts w:cs="Arial"/>
        </w:rPr>
        <w:t xml:space="preserve"> conducted an early example of end-use monitoring. They logged consumption</w:t>
      </w:r>
      <w:r w:rsidRPr="00E4229C">
        <w:rPr>
          <w:rFonts w:cs="Arial"/>
        </w:rPr>
        <w:t xml:space="preserve"> in</w:t>
      </w:r>
      <w:r w:rsidR="000D0A66" w:rsidRPr="00E4229C">
        <w:rPr>
          <w:rFonts w:cs="Arial"/>
        </w:rPr>
        <w:t xml:space="preserve"> 1188 households in the United States but sensibly did not make statistical inferences from their results, instead noting the diversity of consumption patterns. More recent studies have often monitored fewer households but made larger claims of the significance of their findings. </w:t>
      </w:r>
      <w:r w:rsidR="000D0A66" w:rsidRPr="00E4229C">
        <w:rPr>
          <w:rFonts w:cs="Arial"/>
        </w:rPr>
        <w:fldChar w:fldCharType="begin"/>
      </w:r>
      <w:r w:rsidR="000D0A66" w:rsidRPr="00E4229C">
        <w:rPr>
          <w:rFonts w:cs="Arial"/>
        </w:rPr>
        <w:instrText xml:space="preserve"> ADDIN EN.CITE &lt;EndNote&gt;&lt;Cite AuthorYear="1"&gt;&lt;Author&gt;Heinrich&lt;/Author&gt;&lt;Year&gt;2007&lt;/Year&gt;&lt;RecNum&gt;261&lt;/RecNum&gt;&lt;DisplayText&gt;Heinrich (2007)&lt;/DisplayText&gt;&lt;record&gt;&lt;rec-number&gt;261&lt;/rec-number&gt;&lt;foreign-keys&gt;&lt;key app="EN" db-id="wd2xatvs5e2wadeaa53pvef6sdtsa9rwv55d" timestamp="1499412240"&gt;261&lt;/key&gt;&lt;/foreign-keys&gt;&lt;ref-type name="Journal Article"&gt;17&lt;/ref-type&gt;&lt;contributors&gt;&lt;authors&gt;&lt;author&gt;Heinrich, M&lt;/author&gt;&lt;/authors&gt;&lt;/contributors&gt;&lt;titles&gt;&lt;title&gt;Water end use and efficiency project (WEEP)–final report, BRANZ study report 159&lt;/title&gt;&lt;secondary-title&gt;Branz, Judgeford, New Zealand&lt;/secondary-title&gt;&lt;/titles&gt;&lt;periodical&gt;&lt;full-title&gt;Branz, Judgeford, New Zealand&lt;/full-title&gt;&lt;/periodical&gt;&lt;dates&gt;&lt;year&gt;2007&lt;/year&gt;&lt;/dates&gt;&lt;urls&gt;&lt;/urls&gt;&lt;/record&gt;&lt;/Cite&gt;&lt;/EndNote&gt;</w:instrText>
      </w:r>
      <w:r w:rsidR="000D0A66" w:rsidRPr="00E4229C">
        <w:rPr>
          <w:rFonts w:cs="Arial"/>
        </w:rPr>
        <w:fldChar w:fldCharType="separate"/>
      </w:r>
      <w:r w:rsidR="000D0A66" w:rsidRPr="00E4229C">
        <w:rPr>
          <w:rFonts w:cs="Arial"/>
          <w:noProof/>
        </w:rPr>
        <w:t>Heinrich (2007)</w:t>
      </w:r>
      <w:r w:rsidR="000D0A66" w:rsidRPr="00E4229C">
        <w:rPr>
          <w:rFonts w:cs="Arial"/>
        </w:rPr>
        <w:fldChar w:fldCharType="end"/>
      </w:r>
      <w:r w:rsidR="000D0A66" w:rsidRPr="00E4229C">
        <w:rPr>
          <w:rFonts w:cs="Arial"/>
        </w:rPr>
        <w:t xml:space="preserve"> analysed consumption patterns in 12 households in New Zealand and suggested that installing low flow shower heads and water efficient washing machines would have the highest effect in reducing water consumption. Three major end-use studies have been performed in Australia. </w:t>
      </w:r>
      <w:r w:rsidR="000D0A66" w:rsidRPr="00E4229C">
        <w:rPr>
          <w:rFonts w:cs="Arial"/>
        </w:rPr>
        <w:fldChar w:fldCharType="begin"/>
      </w:r>
      <w:r w:rsidR="000D0A66" w:rsidRPr="00E4229C">
        <w:rPr>
          <w:rFonts w:cs="Arial"/>
        </w:rPr>
        <w:instrText xml:space="preserve"> ADDIN EN.CITE &lt;EndNote&gt;&lt;Cite AuthorYear="1"&gt;&lt;Author&gt;Beal&lt;/Author&gt;&lt;Year&gt;2011&lt;/Year&gt;&lt;RecNum&gt;257&lt;/RecNum&gt;&lt;DisplayText&gt;Beal et al. (2011)&lt;/DisplayText&gt;&lt;record&gt;&lt;rec-number&gt;257&lt;/rec-number&gt;&lt;foreign-keys&gt;&lt;key app="EN" db-id="wd2xatvs5e2wadeaa53pvef6sdtsa9rwv55d" timestamp="1499403337"&gt;257&lt;/key&gt;&lt;/foreign-keys&gt;&lt;ref-type name="Book"&gt;6&lt;/ref-type&gt;&lt;contributors&gt;&lt;authors&gt;&lt;author&gt;Beal, Cara&lt;/author&gt;&lt;author&gt;Stewart, Rodney&lt;/author&gt;&lt;author&gt;Huang, T&lt;/author&gt;&lt;author&gt;Rey, E&lt;/author&gt;&lt;/authors&gt;&lt;/contributors&gt;&lt;titles&gt;&lt;title&gt;South east queensland residential end use study&lt;/title&gt;&lt;/titles&gt;&lt;dates&gt;&lt;year&gt;2011&lt;/year&gt;&lt;/dates&gt;&lt;publisher&gt;Urban Water Security Research Alliance Brisbane, Australia&lt;/publisher&gt;&lt;urls&gt;&lt;/urls&gt;&lt;/record&gt;&lt;/Cite&gt;&lt;/EndNote&gt;</w:instrText>
      </w:r>
      <w:r w:rsidR="000D0A66" w:rsidRPr="00E4229C">
        <w:rPr>
          <w:rFonts w:cs="Arial"/>
        </w:rPr>
        <w:fldChar w:fldCharType="separate"/>
      </w:r>
      <w:r w:rsidR="000D0A66" w:rsidRPr="00E4229C">
        <w:rPr>
          <w:rFonts w:cs="Arial"/>
        </w:rPr>
        <w:t>Beal et al. (2011)</w:t>
      </w:r>
      <w:r w:rsidR="000D0A66" w:rsidRPr="00E4229C">
        <w:rPr>
          <w:rFonts w:cs="Arial"/>
        </w:rPr>
        <w:fldChar w:fldCharType="end"/>
      </w:r>
      <w:r w:rsidR="000D0A66" w:rsidRPr="00E4229C">
        <w:rPr>
          <w:rFonts w:cs="Arial"/>
        </w:rPr>
        <w:t xml:space="preserve"> analysed end-use consumption in 252 homes South East Queensland as part of a $50 million project which focused on water security and water recycling. The result</w:t>
      </w:r>
      <w:r w:rsidRPr="00E4229C">
        <w:rPr>
          <w:rFonts w:cs="Arial"/>
        </w:rPr>
        <w:t>s</w:t>
      </w:r>
      <w:r w:rsidR="000D0A66" w:rsidRPr="00E4229C">
        <w:rPr>
          <w:rFonts w:cs="Arial"/>
        </w:rPr>
        <w:t xml:space="preserve"> of this work were widely reported, </w:t>
      </w:r>
      <w:r w:rsidR="000D0A66" w:rsidRPr="00E4229C">
        <w:rPr>
          <w:rFonts w:cs="Arial"/>
        </w:rPr>
        <w:fldChar w:fldCharType="begin">
          <w:fldData xml:space="preserve">PEVuZE5vdGU+PENpdGU+PEF1dGhvcj5XaWxsaXM8L0F1dGhvcj48WWVhcj4yMDA5PC9ZZWFyPjxS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</w:fldData>
        </w:fldChar>
      </w:r>
      <w:r w:rsidR="000D0A66" w:rsidRPr="00E4229C">
        <w:rPr>
          <w:rFonts w:cs="Arial"/>
        </w:rPr>
        <w:instrText xml:space="preserve"> ADDIN EN.CITE </w:instrText>
      </w:r>
      <w:r w:rsidR="000D0A66" w:rsidRPr="00E4229C">
        <w:rPr>
          <w:rFonts w:cs="Arial"/>
        </w:rPr>
        <w:fldChar w:fldCharType="begin">
          <w:fldData xml:space="preserve">PEVuZE5vdGU+PENpdGU+PEF1dGhvcj5XaWxsaXM8L0F1dGhvcj48WWVhcj4yMDA5PC9ZZWFyPjxS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</w:fldData>
        </w:fldChar>
      </w:r>
      <w:r w:rsidR="000D0A66" w:rsidRPr="00E4229C">
        <w:rPr>
          <w:rFonts w:cs="Arial"/>
        </w:rPr>
        <w:instrText xml:space="preserve"> ADDIN EN.CITE.DATA </w:instrText>
      </w:r>
      <w:r w:rsidR="000D0A66" w:rsidRPr="00E4229C">
        <w:rPr>
          <w:rFonts w:cs="Arial"/>
        </w:rPr>
      </w:r>
      <w:r w:rsidR="000D0A66" w:rsidRPr="00E4229C">
        <w:rPr>
          <w:rFonts w:cs="Arial"/>
        </w:rPr>
        <w:fldChar w:fldCharType="end"/>
      </w:r>
      <w:r w:rsidR="000D0A66" w:rsidRPr="00E4229C">
        <w:rPr>
          <w:rFonts w:cs="Arial"/>
        </w:rPr>
      </w:r>
      <w:r w:rsidR="000D0A66" w:rsidRPr="00E4229C">
        <w:rPr>
          <w:rFonts w:cs="Arial"/>
        </w:rPr>
        <w:fldChar w:fldCharType="separate"/>
      </w:r>
      <w:r w:rsidR="000D0A66" w:rsidRPr="00E4229C">
        <w:rPr>
          <w:rFonts w:cs="Arial"/>
          <w:noProof/>
        </w:rPr>
        <w:t>(for example, Willis et al., 2009, Willis et al., 2010, Willis et al., 2011)</w:t>
      </w:r>
      <w:r w:rsidR="000D0A66" w:rsidRPr="00E4229C">
        <w:rPr>
          <w:rFonts w:cs="Arial"/>
        </w:rPr>
        <w:fldChar w:fldCharType="end"/>
      </w:r>
      <w:r w:rsidR="000D0A66" w:rsidRPr="00E4229C">
        <w:rPr>
          <w:rFonts w:cs="Arial"/>
        </w:rPr>
        <w:t xml:space="preserve">. </w:t>
      </w:r>
      <w:r w:rsidR="000D0A66" w:rsidRPr="00E4229C">
        <w:rPr>
          <w:rFonts w:cs="Arial"/>
        </w:rPr>
        <w:fldChar w:fldCharType="begin"/>
      </w:r>
      <w:r w:rsidR="000D0A66" w:rsidRPr="00E4229C">
        <w:rPr>
          <w:rFonts w:cs="Arial"/>
        </w:rPr>
        <w:instrText xml:space="preserve"> ADDIN EN.CITE &lt;EndNote&gt;&lt;Cite AuthorYear="1"&gt;&lt;Author&gt;Loh&lt;/Author&gt;&lt;Year&gt;2003&lt;/Year&gt;&lt;RecNum&gt;262&lt;/RecNum&gt;&lt;DisplayText&gt;Loh and Coghlan (2003)&lt;/DisplayText&gt;&lt;record&gt;&lt;rec-number&gt;262&lt;/rec-number&gt;&lt;foreign-keys&gt;&lt;key app="EN" db-id="wd2xatvs5e2wadeaa53pvef6sdtsa9rwv55d" timestamp="1499412981"&gt;262&lt;/key&gt;&lt;/foreign-keys&gt;&lt;ref-type name="Book"&gt;6&lt;/ref-type&gt;&lt;contributors&gt;&lt;authors&gt;&lt;author&gt;Loh, Michael&lt;/author&gt;&lt;author&gt;Coghlan, Peter&lt;/author&gt;&lt;/authors&gt;&lt;/contributors&gt;&lt;titles&gt;&lt;title&gt;Domestic water use study in Perth, Western Australia, 1998-2001&lt;/title&gt;&lt;/titles&gt;&lt;dates&gt;&lt;year&gt;2003&lt;/year&gt;&lt;/dates&gt;&lt;publisher&gt;Water Corporation Perth&lt;/publisher&gt;&lt;isbn&gt;1740431235&lt;/isbn&gt;&lt;urls&gt;&lt;/urls&gt;&lt;/record&gt;&lt;/Cite&gt;&lt;/EndNote&gt;</w:instrText>
      </w:r>
      <w:r w:rsidR="000D0A66" w:rsidRPr="00E4229C">
        <w:rPr>
          <w:rFonts w:cs="Arial"/>
        </w:rPr>
        <w:fldChar w:fldCharType="separate"/>
      </w:r>
      <w:r w:rsidR="000D0A66" w:rsidRPr="00E4229C">
        <w:rPr>
          <w:rFonts w:cs="Arial"/>
          <w:noProof/>
        </w:rPr>
        <w:t>Loh and Coghlan (2003)</w:t>
      </w:r>
      <w:r w:rsidR="000D0A66" w:rsidRPr="00E4229C">
        <w:rPr>
          <w:rFonts w:cs="Arial"/>
        </w:rPr>
        <w:fldChar w:fldCharType="end"/>
      </w:r>
      <w:r w:rsidR="000D0A66" w:rsidRPr="00E4229C">
        <w:rPr>
          <w:rFonts w:cs="Arial"/>
        </w:rPr>
        <w:t xml:space="preserve"> undertook a detailed end-use survey of 244 households in Perth and </w:t>
      </w:r>
      <w:r w:rsidR="000D0A66" w:rsidRPr="00E4229C">
        <w:rPr>
          <w:rFonts w:cs="Arial"/>
        </w:rPr>
        <w:fldChar w:fldCharType="begin"/>
      </w:r>
      <w:r w:rsidR="000D0A66" w:rsidRPr="00E4229C">
        <w:rPr>
          <w:rFonts w:cs="Arial"/>
        </w:rPr>
        <w:instrText xml:space="preserve"> ADDIN EN.CITE &lt;EndNote&gt;&lt;Cite AuthorYear="1"&gt;&lt;Author&gt;Roberts&lt;/Author&gt;&lt;Year&gt;2005&lt;/Year&gt;&lt;RecNum&gt;267&lt;/RecNum&gt;&lt;DisplayText&gt;Roberts (2005)&lt;/DisplayText&gt;&lt;record&gt;&lt;rec-number&gt;267&lt;/rec-number&gt;&lt;foreign-keys&gt;&lt;key app="EN" db-id="wd2xatvs5e2wadeaa53pvef6sdtsa9rwv55d" timestamp="1499497144"&gt;267&lt;/key&gt;&lt;/foreign-keys&gt;&lt;ref-type name="Book"&gt;6&lt;/ref-type&gt;&lt;contributors&gt;&lt;authors&gt;&lt;author&gt;Roberts, Peter&lt;/author&gt;&lt;/authors&gt;&lt;/contributors&gt;&lt;titles&gt;&lt;title&gt;Yarra Valley Water: 2004 residential end use measurement study&lt;/title&gt;&lt;/titles&gt;&lt;dates&gt;&lt;year&gt;2005&lt;/year&gt;&lt;/dates&gt;&lt;publisher&gt;Yarra Valley Water Melbourne&lt;/publisher&gt;&lt;urls&gt;&lt;/urls&gt;&lt;/record&gt;&lt;/Cite&gt;&lt;/EndNote&gt;</w:instrText>
      </w:r>
      <w:r w:rsidR="000D0A66" w:rsidRPr="00E4229C">
        <w:rPr>
          <w:rFonts w:cs="Arial"/>
        </w:rPr>
        <w:fldChar w:fldCharType="separate"/>
      </w:r>
      <w:r w:rsidR="000D0A66" w:rsidRPr="00E4229C">
        <w:rPr>
          <w:rFonts w:cs="Arial"/>
          <w:noProof/>
        </w:rPr>
        <w:t>Roberts (2005)</w:t>
      </w:r>
      <w:r w:rsidR="000D0A66" w:rsidRPr="00E4229C">
        <w:rPr>
          <w:rFonts w:cs="Arial"/>
        </w:rPr>
        <w:fldChar w:fldCharType="end"/>
      </w:r>
      <w:r w:rsidR="000D0A66" w:rsidRPr="00E4229C">
        <w:rPr>
          <w:rFonts w:cs="Arial"/>
        </w:rPr>
        <w:t xml:space="preserve"> undertook a similar survey of 100 detached dwellings in Melbourne.</w:t>
      </w:r>
      <w:r w:rsidR="007B69B2" w:rsidRPr="00E4229C">
        <w:rPr>
          <w:rFonts w:cs="Arial"/>
        </w:rPr>
        <w:t xml:space="preserve"> The current paper </w:t>
      </w:r>
      <w:r w:rsidR="00A36881" w:rsidRPr="00E4229C">
        <w:rPr>
          <w:rFonts w:cs="Arial"/>
        </w:rPr>
        <w:t>does not deal with the distribution of water</w:t>
      </w:r>
      <w:r w:rsidR="00307CDC">
        <w:rPr>
          <w:rFonts w:cs="Arial"/>
        </w:rPr>
        <w:t xml:space="preserve"> consumption over</w:t>
      </w:r>
      <w:r w:rsidR="00A36881" w:rsidRPr="00E4229C">
        <w:rPr>
          <w:rFonts w:cs="Arial"/>
        </w:rPr>
        <w:t xml:space="preserve"> a day, for example, </w:t>
      </w:r>
      <w:r w:rsidR="007B69B2" w:rsidRPr="00E4229C">
        <w:rPr>
          <w:rFonts w:cs="Arial"/>
        </w:rPr>
        <w:t>at what time of day does</w:t>
      </w:r>
      <w:r w:rsidR="00A36881" w:rsidRPr="00E4229C">
        <w:rPr>
          <w:rFonts w:cs="Arial"/>
        </w:rPr>
        <w:t xml:space="preserve"> toile</w:t>
      </w:r>
      <w:r w:rsidR="00BF0EC1" w:rsidRPr="00E4229C">
        <w:rPr>
          <w:rFonts w:cs="Arial"/>
        </w:rPr>
        <w:t>t use occur</w:t>
      </w:r>
      <w:r w:rsidR="00307CDC">
        <w:rPr>
          <w:rFonts w:cs="Arial"/>
        </w:rPr>
        <w:t>,</w:t>
      </w:r>
      <w:r w:rsidR="00BF0EC1" w:rsidRPr="00E4229C">
        <w:rPr>
          <w:rFonts w:cs="Arial"/>
        </w:rPr>
        <w:t xml:space="preserve"> although such work is important for informing</w:t>
      </w:r>
      <w:r w:rsidR="00A36881" w:rsidRPr="00E4229C">
        <w:rPr>
          <w:rFonts w:cs="Arial"/>
        </w:rPr>
        <w:t xml:space="preserve"> infrastructure requirements of water systems</w:t>
      </w:r>
      <w:r w:rsidR="00D52FC6" w:rsidRPr="00E4229C">
        <w:rPr>
          <w:rFonts w:cs="Arial"/>
        </w:rPr>
        <w:t xml:space="preserve"> </w:t>
      </w:r>
      <w:r w:rsidR="00D52FC6" w:rsidRPr="00E4229C">
        <w:rPr>
          <w:rFonts w:cs="Arial"/>
        </w:rPr>
        <w:fldChar w:fldCharType="begin"/>
      </w:r>
      <w:r w:rsidR="00D52FC6" w:rsidRPr="00E4229C">
        <w:rPr>
          <w:rFonts w:cs="Arial"/>
        </w:rPr>
        <w:instrText xml:space="preserve"> ADDIN EN.CITE &lt;EndNote&gt;&lt;Cite&gt;&lt;Author&gt;Makki&lt;/Author&gt;&lt;Year&gt;2013&lt;/Year&gt;&lt;RecNum&gt;270&lt;/RecNum&gt;&lt;DisplayText&gt;(Makki et al., 2013)&lt;/DisplayText&gt;&lt;record&gt;&lt;rec-number&gt;270&lt;/rec-number&gt;&lt;foreign-keys&gt;&lt;key app="EN" db-id="wd2xatvs5e2wadeaa53pvef6sdtsa9rwv55d" timestamp="1499829304"&gt;270&lt;/key&gt;&lt;/foreign-keys&gt;&lt;ref-type name="Journal Article"&gt;17&lt;/ref-type&gt;&lt;contributors&gt;&lt;authors&gt;&lt;author&gt;Makki, Anas A&lt;/author&gt;&lt;author&gt;Stewart, Rodney A&lt;/author&gt;&lt;author&gt;Panuwatwanich, Kriengsak&lt;/author&gt;&lt;author&gt;Beal, Cara&lt;/author&gt;&lt;/authors&gt;&lt;/contributors&gt;&lt;titles&gt;&lt;title&gt;Revealing the determinants of shower water end use consumption: enabling better targeted urban water conservation strategies&lt;/title&gt;&lt;secondary-title&gt;Journal of Cleaner Production&lt;/secondary-title&gt;&lt;/titles&gt;&lt;periodical&gt;&lt;full-title&gt;Journal of Cleaner Production&lt;/full-title&gt;&lt;/periodical&gt;&lt;pages&gt;129-146&lt;/pages&gt;&lt;volume&gt;60&lt;/volume&gt;&lt;dates&gt;&lt;year&gt;2013&lt;/year&gt;&lt;/dates&gt;&lt;isbn&gt;0959-6526&lt;/isbn&gt;&lt;urls&gt;&lt;/urls&gt;&lt;/record&gt;&lt;/Cite&gt;&lt;/EndNote&gt;</w:instrText>
      </w:r>
      <w:r w:rsidR="00D52FC6" w:rsidRPr="00E4229C">
        <w:rPr>
          <w:rFonts w:cs="Arial"/>
        </w:rPr>
        <w:fldChar w:fldCharType="separate"/>
      </w:r>
      <w:r w:rsidR="00D52FC6" w:rsidRPr="00E4229C">
        <w:rPr>
          <w:rFonts w:cs="Arial"/>
          <w:noProof/>
        </w:rPr>
        <w:t>(Makki et al., 2013)</w:t>
      </w:r>
      <w:r w:rsidR="00D52FC6" w:rsidRPr="00E4229C">
        <w:rPr>
          <w:rFonts w:cs="Arial"/>
        </w:rPr>
        <w:fldChar w:fldCharType="end"/>
      </w:r>
      <w:r w:rsidR="00A36881" w:rsidRPr="00E4229C">
        <w:rPr>
          <w:rFonts w:cs="Arial"/>
        </w:rPr>
        <w:t>.</w:t>
      </w:r>
      <w:r w:rsidR="00BF0EC1" w:rsidRPr="00E4229C">
        <w:rPr>
          <w:rFonts w:cs="Arial"/>
        </w:rPr>
        <w:t xml:space="preserve"> The current paper is concerned with the distribution of water consumption for various </w:t>
      </w:r>
      <w:r w:rsidR="00943743">
        <w:rPr>
          <w:rFonts w:cs="Arial"/>
        </w:rPr>
        <w:t>end-use</w:t>
      </w:r>
      <w:r w:rsidR="00BF0EC1" w:rsidRPr="00E4229C">
        <w:rPr>
          <w:rFonts w:cs="Arial"/>
        </w:rPr>
        <w:t xml:space="preserve">s, estimated on </w:t>
      </w:r>
      <w:proofErr w:type="gramStart"/>
      <w:r w:rsidR="00BF0EC1" w:rsidRPr="00E4229C">
        <w:rPr>
          <w:rFonts w:cs="Arial"/>
        </w:rPr>
        <w:t>a per</w:t>
      </w:r>
      <w:proofErr w:type="gramEnd"/>
      <w:r w:rsidR="00BF0EC1" w:rsidRPr="00E4229C">
        <w:rPr>
          <w:rFonts w:cs="Arial"/>
        </w:rPr>
        <w:t xml:space="preserve"> day and per capita basis</w:t>
      </w:r>
      <w:r w:rsidR="000E48A1" w:rsidRPr="00E4229C">
        <w:rPr>
          <w:rFonts w:cs="Arial"/>
        </w:rPr>
        <w:t>.</w:t>
      </w:r>
    </w:p>
    <w:p w14:paraId="71A6B310" w14:textId="77777777" w:rsidR="000D0A66" w:rsidRPr="00E4229C" w:rsidRDefault="000D0A66" w:rsidP="000D0A66">
      <w:pPr>
        <w:rPr>
          <w:rFonts w:cs="Arial"/>
          <w:b/>
        </w:rPr>
      </w:pPr>
      <w:r w:rsidRPr="00E4229C">
        <w:rPr>
          <w:rFonts w:cs="Arial"/>
        </w:rPr>
        <w:fldChar w:fldCharType="begin"/>
      </w:r>
      <w:r w:rsidRPr="00E4229C">
        <w:rPr>
          <w:rFonts w:cs="Arial"/>
        </w:rPr>
        <w:instrText xml:space="preserve"> ADDIN EN.CITE &lt;EndNote&gt;&lt;Cite AuthorYear="1"&gt;&lt;Author&gt;Talent&lt;/Author&gt;&lt;Year&gt;2013&lt;/Year&gt;&lt;RecNum&gt;47&lt;/RecNum&gt;&lt;DisplayText&gt;Talent et al. (2013)&lt;/DisplayText&gt;&lt;record&gt;&lt;rec-number&gt;47&lt;/rec-number&gt;&lt;foreign-keys&gt;&lt;key app="EN" db-id="wd2xatvs5e2wadeaa53pvef6sdtsa9rwv55d" timestamp="1409894091"&gt;47&lt;/key&gt;&lt;/foreign-keys&gt;&lt;ref-type name="Book"&gt;6&lt;/ref-type&gt;&lt;contributors&gt;&lt;authors&gt;&lt;author&gt;Talent, Mishka&lt;/author&gt;&lt;author&gt;Troy, Patrick&lt;/author&gt;&lt;author&gt;Dovers, Stephen&lt;/author&gt;&lt;/authors&gt;&lt;/contributors&gt;&lt;titles&gt;&lt;title&gt;Canberra Residential Energy and Water Consumption Baseline Report&lt;/title&gt;&lt;/titles&gt;&lt;dates&gt;&lt;year&gt;2013&lt;/year&gt;&lt;/dates&gt;&lt;pub-location&gt;Canberra, Australia&lt;/pub-location&gt;&lt;publisher&gt;Australian National University&lt;/publisher&gt;&lt;isbn&gt;978-0-9925555-0-4&lt;/isbn&gt;&lt;urls&gt;&lt;/urls&gt;&lt;/record&gt;&lt;/Cite&gt;&lt;/EndNote&gt;</w:instrText>
      </w:r>
      <w:r w:rsidRPr="00E4229C">
        <w:rPr>
          <w:rFonts w:cs="Arial"/>
        </w:rPr>
        <w:fldChar w:fldCharType="separate"/>
      </w:r>
      <w:r w:rsidRPr="00E4229C">
        <w:rPr>
          <w:rFonts w:cs="Arial"/>
          <w:noProof/>
        </w:rPr>
        <w:t>Talent et al. (2013)</w:t>
      </w:r>
      <w:r w:rsidRPr="00E4229C">
        <w:rPr>
          <w:rFonts w:cs="Arial"/>
        </w:rPr>
        <w:fldChar w:fldCharType="end"/>
      </w:r>
      <w:r w:rsidRPr="00E4229C">
        <w:rPr>
          <w:rFonts w:cs="Arial"/>
        </w:rPr>
        <w:t xml:space="preserve"> found a highly skewed distribution in water consumption among households in Canberra. The sample comprised approximately 25,000 dwellings. The mean consumption was 411 litres per dwelling per day, the median was 485 litres per dwelling per day and the kurtosis was 32.4. The highly skewed distribution suggests that a very large sample is required to achieve a statically significant result in analysis</w:t>
      </w:r>
      <w:r w:rsidR="007B69B2" w:rsidRPr="00E4229C">
        <w:rPr>
          <w:rFonts w:cs="Arial"/>
        </w:rPr>
        <w:t xml:space="preserve"> of</w:t>
      </w:r>
      <w:r w:rsidRPr="00E4229C">
        <w:rPr>
          <w:rFonts w:cs="Arial"/>
        </w:rPr>
        <w:t>, for example, mean consumption due to toilet use. Such a large analysis of end-use survey</w:t>
      </w:r>
      <w:r w:rsidR="007B69B2" w:rsidRPr="00E4229C">
        <w:rPr>
          <w:rFonts w:cs="Arial"/>
        </w:rPr>
        <w:t>s</w:t>
      </w:r>
      <w:r w:rsidRPr="00E4229C">
        <w:rPr>
          <w:rFonts w:cs="Arial"/>
        </w:rPr>
        <w:t xml:space="preserve"> has not be</w:t>
      </w:r>
      <w:r w:rsidR="007B69B2" w:rsidRPr="00E4229C">
        <w:rPr>
          <w:rFonts w:cs="Arial"/>
        </w:rPr>
        <w:t>en</w:t>
      </w:r>
      <w:r w:rsidRPr="00E4229C">
        <w:rPr>
          <w:rFonts w:cs="Arial"/>
        </w:rPr>
        <w:t xml:space="preserve"> pe</w:t>
      </w:r>
      <w:r w:rsidR="00A91454">
        <w:rPr>
          <w:rFonts w:cs="Arial"/>
        </w:rPr>
        <w:t>rformed in Australia, presumably</w:t>
      </w:r>
      <w:r w:rsidRPr="00E4229C">
        <w:rPr>
          <w:rFonts w:cs="Arial"/>
        </w:rPr>
        <w:t xml:space="preserve"> because of the great cost involved with such a collection. This study aims to investigate how simple heuristic estimates of water consumption and surveys compare with measures of water consumption obtained from meter readings.</w:t>
      </w:r>
      <w:r w:rsidR="00B472FC" w:rsidRPr="00E4229C">
        <w:rPr>
          <w:rFonts w:cs="Arial"/>
        </w:rPr>
        <w:t xml:space="preserve"> It also aims to characterise (parameterise) the distribution of metered water consumption in Canberra.</w:t>
      </w:r>
    </w:p>
    <w:p w14:paraId="233053EA" w14:textId="77777777" w:rsidR="00C17BFE" w:rsidRPr="00E4229C" w:rsidRDefault="00C17BFE">
      <w:pPr>
        <w:spacing w:before="0"/>
        <w:jc w:val="left"/>
        <w:rPr>
          <w:rFonts w:cs="Arial"/>
          <w:b/>
          <w:bCs/>
          <w:sz w:val="22"/>
          <w:szCs w:val="20"/>
        </w:rPr>
      </w:pPr>
      <w:r w:rsidRPr="00E4229C">
        <w:rPr>
          <w:rFonts w:cs="Arial"/>
        </w:rPr>
        <w:lastRenderedPageBreak/>
        <w:br w:type="page"/>
      </w:r>
    </w:p>
    <w:p w14:paraId="10100F74" w14:textId="77777777" w:rsidR="000D0A66" w:rsidRPr="00E4229C" w:rsidRDefault="000D0A66" w:rsidP="00390B3D">
      <w:pPr>
        <w:pStyle w:val="Heading6"/>
        <w:numPr>
          <w:ilvl w:val="0"/>
          <w:numId w:val="8"/>
        </w:numPr>
        <w:rPr>
          <w:rFonts w:cs="Arial"/>
        </w:rPr>
      </w:pPr>
      <w:r w:rsidRPr="00E4229C">
        <w:rPr>
          <w:rFonts w:cs="Arial"/>
        </w:rPr>
        <w:lastRenderedPageBreak/>
        <w:t>Methods</w:t>
      </w:r>
    </w:p>
    <w:p w14:paraId="532D87A4" w14:textId="77777777" w:rsidR="000D0A66" w:rsidRPr="005E42D6" w:rsidRDefault="000D0A66" w:rsidP="000D0A66">
      <w:pPr>
        <w:rPr>
          <w:rFonts w:cs="Arial"/>
        </w:rPr>
      </w:pPr>
      <w:r w:rsidRPr="00E4229C">
        <w:rPr>
          <w:rFonts w:cs="Arial"/>
        </w:rPr>
        <w:t>To investigate how simple heuristic estimates of water consumption and surveys compare with measures of water consumption obtained from meter readings</w:t>
      </w:r>
      <w:r w:rsidR="00C17BFE" w:rsidRPr="00E4229C">
        <w:rPr>
          <w:rFonts w:cs="Arial"/>
        </w:rPr>
        <w:t>,</w:t>
      </w:r>
      <w:r w:rsidRPr="00E4229C">
        <w:rPr>
          <w:rFonts w:cs="Arial"/>
        </w:rPr>
        <w:t xml:space="preserve"> three data sources were used.</w:t>
      </w:r>
      <w:r w:rsidR="00A247D7" w:rsidRPr="00E4229C">
        <w:rPr>
          <w:rFonts w:cs="Arial"/>
        </w:rPr>
        <w:t xml:space="preserve"> </w:t>
      </w:r>
      <w:r w:rsidRPr="00E4229C">
        <w:rPr>
          <w:rFonts w:cs="Arial"/>
        </w:rPr>
        <w:t xml:space="preserve">The ‘gold standard’ measure of consumption was 7 years of quarterly metered </w:t>
      </w:r>
      <w:r w:rsidRPr="005E42D6">
        <w:rPr>
          <w:rFonts w:cs="Arial"/>
        </w:rPr>
        <w:t>readings of 29,555 dwellings in Canberra. Heuristic estimates and survey-derived estimates were compared with these actual meter readings. Finally, the estimated</w:t>
      </w:r>
      <w:r w:rsidR="00C17BFE" w:rsidRPr="005E42D6">
        <w:rPr>
          <w:rFonts w:cs="Arial"/>
        </w:rPr>
        <w:t xml:space="preserve"> confidenc</w:t>
      </w:r>
      <w:r w:rsidR="005A6584" w:rsidRPr="005E42D6">
        <w:rPr>
          <w:rFonts w:cs="Arial"/>
        </w:rPr>
        <w:t xml:space="preserve">e interval as a function of smaller </w:t>
      </w:r>
      <w:r w:rsidR="00C17BFE" w:rsidRPr="005E42D6">
        <w:rPr>
          <w:rFonts w:cs="Arial"/>
        </w:rPr>
        <w:t>sample size</w:t>
      </w:r>
      <w:r w:rsidR="005A6584" w:rsidRPr="005E42D6">
        <w:rPr>
          <w:rFonts w:cs="Arial"/>
        </w:rPr>
        <w:t>s</w:t>
      </w:r>
      <w:r w:rsidR="00C17BFE" w:rsidRPr="005E42D6">
        <w:rPr>
          <w:rFonts w:cs="Arial"/>
        </w:rPr>
        <w:t xml:space="preserve"> was </w:t>
      </w:r>
      <w:r w:rsidRPr="005E42D6">
        <w:rPr>
          <w:rFonts w:cs="Arial"/>
        </w:rPr>
        <w:t xml:space="preserve">quantified. </w:t>
      </w:r>
      <w:r w:rsidR="00A247D7" w:rsidRPr="005E42D6">
        <w:rPr>
          <w:rFonts w:cs="Arial"/>
        </w:rPr>
        <w:t xml:space="preserve">All modelling and calculations were performed using the R programming language, version 3.1.2 </w:t>
      </w:r>
      <w:r w:rsidR="00A247D7" w:rsidRPr="005E42D6">
        <w:rPr>
          <w:rFonts w:cs="Arial"/>
        </w:rPr>
        <w:fldChar w:fldCharType="begin"/>
      </w:r>
      <w:r w:rsidR="00A247D7" w:rsidRPr="005E42D6">
        <w:rPr>
          <w:rFonts w:cs="Arial"/>
        </w:rPr>
        <w:instrText xml:space="preserve"> ADDIN EN.CITE &lt;EndNote&gt;&lt;Cite&gt;&lt;Author&gt;R Core Team&lt;/Author&gt;&lt;Year&gt;2015&lt;/Year&gt;&lt;RecNum&gt;183&lt;/RecNum&gt;&lt;DisplayText&gt;(R Core Team, 2015)&lt;/DisplayText&gt;&lt;record&gt;&lt;rec-number&gt;183&lt;/rec-number&gt;&lt;foreign-keys&gt;&lt;key app="EN" db-id="wd2xatvs5e2wadeaa53pvef6sdtsa9rwv55d" timestamp="1440119209"&gt;183&lt;/key&gt;&lt;/foreign-keys&gt;&lt;ref-type name="Computer Program"&gt;9&lt;/ref-type&gt;&lt;contributors&gt;&lt;authors&gt;&lt;author&gt;R Core Team,&lt;/author&gt;&lt;/authors&gt;&lt;/contributors&gt;&lt;titles&gt;&lt;title&gt;R: A Language and Environment for Statistical Computing&lt;/title&gt;&lt;/titles&gt;&lt;dates&gt;&lt;year&gt;2015&lt;/year&gt;&lt;/dates&gt;&lt;pub-location&gt;Vienna, Austria&lt;/pub-location&gt;&lt;publisher&gt;R Foundation for Statistical Computing&lt;/publisher&gt;&lt;urls&gt;&lt;related-urls&gt;&lt;url&gt;http://www.R-project.org/&lt;/url&gt;&lt;/related-urls&gt;&lt;/urls&gt;&lt;/record&gt;&lt;/Cite&gt;&lt;/EndNote&gt;</w:instrText>
      </w:r>
      <w:r w:rsidR="00A247D7" w:rsidRPr="005E42D6">
        <w:rPr>
          <w:rFonts w:cs="Arial"/>
        </w:rPr>
        <w:fldChar w:fldCharType="separate"/>
      </w:r>
      <w:r w:rsidR="00A247D7" w:rsidRPr="005E42D6">
        <w:rPr>
          <w:rFonts w:cs="Arial"/>
          <w:noProof/>
        </w:rPr>
        <w:t>(R Core Team, 2015)</w:t>
      </w:r>
      <w:r w:rsidR="00A247D7" w:rsidRPr="005E42D6">
        <w:rPr>
          <w:rFonts w:cs="Arial"/>
        </w:rPr>
        <w:fldChar w:fldCharType="end"/>
      </w:r>
      <w:r w:rsidR="00A247D7" w:rsidRPr="005E42D6">
        <w:rPr>
          <w:rFonts w:cs="Arial"/>
        </w:rPr>
        <w:t>.</w:t>
      </w:r>
    </w:p>
    <w:p w14:paraId="14B988C1" w14:textId="77777777" w:rsidR="000D0A66" w:rsidRPr="005E42D6" w:rsidRDefault="000D0A66" w:rsidP="00390B3D">
      <w:pPr>
        <w:pStyle w:val="Heading7"/>
        <w:numPr>
          <w:ilvl w:val="1"/>
          <w:numId w:val="8"/>
        </w:numPr>
        <w:rPr>
          <w:rFonts w:cs="Arial"/>
        </w:rPr>
      </w:pPr>
      <w:r w:rsidRPr="005E42D6">
        <w:rPr>
          <w:rFonts w:cs="Arial"/>
        </w:rPr>
        <w:t xml:space="preserve">Metered Water Consumption Data </w:t>
      </w:r>
      <w:r w:rsidR="00390B3D" w:rsidRPr="005E42D6">
        <w:rPr>
          <w:rFonts w:cs="Arial"/>
        </w:rPr>
        <w:t>–</w:t>
      </w:r>
      <w:r w:rsidRPr="005E42D6">
        <w:rPr>
          <w:rFonts w:cs="Arial"/>
        </w:rPr>
        <w:t xml:space="preserve"> </w:t>
      </w:r>
      <w:r w:rsidR="00390B3D" w:rsidRPr="005E42D6">
        <w:rPr>
          <w:rFonts w:cs="Arial"/>
        </w:rPr>
        <w:t>‘</w:t>
      </w:r>
      <w:r w:rsidRPr="005E42D6">
        <w:rPr>
          <w:rFonts w:cs="Arial"/>
        </w:rPr>
        <w:t>gold standard’</w:t>
      </w:r>
    </w:p>
    <w:p w14:paraId="2CC0165A" w14:textId="77777777" w:rsidR="000D0A66" w:rsidRPr="00E4229C" w:rsidRDefault="000D0A66" w:rsidP="000D0A66">
      <w:pPr>
        <w:rPr>
          <w:rFonts w:cs="Arial"/>
          <w:color w:val="000000"/>
        </w:rPr>
      </w:pPr>
      <w:r w:rsidRPr="005E42D6">
        <w:rPr>
          <w:rFonts w:cs="Arial"/>
          <w:color w:val="000000"/>
        </w:rPr>
        <w:t xml:space="preserve">A sample of quarterly meter readings was provided by the local water utility for analysis. To ensure a suitable sample of dwellings for statistical analysis, a random stratified selection method was used; National census 2006 collector districts (CDs) were grouped depending on their dominant dwelling type </w:t>
      </w:r>
      <w:r w:rsidR="00C17BFE" w:rsidRPr="005E42D6">
        <w:rPr>
          <w:rFonts w:cs="Arial"/>
          <w:color w:val="000000"/>
        </w:rPr>
        <w:t>(</w:t>
      </w:r>
      <w:r w:rsidRPr="005E42D6">
        <w:rPr>
          <w:rFonts w:cs="Arial"/>
          <w:color w:val="000000"/>
        </w:rPr>
        <w:t>those with more than 14% semi-detached, those with more than 15% apartments and those otherwise dominated by detached dwellings</w:t>
      </w:r>
      <w:r w:rsidR="00C17BFE" w:rsidRPr="005E42D6">
        <w:rPr>
          <w:rFonts w:cs="Arial"/>
          <w:color w:val="000000"/>
        </w:rPr>
        <w:t xml:space="preserve">) </w:t>
      </w:r>
      <w:r w:rsidRPr="005E42D6">
        <w:rPr>
          <w:rFonts w:cs="Arial"/>
          <w:color w:val="000000"/>
        </w:rPr>
        <w:t>and based on the age of dev</w:t>
      </w:r>
      <w:r w:rsidR="00C17BFE" w:rsidRPr="005E42D6">
        <w:rPr>
          <w:rFonts w:cs="Arial"/>
          <w:color w:val="000000"/>
        </w:rPr>
        <w:t>elopments (1920-1958</w:t>
      </w:r>
      <w:r w:rsidRPr="005E42D6">
        <w:rPr>
          <w:rFonts w:cs="Arial"/>
          <w:color w:val="000000"/>
        </w:rPr>
        <w:t>, 195</w:t>
      </w:r>
      <w:r w:rsidR="00C17BFE" w:rsidRPr="005E42D6">
        <w:rPr>
          <w:rFonts w:cs="Arial"/>
          <w:color w:val="000000"/>
        </w:rPr>
        <w:t>9-1974, 1975-1987 and 1988-2005)</w:t>
      </w:r>
      <w:r w:rsidRPr="005E42D6">
        <w:rPr>
          <w:rFonts w:cs="Arial"/>
          <w:color w:val="000000"/>
        </w:rPr>
        <w:t xml:space="preserve"> and</w:t>
      </w:r>
      <w:r w:rsidR="00C17BFE" w:rsidRPr="005E42D6">
        <w:rPr>
          <w:rFonts w:cs="Arial"/>
          <w:color w:val="000000"/>
        </w:rPr>
        <w:t xml:space="preserve"> based on</w:t>
      </w:r>
      <w:r w:rsidRPr="005E42D6">
        <w:rPr>
          <w:rFonts w:cs="Arial"/>
          <w:color w:val="000000"/>
        </w:rPr>
        <w:t xml:space="preserve"> those built in the North and South of the city. This resulted in 24 strata. An equal number of collector districts were chosen from each strata ensuring a similar number of each type of dwellings (detached, semi-detached and apartments) and a similar number </w:t>
      </w:r>
      <w:r w:rsidR="00764E56" w:rsidRPr="005E42D6">
        <w:rPr>
          <w:rFonts w:cs="Arial"/>
          <w:color w:val="000000"/>
        </w:rPr>
        <w:t xml:space="preserve">of </w:t>
      </w:r>
      <w:r w:rsidRPr="005E42D6">
        <w:rPr>
          <w:rFonts w:cs="Arial"/>
          <w:color w:val="000000"/>
        </w:rPr>
        <w:t>dwellings from each age category in the sample. The sample included 29,555 dwellings. Non-residential addresses, those that could not be matched to utility energy accounts and those with less than 1 year of energy consumption data were removed leaving a sample of 27,174 with sufficient detail for modelling. This sample represented 20.2% of the dwellings in Canberra.</w:t>
      </w:r>
    </w:p>
    <w:p w14:paraId="6026440C" w14:textId="77777777" w:rsidR="000D0A66" w:rsidRPr="00E4229C" w:rsidRDefault="000D0A66" w:rsidP="000D0A66">
      <w:pPr>
        <w:rPr>
          <w:rFonts w:cs="Arial"/>
        </w:rPr>
      </w:pPr>
      <w:r w:rsidRPr="00E4229C">
        <w:rPr>
          <w:rFonts w:cs="Arial"/>
        </w:rPr>
        <w:t xml:space="preserve">The local water utility (Icon Water) provided quarterly metered water consumption data for the 27,174 dwellings. Values were based on utility meter consumption readings. Estimated readings (for example, due to lack of meter access) at some sites were verified at least every year by actual readings. All dwellings had between one and seven years of consumption data. Daily energy consumption was estimated as the mean value of all consumption data for each dwelling. Household size was estimated from National Census Data </w:t>
      </w:r>
      <w:r w:rsidRPr="00E4229C">
        <w:rPr>
          <w:rFonts w:cs="Arial"/>
        </w:rPr>
        <w:fldChar w:fldCharType="begin"/>
      </w:r>
      <w:r w:rsidRPr="00E4229C">
        <w:rPr>
          <w:rFonts w:cs="Arial"/>
        </w:rPr>
        <w:instrText xml:space="preserve"> ADDIN EN.CITE &lt;EndNote&gt;&lt;Cite&gt;&lt;Author&gt;Talent&lt;/Author&gt;&lt;Year&gt;in press&lt;/Year&gt;&lt;RecNum&gt;202&lt;/RecNum&gt;&lt;DisplayText&gt;(Talent, in press)&lt;/DisplayText&gt;&lt;record&gt;&lt;rec-number&gt;202&lt;/rec-number&gt;&lt;foreign-keys&gt;&lt;key app="EN" db-id="wd2xatvs5e2wadeaa53pvef6sdtsa9rwv55d" timestamp="1444879937"&gt;202&lt;/key&gt;&lt;/foreign-keys&gt;&lt;ref-type name="Journal Article"&gt;17&lt;/ref-type&gt;&lt;contributors&gt;&lt;authors&gt;&lt;author&gt;Talent, M.,&lt;/author&gt;&lt;/authors&gt;&lt;/contributors&gt;&lt;titles&gt;&lt;title&gt;Improving Estimates of Occupancy Rate and Population Density in Different Dwelling Types&lt;/title&gt;&lt;secondary-title&gt;Environment and Planning B: Planning and Design&lt;/secondary-title&gt;&lt;/titles&gt;&lt;periodical&gt;&lt;full-title&gt;Environment and Planning B: Planning and Design&lt;/full-title&gt;&lt;/periodical&gt;&lt;dates&gt;&lt;year&gt;in press&lt;/year&gt;&lt;/dates&gt;&lt;urls&gt;&lt;/urls&gt;&lt;/record&gt;&lt;/Cite&gt;&lt;/EndNote&gt;</w:instrText>
      </w:r>
      <w:r w:rsidRPr="00E4229C">
        <w:rPr>
          <w:rFonts w:cs="Arial"/>
        </w:rPr>
        <w:fldChar w:fldCharType="separate"/>
      </w:r>
      <w:r w:rsidRPr="00E4229C">
        <w:rPr>
          <w:rFonts w:cs="Arial"/>
          <w:noProof/>
        </w:rPr>
        <w:t>(Talent, in press)</w:t>
      </w:r>
      <w:r w:rsidRPr="00E4229C">
        <w:rPr>
          <w:rFonts w:cs="Arial"/>
        </w:rPr>
        <w:fldChar w:fldCharType="end"/>
      </w:r>
      <w:r w:rsidRPr="00E4229C">
        <w:rPr>
          <w:rFonts w:cs="Arial"/>
        </w:rPr>
        <w:t xml:space="preserve">. </w:t>
      </w:r>
    </w:p>
    <w:p w14:paraId="370D79E5" w14:textId="77777777" w:rsidR="000D0A66" w:rsidRPr="00E4229C" w:rsidRDefault="000D0A66" w:rsidP="000D0A66">
      <w:pPr>
        <w:rPr>
          <w:rFonts w:cs="Arial"/>
        </w:rPr>
      </w:pPr>
      <w:r w:rsidRPr="00E4229C">
        <w:rPr>
          <w:rFonts w:cs="Arial"/>
        </w:rPr>
        <w:t xml:space="preserve">Manual inspection of the highest 200 users was undertaken to ensure that these high readings were likely genuine residential readings and not related to commercial uses and also that these readings were not due to water leaks. Figure 1 is replicated from </w:t>
      </w:r>
      <w:r w:rsidRPr="00E4229C">
        <w:rPr>
          <w:rFonts w:cs="Arial"/>
        </w:rPr>
        <w:fldChar w:fldCharType="begin"/>
      </w:r>
      <w:r w:rsidRPr="00E4229C">
        <w:rPr>
          <w:rFonts w:cs="Arial"/>
        </w:rPr>
        <w:instrText xml:space="preserve"> ADDIN EN.CITE &lt;EndNote&gt;&lt;Cite AuthorYear="1"&gt;&lt;Author&gt;Talent&lt;/Author&gt;&lt;Year&gt;2013&lt;/Year&gt;&lt;RecNum&gt;47&lt;/RecNum&gt;&lt;DisplayText&gt;Talent et al. (2013)&lt;/DisplayText&gt;&lt;record&gt;&lt;rec-number&gt;47&lt;/rec-number&gt;&lt;foreign-keys&gt;&lt;key app="EN" db-id="wd2xatvs5e2wadeaa53pvef6sdtsa9rwv55d" timestamp="1409894091"&gt;47&lt;/key&gt;&lt;/foreign-keys&gt;&lt;ref-type name="Book"&gt;6&lt;/ref-type&gt;&lt;contributors&gt;&lt;authors&gt;&lt;author&gt;Talent, Mishka&lt;/author&gt;&lt;author&gt;Troy, Patrick&lt;/author&gt;&lt;author&gt;Dovers, Stephen&lt;/author&gt;&lt;/authors&gt;&lt;/contributors&gt;&lt;titles&gt;&lt;title&gt;Canberra Residential Energy and Water Consumption Baseline Report&lt;/title&gt;&lt;/titles&gt;&lt;dates&gt;&lt;year&gt;2013&lt;/year&gt;&lt;/dates&gt;&lt;pub-location&gt;Canberra, Australia&lt;/pub-location&gt;&lt;publisher&gt;Australian National University&lt;/publisher&gt;&lt;isbn&gt;978-0-9925555-0-4&lt;/isbn&gt;&lt;urls&gt;&lt;/urls&gt;&lt;/record&gt;&lt;/Cite&gt;&lt;/EndNote&gt;</w:instrText>
      </w:r>
      <w:r w:rsidRPr="00E4229C">
        <w:rPr>
          <w:rFonts w:cs="Arial"/>
        </w:rPr>
        <w:fldChar w:fldCharType="separate"/>
      </w:r>
      <w:r w:rsidRPr="00E4229C">
        <w:rPr>
          <w:rFonts w:cs="Arial"/>
        </w:rPr>
        <w:t>Talent et al. (2013)</w:t>
      </w:r>
      <w:r w:rsidRPr="00E4229C">
        <w:rPr>
          <w:rFonts w:cs="Arial"/>
        </w:rPr>
        <w:fldChar w:fldCharType="end"/>
      </w:r>
      <w:r w:rsidR="00764E56" w:rsidRPr="00E4229C">
        <w:rPr>
          <w:rFonts w:cs="Arial"/>
        </w:rPr>
        <w:t xml:space="preserve"> and shows a single dwelling</w:t>
      </w:r>
      <w:r w:rsidRPr="00E4229C">
        <w:rPr>
          <w:rFonts w:cs="Arial"/>
        </w:rPr>
        <w:t xml:space="preserve"> with a median water c</w:t>
      </w:r>
      <w:r w:rsidR="000B2A98">
        <w:rPr>
          <w:rFonts w:cs="Arial"/>
        </w:rPr>
        <w:t xml:space="preserve">onsumption of 1668.6 litres </w:t>
      </w:r>
      <w:r w:rsidRPr="00E4229C">
        <w:rPr>
          <w:rFonts w:cs="Arial"/>
        </w:rPr>
        <w:t>per day (line ‘b’), more than 4 times the median consumption of 411 litres per dwelling per day (line ‘a’). The low consumption per</w:t>
      </w:r>
      <w:r w:rsidR="00764E56" w:rsidRPr="00E4229C">
        <w:rPr>
          <w:rFonts w:cs="Arial"/>
        </w:rPr>
        <w:t>iods in winter time that follow</w:t>
      </w:r>
      <w:r w:rsidRPr="00E4229C">
        <w:rPr>
          <w:rFonts w:cs="Arial"/>
        </w:rPr>
        <w:t xml:space="preserve"> high consumption periods, gen</w:t>
      </w:r>
      <w:r w:rsidR="00764E56" w:rsidRPr="00E4229C">
        <w:rPr>
          <w:rFonts w:cs="Arial"/>
        </w:rPr>
        <w:t>erally in summer time, indicate</w:t>
      </w:r>
      <w:r w:rsidRPr="00E4229C">
        <w:rPr>
          <w:rFonts w:cs="Arial"/>
        </w:rPr>
        <w:t xml:space="preserve"> that such consumption is unlikely due to leak</w:t>
      </w:r>
      <w:r w:rsidR="00764E56" w:rsidRPr="00E4229C">
        <w:rPr>
          <w:rFonts w:cs="Arial"/>
        </w:rPr>
        <w:t>ing pipes</w:t>
      </w:r>
      <w:r w:rsidRPr="00E4229C">
        <w:rPr>
          <w:rFonts w:cs="Arial"/>
        </w:rPr>
        <w:t xml:space="preserve">. </w:t>
      </w:r>
    </w:p>
    <w:p w14:paraId="1B0A117F" w14:textId="77777777" w:rsidR="000D0A66" w:rsidRPr="00E4229C" w:rsidRDefault="0053371A" w:rsidP="000D0A66">
      <w:pPr>
        <w:keepNext/>
        <w:jc w:val="center"/>
        <w:rPr>
          <w:rFonts w:cs="Arial"/>
        </w:rPr>
      </w:pPr>
      <w:r w:rsidRPr="00E4229C">
        <w:rPr>
          <w:rFonts w:cs="Arial"/>
          <w:noProof/>
          <w:lang w:val="en-US"/>
        </w:rPr>
        <w:drawing>
          <wp:inline distT="0" distB="0" distL="0" distR="0" wp14:anchorId="30FBA07D" wp14:editId="40489B2A">
            <wp:extent cx="2743200" cy="2303264"/>
            <wp:effectExtent l="0" t="0" r="0" b="19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4990" cy="2304767"/>
                    </a:xfrm>
                    <a:prstGeom prst="rect">
                      <a:avLst/>
                    </a:prstGeom>
                    <a:noFill/>
                    <a:ln>
                      <a:noFill/>
                    </a:ln>
                  </pic:spPr>
                </pic:pic>
              </a:graphicData>
            </a:graphic>
          </wp:inline>
        </w:drawing>
      </w:r>
    </w:p>
    <w:p w14:paraId="6C4DFDAA" w14:textId="77777777" w:rsidR="000D0A66" w:rsidRPr="00E4229C" w:rsidRDefault="000D0A66" w:rsidP="000D0A66">
      <w:pPr>
        <w:pStyle w:val="Caption"/>
        <w:jc w:val="center"/>
        <w:rPr>
          <w:rFonts w:cs="Arial"/>
        </w:rPr>
      </w:pPr>
      <w:r w:rsidRPr="00E4229C">
        <w:rPr>
          <w:rFonts w:cs="Arial"/>
        </w:rPr>
        <w:t xml:space="preserve">Figure </w:t>
      </w:r>
      <w:r w:rsidRPr="00E4229C">
        <w:rPr>
          <w:rFonts w:cs="Arial"/>
        </w:rPr>
        <w:fldChar w:fldCharType="begin"/>
      </w:r>
      <w:r w:rsidRPr="00E4229C">
        <w:rPr>
          <w:rFonts w:cs="Arial"/>
        </w:rPr>
        <w:instrText xml:space="preserve"> SEQ Figure \* ARABIC </w:instrText>
      </w:r>
      <w:r w:rsidRPr="00E4229C">
        <w:rPr>
          <w:rFonts w:cs="Arial"/>
        </w:rPr>
        <w:fldChar w:fldCharType="separate"/>
      </w:r>
      <w:r w:rsidR="006076BB">
        <w:rPr>
          <w:rFonts w:cs="Arial"/>
          <w:noProof/>
        </w:rPr>
        <w:t>1</w:t>
      </w:r>
      <w:r w:rsidRPr="00E4229C">
        <w:rPr>
          <w:rFonts w:cs="Arial"/>
        </w:rPr>
        <w:fldChar w:fldCharType="end"/>
      </w:r>
      <w:r w:rsidR="002745AF" w:rsidRPr="00E4229C">
        <w:rPr>
          <w:rFonts w:cs="Arial"/>
        </w:rPr>
        <w:t>:</w:t>
      </w:r>
      <w:r w:rsidRPr="00E4229C">
        <w:rPr>
          <w:rFonts w:cs="Arial"/>
        </w:rPr>
        <w:t xml:space="preserve"> Variation in a ‘high consumption’ dwelling over the study period 2007-2012</w:t>
      </w:r>
    </w:p>
    <w:p w14:paraId="07095C5F" w14:textId="77777777" w:rsidR="000D0A66" w:rsidRPr="00E4229C" w:rsidRDefault="000D0A66" w:rsidP="000D0A66">
      <w:pPr>
        <w:rPr>
          <w:rFonts w:cs="Arial"/>
        </w:rPr>
      </w:pPr>
    </w:p>
    <w:p w14:paraId="0D295480" w14:textId="77777777" w:rsidR="000D0A66" w:rsidRPr="00E4229C" w:rsidRDefault="000D0A66" w:rsidP="00390B3D">
      <w:pPr>
        <w:pStyle w:val="Heading7"/>
        <w:numPr>
          <w:ilvl w:val="1"/>
          <w:numId w:val="8"/>
        </w:numPr>
        <w:rPr>
          <w:rFonts w:cs="Arial"/>
        </w:rPr>
      </w:pPr>
      <w:r w:rsidRPr="00E4229C">
        <w:rPr>
          <w:rFonts w:cs="Arial"/>
        </w:rPr>
        <w:t>Survey Data</w:t>
      </w:r>
    </w:p>
    <w:p w14:paraId="059B5785" w14:textId="77777777" w:rsidR="000D0A66" w:rsidRPr="00E4229C" w:rsidRDefault="000D0A66" w:rsidP="000D0A66">
      <w:pPr>
        <w:rPr>
          <w:rFonts w:cs="Arial"/>
        </w:rPr>
      </w:pPr>
      <w:r w:rsidRPr="00E4229C">
        <w:rPr>
          <w:rFonts w:cs="Arial"/>
        </w:rPr>
        <w:t>Household consumption data was collected using an online panel survey. The survey was conducted between 26</w:t>
      </w:r>
      <w:r w:rsidRPr="00E4229C">
        <w:rPr>
          <w:rFonts w:cs="Arial"/>
          <w:vertAlign w:val="superscript"/>
        </w:rPr>
        <w:t>th</w:t>
      </w:r>
      <w:r w:rsidRPr="00E4229C">
        <w:rPr>
          <w:rFonts w:cs="Arial"/>
        </w:rPr>
        <w:t xml:space="preserve"> May 2013 and 13</w:t>
      </w:r>
      <w:r w:rsidRPr="00E4229C">
        <w:rPr>
          <w:rFonts w:cs="Arial"/>
          <w:vertAlign w:val="superscript"/>
        </w:rPr>
        <w:t>th</w:t>
      </w:r>
      <w:r w:rsidRPr="00E4229C">
        <w:rPr>
          <w:rFonts w:cs="Arial"/>
        </w:rPr>
        <w:t xml:space="preserve"> of June 2013 by a third-party survey company. The survey achieve</w:t>
      </w:r>
      <w:r w:rsidR="00764E56" w:rsidRPr="00E4229C">
        <w:rPr>
          <w:rFonts w:cs="Arial"/>
        </w:rPr>
        <w:t>d</w:t>
      </w:r>
      <w:r w:rsidRPr="00E4229C">
        <w:rPr>
          <w:rFonts w:cs="Arial"/>
        </w:rPr>
        <w:t xml:space="preserve"> a total of 1254 completed surveys. Respondents were from Sydney (n=522), Melbourne (n=431) and Canberra (n=301). The </w:t>
      </w:r>
      <w:r w:rsidR="00764E56" w:rsidRPr="00E4229C">
        <w:rPr>
          <w:rFonts w:cs="Arial"/>
        </w:rPr>
        <w:t xml:space="preserve">distribution of survey respondents broadly </w:t>
      </w:r>
      <w:r w:rsidRPr="00E4229C">
        <w:rPr>
          <w:rFonts w:cs="Arial"/>
        </w:rPr>
        <w:t xml:space="preserve">represented the population </w:t>
      </w:r>
      <w:r w:rsidRPr="00E4229C">
        <w:rPr>
          <w:rFonts w:cs="Arial"/>
        </w:rPr>
        <w:fldChar w:fldCharType="begin"/>
      </w:r>
      <w:r w:rsidRPr="00E4229C">
        <w:rPr>
          <w:rFonts w:cs="Arial"/>
        </w:rPr>
        <w:instrText xml:space="preserve"> ADDIN EN.CITE &lt;EndNote&gt;&lt;Cite&gt;&lt;Author&gt;Reinhardt&lt;/Author&gt;&lt;Year&gt;2015&lt;/Year&gt;&lt;RecNum&gt;268&lt;/RecNum&gt;&lt;DisplayText&gt;(Reinhardt, 2015)&lt;/DisplayText&gt;&lt;record&gt;&lt;rec-number&gt;268&lt;/rec-number&gt;&lt;foreign-keys&gt;&lt;key app="EN" db-id="wd2xatvs5e2wadeaa53pvef6sdtsa9rwv55d" timestamp="1499579915"&gt;268&lt;/key&gt;&lt;/foreign-keys&gt;&lt;ref-type name="Thesis"&gt;32&lt;/ref-type&gt;&lt;contributors&gt;&lt;authors&gt;&lt;author&gt;Reinhardt, Walter;&lt;/author&gt;&lt;/authors&gt;&lt;/contributors&gt;&lt;titles&gt;&lt;title&gt;Knowing more, using less: The prospects for household-led change in energy and water systems&lt;/title&gt;&lt;secondary-title&gt;Fenner School of Environment and Society&lt;/secondary-title&gt;&lt;/titles&gt;&lt;dates&gt;&lt;year&gt;2015&lt;/year&gt;&lt;/dates&gt;&lt;pub-location&gt;Canberra&lt;/pub-location&gt;&lt;publisher&gt;Australian National University&lt;/publisher&gt;&lt;urls&gt;&lt;/urls&gt;&lt;/record&gt;&lt;/Cite&gt;&lt;/EndNote&gt;</w:instrText>
      </w:r>
      <w:r w:rsidRPr="00E4229C">
        <w:rPr>
          <w:rFonts w:cs="Arial"/>
        </w:rPr>
        <w:fldChar w:fldCharType="separate"/>
      </w:r>
      <w:r w:rsidRPr="00E4229C">
        <w:rPr>
          <w:rFonts w:cs="Arial"/>
          <w:noProof/>
        </w:rPr>
        <w:t>(Reinhardt, 2015)</w:t>
      </w:r>
      <w:r w:rsidRPr="00E4229C">
        <w:rPr>
          <w:rFonts w:cs="Arial"/>
        </w:rPr>
        <w:fldChar w:fldCharType="end"/>
      </w:r>
      <w:r w:rsidR="00551D2D" w:rsidRPr="00E4229C">
        <w:rPr>
          <w:rFonts w:cs="Arial"/>
        </w:rPr>
        <w:t>.</w:t>
      </w:r>
    </w:p>
    <w:p w14:paraId="33793274" w14:textId="77777777" w:rsidR="000D0A66" w:rsidRPr="00E4229C" w:rsidRDefault="000D0A66" w:rsidP="00390B3D">
      <w:pPr>
        <w:pStyle w:val="Heading7"/>
        <w:numPr>
          <w:ilvl w:val="1"/>
          <w:numId w:val="8"/>
        </w:numPr>
        <w:rPr>
          <w:rFonts w:cs="Arial"/>
        </w:rPr>
      </w:pPr>
      <w:r w:rsidRPr="00E4229C">
        <w:rPr>
          <w:rFonts w:cs="Arial"/>
        </w:rPr>
        <w:t>Heuristic model</w:t>
      </w:r>
    </w:p>
    <w:p w14:paraId="4B915B44" w14:textId="77777777" w:rsidR="000D0A66" w:rsidRPr="00E4229C" w:rsidRDefault="000D0A66" w:rsidP="000D0A66">
      <w:pPr>
        <w:rPr>
          <w:rFonts w:cs="Arial"/>
        </w:rPr>
      </w:pPr>
      <w:r w:rsidRPr="00E4229C">
        <w:rPr>
          <w:rFonts w:cs="Arial"/>
        </w:rPr>
        <w:t xml:space="preserve">A mathematical model of total consumption was developed by estimating a distribution of consumption for each major water end-use component. These heuristic distributions were based on publically available literature where available </w:t>
      </w:r>
      <w:r w:rsidR="00551D2D" w:rsidRPr="00E4229C">
        <w:rPr>
          <w:rFonts w:cs="Arial"/>
        </w:rPr>
        <w:t xml:space="preserve">or </w:t>
      </w:r>
      <w:r w:rsidRPr="00E4229C">
        <w:rPr>
          <w:rFonts w:cs="Arial"/>
        </w:rPr>
        <w:t xml:space="preserve">on the author’s experience as a home energy auditor for the ACT government (HEAT program). </w:t>
      </w:r>
      <w:r w:rsidR="00AE3826" w:rsidRPr="00E4229C">
        <w:rPr>
          <w:rFonts w:cs="Arial"/>
        </w:rPr>
        <w:t>The general approach was to estimate an arithmetic mean (</w:t>
      </w:r>
      <m:oMath>
        <m:acc>
          <m:accPr>
            <m:chr m:val="̅"/>
            <m:ctrlPr>
              <w:rPr>
                <w:rFonts w:ascii="Cambria Math" w:hAnsi="Cambria Math" w:cs="Arial"/>
                <w:i/>
              </w:rPr>
            </m:ctrlPr>
          </m:accPr>
          <m:e>
            <m:r>
              <w:rPr>
                <w:rFonts w:ascii="Cambria Math" w:hAnsi="Cambria Math" w:cs="Arial"/>
              </w:rPr>
              <m:t>X</m:t>
            </m:r>
          </m:e>
        </m:acc>
      </m:oMath>
      <w:r w:rsidR="00DF6B2D" w:rsidRPr="00E4229C">
        <w:rPr>
          <w:rFonts w:cs="Arial"/>
        </w:rPr>
        <w:t>)</w:t>
      </w:r>
      <w:r w:rsidR="00AE3826" w:rsidRPr="00E4229C">
        <w:rPr>
          <w:rFonts w:cs="Arial"/>
        </w:rPr>
        <w:t xml:space="preserve"> and standard deviation (</w:t>
      </w:r>
      <w:r w:rsidR="000E680F" w:rsidRPr="00E4229C">
        <w:rPr>
          <w:rFonts w:cs="Arial"/>
        </w:rPr>
        <w:sym w:font="Symbol" w:char="F073"/>
      </w:r>
      <w:r w:rsidR="000E680F" w:rsidRPr="00E4229C">
        <w:rPr>
          <w:rFonts w:cs="Arial"/>
        </w:rPr>
        <w:t xml:space="preserve">) from the literature and generate </w:t>
      </w:r>
      <w:r w:rsidR="00363F46">
        <w:rPr>
          <w:rFonts w:cs="Arial"/>
        </w:rPr>
        <w:t xml:space="preserve">a </w:t>
      </w:r>
      <w:r w:rsidR="000E680F" w:rsidRPr="00E4229C">
        <w:rPr>
          <w:rFonts w:cs="Arial"/>
        </w:rPr>
        <w:t xml:space="preserve">normal distribution with these parameters. </w:t>
      </w:r>
      <w:r w:rsidR="004D176D">
        <w:rPr>
          <w:rFonts w:cs="Arial"/>
        </w:rPr>
        <w:t>Modelled v</w:t>
      </w:r>
      <w:r w:rsidR="000E680F" w:rsidRPr="00E4229C">
        <w:rPr>
          <w:rFonts w:cs="Arial"/>
        </w:rPr>
        <w:t xml:space="preserve">alues of less than zero litres </w:t>
      </w:r>
      <w:r w:rsidR="004D176D">
        <w:rPr>
          <w:rFonts w:cs="Arial"/>
        </w:rPr>
        <w:t xml:space="preserve">of </w:t>
      </w:r>
      <w:r w:rsidR="000E680F" w:rsidRPr="00E4229C">
        <w:rPr>
          <w:rFonts w:cs="Arial"/>
        </w:rPr>
        <w:t xml:space="preserve">consumption were removed. </w:t>
      </w:r>
      <w:r w:rsidRPr="00E4229C">
        <w:rPr>
          <w:rFonts w:cs="Arial"/>
        </w:rPr>
        <w:t xml:space="preserve">The graphs of each distribution </w:t>
      </w:r>
      <w:r w:rsidR="006E1754">
        <w:rPr>
          <w:rFonts w:cs="Arial"/>
        </w:rPr>
        <w:t>were</w:t>
      </w:r>
      <w:r w:rsidRPr="00E4229C">
        <w:rPr>
          <w:rFonts w:cs="Arial"/>
        </w:rPr>
        <w:t xml:space="preserve"> presented as a probability distribution for ease of comparison for the reader. Such probability distributions </w:t>
      </w:r>
      <w:r w:rsidR="006E1754">
        <w:rPr>
          <w:rFonts w:cs="Arial"/>
        </w:rPr>
        <w:t>could be multiplied by the size of the</w:t>
      </w:r>
      <w:r w:rsidRPr="00E4229C">
        <w:rPr>
          <w:rFonts w:cs="Arial"/>
        </w:rPr>
        <w:t xml:space="preserve"> population</w:t>
      </w:r>
      <w:r w:rsidR="005C4569" w:rsidRPr="00E4229C">
        <w:rPr>
          <w:rFonts w:cs="Arial"/>
        </w:rPr>
        <w:t xml:space="preserve"> </w:t>
      </w:r>
      <w:r w:rsidR="006E1754">
        <w:rPr>
          <w:rFonts w:cs="Arial"/>
        </w:rPr>
        <w:t xml:space="preserve">where </w:t>
      </w:r>
      <w:r w:rsidR="005C4569" w:rsidRPr="00E4229C">
        <w:rPr>
          <w:rFonts w:cs="Arial"/>
        </w:rPr>
        <w:t>a</w:t>
      </w:r>
      <w:r w:rsidRPr="00E4229C">
        <w:rPr>
          <w:rFonts w:cs="Arial"/>
        </w:rPr>
        <w:t xml:space="preserve"> frequency distribution </w:t>
      </w:r>
      <w:r w:rsidR="006E1754">
        <w:rPr>
          <w:rFonts w:cs="Arial"/>
        </w:rPr>
        <w:t>was</w:t>
      </w:r>
      <w:r w:rsidRPr="00E4229C">
        <w:rPr>
          <w:rFonts w:cs="Arial"/>
        </w:rPr>
        <w:t xml:space="preserve"> required.</w:t>
      </w:r>
    </w:p>
    <w:p w14:paraId="2267125A" w14:textId="77777777" w:rsidR="000D0A66" w:rsidRPr="00E4229C" w:rsidRDefault="00AE3826" w:rsidP="00390B3D">
      <w:pPr>
        <w:pStyle w:val="Heading8"/>
        <w:numPr>
          <w:ilvl w:val="2"/>
          <w:numId w:val="8"/>
        </w:numPr>
        <w:rPr>
          <w:rFonts w:cs="Arial"/>
        </w:rPr>
      </w:pPr>
      <w:r w:rsidRPr="00E4229C">
        <w:rPr>
          <w:rFonts w:cs="Arial"/>
        </w:rPr>
        <w:t xml:space="preserve"> The </w:t>
      </w:r>
      <w:r w:rsidR="000D0A66" w:rsidRPr="00E4229C">
        <w:rPr>
          <w:rFonts w:cs="Arial"/>
        </w:rPr>
        <w:t>Toilet</w:t>
      </w:r>
    </w:p>
    <w:p w14:paraId="6737C795" w14:textId="77777777" w:rsidR="000D0A66" w:rsidRPr="00E4229C" w:rsidRDefault="000D0A66" w:rsidP="000D0A66">
      <w:pPr>
        <w:rPr>
          <w:rFonts w:cs="Arial"/>
        </w:rPr>
      </w:pPr>
      <w:r w:rsidRPr="00E4229C">
        <w:rPr>
          <w:rFonts w:cs="Arial"/>
        </w:rPr>
        <w:t>The volume of water used in toilets was modelled as the number of toilet flushes (TU) per person multiplied by the da</w:t>
      </w:r>
      <w:r w:rsidR="005C4569" w:rsidRPr="00E4229C">
        <w:rPr>
          <w:rFonts w:cs="Arial"/>
        </w:rPr>
        <w:t>ily frequency of flushing (TF).</w:t>
      </w:r>
    </w:p>
    <w:p w14:paraId="61F08481" w14:textId="77777777" w:rsidR="000D0A66" w:rsidRPr="00E4229C" w:rsidRDefault="000D0A66" w:rsidP="000D0A66">
      <w:pPr>
        <w:rPr>
          <w:rFonts w:cs="Arial"/>
        </w:rPr>
      </w:pPr>
      <w:r w:rsidRPr="00E4229C">
        <w:rPr>
          <w:rFonts w:cs="Arial"/>
        </w:rPr>
        <w:t>The volume of water per flush was modelled by a normal distribution (</w:t>
      </w:r>
      <m:oMath>
        <m:acc>
          <m:accPr>
            <m:chr m:val="̅"/>
            <m:ctrlPr>
              <w:rPr>
                <w:rFonts w:ascii="Cambria Math" w:hAnsi="Cambria Math" w:cs="Arial"/>
                <w:i/>
              </w:rPr>
            </m:ctrlPr>
          </m:accPr>
          <m:e>
            <m:r>
              <w:rPr>
                <w:rFonts w:ascii="Cambria Math" w:hAnsi="Cambria Math" w:cs="Arial"/>
              </w:rPr>
              <m:t>X</m:t>
            </m:r>
          </m:e>
        </m:acc>
      </m:oMath>
      <w:r w:rsidR="008E241A">
        <w:rPr>
          <w:rFonts w:cs="Arial"/>
        </w:rPr>
        <w:t>=6</w:t>
      </w:r>
      <w:r w:rsidRPr="00E4229C">
        <w:rPr>
          <w:rFonts w:cs="Arial"/>
        </w:rPr>
        <w:t xml:space="preserve"> L, </w:t>
      </w:r>
      <w:r w:rsidR="001A1A12" w:rsidRPr="00E4229C">
        <w:rPr>
          <w:rFonts w:cs="Arial"/>
        </w:rPr>
        <w:sym w:font="Symbol" w:char="F073"/>
      </w:r>
      <w:r w:rsidR="001A1A12" w:rsidRPr="00E4229C">
        <w:rPr>
          <w:rFonts w:cs="Arial"/>
        </w:rPr>
        <w:t>=</w:t>
      </w:r>
      <w:r w:rsidR="008E241A">
        <w:rPr>
          <w:rFonts w:cs="Arial"/>
        </w:rPr>
        <w:t>3</w:t>
      </w:r>
      <w:r w:rsidRPr="00E4229C">
        <w:rPr>
          <w:rFonts w:cs="Arial"/>
        </w:rPr>
        <w:t>). The mean value was consistent with</w:t>
      </w:r>
      <w:r w:rsidR="00A54517">
        <w:rPr>
          <w:rFonts w:cs="Arial"/>
        </w:rPr>
        <w:t xml:space="preserve"> </w:t>
      </w:r>
      <w:r w:rsidR="00A54517">
        <w:rPr>
          <w:rFonts w:cs="Arial"/>
        </w:rPr>
        <w:fldChar w:fldCharType="begin"/>
      </w:r>
      <w:r w:rsidR="00781CDC">
        <w:rPr>
          <w:rFonts w:cs="Arial"/>
        </w:rPr>
        <w:instrText xml:space="preserve"> ADDIN EN.CITE &lt;EndNote&gt;&lt;Cite AuthorYear="1"&gt;&lt;Author&gt;Schlunke&lt;/Author&gt;&lt;Year&gt;2008&lt;/Year&gt;&lt;RecNum&gt;271&lt;/RecNum&gt;&lt;DisplayText&gt;Schlunke et al. (2008)&lt;/DisplayText&gt;&lt;record&gt;&lt;rec-number&gt;271&lt;/rec-number&gt;&lt;foreign-keys&gt;&lt;key app="EN" db-id="wd2xatvs5e2wadeaa53pvef6sdtsa9rwv55d" timestamp="1500524372"&gt;271&lt;/key&gt;&lt;/foreign-keys&gt;&lt;ref-type name="Book"&gt;6&lt;/ref-type&gt;&lt;contributors&gt;&lt;authors&gt;&lt;author&gt;Schlunke, Anna&lt;/author&gt;&lt;author&gt;Lewis, James&lt;/author&gt;&lt;author&gt;Fane, Simon&lt;/author&gt;&lt;/authors&gt;&lt;/contributors&gt;&lt;titles&gt;&lt;title&gt;Analysis of Australian opportunities for more water-efficient toilets&lt;/title&gt;&lt;/titles&gt;&lt;dates&gt;&lt;year&gt;2008&lt;/year&gt;&lt;/dates&gt;&lt;publisher&gt;Department of the Environment, Heritage, Water and the Arts&lt;/publisher&gt;&lt;urls&gt;&lt;/urls&gt;&lt;/record&gt;&lt;/Cite&gt;&lt;/EndNote&gt;</w:instrText>
      </w:r>
      <w:r w:rsidR="00A54517">
        <w:rPr>
          <w:rFonts w:cs="Arial"/>
        </w:rPr>
        <w:fldChar w:fldCharType="separate"/>
      </w:r>
      <w:r w:rsidR="00781CDC">
        <w:rPr>
          <w:rFonts w:cs="Arial"/>
          <w:noProof/>
        </w:rPr>
        <w:t>Schlunke et al. (2008)</w:t>
      </w:r>
      <w:r w:rsidR="00A54517">
        <w:rPr>
          <w:rFonts w:cs="Arial"/>
        </w:rPr>
        <w:fldChar w:fldCharType="end"/>
      </w:r>
      <w:r w:rsidRPr="00E4229C">
        <w:rPr>
          <w:rFonts w:cs="Arial"/>
        </w:rPr>
        <w:t xml:space="preserve">. Values below 4 litres </w:t>
      </w:r>
      <w:r w:rsidR="0005749A">
        <w:rPr>
          <w:rFonts w:cs="Arial"/>
        </w:rPr>
        <w:t xml:space="preserve">per flush </w:t>
      </w:r>
      <w:r w:rsidRPr="00E4229C">
        <w:rPr>
          <w:rFonts w:cs="Arial"/>
        </w:rPr>
        <w:t xml:space="preserve">were removed. </w:t>
      </w:r>
    </w:p>
    <w:p w14:paraId="63183FD9" w14:textId="77777777" w:rsidR="000D0A66" w:rsidRPr="00E4229C" w:rsidRDefault="000D0A66" w:rsidP="000D0A66">
      <w:pPr>
        <w:rPr>
          <w:rFonts w:cs="Arial"/>
        </w:rPr>
      </w:pPr>
      <w:r w:rsidRPr="00E4229C">
        <w:rPr>
          <w:rFonts w:cs="Arial"/>
        </w:rPr>
        <w:t>The frequency of toilet use 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 xml:space="preserve">=1.7, </w:t>
      </w:r>
      <w:r w:rsidR="001A1A12" w:rsidRPr="00A54517">
        <w:rPr>
          <w:rFonts w:cs="Arial"/>
        </w:rPr>
        <w:sym w:font="Symbol" w:char="F073"/>
      </w:r>
      <w:r w:rsidR="001A1A12" w:rsidRPr="00A54517">
        <w:rPr>
          <w:rFonts w:cs="Arial"/>
        </w:rPr>
        <w:t>=</w:t>
      </w:r>
      <w:r w:rsidR="00A54517" w:rsidRPr="00A54517">
        <w:rPr>
          <w:rFonts w:cs="Arial"/>
        </w:rPr>
        <w:t>0</w:t>
      </w:r>
      <w:r w:rsidRPr="00A54517">
        <w:rPr>
          <w:rFonts w:cs="Arial"/>
        </w:rPr>
        <w:t>.</w:t>
      </w:r>
      <w:r w:rsidR="00A54517" w:rsidRPr="00A54517">
        <w:rPr>
          <w:rFonts w:cs="Arial"/>
        </w:rPr>
        <w:t>4</w:t>
      </w:r>
      <w:r w:rsidRPr="00A54517">
        <w:rPr>
          <w:rFonts w:cs="Arial"/>
        </w:rPr>
        <w:t>).</w:t>
      </w:r>
      <w:r w:rsidRPr="00E4229C">
        <w:rPr>
          <w:rFonts w:cs="Arial"/>
        </w:rPr>
        <w:t xml:space="preserve"> This reflected medical literature on bowel movement frequency. </w:t>
      </w:r>
      <w:r w:rsidR="00A54517">
        <w:rPr>
          <w:rFonts w:cs="Arial"/>
        </w:rPr>
        <w:fldChar w:fldCharType="begin"/>
      </w:r>
      <w:r w:rsidR="00A54517">
        <w:rPr>
          <w:rFonts w:cs="Arial"/>
        </w:rPr>
        <w:instrText xml:space="preserve"> ADDIN EN.CITE &lt;EndNote&gt;&lt;Cite AuthorYear="1"&gt;&lt;Author&gt;Walter&lt;/Author&gt;&lt;Year&gt;2002&lt;/Year&gt;&lt;RecNum&gt;272&lt;/RecNum&gt;&lt;DisplayText&gt;Walter et al. (2002)&lt;/DisplayText&gt;&lt;record&gt;&lt;rec-number&gt;272&lt;/rec-number&gt;&lt;foreign-keys&gt;&lt;key app="EN" db-id="wd2xatvs5e2wadeaa53pvef6sdtsa9rwv55d" timestamp="1500524438"&gt;272&lt;/key&gt;&lt;/foreign-keys&gt;&lt;ref-type name="Journal Article"&gt;17&lt;/ref-type&gt;&lt;contributors&gt;&lt;authors&gt;&lt;author&gt;Walter, Susanna&lt;/author&gt;&lt;author&gt;Hallböök, Olof&lt;/author&gt;&lt;author&gt;Gotthard, Ricci&lt;/author&gt;&lt;author&gt;Bergmark, M&lt;/author&gt;&lt;author&gt;Sjödahl, Rune&lt;/author&gt;&lt;/authors&gt;&lt;/contributors&gt;&lt;titles&gt;&lt;title&gt;A population-based study on bowel habits in a Swedish community: prevalence of faecal incontinence and constipation&lt;/title&gt;&lt;secondary-title&gt;Scandinavian journal of gastroenterology&lt;/secondary-title&gt;&lt;/titles&gt;&lt;periodical&gt;&lt;full-title&gt;Scandinavian journal of gastroenterology&lt;/full-title&gt;&lt;/periodical&gt;&lt;pages&gt;911-916&lt;/pages&gt;&lt;volume&gt;37&lt;/volume&gt;&lt;number&gt;8&lt;/number&gt;&lt;dates&gt;&lt;year&gt;2002&lt;/year&gt;&lt;/dates&gt;&lt;isbn&gt;0036-5521&lt;/isbn&gt;&lt;urls&gt;&lt;/urls&gt;&lt;/record&gt;&lt;/Cite&gt;&lt;/EndNote&gt;</w:instrText>
      </w:r>
      <w:r w:rsidR="00A54517">
        <w:rPr>
          <w:rFonts w:cs="Arial"/>
        </w:rPr>
        <w:fldChar w:fldCharType="separate"/>
      </w:r>
      <w:r w:rsidR="00A54517">
        <w:rPr>
          <w:rFonts w:cs="Arial"/>
          <w:noProof/>
        </w:rPr>
        <w:t>Walter et al. (2002)</w:t>
      </w:r>
      <w:r w:rsidR="00A54517">
        <w:rPr>
          <w:rFonts w:cs="Arial"/>
        </w:rPr>
        <w:fldChar w:fldCharType="end"/>
      </w:r>
      <w:r w:rsidRPr="00E4229C">
        <w:rPr>
          <w:rFonts w:cs="Arial"/>
        </w:rPr>
        <w:t xml:space="preserve"> found 95% of respondents had bowel movements between 3 times per week and 3 times per day. This frequency estimate was multiplied by 2 to account for flushing due </w:t>
      </w:r>
      <w:r w:rsidR="00551D2D" w:rsidRPr="00E4229C">
        <w:rPr>
          <w:rFonts w:cs="Arial"/>
        </w:rPr>
        <w:t xml:space="preserve">to </w:t>
      </w:r>
      <w:r w:rsidRPr="00E4229C">
        <w:rPr>
          <w:rFonts w:cs="Arial"/>
        </w:rPr>
        <w:t>urinating.</w:t>
      </w:r>
    </w:p>
    <w:p w14:paraId="345652C1" w14:textId="77777777" w:rsidR="000D0A66" w:rsidRPr="00E4229C" w:rsidRDefault="00390B3D" w:rsidP="00390B3D">
      <w:pPr>
        <w:pStyle w:val="Heading8"/>
        <w:numPr>
          <w:ilvl w:val="2"/>
          <w:numId w:val="8"/>
        </w:numPr>
        <w:rPr>
          <w:rFonts w:cs="Arial"/>
        </w:rPr>
      </w:pPr>
      <w:r w:rsidRPr="00E4229C">
        <w:rPr>
          <w:rFonts w:cs="Arial"/>
        </w:rPr>
        <w:t xml:space="preserve"> </w:t>
      </w:r>
      <w:r w:rsidR="00AE3826" w:rsidRPr="00E4229C">
        <w:rPr>
          <w:rFonts w:cs="Arial"/>
        </w:rPr>
        <w:t xml:space="preserve">The </w:t>
      </w:r>
      <w:r w:rsidR="000D0A66" w:rsidRPr="00E4229C">
        <w:rPr>
          <w:rFonts w:cs="Arial"/>
        </w:rPr>
        <w:t>Shower</w:t>
      </w:r>
    </w:p>
    <w:p w14:paraId="6EB197AB" w14:textId="77777777" w:rsidR="000D0A66" w:rsidRPr="00E4229C" w:rsidRDefault="000D0A66" w:rsidP="000D0A66">
      <w:pPr>
        <w:rPr>
          <w:rFonts w:cs="Arial"/>
        </w:rPr>
      </w:pPr>
      <w:r w:rsidRPr="00E4229C">
        <w:rPr>
          <w:rFonts w:cs="Arial"/>
        </w:rPr>
        <w:t>The volume of water used in the shower was modelled from the expected flow rates of the shower heads (SFL), multiplied by the daily frequency of showers (SF), multiplied by the shower duration</w:t>
      </w:r>
      <w:r w:rsidR="0005749A">
        <w:rPr>
          <w:rFonts w:cs="Arial"/>
        </w:rPr>
        <w:t xml:space="preserve"> measured in minutes</w:t>
      </w:r>
      <w:r w:rsidRPr="00E4229C">
        <w:rPr>
          <w:rFonts w:cs="Arial"/>
        </w:rPr>
        <w:t xml:space="preserve"> (ST). </w:t>
      </w:r>
    </w:p>
    <w:p w14:paraId="2E1467FE" w14:textId="77777777" w:rsidR="000D0A66" w:rsidRPr="00E4229C" w:rsidRDefault="000D0A66" w:rsidP="000D0A66">
      <w:pPr>
        <w:rPr>
          <w:rFonts w:cs="Arial"/>
        </w:rPr>
      </w:pPr>
      <w:r w:rsidRPr="00E4229C">
        <w:rPr>
          <w:rFonts w:cs="Arial"/>
        </w:rPr>
        <w:t>The shower head flow rate 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 xml:space="preserve">=6 litres per minute, </w:t>
      </w:r>
      <w:r w:rsidR="001A1A12" w:rsidRPr="00E4229C">
        <w:rPr>
          <w:rFonts w:cs="Arial"/>
        </w:rPr>
        <w:sym w:font="Symbol" w:char="F073"/>
      </w:r>
      <w:r w:rsidR="001A1A12" w:rsidRPr="00E4229C">
        <w:rPr>
          <w:rFonts w:cs="Arial"/>
        </w:rPr>
        <w:t>=</w:t>
      </w:r>
      <w:r w:rsidR="00155825">
        <w:rPr>
          <w:rFonts w:cs="Arial"/>
        </w:rPr>
        <w:t>3</w:t>
      </w:r>
      <w:r w:rsidRPr="00E4229C">
        <w:rPr>
          <w:rFonts w:cs="Arial"/>
        </w:rPr>
        <w:t>). The mean value reflects</w:t>
      </w:r>
      <w:r w:rsidR="00781CDC">
        <w:rPr>
          <w:rFonts w:cs="Arial"/>
        </w:rPr>
        <w:t xml:space="preserve"> the findings of</w:t>
      </w:r>
      <w:r w:rsidRPr="00E4229C">
        <w:rPr>
          <w:rFonts w:cs="Arial"/>
        </w:rPr>
        <w:t xml:space="preserve"> </w:t>
      </w:r>
      <w:r w:rsidR="00A54517">
        <w:rPr>
          <w:rFonts w:cs="Arial"/>
        </w:rPr>
        <w:fldChar w:fldCharType="begin"/>
      </w:r>
      <w:r w:rsidR="00781CDC">
        <w:rPr>
          <w:rFonts w:cs="Arial"/>
        </w:rPr>
        <w:instrText xml:space="preserve"> ADDIN EN.CITE &lt;EndNote&gt;&lt;Cite AuthorYear="1"&gt;&lt;Author&gt;Cordell&lt;/Author&gt;&lt;Year&gt;2003&lt;/Year&gt;&lt;RecNum&gt;273&lt;/RecNum&gt;&lt;DisplayText&gt;Cordell et al. (2003)&lt;/DisplayText&gt;&lt;record&gt;&lt;rec-number&gt;273&lt;/rec-number&gt;&lt;foreign-keys&gt;&lt;key app="EN" db-id="wd2xatvs5e2wadeaa53pvef6sdtsa9rwv55d" timestamp="1500524531"&gt;273&lt;/key&gt;&lt;/foreign-keys&gt;&lt;ref-type name="Journal Article"&gt;17&lt;/ref-type&gt;&lt;contributors&gt;&lt;authors&gt;&lt;author&gt;Cordell, D&lt;/author&gt;&lt;author&gt;Robinson, J&lt;/author&gt;&lt;author&gt;Loh, M&lt;/author&gt;&lt;/authors&gt;&lt;/contributors&gt;&lt;titles&gt;&lt;title&gt;Collecting residential end use data from primary sources: Do’s and don’ts&lt;/title&gt;&lt;secondary-title&gt;Institute For Sustainable Futures, University of Technology, Sydney&lt;/secondary-title&gt;&lt;/titles&gt;&lt;periodical&gt;&lt;full-title&gt;Institute For Sustainable Futures, University of Technology, Sydney&lt;/full-title&gt;&lt;/periodical&gt;&lt;dates&gt;&lt;year&gt;2003&lt;/year&gt;&lt;/dates&gt;&lt;urls&gt;&lt;/urls&gt;&lt;/record&gt;&lt;/Cite&gt;&lt;/EndNote&gt;</w:instrText>
      </w:r>
      <w:r w:rsidR="00A54517">
        <w:rPr>
          <w:rFonts w:cs="Arial"/>
        </w:rPr>
        <w:fldChar w:fldCharType="separate"/>
      </w:r>
      <w:r w:rsidR="00781CDC">
        <w:rPr>
          <w:rFonts w:cs="Arial"/>
          <w:noProof/>
        </w:rPr>
        <w:t>Cordell et al. (2003)</w:t>
      </w:r>
      <w:r w:rsidR="00A54517">
        <w:rPr>
          <w:rFonts w:cs="Arial"/>
        </w:rPr>
        <w:fldChar w:fldCharType="end"/>
      </w:r>
      <w:r w:rsidRPr="00E4229C">
        <w:rPr>
          <w:rFonts w:cs="Arial"/>
        </w:rPr>
        <w:t xml:space="preserve">. Modelled values below zero were removed. </w:t>
      </w:r>
    </w:p>
    <w:p w14:paraId="5FE65243" w14:textId="77777777" w:rsidR="000D0A66" w:rsidRPr="00E4229C" w:rsidRDefault="000D0A66" w:rsidP="000D0A66">
      <w:pPr>
        <w:rPr>
          <w:rFonts w:cs="Arial"/>
        </w:rPr>
      </w:pPr>
      <w:r w:rsidRPr="00E4229C">
        <w:rPr>
          <w:rFonts w:cs="Arial"/>
        </w:rPr>
        <w:t>Daily shower frequency 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 xml:space="preserve">=1, </w:t>
      </w:r>
      <w:r w:rsidR="001A1A12" w:rsidRPr="00E4229C">
        <w:rPr>
          <w:rFonts w:cs="Arial"/>
        </w:rPr>
        <w:sym w:font="Symbol" w:char="F073"/>
      </w:r>
      <w:r w:rsidR="001A1A12" w:rsidRPr="00E4229C">
        <w:rPr>
          <w:rFonts w:cs="Arial"/>
        </w:rPr>
        <w:t>=</w:t>
      </w:r>
      <w:r w:rsidRPr="00E4229C">
        <w:rPr>
          <w:rFonts w:cs="Arial"/>
        </w:rPr>
        <w:t>0.5). Modelled values below zero were removed.</w:t>
      </w:r>
    </w:p>
    <w:p w14:paraId="21EED020" w14:textId="77777777" w:rsidR="000D0A66" w:rsidRPr="00E4229C" w:rsidRDefault="000D0A66" w:rsidP="000D0A66">
      <w:pPr>
        <w:rPr>
          <w:rFonts w:cs="Arial"/>
        </w:rPr>
      </w:pPr>
      <w:r w:rsidRPr="00E4229C">
        <w:rPr>
          <w:rFonts w:cs="Arial"/>
        </w:rPr>
        <w:t>Shower duration was modelled as a normal distribution (</w:t>
      </w:r>
      <m:oMath>
        <m:acc>
          <m:accPr>
            <m:chr m:val="̅"/>
            <m:ctrlPr>
              <w:rPr>
                <w:rFonts w:ascii="Cambria Math" w:hAnsi="Cambria Math" w:cs="Arial"/>
                <w:i/>
              </w:rPr>
            </m:ctrlPr>
          </m:accPr>
          <m:e>
            <m:r>
              <w:rPr>
                <w:rFonts w:ascii="Cambria Math" w:hAnsi="Cambria Math" w:cs="Arial"/>
              </w:rPr>
              <m:t>X</m:t>
            </m:r>
          </m:e>
        </m:acc>
      </m:oMath>
      <w:r w:rsidRPr="00155825">
        <w:rPr>
          <w:rFonts w:cs="Arial"/>
        </w:rPr>
        <w:t>=</w:t>
      </w:r>
      <w:r w:rsidR="00155825" w:rsidRPr="00155825">
        <w:rPr>
          <w:rFonts w:cs="Arial"/>
        </w:rPr>
        <w:t>6</w:t>
      </w:r>
      <w:r w:rsidRPr="00E4229C">
        <w:rPr>
          <w:rFonts w:cs="Arial"/>
        </w:rPr>
        <w:t xml:space="preserve"> min, </w:t>
      </w:r>
      <w:r w:rsidR="001A1A12" w:rsidRPr="00E4229C">
        <w:rPr>
          <w:rFonts w:cs="Arial"/>
        </w:rPr>
        <w:sym w:font="Symbol" w:char="F073"/>
      </w:r>
      <w:r w:rsidR="001A1A12" w:rsidRPr="00E4229C">
        <w:rPr>
          <w:rFonts w:cs="Arial"/>
        </w:rPr>
        <w:t>=</w:t>
      </w:r>
      <w:r w:rsidRPr="00E4229C">
        <w:rPr>
          <w:rFonts w:cs="Arial"/>
        </w:rPr>
        <w:t xml:space="preserve">4). Modelled values less than 3 minutes were removed. </w:t>
      </w:r>
      <w:r w:rsidR="00B35F1C">
        <w:rPr>
          <w:rFonts w:cs="Arial"/>
        </w:rPr>
        <w:fldChar w:fldCharType="begin"/>
      </w:r>
      <w:r w:rsidR="005E42D6">
        <w:rPr>
          <w:rFonts w:cs="Arial"/>
        </w:rPr>
        <w:instrText xml:space="preserve"> ADDIN EN.CITE &lt;EndNote&gt;&lt;Cite AuthorYear="1"&gt;&lt;Author&gt;Dent&lt;/Author&gt;&lt;Year&gt;2006&lt;/Year&gt;&lt;RecNum&gt;274&lt;/RecNum&gt;&lt;DisplayText&gt;Dent (2006)&lt;/DisplayText&gt;&lt;record&gt;&lt;rec-number&gt;274&lt;/rec-number&gt;&lt;foreign-keys&gt;&lt;key app="EN" db-id="wd2xatvs5e2wadeaa53pvef6sdtsa9rwv55d" timestamp="1500525243"&gt;274&lt;/key&gt;&lt;/foreign-keys&gt;&lt;ref-type name="Web Page"&gt;12&lt;/ref-type&gt;&lt;contributors&gt;&lt;authors&gt;&lt;author&gt;Dent, J.&lt;/author&gt;&lt;/authors&gt;&lt;/contributors&gt;&lt;titles&gt;&lt;title&gt;Australians urged to save energy with shorter showers&lt;/title&gt;&lt;/titles&gt;&lt;number&gt;July 20, 2017&lt;/number&gt;&lt;dates&gt;&lt;year&gt;2006&lt;/year&gt;&lt;/dates&gt;&lt;publisher&gt;The Guardian&lt;/publisher&gt;&lt;urls&gt;&lt;/urls&gt;&lt;/record&gt;&lt;/Cite&gt;&lt;/EndNote&gt;</w:instrText>
      </w:r>
      <w:r w:rsidR="00B35F1C">
        <w:rPr>
          <w:rFonts w:cs="Arial"/>
        </w:rPr>
        <w:fldChar w:fldCharType="separate"/>
      </w:r>
      <w:r w:rsidR="005E42D6">
        <w:rPr>
          <w:rFonts w:cs="Arial"/>
          <w:noProof/>
        </w:rPr>
        <w:t>Dent (2006)</w:t>
      </w:r>
      <w:r w:rsidR="00B35F1C">
        <w:rPr>
          <w:rFonts w:cs="Arial"/>
        </w:rPr>
        <w:fldChar w:fldCharType="end"/>
      </w:r>
      <w:r w:rsidR="0005749A">
        <w:rPr>
          <w:rFonts w:cs="Arial"/>
        </w:rPr>
        <w:t xml:space="preserve"> reported </w:t>
      </w:r>
      <w:r w:rsidR="00977262">
        <w:rPr>
          <w:rFonts w:cs="Arial"/>
        </w:rPr>
        <w:t>an average duration of 7 minutes and most respondents to their survey were between 3 and 30 minutes.</w:t>
      </w:r>
    </w:p>
    <w:p w14:paraId="61B311CC" w14:textId="77777777" w:rsidR="000D0A66" w:rsidRPr="00E4229C" w:rsidRDefault="00390B3D" w:rsidP="00390B3D">
      <w:pPr>
        <w:pStyle w:val="Heading8"/>
        <w:numPr>
          <w:ilvl w:val="2"/>
          <w:numId w:val="8"/>
        </w:numPr>
        <w:rPr>
          <w:rFonts w:cs="Arial"/>
        </w:rPr>
      </w:pPr>
      <w:r w:rsidRPr="00E4229C">
        <w:rPr>
          <w:rFonts w:cs="Arial"/>
        </w:rPr>
        <w:t xml:space="preserve"> </w:t>
      </w:r>
      <w:r w:rsidR="000D0A66" w:rsidRPr="00E4229C">
        <w:rPr>
          <w:rFonts w:cs="Arial"/>
        </w:rPr>
        <w:t>Clothes Washing</w:t>
      </w:r>
    </w:p>
    <w:p w14:paraId="2DBEA576" w14:textId="77777777" w:rsidR="000D0A66" w:rsidRPr="00E4229C" w:rsidRDefault="000D0A66" w:rsidP="000D0A66">
      <w:pPr>
        <w:rPr>
          <w:rFonts w:cs="Arial"/>
        </w:rPr>
      </w:pPr>
      <w:r w:rsidRPr="00E4229C">
        <w:rPr>
          <w:rFonts w:cs="Arial"/>
        </w:rPr>
        <w:t>The volume of water used for clothes washing was modelled as the volume used in each cycle of a washing machine (CW) multiplied by an estimated frequency of use (CWF).</w:t>
      </w:r>
      <w:r w:rsidR="00977262">
        <w:rPr>
          <w:rFonts w:cs="Arial"/>
        </w:rPr>
        <w:t xml:space="preserve"> </w:t>
      </w:r>
      <w:r w:rsidR="00977262" w:rsidRPr="00E4229C">
        <w:rPr>
          <w:rFonts w:cs="Arial"/>
        </w:rPr>
        <w:t>95% of dwellings in Australia wash clothes using a washing machine</w:t>
      </w:r>
      <w:r w:rsidR="00436F84">
        <w:rPr>
          <w:rFonts w:cs="Arial"/>
        </w:rPr>
        <w:t xml:space="preserve"> </w:t>
      </w:r>
      <w:r w:rsidR="00436F84">
        <w:rPr>
          <w:rFonts w:cs="Arial"/>
        </w:rPr>
        <w:fldChar w:fldCharType="begin"/>
      </w:r>
      <w:r w:rsidR="00632FD2">
        <w:rPr>
          <w:rFonts w:cs="Arial"/>
        </w:rPr>
        <w:instrText xml:space="preserve"> ADDIN EN.CITE &lt;EndNote&gt;&lt;Cite&gt;&lt;Author&gt;Australian Bureau of Statistics&lt;/Author&gt;&lt;Year&gt;2006&lt;/Year&gt;&lt;RecNum&gt;260&lt;/RecNum&gt;&lt;DisplayText&gt;(Australian Bureau of Statistics, 2006)&lt;/DisplayText&gt;&lt;record&gt;&lt;rec-number&gt;260&lt;/rec-number&gt;&lt;foreign-keys&gt;&lt;key app="EN" db-id="wd2xatvs5e2wadeaa53pvef6sdtsa9rwv55d" timestamp="1499411214"&gt;260&lt;/key&gt;&lt;/foreign-keys&gt;&lt;ref-type name="Report"&gt;27&lt;/ref-type&gt;&lt;contributors&gt;&lt;authors&gt;&lt;author&gt;Australian Bureau of Statistics,&lt;/author&gt;&lt;/authors&gt;&lt;/contributors&gt;&lt;titles&gt;&lt;title&gt;Cat 4652.5 - Domestic Water and Energy Use, Western Australia, Oct 2006  &lt;/title&gt;&lt;/titles&gt;&lt;dates&gt;&lt;year&gt;2006&lt;/year&gt;&lt;/dates&gt;&lt;pub-location&gt;Canberra&lt;/pub-location&gt;&lt;publisher&gt;ABS&lt;/publisher&gt;&lt;urls&gt;&lt;/urls&gt;&lt;/record&gt;&lt;/Cite&gt;&lt;/EndNote&gt;</w:instrText>
      </w:r>
      <w:r w:rsidR="00436F84">
        <w:rPr>
          <w:rFonts w:cs="Arial"/>
        </w:rPr>
        <w:fldChar w:fldCharType="separate"/>
      </w:r>
      <w:r w:rsidR="00632FD2">
        <w:rPr>
          <w:rFonts w:cs="Arial"/>
          <w:noProof/>
        </w:rPr>
        <w:t>(Australian Bureau of Statistics, 2006)</w:t>
      </w:r>
      <w:r w:rsidR="00436F84">
        <w:rPr>
          <w:rFonts w:cs="Arial"/>
        </w:rPr>
        <w:fldChar w:fldCharType="end"/>
      </w:r>
      <w:r w:rsidR="00977262" w:rsidRPr="00E4229C">
        <w:rPr>
          <w:rFonts w:cs="Arial"/>
        </w:rPr>
        <w:t>.</w:t>
      </w:r>
    </w:p>
    <w:p w14:paraId="05DE7E5B" w14:textId="77777777" w:rsidR="000D0A66" w:rsidRPr="00E4229C" w:rsidRDefault="00B80568" w:rsidP="000D0A66">
      <w:pPr>
        <w:rPr>
          <w:rFonts w:cs="Arial"/>
        </w:rPr>
      </w:pPr>
      <w:r>
        <w:rPr>
          <w:rFonts w:cs="Arial"/>
        </w:rPr>
        <w:t>The volume of water used by a</w:t>
      </w:r>
      <w:r w:rsidR="000D0A66" w:rsidRPr="00E4229C">
        <w:rPr>
          <w:rFonts w:cs="Arial"/>
        </w:rPr>
        <w:t xml:space="preserve"> washing machine was </w:t>
      </w:r>
      <w:r>
        <w:rPr>
          <w:rFonts w:cs="Arial"/>
        </w:rPr>
        <w:t xml:space="preserve">modelled as a </w:t>
      </w:r>
      <w:r w:rsidR="00E242B7">
        <w:rPr>
          <w:rFonts w:cs="Arial"/>
        </w:rPr>
        <w:t>normal</w:t>
      </w:r>
      <w:r>
        <w:rPr>
          <w:rFonts w:cs="Arial"/>
        </w:rPr>
        <w:t xml:space="preserve"> distribution </w:t>
      </w:r>
      <w:r w:rsidRPr="00E4229C">
        <w:rPr>
          <w:rFonts w:cs="Arial"/>
        </w:rPr>
        <w:t>(</w:t>
      </w:r>
      <m:oMath>
        <m:acc>
          <m:accPr>
            <m:chr m:val="̅"/>
            <m:ctrlPr>
              <w:rPr>
                <w:rFonts w:ascii="Cambria Math" w:hAnsi="Cambria Math" w:cs="Arial"/>
                <w:i/>
              </w:rPr>
            </m:ctrlPr>
          </m:accPr>
          <m:e>
            <m:r>
              <w:rPr>
                <w:rFonts w:ascii="Cambria Math" w:hAnsi="Cambria Math" w:cs="Arial"/>
              </w:rPr>
              <m:t>X</m:t>
            </m:r>
          </m:e>
        </m:acc>
      </m:oMath>
      <w:r w:rsidRPr="00E4229C">
        <w:rPr>
          <w:rFonts w:cs="Arial"/>
        </w:rPr>
        <w:t>=1</w:t>
      </w:r>
      <w:r>
        <w:rPr>
          <w:rFonts w:cs="Arial"/>
        </w:rPr>
        <w:t>05 litres</w:t>
      </w:r>
      <w:r w:rsidRPr="00E4229C">
        <w:rPr>
          <w:rFonts w:cs="Arial"/>
        </w:rPr>
        <w:t xml:space="preserve">, </w:t>
      </w:r>
      <w:r w:rsidRPr="00E4229C">
        <w:rPr>
          <w:rFonts w:cs="Arial"/>
        </w:rPr>
        <w:sym w:font="Symbol" w:char="F073"/>
      </w:r>
      <w:r w:rsidRPr="00E4229C">
        <w:rPr>
          <w:rFonts w:cs="Arial"/>
        </w:rPr>
        <w:t>=</w:t>
      </w:r>
      <w:r>
        <w:rPr>
          <w:rFonts w:cs="Arial"/>
        </w:rPr>
        <w:t>22</w:t>
      </w:r>
      <w:r w:rsidRPr="00E4229C">
        <w:rPr>
          <w:rFonts w:cs="Arial"/>
        </w:rPr>
        <w:t>)</w:t>
      </w:r>
      <w:r>
        <w:rPr>
          <w:rFonts w:cs="Arial"/>
        </w:rPr>
        <w:t xml:space="preserve"> assuming a range of 40-170L per wash cycle </w:t>
      </w:r>
      <w:r>
        <w:rPr>
          <w:rFonts w:cs="Arial"/>
        </w:rPr>
        <w:fldChar w:fldCharType="begin"/>
      </w:r>
      <w:r>
        <w:rPr>
          <w:rFonts w:cs="Arial"/>
        </w:rPr>
        <w:instrText xml:space="preserve"> ADDIN EN.CITE &lt;EndNote&gt;&lt;Cite&gt;&lt;Author&gt;Alliance for Water Efficiency&lt;/Author&gt;&lt;Year&gt;2017&lt;/Year&gt;&lt;RecNum&gt;277&lt;/RecNum&gt;&lt;DisplayText&gt;(Alliance for Water Efficiency, 2017)&lt;/DisplayText&gt;&lt;record&gt;&lt;rec-number&gt;277&lt;/rec-number&gt;&lt;foreign-keys&gt;&lt;key app="EN" db-id="wd2xatvs5e2wadeaa53pvef6sdtsa9rwv55d" timestamp="1501033509"&gt;277&lt;/key&gt;&lt;/foreign-keys&gt;&lt;ref-type name="Web Page"&gt;12&lt;/ref-type&gt;&lt;contributors&gt;&lt;authors&gt;&lt;author&gt;Alliance for Water Efficiency,&lt;/author&gt;&lt;/authors&gt;&lt;/contributors&gt;&lt;titles&gt;&lt;title&gt;Clothes Washer&lt;/title&gt;&lt;/titles&gt;&lt;volume&gt;2017&lt;/volume&gt;&lt;dates&gt;&lt;year&gt;2017&lt;/year&gt;&lt;/dates&gt;&lt;publisher&gt;Home Water Works&lt;/publisher&gt;&lt;urls&gt;&lt;related-urls&gt;&lt;url&gt;http://www.home-water-works.org/indoor-use/clothes-washer&lt;/url&gt;&lt;/related-urls&gt;&lt;/urls&gt;&lt;/record&gt;&lt;/Cite&gt;&lt;/EndNote&gt;</w:instrText>
      </w:r>
      <w:r>
        <w:rPr>
          <w:rFonts w:cs="Arial"/>
        </w:rPr>
        <w:fldChar w:fldCharType="separate"/>
      </w:r>
      <w:r>
        <w:rPr>
          <w:rFonts w:cs="Arial"/>
          <w:noProof/>
        </w:rPr>
        <w:t>(Alliance for Water Efficiency, 2017)</w:t>
      </w:r>
      <w:r>
        <w:rPr>
          <w:rFonts w:cs="Arial"/>
        </w:rPr>
        <w:fldChar w:fldCharType="end"/>
      </w:r>
      <w:r w:rsidR="00155825">
        <w:rPr>
          <w:rFonts w:cs="Arial"/>
        </w:rPr>
        <w:t xml:space="preserve"> </w:t>
      </w:r>
    </w:p>
    <w:p w14:paraId="43A21E68" w14:textId="77777777" w:rsidR="000D0A66" w:rsidRPr="00E4229C" w:rsidRDefault="000D0A66" w:rsidP="000D0A66">
      <w:pPr>
        <w:rPr>
          <w:rFonts w:cs="Arial"/>
        </w:rPr>
      </w:pPr>
      <w:r w:rsidRPr="00E4229C">
        <w:rPr>
          <w:rFonts w:cs="Arial"/>
        </w:rPr>
        <w:t xml:space="preserve">The frequency of washing machine use was based on </w:t>
      </w:r>
      <w:r w:rsidR="00436F84">
        <w:rPr>
          <w:rFonts w:cs="Arial"/>
        </w:rPr>
        <w:t xml:space="preserve">survey data </w:t>
      </w:r>
      <w:r w:rsidR="00436F84">
        <w:rPr>
          <w:rFonts w:cs="Arial"/>
        </w:rPr>
        <w:fldChar w:fldCharType="begin"/>
      </w:r>
      <w:r w:rsidR="00632FD2">
        <w:rPr>
          <w:rFonts w:cs="Arial"/>
        </w:rPr>
        <w:instrText xml:space="preserve"> ADDIN EN.CITE &lt;EndNote&gt;&lt;Cite&gt;&lt;Author&gt;Australian Bureau of Statistics&lt;/Author&gt;&lt;Year&gt;2006&lt;/Year&gt;&lt;RecNum&gt;260&lt;/RecNum&gt;&lt;DisplayText&gt;(Australian Bureau of Statistics, 2006)&lt;/DisplayText&gt;&lt;record&gt;&lt;rec-number&gt;260&lt;/rec-number&gt;&lt;foreign-keys&gt;&lt;key app="EN" db-id="wd2xatvs5e2wadeaa53pvef6sdtsa9rwv55d" timestamp="1499411214"&gt;260&lt;/key&gt;&lt;/foreign-keys&gt;&lt;ref-type name="Report"&gt;27&lt;/ref-type&gt;&lt;contributors&gt;&lt;authors&gt;&lt;author&gt;Australian Bureau of Statistics,&lt;/author&gt;&lt;/authors&gt;&lt;/contributors&gt;&lt;titles&gt;&lt;title&gt;Cat 4652.5 - Domestic Water and Energy Use, Western Australia, Oct 2006  &lt;/title&gt;&lt;/titles&gt;&lt;dates&gt;&lt;year&gt;2006&lt;/year&gt;&lt;/dates&gt;&lt;pub-location&gt;Canberra&lt;/pub-location&gt;&lt;publisher&gt;ABS&lt;/publisher&gt;&lt;urls&gt;&lt;/urls&gt;&lt;/record&gt;&lt;/Cite&gt;&lt;/EndNote&gt;</w:instrText>
      </w:r>
      <w:r w:rsidR="00436F84">
        <w:rPr>
          <w:rFonts w:cs="Arial"/>
        </w:rPr>
        <w:fldChar w:fldCharType="separate"/>
      </w:r>
      <w:r w:rsidR="00632FD2">
        <w:rPr>
          <w:rFonts w:cs="Arial"/>
          <w:noProof/>
        </w:rPr>
        <w:t>(Australian Bureau of Statistics, 2006)</w:t>
      </w:r>
      <w:r w:rsidR="00436F84">
        <w:rPr>
          <w:rFonts w:cs="Arial"/>
        </w:rPr>
        <w:fldChar w:fldCharType="end"/>
      </w:r>
      <w:r w:rsidRPr="00E4229C">
        <w:rPr>
          <w:rFonts w:cs="Arial"/>
        </w:rPr>
        <w:t xml:space="preserve">. </w:t>
      </w:r>
      <w:r w:rsidR="00E242B7">
        <w:rPr>
          <w:rFonts w:cs="Arial"/>
        </w:rPr>
        <w:t xml:space="preserve">It </w:t>
      </w:r>
      <w:r w:rsidRPr="00E4229C">
        <w:rPr>
          <w:rFonts w:cs="Arial"/>
        </w:rPr>
        <w:t>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=0.</w:t>
      </w:r>
      <w:r w:rsidR="00382C1F">
        <w:rPr>
          <w:rFonts w:cs="Arial"/>
        </w:rPr>
        <w:t>65</w:t>
      </w:r>
      <w:r w:rsidR="00FB310C">
        <w:rPr>
          <w:rFonts w:cs="Arial"/>
        </w:rPr>
        <w:t xml:space="preserve"> cycles per day</w:t>
      </w:r>
      <w:r w:rsidRPr="00E4229C">
        <w:rPr>
          <w:rFonts w:cs="Arial"/>
        </w:rPr>
        <w:t xml:space="preserve">, </w:t>
      </w:r>
      <w:r w:rsidR="001A1A12" w:rsidRPr="00E4229C">
        <w:rPr>
          <w:rFonts w:cs="Arial"/>
        </w:rPr>
        <w:sym w:font="Symbol" w:char="F073"/>
      </w:r>
      <w:r w:rsidR="001A1A12" w:rsidRPr="00E4229C">
        <w:rPr>
          <w:rFonts w:cs="Arial"/>
        </w:rPr>
        <w:t>=</w:t>
      </w:r>
      <w:r w:rsidRPr="00E4229C">
        <w:rPr>
          <w:rFonts w:cs="Arial"/>
        </w:rPr>
        <w:t>0.</w:t>
      </w:r>
      <w:r w:rsidR="00155825">
        <w:rPr>
          <w:rFonts w:cs="Arial"/>
        </w:rPr>
        <w:t>3</w:t>
      </w:r>
      <w:r w:rsidRPr="00E4229C">
        <w:rPr>
          <w:rFonts w:cs="Arial"/>
        </w:rPr>
        <w:t>).</w:t>
      </w:r>
    </w:p>
    <w:p w14:paraId="3D756235" w14:textId="77777777" w:rsidR="000D0A66" w:rsidRPr="00E4229C" w:rsidRDefault="00390B3D" w:rsidP="00390B3D">
      <w:pPr>
        <w:pStyle w:val="Heading8"/>
        <w:numPr>
          <w:ilvl w:val="2"/>
          <w:numId w:val="8"/>
        </w:numPr>
        <w:rPr>
          <w:rFonts w:cs="Arial"/>
        </w:rPr>
      </w:pPr>
      <w:r w:rsidRPr="00E4229C">
        <w:rPr>
          <w:rFonts w:cs="Arial"/>
        </w:rPr>
        <w:t xml:space="preserve"> </w:t>
      </w:r>
      <w:r w:rsidR="000D0A66" w:rsidRPr="00E4229C">
        <w:rPr>
          <w:rFonts w:cs="Arial"/>
        </w:rPr>
        <w:t>Dishes</w:t>
      </w:r>
    </w:p>
    <w:p w14:paraId="5B4570B5" w14:textId="77777777" w:rsidR="000D0A66" w:rsidRPr="00E4229C" w:rsidRDefault="000D0A66" w:rsidP="000D0A66">
      <w:pPr>
        <w:rPr>
          <w:rFonts w:cs="Arial"/>
        </w:rPr>
      </w:pPr>
      <w:r w:rsidRPr="00E4229C">
        <w:rPr>
          <w:rFonts w:cs="Arial"/>
        </w:rPr>
        <w:t>The volume of water used for washing dishes (DD) was estimated from manufacturer specifications. While only 50% of Australian household</w:t>
      </w:r>
      <w:r w:rsidR="00551D2D" w:rsidRPr="00E4229C">
        <w:rPr>
          <w:rFonts w:cs="Arial"/>
        </w:rPr>
        <w:t>s</w:t>
      </w:r>
      <w:r w:rsidRPr="00E4229C">
        <w:rPr>
          <w:rFonts w:cs="Arial"/>
        </w:rPr>
        <w:t xml:space="preserve"> have dishwashers</w:t>
      </w:r>
      <w:r w:rsidR="00632FD2">
        <w:rPr>
          <w:rFonts w:cs="Arial"/>
        </w:rPr>
        <w:t xml:space="preserve"> </w:t>
      </w:r>
      <w:r w:rsidR="00632FD2">
        <w:rPr>
          <w:rFonts w:cs="Arial"/>
        </w:rPr>
        <w:fldChar w:fldCharType="begin"/>
      </w:r>
      <w:r w:rsidR="00632FD2">
        <w:rPr>
          <w:rFonts w:cs="Arial"/>
        </w:rPr>
        <w:instrText xml:space="preserve"> ADDIN EN.CITE &lt;EndNote&gt;&lt;Cite&gt;&lt;Author&gt;Australian Bureau of Statistics&lt;/Author&gt;&lt;Year&gt;2006&lt;/Year&gt;&lt;RecNum&gt;260&lt;/RecNum&gt;&lt;DisplayText&gt;(Australian Bureau of Statistics, 2006)&lt;/DisplayText&gt;&lt;record&gt;&lt;rec-number&gt;260&lt;/rec-number&gt;&lt;foreign-keys&gt;&lt;key app="EN" db-id="wd2xatvs5e2wadeaa53pvef6sdtsa9rwv55d" timestamp="1499411214"&gt;260&lt;/key&gt;&lt;/foreign-keys&gt;&lt;ref-type name="Report"&gt;27&lt;/ref-type&gt;&lt;contributors&gt;&lt;authors&gt;&lt;author&gt;Australian Bureau of Statistics,&lt;/author&gt;&lt;/authors&gt;&lt;/contributors&gt;&lt;titles&gt;&lt;title&gt;Cat 4652.5 - Domestic Water and Energy Use, Western Australia, Oct 2006  &lt;/title&gt;&lt;/titles&gt;&lt;dates&gt;&lt;year&gt;2006&lt;/year&gt;&lt;/dates&gt;&lt;pub-location&gt;Canberra&lt;/pub-location&gt;&lt;publisher&gt;ABS&lt;/publisher&gt;&lt;urls&gt;&lt;/urls&gt;&lt;/record&gt;&lt;/Cite&gt;&lt;/EndNote&gt;</w:instrText>
      </w:r>
      <w:r w:rsidR="00632FD2">
        <w:rPr>
          <w:rFonts w:cs="Arial"/>
        </w:rPr>
        <w:fldChar w:fldCharType="separate"/>
      </w:r>
      <w:r w:rsidR="00632FD2">
        <w:rPr>
          <w:rFonts w:cs="Arial"/>
          <w:noProof/>
        </w:rPr>
        <w:t>(Australian Bureau of Statistics, 2006)</w:t>
      </w:r>
      <w:r w:rsidR="00632FD2">
        <w:rPr>
          <w:rFonts w:cs="Arial"/>
        </w:rPr>
        <w:fldChar w:fldCharType="end"/>
      </w:r>
      <w:r w:rsidRPr="00E4229C">
        <w:rPr>
          <w:rFonts w:cs="Arial"/>
        </w:rPr>
        <w:t>, hand washing was assumed to use a similar qua</w:t>
      </w:r>
      <w:r w:rsidR="00B623A5">
        <w:rPr>
          <w:rFonts w:cs="Arial"/>
        </w:rPr>
        <w:t>ntity of water to a dishwasher</w:t>
      </w:r>
      <w:r w:rsidRPr="00E4229C">
        <w:rPr>
          <w:rFonts w:cs="Arial"/>
        </w:rPr>
        <w:t>. Water volume for washing dishes 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 xml:space="preserve">=24 litres, </w:t>
      </w:r>
      <w:r w:rsidR="001A1A12" w:rsidRPr="00E4229C">
        <w:rPr>
          <w:rFonts w:cs="Arial"/>
        </w:rPr>
        <w:sym w:font="Symbol" w:char="F073"/>
      </w:r>
      <w:r w:rsidR="001A1A12" w:rsidRPr="00E4229C">
        <w:rPr>
          <w:rFonts w:cs="Arial"/>
        </w:rPr>
        <w:t>=</w:t>
      </w:r>
      <w:r w:rsidRPr="00E4229C">
        <w:rPr>
          <w:rFonts w:cs="Arial"/>
        </w:rPr>
        <w:t>4). It was assumed dish washers were used every 3 days</w:t>
      </w:r>
      <w:r w:rsidR="00106C78">
        <w:rPr>
          <w:rFonts w:cs="Arial"/>
        </w:rPr>
        <w:t xml:space="preserve"> per person</w:t>
      </w:r>
      <w:r w:rsidRPr="00E4229C">
        <w:rPr>
          <w:rFonts w:cs="Arial"/>
        </w:rPr>
        <w:t>.</w:t>
      </w:r>
    </w:p>
    <w:p w14:paraId="1201A759" w14:textId="77777777" w:rsidR="000D0A66" w:rsidRPr="00E4229C" w:rsidRDefault="000D0A66" w:rsidP="00390B3D">
      <w:pPr>
        <w:pStyle w:val="Heading8"/>
        <w:numPr>
          <w:ilvl w:val="2"/>
          <w:numId w:val="8"/>
        </w:numPr>
        <w:rPr>
          <w:rFonts w:cs="Arial"/>
        </w:rPr>
      </w:pPr>
      <w:r w:rsidRPr="00E4229C">
        <w:rPr>
          <w:rFonts w:cs="Arial"/>
        </w:rPr>
        <w:t>Teeth Brushing</w:t>
      </w:r>
    </w:p>
    <w:p w14:paraId="647DC1C5" w14:textId="77777777" w:rsidR="000D0A66" w:rsidRPr="00E4229C" w:rsidRDefault="000D0A66" w:rsidP="000D0A66">
      <w:pPr>
        <w:rPr>
          <w:rFonts w:cs="Arial"/>
        </w:rPr>
      </w:pPr>
      <w:r w:rsidRPr="00E4229C">
        <w:rPr>
          <w:rFonts w:cs="Arial"/>
        </w:rPr>
        <w:t>The volume of water used for brushing teeth (BT) 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 xml:space="preserve">=0.5 litres, </w:t>
      </w:r>
      <w:r w:rsidR="001A1A12" w:rsidRPr="00E4229C">
        <w:rPr>
          <w:rFonts w:cs="Arial"/>
        </w:rPr>
        <w:sym w:font="Symbol" w:char="F073"/>
      </w:r>
      <w:r w:rsidR="001A1A12" w:rsidRPr="00E4229C">
        <w:rPr>
          <w:rFonts w:cs="Arial"/>
        </w:rPr>
        <w:t>=</w:t>
      </w:r>
      <w:r w:rsidRPr="00E4229C">
        <w:rPr>
          <w:rFonts w:cs="Arial"/>
        </w:rPr>
        <w:t>2). Modelled values below zero were removed. The model resulted in a m</w:t>
      </w:r>
      <w:r w:rsidR="00551D2D" w:rsidRPr="00E4229C">
        <w:rPr>
          <w:rFonts w:cs="Arial"/>
        </w:rPr>
        <w:t>a</w:t>
      </w:r>
      <w:r w:rsidR="00106C78">
        <w:rPr>
          <w:rFonts w:cs="Arial"/>
        </w:rPr>
        <w:t>ximum consumption of 10 litres</w:t>
      </w:r>
      <w:r w:rsidR="00FB310C">
        <w:rPr>
          <w:rFonts w:cs="Arial"/>
        </w:rPr>
        <w:t xml:space="preserve"> per person per day</w:t>
      </w:r>
      <w:r w:rsidR="00551D2D" w:rsidRPr="00E4229C">
        <w:rPr>
          <w:rFonts w:cs="Arial"/>
        </w:rPr>
        <w:t>.</w:t>
      </w:r>
    </w:p>
    <w:p w14:paraId="477F847F" w14:textId="77777777" w:rsidR="000D0A66" w:rsidRPr="00E4229C" w:rsidRDefault="00390B3D" w:rsidP="00390B3D">
      <w:pPr>
        <w:pStyle w:val="Heading8"/>
        <w:numPr>
          <w:ilvl w:val="2"/>
          <w:numId w:val="8"/>
        </w:numPr>
        <w:rPr>
          <w:rFonts w:cs="Arial"/>
        </w:rPr>
      </w:pPr>
      <w:r w:rsidRPr="00E4229C">
        <w:rPr>
          <w:rFonts w:cs="Arial"/>
        </w:rPr>
        <w:t xml:space="preserve"> </w:t>
      </w:r>
      <w:r w:rsidR="000D0A66" w:rsidRPr="00E4229C">
        <w:rPr>
          <w:rFonts w:cs="Arial"/>
        </w:rPr>
        <w:t>Cooking</w:t>
      </w:r>
    </w:p>
    <w:p w14:paraId="020AE57D" w14:textId="77777777" w:rsidR="000D0A66" w:rsidRPr="00E4229C" w:rsidRDefault="000D0A66" w:rsidP="000D0A66">
      <w:pPr>
        <w:rPr>
          <w:rFonts w:cs="Arial"/>
        </w:rPr>
      </w:pPr>
      <w:r w:rsidRPr="00E4229C">
        <w:rPr>
          <w:rFonts w:cs="Arial"/>
        </w:rPr>
        <w:t>The volume of water for cooking (CO) was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w:t>
      </w:r>
      <w:r w:rsidR="00436F84">
        <w:rPr>
          <w:rFonts w:cs="Arial"/>
        </w:rPr>
        <w:t>5</w:t>
      </w:r>
      <w:r w:rsidRPr="00E4229C">
        <w:rPr>
          <w:rFonts w:cs="Arial"/>
        </w:rPr>
        <w:t xml:space="preserve"> litres, </w:t>
      </w:r>
      <w:r w:rsidR="001A1A12" w:rsidRPr="00E4229C">
        <w:rPr>
          <w:rFonts w:cs="Arial"/>
        </w:rPr>
        <w:sym w:font="Symbol" w:char="F073"/>
      </w:r>
      <w:r w:rsidR="001A1A12" w:rsidRPr="00E4229C">
        <w:rPr>
          <w:rFonts w:cs="Arial"/>
        </w:rPr>
        <w:t>=</w:t>
      </w:r>
      <w:r w:rsidR="00106C78">
        <w:rPr>
          <w:rFonts w:cs="Arial"/>
        </w:rPr>
        <w:t>2)</w:t>
      </w:r>
      <w:r w:rsidR="00551D2D" w:rsidRPr="00E4229C">
        <w:rPr>
          <w:rFonts w:cs="Arial"/>
        </w:rPr>
        <w:t>.</w:t>
      </w:r>
    </w:p>
    <w:p w14:paraId="7712AEB8" w14:textId="77777777" w:rsidR="000D0A66" w:rsidRPr="00E4229C" w:rsidRDefault="00390B3D" w:rsidP="00390B3D">
      <w:pPr>
        <w:pStyle w:val="Heading8"/>
        <w:numPr>
          <w:ilvl w:val="2"/>
          <w:numId w:val="8"/>
        </w:numPr>
        <w:rPr>
          <w:rFonts w:cs="Arial"/>
        </w:rPr>
      </w:pPr>
      <w:r w:rsidRPr="00E4229C">
        <w:rPr>
          <w:rFonts w:cs="Arial"/>
        </w:rPr>
        <w:t xml:space="preserve"> </w:t>
      </w:r>
      <w:r w:rsidR="000D0A66" w:rsidRPr="00E4229C">
        <w:rPr>
          <w:rFonts w:cs="Arial"/>
        </w:rPr>
        <w:t>Drinking</w:t>
      </w:r>
    </w:p>
    <w:p w14:paraId="22C5BF89" w14:textId="77777777" w:rsidR="000D0A66" w:rsidRPr="00E4229C" w:rsidRDefault="000D0A66" w:rsidP="000D0A66">
      <w:pPr>
        <w:rPr>
          <w:rFonts w:cs="Arial"/>
        </w:rPr>
      </w:pPr>
      <w:r w:rsidRPr="00E4229C">
        <w:rPr>
          <w:rFonts w:cs="Arial"/>
        </w:rPr>
        <w:t xml:space="preserve">The volume of water drunk (DR) </w:t>
      </w:r>
      <w:r w:rsidR="00FB310C">
        <w:rPr>
          <w:rFonts w:cs="Arial"/>
        </w:rPr>
        <w:t>w</w:t>
      </w:r>
      <w:r w:rsidRPr="00E4229C">
        <w:rPr>
          <w:rFonts w:cs="Arial"/>
        </w:rPr>
        <w:t>as modelled as a normal distribution (</w:t>
      </w:r>
      <m:oMath>
        <m:acc>
          <m:accPr>
            <m:chr m:val="̅"/>
            <m:ctrlPr>
              <w:rPr>
                <w:rFonts w:ascii="Cambria Math" w:hAnsi="Cambria Math" w:cs="Arial"/>
                <w:i/>
              </w:rPr>
            </m:ctrlPr>
          </m:accPr>
          <m:e>
            <m:r>
              <w:rPr>
                <w:rFonts w:ascii="Cambria Math" w:hAnsi="Cambria Math" w:cs="Arial"/>
              </w:rPr>
              <m:t>X</m:t>
            </m:r>
          </m:e>
        </m:acc>
      </m:oMath>
      <w:r w:rsidRPr="00E4229C">
        <w:rPr>
          <w:rFonts w:cs="Arial"/>
        </w:rPr>
        <w:t xml:space="preserve">=1 litre, </w:t>
      </w:r>
      <w:r w:rsidR="001A1A12" w:rsidRPr="00E4229C">
        <w:rPr>
          <w:rFonts w:cs="Arial"/>
        </w:rPr>
        <w:sym w:font="Symbol" w:char="F073"/>
      </w:r>
      <w:r w:rsidR="001A1A12" w:rsidRPr="00E4229C">
        <w:rPr>
          <w:rFonts w:cs="Arial"/>
        </w:rPr>
        <w:t>=</w:t>
      </w:r>
      <w:r w:rsidR="00106C78">
        <w:rPr>
          <w:rFonts w:cs="Arial"/>
        </w:rPr>
        <w:t>0.7)</w:t>
      </w:r>
      <w:r w:rsidR="00551D2D" w:rsidRPr="00E4229C">
        <w:rPr>
          <w:rFonts w:cs="Arial"/>
        </w:rPr>
        <w:t>.</w:t>
      </w:r>
    </w:p>
    <w:p w14:paraId="1751AA89" w14:textId="77777777" w:rsidR="000D0A66" w:rsidRPr="00E4229C" w:rsidRDefault="00390B3D" w:rsidP="00390B3D">
      <w:pPr>
        <w:pStyle w:val="Heading8"/>
        <w:numPr>
          <w:ilvl w:val="2"/>
          <w:numId w:val="8"/>
        </w:numPr>
        <w:rPr>
          <w:rFonts w:cs="Arial"/>
        </w:rPr>
      </w:pPr>
      <w:r w:rsidRPr="00E4229C">
        <w:rPr>
          <w:rFonts w:cs="Arial"/>
        </w:rPr>
        <w:t xml:space="preserve"> </w:t>
      </w:r>
      <w:r w:rsidR="000D0A66" w:rsidRPr="00E4229C">
        <w:rPr>
          <w:rFonts w:cs="Arial"/>
        </w:rPr>
        <w:t>Indoor Taps Subtotal</w:t>
      </w:r>
    </w:p>
    <w:p w14:paraId="3308135A" w14:textId="77777777" w:rsidR="000D0A66" w:rsidRDefault="00551D2D" w:rsidP="000D0A66">
      <w:pPr>
        <w:rPr>
          <w:rFonts w:cs="Arial"/>
        </w:rPr>
      </w:pPr>
      <w:r w:rsidRPr="00E4229C">
        <w:rPr>
          <w:rFonts w:cs="Arial"/>
        </w:rPr>
        <w:t>Indoor water consumption through taps was estimated as the wate</w:t>
      </w:r>
      <w:r w:rsidR="002B6F7A">
        <w:rPr>
          <w:rFonts w:cs="Arial"/>
        </w:rPr>
        <w:t>r consumed in cooking, drinking and</w:t>
      </w:r>
      <w:r w:rsidR="00155825">
        <w:rPr>
          <w:rFonts w:cs="Arial"/>
        </w:rPr>
        <w:t xml:space="preserve"> </w:t>
      </w:r>
      <w:r w:rsidRPr="00E4229C">
        <w:rPr>
          <w:rFonts w:cs="Arial"/>
        </w:rPr>
        <w:t>brushing teeth.</w:t>
      </w:r>
      <w:r w:rsidR="00155825">
        <w:rPr>
          <w:rFonts w:cs="Arial"/>
        </w:rPr>
        <w:t xml:space="preserve"> </w:t>
      </w:r>
      <w:r w:rsidR="000D0A66" w:rsidRPr="00E4229C">
        <w:rPr>
          <w:rFonts w:cs="Arial"/>
        </w:rPr>
        <w:t>The volume of water consumed through a tap was measured in</w:t>
      </w:r>
      <w:r w:rsidR="005E42D6">
        <w:rPr>
          <w:rFonts w:cs="Arial"/>
        </w:rPr>
        <w:t xml:space="preserve"> </w:t>
      </w:r>
      <w:r w:rsidR="005E42D6">
        <w:rPr>
          <w:rFonts w:cs="Arial"/>
        </w:rPr>
        <w:fldChar w:fldCharType="begin"/>
      </w:r>
      <w:r w:rsidR="005E42D6">
        <w:rPr>
          <w:rFonts w:cs="Arial"/>
        </w:rPr>
        <w:instrText xml:space="preserve"> ADDIN EN.CITE &lt;EndNote&gt;&lt;Cite AuthorYear="1"&gt;&lt;Author&gt;Beal&lt;/Author&gt;&lt;Year&gt;2011&lt;/Year&gt;&lt;RecNum&gt;257&lt;/RecNum&gt;&lt;DisplayText&gt;Beal et al. (2011)&lt;/DisplayText&gt;&lt;record&gt;&lt;rec-number&gt;257&lt;/rec-number&gt;&lt;foreign-keys&gt;&lt;key app="EN" db-id="wd2xatvs5e2wadeaa53pvef6sdtsa9rwv55d" timestamp="1499403337"&gt;257&lt;/key&gt;&lt;/foreign-keys&gt;&lt;ref-type name="Book"&gt;6&lt;/ref-type&gt;&lt;contributors&gt;&lt;authors&gt;&lt;author&gt;Beal, Cara&lt;/author&gt;&lt;author&gt;Stewart, Rodney&lt;/author&gt;&lt;author&gt;Huang, T&lt;/author&gt;&lt;author&gt;Rey, E&lt;/author&gt;&lt;/authors&gt;&lt;/contributors&gt;&lt;titles&gt;&lt;title&gt;South east queensland residential end use study&lt;/title&gt;&lt;/titles&gt;&lt;dates&gt;&lt;year&gt;2011&lt;/year&gt;&lt;/dates&gt;&lt;publisher&gt;Urban Water Security Research Alliance Brisbane, Australia&lt;/publisher&gt;&lt;urls&gt;&lt;/urls&gt;&lt;/record&gt;&lt;/Cite&gt;&lt;/EndNote&gt;</w:instrText>
      </w:r>
      <w:r w:rsidR="005E42D6">
        <w:rPr>
          <w:rFonts w:cs="Arial"/>
        </w:rPr>
        <w:fldChar w:fldCharType="separate"/>
      </w:r>
      <w:r w:rsidR="005E42D6">
        <w:rPr>
          <w:rFonts w:cs="Arial"/>
          <w:noProof/>
        </w:rPr>
        <w:t>Beal et al. (2011)</w:t>
      </w:r>
      <w:r w:rsidR="005E42D6">
        <w:rPr>
          <w:rFonts w:cs="Arial"/>
        </w:rPr>
        <w:fldChar w:fldCharType="end"/>
      </w:r>
      <w:r w:rsidR="000D0A66" w:rsidRPr="00E4229C">
        <w:rPr>
          <w:rFonts w:cs="Arial"/>
        </w:rPr>
        <w:t xml:space="preserve"> and was estimated </w:t>
      </w:r>
      <w:r w:rsidR="00FB310C">
        <w:rPr>
          <w:rFonts w:cs="Arial"/>
        </w:rPr>
        <w:t xml:space="preserve">in the present paper </w:t>
      </w:r>
      <w:r w:rsidR="000D0A66" w:rsidRPr="00E4229C">
        <w:rPr>
          <w:rFonts w:cs="Arial"/>
        </w:rPr>
        <w:t>for comparison.</w:t>
      </w:r>
    </w:p>
    <w:p w14:paraId="57DB2568" w14:textId="77777777" w:rsidR="00155825" w:rsidRPr="00AB419C" w:rsidRDefault="00155825" w:rsidP="00155825">
      <w:pPr>
        <w:pStyle w:val="ListParagraph"/>
        <w:numPr>
          <w:ilvl w:val="2"/>
          <w:numId w:val="8"/>
        </w:numPr>
        <w:rPr>
          <w:rFonts w:cs="Arial"/>
          <w:b/>
        </w:rPr>
      </w:pPr>
      <w:r w:rsidRPr="00AB419C">
        <w:rPr>
          <w:rFonts w:cs="Arial"/>
          <w:b/>
        </w:rPr>
        <w:t>Swimming Pools</w:t>
      </w:r>
    </w:p>
    <w:p w14:paraId="0D36EC16" w14:textId="77777777" w:rsidR="00155825" w:rsidRPr="00E4229C" w:rsidRDefault="00155825" w:rsidP="000D0A66">
      <w:pPr>
        <w:rPr>
          <w:rFonts w:cs="Arial"/>
        </w:rPr>
      </w:pPr>
      <w:r>
        <w:rPr>
          <w:rFonts w:cs="Arial"/>
        </w:rPr>
        <w:t>The volume of water used for swimming pools</w:t>
      </w:r>
      <w:r w:rsidR="000D7B39">
        <w:rPr>
          <w:rFonts w:cs="Arial"/>
        </w:rPr>
        <w:t xml:space="preserve"> (SWP)</w:t>
      </w:r>
      <w:r>
        <w:rPr>
          <w:rFonts w:cs="Arial"/>
        </w:rPr>
        <w:t xml:space="preserve"> was estimated </w:t>
      </w:r>
      <w:r w:rsidR="00AB419C">
        <w:rPr>
          <w:rFonts w:cs="Arial"/>
        </w:rPr>
        <w:t>as the volume of water lost due to evaporation multiplied by a frequency distribution of dwellings with swimming pools. It was estimated that 6% of dwellings had swimming pools</w:t>
      </w:r>
      <w:r w:rsidR="000D7B39">
        <w:rPr>
          <w:rFonts w:cs="Arial"/>
        </w:rPr>
        <w:t xml:space="preserve"> (SPF)</w:t>
      </w:r>
      <w:r w:rsidR="00AB419C">
        <w:rPr>
          <w:rFonts w:cs="Arial"/>
        </w:rPr>
        <w:t>. This value was estimated from satellite imagery (unpublished). The average pool size was estimated at 45,000 litres (9m long, 4m wide and 1.2m deep). Average water loss due to evaporation was estimated as 30,000 litres per year</w:t>
      </w:r>
      <w:r w:rsidR="00D920D8">
        <w:rPr>
          <w:rFonts w:cs="Arial"/>
        </w:rPr>
        <w:t xml:space="preserve"> </w:t>
      </w:r>
      <w:r w:rsidR="00D920D8">
        <w:rPr>
          <w:rFonts w:cs="Arial"/>
        </w:rPr>
        <w:fldChar w:fldCharType="begin"/>
      </w:r>
      <w:r w:rsidR="00D920D8">
        <w:rPr>
          <w:rFonts w:cs="Arial"/>
        </w:rPr>
        <w:instrText xml:space="preserve"> ADDIN EN.CITE &lt;EndNote&gt;&lt;Cite&gt;&lt;Author&gt;Dawson&lt;/Author&gt;&lt;Year&gt;2013&lt;/Year&gt;&lt;RecNum&gt;276&lt;/RecNum&gt;&lt;DisplayText&gt;(Dawson, 2013)&lt;/DisplayText&gt;&lt;record&gt;&lt;rec-number&gt;276&lt;/rec-number&gt;&lt;foreign-keys&gt;&lt;key app="EN" db-id="wd2xatvs5e2wadeaa53pvef6sdtsa9rwv55d" timestamp="1501028429"&gt;276&lt;/key&gt;&lt;/foreign-keys&gt;&lt;ref-type name="Pamphlet"&gt;24&lt;/ref-type&gt;&lt;contributors&gt;&lt;authors&gt;&lt;author&gt;Dawson, Paul;&lt;/author&gt;&lt;/authors&gt;&lt;secondary-authors&gt;&lt;author&gt;Suncap Solar&lt;/author&gt;&lt;/secondary-authors&gt;&lt;/contributors&gt;&lt;titles&gt;&lt;title&gt;How much water does a pool use after filling?&lt;/title&gt;&lt;/titles&gt;&lt;section&gt;3&lt;/section&gt;&lt;dates&gt;&lt;year&gt;2013&lt;/year&gt;&lt;/dates&gt;&lt;publisher&gt;Suncap Solar&lt;/publisher&gt;&lt;urls&gt;&lt;/urls&gt;&lt;/record&gt;&lt;/Cite&gt;&lt;/EndNote&gt;</w:instrText>
      </w:r>
      <w:r w:rsidR="00D920D8">
        <w:rPr>
          <w:rFonts w:cs="Arial"/>
        </w:rPr>
        <w:fldChar w:fldCharType="separate"/>
      </w:r>
      <w:r w:rsidR="00D920D8">
        <w:rPr>
          <w:rFonts w:cs="Arial"/>
          <w:noProof/>
        </w:rPr>
        <w:t>(Dawson, 2013)</w:t>
      </w:r>
      <w:r w:rsidR="00D920D8">
        <w:rPr>
          <w:rFonts w:cs="Arial"/>
        </w:rPr>
        <w:fldChar w:fldCharType="end"/>
      </w:r>
      <w:r w:rsidR="00AB419C">
        <w:rPr>
          <w:rFonts w:cs="Arial"/>
        </w:rPr>
        <w:t xml:space="preserve">. It was modelled as a normal distribution </w:t>
      </w:r>
      <w:r w:rsidR="00AB419C" w:rsidRPr="00E4229C">
        <w:rPr>
          <w:rFonts w:cs="Arial"/>
        </w:rPr>
        <w:t>(</w:t>
      </w:r>
      <m:oMath>
        <m:acc>
          <m:accPr>
            <m:chr m:val="̅"/>
            <m:ctrlPr>
              <w:rPr>
                <w:rFonts w:ascii="Cambria Math" w:hAnsi="Cambria Math" w:cs="Arial"/>
                <w:i/>
              </w:rPr>
            </m:ctrlPr>
          </m:accPr>
          <m:e>
            <m:r>
              <w:rPr>
                <w:rFonts w:ascii="Cambria Math" w:hAnsi="Cambria Math" w:cs="Arial"/>
              </w:rPr>
              <m:t>X</m:t>
            </m:r>
          </m:e>
        </m:acc>
      </m:oMath>
      <w:r w:rsidR="00AB419C" w:rsidRPr="00E4229C">
        <w:rPr>
          <w:rFonts w:cs="Arial"/>
        </w:rPr>
        <w:t>=</w:t>
      </w:r>
      <w:r w:rsidR="00AB419C">
        <w:rPr>
          <w:rFonts w:cs="Arial"/>
        </w:rPr>
        <w:t>82.2</w:t>
      </w:r>
      <w:r w:rsidR="00AB419C" w:rsidRPr="00E4229C">
        <w:rPr>
          <w:rFonts w:cs="Arial"/>
        </w:rPr>
        <w:t xml:space="preserve"> litre</w:t>
      </w:r>
      <w:r w:rsidR="00AB419C">
        <w:rPr>
          <w:rFonts w:cs="Arial"/>
        </w:rPr>
        <w:t>s per day</w:t>
      </w:r>
      <w:r w:rsidR="00AB419C" w:rsidRPr="00E4229C">
        <w:rPr>
          <w:rFonts w:cs="Arial"/>
        </w:rPr>
        <w:t xml:space="preserve">, </w:t>
      </w:r>
      <w:r w:rsidR="00AB419C" w:rsidRPr="00E4229C">
        <w:rPr>
          <w:rFonts w:cs="Arial"/>
        </w:rPr>
        <w:sym w:font="Symbol" w:char="F073"/>
      </w:r>
      <w:r w:rsidR="00AB419C" w:rsidRPr="00E4229C">
        <w:rPr>
          <w:rFonts w:cs="Arial"/>
        </w:rPr>
        <w:t>=</w:t>
      </w:r>
      <w:r w:rsidR="00AB419C">
        <w:rPr>
          <w:rFonts w:cs="Arial"/>
        </w:rPr>
        <w:t>27.4)</w:t>
      </w:r>
      <w:r w:rsidR="00AB419C" w:rsidRPr="00E4229C">
        <w:rPr>
          <w:rFonts w:cs="Arial"/>
        </w:rPr>
        <w:t>.</w:t>
      </w:r>
    </w:p>
    <w:p w14:paraId="0F0BD1A6" w14:textId="77777777" w:rsidR="00360FE1" w:rsidRDefault="00777E30" w:rsidP="00155825">
      <w:pPr>
        <w:pStyle w:val="ListParagraph"/>
        <w:numPr>
          <w:ilvl w:val="2"/>
          <w:numId w:val="8"/>
        </w:numPr>
        <w:rPr>
          <w:rFonts w:cs="Arial"/>
          <w:b/>
        </w:rPr>
      </w:pPr>
      <w:r>
        <w:rPr>
          <w:rFonts w:cs="Arial"/>
          <w:b/>
        </w:rPr>
        <w:t>Other Outdoor Use</w:t>
      </w:r>
    </w:p>
    <w:p w14:paraId="537695FC" w14:textId="77777777" w:rsidR="00777E30" w:rsidRPr="00777E30" w:rsidRDefault="00155825" w:rsidP="00777E30">
      <w:pPr>
        <w:rPr>
          <w:rFonts w:cs="Arial"/>
        </w:rPr>
      </w:pPr>
      <w:r>
        <w:rPr>
          <w:rFonts w:cs="Arial"/>
        </w:rPr>
        <w:t>Other outdoor</w:t>
      </w:r>
      <w:r w:rsidR="000D7B39">
        <w:rPr>
          <w:rFonts w:cs="Arial"/>
        </w:rPr>
        <w:t xml:space="preserve"> </w:t>
      </w:r>
      <w:r>
        <w:rPr>
          <w:rFonts w:cs="Arial"/>
        </w:rPr>
        <w:t>use</w:t>
      </w:r>
      <w:r w:rsidR="00E93B9C">
        <w:rPr>
          <w:rFonts w:cs="Arial"/>
        </w:rPr>
        <w:t xml:space="preserve"> (OU)</w:t>
      </w:r>
      <w:r w:rsidR="00777E30">
        <w:rPr>
          <w:rFonts w:cs="Arial"/>
        </w:rPr>
        <w:t xml:space="preserve"> was </w:t>
      </w:r>
      <w:r>
        <w:rPr>
          <w:rFonts w:cs="Arial"/>
        </w:rPr>
        <w:t xml:space="preserve">modelled as </w:t>
      </w:r>
      <w:r w:rsidR="00EE7B4B">
        <w:rPr>
          <w:rFonts w:cs="Arial"/>
        </w:rPr>
        <w:t>a normal distribution</w:t>
      </w:r>
      <w:r w:rsidR="00436F84">
        <w:rPr>
          <w:rFonts w:cs="Arial"/>
        </w:rPr>
        <w:t xml:space="preserve"> assuming average watering for 30 min per week per household through a hose with a flow rate of 17 litres per minute</w:t>
      </w:r>
      <w:r w:rsidR="00EE7B4B">
        <w:rPr>
          <w:rFonts w:cs="Arial"/>
        </w:rPr>
        <w:t xml:space="preserve"> </w:t>
      </w:r>
      <w:r w:rsidR="00EE7B4B" w:rsidRPr="00E4229C">
        <w:rPr>
          <w:rFonts w:cs="Arial"/>
        </w:rPr>
        <w:t>(</w:t>
      </w:r>
      <m:oMath>
        <m:acc>
          <m:accPr>
            <m:chr m:val="̅"/>
            <m:ctrlPr>
              <w:rPr>
                <w:rFonts w:ascii="Cambria Math" w:hAnsi="Cambria Math" w:cs="Arial"/>
                <w:i/>
              </w:rPr>
            </m:ctrlPr>
          </m:accPr>
          <m:e>
            <m:r>
              <w:rPr>
                <w:rFonts w:ascii="Cambria Math" w:hAnsi="Cambria Math" w:cs="Arial"/>
              </w:rPr>
              <m:t>X</m:t>
            </m:r>
          </m:e>
        </m:acc>
      </m:oMath>
      <w:r>
        <w:rPr>
          <w:rFonts w:cs="Arial"/>
        </w:rPr>
        <w:t>=</w:t>
      </w:r>
      <w:r w:rsidR="00436F84">
        <w:rPr>
          <w:rFonts w:cs="Arial"/>
        </w:rPr>
        <w:t>27</w:t>
      </w:r>
      <w:r>
        <w:rPr>
          <w:rFonts w:cs="Arial"/>
        </w:rPr>
        <w:t xml:space="preserve"> litres</w:t>
      </w:r>
      <w:r w:rsidR="00EE7B4B" w:rsidRPr="00E4229C">
        <w:rPr>
          <w:rFonts w:cs="Arial"/>
        </w:rPr>
        <w:t xml:space="preserve">, </w:t>
      </w:r>
      <w:r w:rsidR="00EE7B4B" w:rsidRPr="00E4229C">
        <w:rPr>
          <w:rFonts w:cs="Arial"/>
        </w:rPr>
        <w:sym w:font="Symbol" w:char="F073"/>
      </w:r>
      <w:r w:rsidR="00EE7B4B" w:rsidRPr="00E4229C">
        <w:rPr>
          <w:rFonts w:cs="Arial"/>
        </w:rPr>
        <w:t>=</w:t>
      </w:r>
      <w:r w:rsidR="00436F84">
        <w:rPr>
          <w:rFonts w:cs="Arial"/>
        </w:rPr>
        <w:t>27</w:t>
      </w:r>
      <w:r w:rsidR="00EE7B4B" w:rsidRPr="00E4229C">
        <w:rPr>
          <w:rFonts w:cs="Arial"/>
        </w:rPr>
        <w:t>).</w:t>
      </w:r>
      <w:r w:rsidR="00AB419C">
        <w:rPr>
          <w:rFonts w:cs="Arial"/>
        </w:rPr>
        <w:t xml:space="preserve"> 15% of dwellings were assumed to use no water outdoors.</w:t>
      </w:r>
    </w:p>
    <w:p w14:paraId="0764C5BC" w14:textId="77777777" w:rsidR="000D0A66" w:rsidRPr="00E4229C" w:rsidRDefault="000D0A66" w:rsidP="00155825">
      <w:pPr>
        <w:pStyle w:val="Heading8"/>
        <w:numPr>
          <w:ilvl w:val="2"/>
          <w:numId w:val="8"/>
        </w:numPr>
        <w:rPr>
          <w:rFonts w:cs="Arial"/>
        </w:rPr>
      </w:pPr>
      <w:r w:rsidRPr="00E4229C">
        <w:rPr>
          <w:rFonts w:cs="Arial"/>
        </w:rPr>
        <w:t xml:space="preserve">Total Daily </w:t>
      </w:r>
      <w:r w:rsidR="005C4569" w:rsidRPr="00E4229C">
        <w:rPr>
          <w:rFonts w:cs="Arial"/>
        </w:rPr>
        <w:t xml:space="preserve">per Capita </w:t>
      </w:r>
      <w:r w:rsidRPr="00E4229C">
        <w:rPr>
          <w:rFonts w:cs="Arial"/>
        </w:rPr>
        <w:t xml:space="preserve">Consumption </w:t>
      </w:r>
    </w:p>
    <w:p w14:paraId="400260F7" w14:textId="77777777" w:rsidR="000D0A66" w:rsidRDefault="000D0A66" w:rsidP="000D0A66">
      <w:pPr>
        <w:rPr>
          <w:rFonts w:cs="Arial"/>
        </w:rPr>
      </w:pPr>
      <w:r w:rsidRPr="00E4229C">
        <w:rPr>
          <w:rFonts w:cs="Arial"/>
        </w:rPr>
        <w:t>Total</w:t>
      </w:r>
      <w:r w:rsidR="005C4569" w:rsidRPr="00E4229C">
        <w:rPr>
          <w:rFonts w:cs="Arial"/>
        </w:rPr>
        <w:t xml:space="preserve"> household</w:t>
      </w:r>
      <w:r w:rsidRPr="00E4229C">
        <w:rPr>
          <w:rFonts w:cs="Arial"/>
        </w:rPr>
        <w:t xml:space="preserve"> water consumption was </w:t>
      </w:r>
      <w:r w:rsidR="00FB310C">
        <w:rPr>
          <w:rFonts w:cs="Arial"/>
        </w:rPr>
        <w:t>modelled</w:t>
      </w:r>
      <w:r w:rsidRPr="00E4229C">
        <w:rPr>
          <w:rFonts w:cs="Arial"/>
        </w:rPr>
        <w:t xml:space="preserve"> as the combination of individual uses. The individual uses of water included average volume in litres of each toilet flush (TU), toilet flush frequency (TF), shower flow rate (SFL) measured in litres per minute, shower duration (ST) measured in minutes, daily shower frequency (SF), volume of clothes washing machine cycle (CW), clothes washing machine use frequency (CWF),</w:t>
      </w:r>
      <w:r w:rsidR="000F6D2E" w:rsidRPr="00E4229C">
        <w:rPr>
          <w:rFonts w:cs="Arial"/>
        </w:rPr>
        <w:t xml:space="preserve"> swimming pool wat</w:t>
      </w:r>
      <w:r w:rsidR="004D176D">
        <w:rPr>
          <w:rFonts w:cs="Arial"/>
        </w:rPr>
        <w:t xml:space="preserve">er use due to evaporation (SWP), </w:t>
      </w:r>
      <w:r w:rsidR="000F6D2E" w:rsidRPr="00E4229C">
        <w:rPr>
          <w:rFonts w:cs="Arial"/>
        </w:rPr>
        <w:t>frequency of dwellings with swimming pools (SPF),</w:t>
      </w:r>
      <w:r w:rsidRPr="00E4229C">
        <w:rPr>
          <w:rFonts w:cs="Arial"/>
        </w:rPr>
        <w:t xml:space="preserve"> volume drunk</w:t>
      </w:r>
      <w:r w:rsidR="004D176D">
        <w:rPr>
          <w:rFonts w:cs="Arial"/>
        </w:rPr>
        <w:t xml:space="preserve"> or ingested</w:t>
      </w:r>
      <w:r w:rsidRPr="00E4229C">
        <w:rPr>
          <w:rFonts w:cs="Arial"/>
        </w:rPr>
        <w:t xml:space="preserve"> (DD), volume used in cooking</w:t>
      </w:r>
      <w:r w:rsidR="001B2408">
        <w:rPr>
          <w:rFonts w:cs="Arial"/>
        </w:rPr>
        <w:t xml:space="preserve"> (CO), </w:t>
      </w:r>
      <w:r w:rsidRPr="00E4229C">
        <w:rPr>
          <w:rFonts w:cs="Arial"/>
        </w:rPr>
        <w:t>volume used for brushing teeth</w:t>
      </w:r>
      <w:r w:rsidR="000D7B39">
        <w:rPr>
          <w:rFonts w:cs="Arial"/>
        </w:rPr>
        <w:t xml:space="preserve"> (BT) and</w:t>
      </w:r>
      <w:r w:rsidR="001B2408">
        <w:rPr>
          <w:rFonts w:cs="Arial"/>
        </w:rPr>
        <w:t xml:space="preserve"> other outdoor use (OU)</w:t>
      </w:r>
      <w:r w:rsidRPr="00E4229C">
        <w:rPr>
          <w:rFonts w:cs="Arial"/>
        </w:rPr>
        <w:t>. This can be summarised by equation 1</w:t>
      </w:r>
      <w:r w:rsidR="006779AE">
        <w:rPr>
          <w:rFonts w:cs="Arial"/>
        </w:rPr>
        <w:t>:</w:t>
      </w:r>
    </w:p>
    <w:p w14:paraId="364EA8E4" w14:textId="77777777" w:rsidR="005C4569" w:rsidRPr="00E4229C" w:rsidRDefault="005C4569" w:rsidP="000D0A66">
      <w:pPr>
        <w:rPr>
          <w:rFonts w:cs="Arial"/>
        </w:rPr>
      </w:pPr>
    </w:p>
    <w:tbl>
      <w:tblPr>
        <w:tblW w:w="0" w:type="auto"/>
        <w:tblLook w:val="04A0" w:firstRow="1" w:lastRow="0" w:firstColumn="1" w:lastColumn="0" w:noHBand="0" w:noVBand="1"/>
      </w:tblPr>
      <w:tblGrid>
        <w:gridCol w:w="360"/>
        <w:gridCol w:w="8370"/>
        <w:gridCol w:w="512"/>
      </w:tblGrid>
      <w:tr w:rsidR="00743DE7" w:rsidRPr="00E4229C" w14:paraId="57E6C9E4" w14:textId="77777777" w:rsidTr="000D0A66">
        <w:tc>
          <w:tcPr>
            <w:tcW w:w="360" w:type="dxa"/>
            <w:shd w:val="clear" w:color="auto" w:fill="auto"/>
          </w:tcPr>
          <w:p w14:paraId="02B1FF69" w14:textId="77777777" w:rsidR="000D0A66" w:rsidRPr="00E4229C" w:rsidRDefault="000D0A66" w:rsidP="00FE28A8">
            <w:pPr>
              <w:rPr>
                <w:rFonts w:eastAsia="Calibri" w:cs="Arial"/>
                <w:sz w:val="22"/>
                <w:szCs w:val="22"/>
              </w:rPr>
            </w:pPr>
            <w:r w:rsidRPr="00E4229C">
              <w:rPr>
                <w:rFonts w:eastAsia="Calibri" w:cs="Arial"/>
                <w:sz w:val="22"/>
                <w:szCs w:val="22"/>
              </w:rPr>
              <w:lastRenderedPageBreak/>
              <w:fldChar w:fldCharType="begin"/>
            </w:r>
            <w:r w:rsidRPr="00E4229C">
              <w:rPr>
                <w:rFonts w:eastAsia="Calibri" w:cs="Arial"/>
                <w:sz w:val="22"/>
                <w:szCs w:val="22"/>
              </w:rPr>
              <w:instrText xml:space="preserve"> EQ </w:instrText>
            </w:r>
            <w:r w:rsidRPr="00E4229C">
              <w:rPr>
                <w:rFonts w:eastAsia="Calibri" w:cs="Arial"/>
                <w:sz w:val="22"/>
                <w:szCs w:val="22"/>
              </w:rPr>
              <w:fldChar w:fldCharType="end"/>
            </w:r>
          </w:p>
        </w:tc>
        <w:tc>
          <w:tcPr>
            <w:tcW w:w="8370" w:type="dxa"/>
            <w:shd w:val="clear" w:color="auto" w:fill="auto"/>
          </w:tcPr>
          <w:p w14:paraId="01A004B0" w14:textId="77777777" w:rsidR="000D0A66" w:rsidRPr="00E4229C" w:rsidRDefault="0053371A" w:rsidP="00FE28A8">
            <w:pPr>
              <w:rPr>
                <w:rFonts w:eastAsia="Calibri" w:cs="Arial"/>
                <w:sz w:val="22"/>
                <w:szCs w:val="22"/>
              </w:rPr>
            </w:pPr>
            <m:oMathPara>
              <m:oMath>
                <m:r>
                  <w:rPr>
                    <w:rFonts w:ascii="Cambria Math" w:hAnsi="Cambria Math" w:cs="Arial"/>
                  </w:rPr>
                  <m:t xml:space="preserve">Total Daily Consumptino </m:t>
                </m:r>
                <m:d>
                  <m:dPr>
                    <m:ctrlPr>
                      <w:rPr>
                        <w:rFonts w:ascii="Cambria Math" w:hAnsi="Cambria Math" w:cs="Arial"/>
                        <w:i/>
                      </w:rPr>
                    </m:ctrlPr>
                  </m:dPr>
                  <m:e>
                    <m:r>
                      <w:rPr>
                        <w:rFonts w:ascii="Cambria Math" w:hAnsi="Cambria Math" w:cs="Arial"/>
                      </w:rPr>
                      <m:t>L</m:t>
                    </m:r>
                  </m:e>
                </m:d>
                <m:r>
                  <w:rPr>
                    <w:rFonts w:ascii="Cambria Math" w:hAnsi="Cambria Math" w:cs="Arial"/>
                  </w:rPr>
                  <m:t>=</m:t>
                </m:r>
                <m:d>
                  <m:dPr>
                    <m:ctrlPr>
                      <w:rPr>
                        <w:rFonts w:ascii="Cambria Math" w:hAnsi="Cambria Math" w:cs="Arial"/>
                        <w:i/>
                      </w:rPr>
                    </m:ctrlPr>
                  </m:dPr>
                  <m:e>
                    <m:r>
                      <w:rPr>
                        <w:rFonts w:ascii="Cambria Math" w:hAnsi="Cambria Math" w:cs="Arial"/>
                      </w:rPr>
                      <m:t>TU*TF</m:t>
                    </m:r>
                  </m:e>
                </m:d>
                <m:r>
                  <w:rPr>
                    <w:rFonts w:ascii="Cambria Math" w:hAnsi="Cambria Math" w:cs="Arial"/>
                  </w:rPr>
                  <m:t>+</m:t>
                </m:r>
                <m:d>
                  <m:dPr>
                    <m:ctrlPr>
                      <w:rPr>
                        <w:rFonts w:ascii="Cambria Math" w:hAnsi="Cambria Math" w:cs="Arial"/>
                        <w:i/>
                      </w:rPr>
                    </m:ctrlPr>
                  </m:dPr>
                  <m:e>
                    <m:r>
                      <w:rPr>
                        <w:rFonts w:ascii="Cambria Math" w:hAnsi="Cambria Math" w:cs="Arial"/>
                      </w:rPr>
                      <m:t>SFL*ST*SF</m:t>
                    </m:r>
                  </m:e>
                </m:d>
                <m:r>
                  <w:rPr>
                    <w:rFonts w:ascii="Cambria Math" w:hAnsi="Cambria Math" w:cs="Arial"/>
                  </w:rPr>
                  <m:t>+</m:t>
                </m:r>
                <m:d>
                  <m:dPr>
                    <m:ctrlPr>
                      <w:rPr>
                        <w:rFonts w:ascii="Cambria Math" w:hAnsi="Cambria Math" w:cs="Arial"/>
                        <w:i/>
                      </w:rPr>
                    </m:ctrlPr>
                  </m:dPr>
                  <m:e>
                    <m:r>
                      <w:rPr>
                        <w:rFonts w:ascii="Cambria Math" w:hAnsi="Cambria Math" w:cs="Arial"/>
                      </w:rPr>
                      <m:t>CW*CWF</m:t>
                    </m:r>
                  </m:e>
                </m:d>
                <m:r>
                  <w:rPr>
                    <w:rFonts w:ascii="Cambria Math" w:hAnsi="Cambria Math" w:cs="Arial"/>
                  </w:rPr>
                  <m:t>+</m:t>
                </m:r>
                <m:d>
                  <m:dPr>
                    <m:ctrlPr>
                      <w:rPr>
                        <w:rFonts w:ascii="Cambria Math" w:hAnsi="Cambria Math" w:cs="Arial"/>
                        <w:i/>
                      </w:rPr>
                    </m:ctrlPr>
                  </m:dPr>
                  <m:e>
                    <m:r>
                      <w:rPr>
                        <w:rFonts w:ascii="Cambria Math" w:hAnsi="Cambria Math" w:cs="Arial"/>
                      </w:rPr>
                      <m:t>SWP*SPF</m:t>
                    </m:r>
                  </m:e>
                </m:d>
                <m:r>
                  <w:rPr>
                    <w:rFonts w:ascii="Cambria Math" w:hAnsi="Cambria Math" w:cs="Arial"/>
                  </w:rPr>
                  <m:t>+DD+BT+CO+DR+OU</m:t>
                </m:r>
              </m:oMath>
            </m:oMathPara>
          </w:p>
          <w:p w14:paraId="72E0877D" w14:textId="77777777" w:rsidR="000D0A66" w:rsidRPr="00E4229C" w:rsidRDefault="000D0A66" w:rsidP="00FE28A8">
            <w:pPr>
              <w:rPr>
                <w:rFonts w:eastAsia="Calibri" w:cs="Arial"/>
                <w:sz w:val="22"/>
                <w:szCs w:val="22"/>
              </w:rPr>
            </w:pPr>
          </w:p>
        </w:tc>
        <w:tc>
          <w:tcPr>
            <w:tcW w:w="512" w:type="dxa"/>
            <w:shd w:val="clear" w:color="auto" w:fill="auto"/>
          </w:tcPr>
          <w:p w14:paraId="2ABAB60D" w14:textId="77777777" w:rsidR="000D0A66" w:rsidRPr="00E4229C" w:rsidRDefault="000D0A66" w:rsidP="000D0A66">
            <w:pPr>
              <w:jc w:val="right"/>
              <w:rPr>
                <w:rFonts w:eastAsia="Calibri" w:cs="Arial"/>
                <w:sz w:val="22"/>
                <w:szCs w:val="22"/>
              </w:rPr>
            </w:pPr>
            <w:r w:rsidRPr="00E4229C">
              <w:rPr>
                <w:rFonts w:eastAsia="Calibri" w:cs="Arial"/>
                <w:sz w:val="22"/>
                <w:szCs w:val="22"/>
              </w:rPr>
              <w:t>(</w:t>
            </w:r>
            <w:r w:rsidRPr="00E4229C">
              <w:rPr>
                <w:rFonts w:eastAsia="Calibri" w:cs="Arial"/>
                <w:sz w:val="22"/>
                <w:szCs w:val="22"/>
              </w:rPr>
              <w:fldChar w:fldCharType="begin"/>
            </w:r>
            <w:r w:rsidRPr="00E4229C">
              <w:rPr>
                <w:rFonts w:eastAsia="Calibri" w:cs="Arial"/>
                <w:sz w:val="22"/>
                <w:szCs w:val="22"/>
              </w:rPr>
              <w:instrText xml:space="preserve"> SEQ Eq \* MERGEFORMAT </w:instrText>
            </w:r>
            <w:r w:rsidRPr="00E4229C">
              <w:rPr>
                <w:rFonts w:eastAsia="Calibri" w:cs="Arial"/>
                <w:sz w:val="22"/>
                <w:szCs w:val="22"/>
              </w:rPr>
              <w:fldChar w:fldCharType="separate"/>
            </w:r>
            <w:r w:rsidR="00040043" w:rsidRPr="00E4229C">
              <w:rPr>
                <w:rFonts w:eastAsia="Calibri" w:cs="Arial"/>
                <w:noProof/>
                <w:sz w:val="22"/>
                <w:szCs w:val="22"/>
              </w:rPr>
              <w:t>1</w:t>
            </w:r>
            <w:r w:rsidRPr="00E4229C">
              <w:rPr>
                <w:rFonts w:eastAsia="Calibri" w:cs="Arial"/>
                <w:noProof/>
                <w:sz w:val="22"/>
                <w:szCs w:val="22"/>
              </w:rPr>
              <w:fldChar w:fldCharType="end"/>
            </w:r>
            <w:r w:rsidRPr="00E4229C">
              <w:rPr>
                <w:rFonts w:eastAsia="Calibri" w:cs="Arial"/>
                <w:sz w:val="22"/>
                <w:szCs w:val="22"/>
              </w:rPr>
              <w:t>)</w:t>
            </w:r>
          </w:p>
        </w:tc>
      </w:tr>
    </w:tbl>
    <w:p w14:paraId="4BDC205F" w14:textId="77777777" w:rsidR="00554487" w:rsidRPr="00E4229C" w:rsidRDefault="00151013" w:rsidP="000D0A66">
      <w:pPr>
        <w:rPr>
          <w:rFonts w:cs="Arial"/>
        </w:rPr>
      </w:pPr>
      <w:r w:rsidRPr="00E4229C">
        <w:rPr>
          <w:rFonts w:cs="Arial"/>
        </w:rPr>
        <w:t>T</w:t>
      </w:r>
      <w:r w:rsidR="00DE17CB" w:rsidRPr="00E4229C">
        <w:rPr>
          <w:rFonts w:cs="Arial"/>
        </w:rPr>
        <w:t>he possibility</w:t>
      </w:r>
      <w:r w:rsidRPr="00E4229C">
        <w:rPr>
          <w:rFonts w:cs="Arial"/>
        </w:rPr>
        <w:t xml:space="preserve"> </w:t>
      </w:r>
      <w:r w:rsidR="00554487" w:rsidRPr="00E4229C">
        <w:rPr>
          <w:rFonts w:cs="Arial"/>
        </w:rPr>
        <w:t xml:space="preserve">of a correlation in the volume of water consumed for different </w:t>
      </w:r>
      <w:r w:rsidR="00943743">
        <w:rPr>
          <w:rFonts w:cs="Arial"/>
        </w:rPr>
        <w:t>end-use</w:t>
      </w:r>
      <w:r w:rsidR="00554487" w:rsidRPr="00E4229C">
        <w:rPr>
          <w:rFonts w:cs="Arial"/>
        </w:rPr>
        <w:t xml:space="preserve">s </w:t>
      </w:r>
      <w:r w:rsidRPr="00E4229C">
        <w:rPr>
          <w:rFonts w:cs="Arial"/>
        </w:rPr>
        <w:t>was explored. For example, those who consumed large volumes of water for their swimming pool may also consume a large volume of water for showering.</w:t>
      </w:r>
      <w:r w:rsidR="00002D74" w:rsidRPr="00E4229C">
        <w:rPr>
          <w:rFonts w:cs="Arial"/>
        </w:rPr>
        <w:t xml:space="preserve"> </w:t>
      </w:r>
      <w:r w:rsidR="005C4569" w:rsidRPr="00E4229C">
        <w:rPr>
          <w:rFonts w:cs="Arial"/>
        </w:rPr>
        <w:t>Individual uses of water</w:t>
      </w:r>
      <w:r w:rsidRPr="00E4229C">
        <w:rPr>
          <w:rFonts w:cs="Arial"/>
        </w:rPr>
        <w:t xml:space="preserve"> were</w:t>
      </w:r>
      <w:r w:rsidR="005C4569" w:rsidRPr="00E4229C">
        <w:rPr>
          <w:rFonts w:cs="Arial"/>
        </w:rPr>
        <w:t xml:space="preserve"> combined</w:t>
      </w:r>
      <w:r w:rsidR="00554487" w:rsidRPr="00E4229C">
        <w:rPr>
          <w:rFonts w:cs="Arial"/>
        </w:rPr>
        <w:t xml:space="preserve"> (equation 1)</w:t>
      </w:r>
      <w:r w:rsidR="005C4569" w:rsidRPr="00E4229C">
        <w:rPr>
          <w:rFonts w:cs="Arial"/>
        </w:rPr>
        <w:t xml:space="preserve"> assuming either that there </w:t>
      </w:r>
      <w:r w:rsidR="00002D74" w:rsidRPr="00E4229C">
        <w:rPr>
          <w:rFonts w:cs="Arial"/>
        </w:rPr>
        <w:t>was</w:t>
      </w:r>
      <w:r w:rsidR="005C4569" w:rsidRPr="00E4229C">
        <w:rPr>
          <w:rFonts w:cs="Arial"/>
        </w:rPr>
        <w:t xml:space="preserve"> no relationship between </w:t>
      </w:r>
      <w:r w:rsidR="00494931" w:rsidRPr="00E4229C">
        <w:rPr>
          <w:rFonts w:cs="Arial"/>
        </w:rPr>
        <w:t>end-</w:t>
      </w:r>
      <w:r w:rsidR="005C4569" w:rsidRPr="00E4229C">
        <w:rPr>
          <w:rFonts w:cs="Arial"/>
        </w:rPr>
        <w:t>uses</w:t>
      </w:r>
      <w:r w:rsidR="00494931" w:rsidRPr="00E4229C">
        <w:rPr>
          <w:rFonts w:cs="Arial"/>
        </w:rPr>
        <w:t xml:space="preserve"> (</w:t>
      </w:r>
      <w:r w:rsidR="00554487" w:rsidRPr="00E4229C">
        <w:rPr>
          <w:rFonts w:cs="Arial"/>
        </w:rPr>
        <w:t xml:space="preserve">a </w:t>
      </w:r>
      <w:r w:rsidR="00494931" w:rsidRPr="00E4229C">
        <w:rPr>
          <w:rFonts w:cs="Arial"/>
        </w:rPr>
        <w:t>random mixing</w:t>
      </w:r>
      <w:r w:rsidR="00002D74" w:rsidRPr="00E4229C">
        <w:rPr>
          <w:rFonts w:cs="Arial"/>
        </w:rPr>
        <w:t xml:space="preserve"> model</w:t>
      </w:r>
      <w:r w:rsidR="00494931" w:rsidRPr="00E4229C">
        <w:rPr>
          <w:rFonts w:cs="Arial"/>
        </w:rPr>
        <w:t>)</w:t>
      </w:r>
      <w:r w:rsidR="005C4569" w:rsidRPr="00E4229C">
        <w:rPr>
          <w:rFonts w:cs="Arial"/>
        </w:rPr>
        <w:t xml:space="preserve"> or </w:t>
      </w:r>
      <w:r w:rsidR="00554487" w:rsidRPr="00E4229C">
        <w:rPr>
          <w:rFonts w:cs="Arial"/>
        </w:rPr>
        <w:t xml:space="preserve">assuming </w:t>
      </w:r>
      <w:r w:rsidR="005C4569" w:rsidRPr="00E4229C">
        <w:rPr>
          <w:rFonts w:cs="Arial"/>
        </w:rPr>
        <w:t>a perfect correlation in consumption</w:t>
      </w:r>
      <w:r w:rsidR="00494931" w:rsidRPr="00E4229C">
        <w:rPr>
          <w:rFonts w:cs="Arial"/>
        </w:rPr>
        <w:t xml:space="preserve"> </w:t>
      </w:r>
      <w:r w:rsidR="00002D74" w:rsidRPr="00E4229C">
        <w:rPr>
          <w:rFonts w:cs="Arial"/>
        </w:rPr>
        <w:t xml:space="preserve">between </w:t>
      </w:r>
      <w:r w:rsidR="00494931" w:rsidRPr="00E4229C">
        <w:rPr>
          <w:rFonts w:cs="Arial"/>
        </w:rPr>
        <w:t>end-uses</w:t>
      </w:r>
      <w:r w:rsidR="001B2408">
        <w:rPr>
          <w:rFonts w:cs="Arial"/>
        </w:rPr>
        <w:t xml:space="preserve">. Perfect correlation </w:t>
      </w:r>
      <w:r w:rsidR="00641A1D">
        <w:rPr>
          <w:rFonts w:cs="Arial"/>
        </w:rPr>
        <w:t>was</w:t>
      </w:r>
      <w:r w:rsidR="001B2408">
        <w:rPr>
          <w:rFonts w:cs="Arial"/>
        </w:rPr>
        <w:t xml:space="preserve"> achieved by ordering, from lowest to highest values, the components of end-use consumption before combining (equation 1)</w:t>
      </w:r>
      <w:r w:rsidR="005C4569" w:rsidRPr="00E4229C">
        <w:rPr>
          <w:rFonts w:cs="Arial"/>
        </w:rPr>
        <w:t>.</w:t>
      </w:r>
      <w:r w:rsidR="00554487" w:rsidRPr="00E4229C">
        <w:rPr>
          <w:rFonts w:cs="Arial"/>
        </w:rPr>
        <w:t xml:space="preserve"> </w:t>
      </w:r>
      <w:r w:rsidR="00494931" w:rsidRPr="00E4229C">
        <w:rPr>
          <w:rFonts w:cs="Arial"/>
        </w:rPr>
        <w:t xml:space="preserve">Total per capita consumption </w:t>
      </w:r>
      <w:r w:rsidR="00551D2D" w:rsidRPr="00E4229C">
        <w:rPr>
          <w:rFonts w:cs="Arial"/>
        </w:rPr>
        <w:t>was</w:t>
      </w:r>
      <w:r w:rsidR="00494931" w:rsidRPr="00E4229C">
        <w:rPr>
          <w:rFonts w:cs="Arial"/>
        </w:rPr>
        <w:t xml:space="preserve"> modelled under both scenarios. </w:t>
      </w:r>
      <w:r w:rsidR="00554487" w:rsidRPr="00E4229C">
        <w:rPr>
          <w:rFonts w:cs="Arial"/>
        </w:rPr>
        <w:t xml:space="preserve">These are the two most extreme methods of combining the water end-uses. </w:t>
      </w:r>
    </w:p>
    <w:p w14:paraId="56D2AF9B" w14:textId="77777777" w:rsidR="00494931" w:rsidRPr="00E4229C" w:rsidRDefault="00494931" w:rsidP="000D0A66">
      <w:pPr>
        <w:rPr>
          <w:rFonts w:cs="Arial"/>
        </w:rPr>
      </w:pPr>
    </w:p>
    <w:p w14:paraId="6BA7B801" w14:textId="77777777" w:rsidR="000D0A66" w:rsidRPr="00E4229C" w:rsidRDefault="00390B3D" w:rsidP="00155825">
      <w:pPr>
        <w:pStyle w:val="Heading7"/>
        <w:numPr>
          <w:ilvl w:val="1"/>
          <w:numId w:val="8"/>
        </w:numPr>
        <w:rPr>
          <w:rFonts w:cs="Arial"/>
        </w:rPr>
      </w:pPr>
      <w:r w:rsidRPr="00E4229C">
        <w:rPr>
          <w:rFonts w:cs="Arial"/>
        </w:rPr>
        <w:t>Comparison</w:t>
      </w:r>
      <w:r w:rsidR="004F6D02" w:rsidRPr="00E4229C">
        <w:rPr>
          <w:rFonts w:cs="Arial"/>
        </w:rPr>
        <w:t xml:space="preserve"> between models</w:t>
      </w:r>
    </w:p>
    <w:p w14:paraId="1C4AF161" w14:textId="77777777" w:rsidR="00FF6858" w:rsidRPr="00E4229C" w:rsidRDefault="00D0307F" w:rsidP="000D0A66">
      <w:pPr>
        <w:rPr>
          <w:rFonts w:cs="Arial"/>
        </w:rPr>
      </w:pPr>
      <w:r w:rsidRPr="00E4229C">
        <w:rPr>
          <w:rFonts w:cs="Arial"/>
        </w:rPr>
        <w:t>We aimed t</w:t>
      </w:r>
      <w:r w:rsidR="000F2693" w:rsidRPr="00E4229C">
        <w:rPr>
          <w:rFonts w:cs="Arial"/>
        </w:rPr>
        <w:t>o characterise the error in the estimated mean</w:t>
      </w:r>
      <w:r w:rsidR="0001244B" w:rsidRPr="00E4229C">
        <w:rPr>
          <w:rFonts w:cs="Arial"/>
        </w:rPr>
        <w:t xml:space="preserve"> from taking small samples</w:t>
      </w:r>
      <w:r w:rsidR="00FE1C41" w:rsidRPr="00E4229C">
        <w:rPr>
          <w:rFonts w:cs="Arial"/>
        </w:rPr>
        <w:t xml:space="preserve"> and assuming a normal distribution of water consumption among households. Random samples were taken from the metered data ranging in size from 10 to 1000 samples. Sampling of each size was repeated 10,000 times. The mean of each sample was calculated and a student’s t-test was used to estimate the 95% confidence interval in that mean value. One would expect that 95% of the time the 95% confidence interval of the estimated mean value would include the true mean (the mean measured from the whole population).</w:t>
      </w:r>
      <w:r w:rsidR="000D5B49" w:rsidRPr="00E4229C">
        <w:rPr>
          <w:rFonts w:cs="Arial"/>
        </w:rPr>
        <w:t xml:space="preserve"> The proportion of </w:t>
      </w:r>
      <w:r w:rsidR="00677726" w:rsidRPr="00E4229C">
        <w:rPr>
          <w:rFonts w:cs="Arial"/>
        </w:rPr>
        <w:t>95% confidence intervals that include the ‘true’ mean</w:t>
      </w:r>
      <w:r w:rsidR="004062C5" w:rsidRPr="00E4229C">
        <w:rPr>
          <w:rFonts w:cs="Arial"/>
        </w:rPr>
        <w:t>, which we call ‘coverage’</w:t>
      </w:r>
      <w:r w:rsidR="00B04079">
        <w:rPr>
          <w:rFonts w:cs="Arial"/>
        </w:rPr>
        <w:t xml:space="preserve"> are</w:t>
      </w:r>
      <w:r w:rsidR="004062C5" w:rsidRPr="00E4229C">
        <w:rPr>
          <w:rFonts w:cs="Arial"/>
        </w:rPr>
        <w:t xml:space="preserve"> reported.</w:t>
      </w:r>
    </w:p>
    <w:p w14:paraId="021AE930" w14:textId="77777777" w:rsidR="000F2693" w:rsidRPr="00E4229C" w:rsidRDefault="003C236C" w:rsidP="000D0A66">
      <w:pPr>
        <w:rPr>
          <w:rFonts w:cs="Arial"/>
        </w:rPr>
      </w:pPr>
      <w:r w:rsidRPr="00E4229C">
        <w:rPr>
          <w:rFonts w:cs="Arial"/>
        </w:rPr>
        <w:t>To improve characterisation of the distribution in water consumption among households, commonly defined curves of best fit were applied to the data and compared (parameterisation). The ‘gold-standard’ metered data was parameterised to test the hypothesis that the distribution was ‘normal’, a common assumption in the literature. A ‘Normal’, ‘Poisson, ‘Logistic’, ‘Weibull’, ‘Gamma’, ‘Negative Binomial’, ‘Cauchy’, ‘</w:t>
      </w:r>
      <w:proofErr w:type="spellStart"/>
      <w:r w:rsidRPr="00E4229C">
        <w:rPr>
          <w:rFonts w:cs="Arial"/>
        </w:rPr>
        <w:t>LogNormal</w:t>
      </w:r>
      <w:proofErr w:type="spellEnd"/>
      <w:r w:rsidRPr="00E4229C">
        <w:rPr>
          <w:rFonts w:cs="Arial"/>
        </w:rPr>
        <w:t xml:space="preserve">’ and Pareto distribution </w:t>
      </w:r>
      <w:r w:rsidR="008D5B6F">
        <w:rPr>
          <w:rFonts w:cs="Arial"/>
        </w:rPr>
        <w:t>were</w:t>
      </w:r>
      <w:r w:rsidRPr="00E4229C">
        <w:rPr>
          <w:rFonts w:cs="Arial"/>
        </w:rPr>
        <w:t xml:space="preserve"> fitted to the data and compared using the natural logarithm of the likelihood function</w:t>
      </w:r>
      <w:r w:rsidR="008D5B6F">
        <w:rPr>
          <w:rFonts w:cs="Arial"/>
        </w:rPr>
        <w:t xml:space="preserve"> (</w:t>
      </w:r>
      <w:proofErr w:type="spellStart"/>
      <w:r w:rsidR="008D5B6F">
        <w:rPr>
          <w:rFonts w:cs="Arial"/>
        </w:rPr>
        <w:t>loglik</w:t>
      </w:r>
      <w:proofErr w:type="spellEnd"/>
      <w:r w:rsidR="008D5B6F">
        <w:rPr>
          <w:rFonts w:cs="Arial"/>
        </w:rPr>
        <w:t>)</w:t>
      </w:r>
      <w:r w:rsidRPr="00E4229C">
        <w:rPr>
          <w:rFonts w:cs="Arial"/>
        </w:rPr>
        <w:t xml:space="preserve">. </w:t>
      </w:r>
      <w:r w:rsidR="00776E29">
        <w:rPr>
          <w:rFonts w:cs="Arial"/>
        </w:rPr>
        <w:t>Repeated</w:t>
      </w:r>
      <w:r w:rsidRPr="00E4229C">
        <w:rPr>
          <w:rFonts w:cs="Arial"/>
        </w:rPr>
        <w:t xml:space="preserve"> values in the metered data were removed prior to analysis. The</w:t>
      </w:r>
      <w:r w:rsidR="000F2693" w:rsidRPr="00E4229C">
        <w:rPr>
          <w:rFonts w:cs="Arial"/>
        </w:rPr>
        <w:t xml:space="preserve"> components of the</w:t>
      </w:r>
      <w:r w:rsidRPr="00E4229C">
        <w:rPr>
          <w:rFonts w:cs="Arial"/>
        </w:rPr>
        <w:t xml:space="preserve"> Pareto </w:t>
      </w:r>
      <w:r w:rsidR="000F2693" w:rsidRPr="00E4229C">
        <w:rPr>
          <w:rFonts w:cs="Arial"/>
        </w:rPr>
        <w:t xml:space="preserve">distribution were optimized using </w:t>
      </w:r>
      <w:r w:rsidR="00494931" w:rsidRPr="00E4229C">
        <w:rPr>
          <w:rFonts w:cs="Arial"/>
        </w:rPr>
        <w:t>a</w:t>
      </w:r>
      <w:r w:rsidR="000F2693" w:rsidRPr="00E4229C">
        <w:rPr>
          <w:rFonts w:cs="Arial"/>
        </w:rPr>
        <w:t xml:space="preserve"> Kolmogorov–Smirnov (KS) test.</w:t>
      </w:r>
      <w:r w:rsidR="00776E29">
        <w:rPr>
          <w:rFonts w:cs="Arial"/>
        </w:rPr>
        <w:t xml:space="preserve"> The </w:t>
      </w:r>
      <w:proofErr w:type="spellStart"/>
      <w:r w:rsidR="00776E29">
        <w:rPr>
          <w:rFonts w:cs="Arial"/>
        </w:rPr>
        <w:t>Couchy</w:t>
      </w:r>
      <w:proofErr w:type="spellEnd"/>
      <w:r w:rsidR="00776E29">
        <w:rPr>
          <w:rFonts w:cs="Arial"/>
        </w:rPr>
        <w:t>, Negative-</w:t>
      </w:r>
      <w:proofErr w:type="spellStart"/>
      <w:r w:rsidR="00776E29">
        <w:rPr>
          <w:rFonts w:cs="Arial"/>
        </w:rPr>
        <w:t>Bionmial</w:t>
      </w:r>
      <w:proofErr w:type="spellEnd"/>
      <w:r w:rsidR="00776E29">
        <w:rPr>
          <w:rFonts w:cs="Arial"/>
        </w:rPr>
        <w:t xml:space="preserve"> and Poisson distributions used the same data but rounded to the nearest whole integer.</w:t>
      </w:r>
    </w:p>
    <w:p w14:paraId="5D708CD5" w14:textId="77777777" w:rsidR="000D0A66" w:rsidRPr="00E4229C" w:rsidRDefault="000D0A66" w:rsidP="00155825">
      <w:pPr>
        <w:pStyle w:val="Heading6"/>
        <w:numPr>
          <w:ilvl w:val="0"/>
          <w:numId w:val="8"/>
        </w:numPr>
        <w:rPr>
          <w:rFonts w:cs="Arial"/>
        </w:rPr>
      </w:pPr>
      <w:r w:rsidRPr="00E4229C">
        <w:rPr>
          <w:rFonts w:cs="Arial"/>
        </w:rPr>
        <w:t>Results</w:t>
      </w:r>
    </w:p>
    <w:p w14:paraId="41D7C2A3" w14:textId="77777777" w:rsidR="00EC0E4A" w:rsidRPr="00E4229C" w:rsidRDefault="00EC0E4A" w:rsidP="00155825">
      <w:pPr>
        <w:pStyle w:val="Heading7"/>
        <w:numPr>
          <w:ilvl w:val="1"/>
          <w:numId w:val="8"/>
        </w:numPr>
        <w:rPr>
          <w:rFonts w:cs="Arial"/>
        </w:rPr>
      </w:pPr>
      <w:r w:rsidRPr="00E4229C">
        <w:rPr>
          <w:rFonts w:cs="Arial"/>
        </w:rPr>
        <w:t>Panel Survey</w:t>
      </w:r>
    </w:p>
    <w:p w14:paraId="0D52D058" w14:textId="77777777" w:rsidR="00EC0E4A" w:rsidRPr="00E4229C" w:rsidRDefault="00EC0E4A" w:rsidP="00EC0E4A">
      <w:pPr>
        <w:rPr>
          <w:rFonts w:cs="Arial"/>
        </w:rPr>
      </w:pPr>
      <w:r w:rsidRPr="00E4229C">
        <w:rPr>
          <w:rFonts w:cs="Arial"/>
        </w:rPr>
        <w:t xml:space="preserve">Survey derived estimates of water consumption provided unreliable indicators of actual consumption </w:t>
      </w:r>
      <w:r w:rsidR="008D5B6F" w:rsidRPr="00E4229C">
        <w:rPr>
          <w:rFonts w:cs="Arial"/>
        </w:rPr>
        <w:t>behaviour</w:t>
      </w:r>
      <w:r w:rsidRPr="00E4229C">
        <w:rPr>
          <w:rFonts w:cs="Arial"/>
        </w:rPr>
        <w:t>. “Household consumption information was sought through two means in the survey: expenditure ranges and the actual consumption (in… kilolitres (</w:t>
      </w:r>
      <w:proofErr w:type="spellStart"/>
      <w:r w:rsidRPr="00E4229C">
        <w:rPr>
          <w:rFonts w:cs="Arial"/>
        </w:rPr>
        <w:t>kL</w:t>
      </w:r>
      <w:proofErr w:type="spellEnd"/>
      <w:r w:rsidRPr="00E4229C">
        <w:rPr>
          <w:rFonts w:cs="Arial"/>
        </w:rPr>
        <w:t>)). There was not enough data for the latter units of actual consumption to be used in the analysis.”</w:t>
      </w:r>
      <w:r w:rsidR="00D52FC6" w:rsidRPr="00E4229C">
        <w:rPr>
          <w:rFonts w:cs="Arial"/>
        </w:rPr>
        <w:t xml:space="preserve"> </w:t>
      </w:r>
      <w:r w:rsidR="00D52FC6" w:rsidRPr="00E4229C">
        <w:rPr>
          <w:rFonts w:cs="Arial"/>
        </w:rPr>
        <w:fldChar w:fldCharType="begin"/>
      </w:r>
      <w:r w:rsidR="00D52FC6" w:rsidRPr="00E4229C">
        <w:rPr>
          <w:rFonts w:cs="Arial"/>
        </w:rPr>
        <w:instrText xml:space="preserve"> ADDIN EN.CITE &lt;EndNote&gt;&lt;Cite&gt;&lt;Author&gt;Reinhardt&lt;/Author&gt;&lt;Year&gt;2015&lt;/Year&gt;&lt;RecNum&gt;268&lt;/RecNum&gt;&lt;Suffix&gt; p. 85&lt;/Suffix&gt;&lt;DisplayText&gt;(Reinhardt, 2015 p. 85)&lt;/DisplayText&gt;&lt;record&gt;&lt;rec-number&gt;268&lt;/rec-number&gt;&lt;foreign-keys&gt;&lt;key app="EN" db-id="wd2xatvs5e2wadeaa53pvef6sdtsa9rwv55d" timestamp="1499579915"&gt;268&lt;/key&gt;&lt;/foreign-keys&gt;&lt;ref-type name="Thesis"&gt;32&lt;/ref-type&gt;&lt;contributors&gt;&lt;authors&gt;&lt;author&gt;Reinhardt, Walter;&lt;/author&gt;&lt;/authors&gt;&lt;/contributors&gt;&lt;titles&gt;&lt;title&gt;Knowing more, using less: The prospects for household-led change in energy and water systems&lt;/title&gt;&lt;secondary-title&gt;Fenner School of Environment and Society&lt;/secondary-title&gt;&lt;/titles&gt;&lt;dates&gt;&lt;year&gt;2015&lt;/year&gt;&lt;/dates&gt;&lt;pub-location&gt;Canberra&lt;/pub-location&gt;&lt;publisher&gt;Australian National University&lt;/publisher&gt;&lt;urls&gt;&lt;/urls&gt;&lt;/record&gt;&lt;/Cite&gt;&lt;/EndNote&gt;</w:instrText>
      </w:r>
      <w:r w:rsidR="00D52FC6" w:rsidRPr="00E4229C">
        <w:rPr>
          <w:rFonts w:cs="Arial"/>
        </w:rPr>
        <w:fldChar w:fldCharType="separate"/>
      </w:r>
      <w:r w:rsidR="00D52FC6" w:rsidRPr="00E4229C">
        <w:rPr>
          <w:rFonts w:cs="Arial"/>
          <w:noProof/>
        </w:rPr>
        <w:t>(Reinhardt, 2015 p. 85)</w:t>
      </w:r>
      <w:r w:rsidR="00D52FC6" w:rsidRPr="00E4229C">
        <w:rPr>
          <w:rFonts w:cs="Arial"/>
        </w:rPr>
        <w:fldChar w:fldCharType="end"/>
      </w:r>
      <w:r w:rsidRPr="00E4229C">
        <w:rPr>
          <w:rFonts w:cs="Arial"/>
        </w:rPr>
        <w:t xml:space="preserve">. </w:t>
      </w:r>
      <w:r w:rsidR="000F6D2E" w:rsidRPr="00E4229C">
        <w:rPr>
          <w:rFonts w:cs="Arial"/>
        </w:rPr>
        <w:t xml:space="preserve">The results of this survey were therefor </w:t>
      </w:r>
      <w:r w:rsidR="008D5B6F">
        <w:rPr>
          <w:rFonts w:cs="Arial"/>
        </w:rPr>
        <w:t>not further analys</w:t>
      </w:r>
      <w:r w:rsidRPr="00E4229C">
        <w:rPr>
          <w:rFonts w:cs="Arial"/>
        </w:rPr>
        <w:t>ed</w:t>
      </w:r>
      <w:r w:rsidR="000F6D2E" w:rsidRPr="00E4229C">
        <w:rPr>
          <w:rFonts w:cs="Arial"/>
        </w:rPr>
        <w:t>.</w:t>
      </w:r>
    </w:p>
    <w:p w14:paraId="3D0F6D60" w14:textId="77777777" w:rsidR="00EC0E4A" w:rsidRPr="004739B1" w:rsidRDefault="00EC0E4A" w:rsidP="00155825">
      <w:pPr>
        <w:pStyle w:val="Heading7"/>
        <w:numPr>
          <w:ilvl w:val="1"/>
          <w:numId w:val="8"/>
        </w:numPr>
        <w:rPr>
          <w:rFonts w:cs="Arial"/>
        </w:rPr>
      </w:pPr>
      <w:r w:rsidRPr="004739B1">
        <w:rPr>
          <w:rFonts w:cs="Arial"/>
        </w:rPr>
        <w:t>Heuristic Model</w:t>
      </w:r>
    </w:p>
    <w:p w14:paraId="13E3D890" w14:textId="77777777" w:rsidR="00F01C2D" w:rsidRPr="00F01C2D" w:rsidRDefault="00F01C2D" w:rsidP="00F01C2D">
      <w:pPr>
        <w:rPr>
          <w:rFonts w:cs="Arial"/>
        </w:rPr>
      </w:pPr>
      <w:r w:rsidRPr="00F01C2D">
        <w:rPr>
          <w:rFonts w:cs="Arial"/>
        </w:rPr>
        <w:t xml:space="preserve">The heuristic model attempted to build a model of city wide water consumption from a basic understanding of the distributions in consumption of components (end-use). Most components were modelled as normal distributions (Figure 2). It should be noted that Figure 2 shows a density distribution of each end-use rather than a frequency distribution to allow better graphical comparison between various end-uses. Also, the graph showing the volume of water used for swimming pools does not include </w:t>
      </w:r>
      <w:r>
        <w:rPr>
          <w:rFonts w:cs="Arial"/>
        </w:rPr>
        <w:lastRenderedPageBreak/>
        <w:t>households</w:t>
      </w:r>
      <w:r w:rsidRPr="00F01C2D">
        <w:rPr>
          <w:rFonts w:cs="Arial"/>
        </w:rPr>
        <w:t xml:space="preserve"> that did not own swimming pools although this was included in the model. 94% of the population consum</w:t>
      </w:r>
      <w:r>
        <w:rPr>
          <w:rFonts w:cs="Arial"/>
        </w:rPr>
        <w:t>ed no water for swimming pools in the model.</w:t>
      </w:r>
    </w:p>
    <w:p w14:paraId="26F7DA3D" w14:textId="77777777" w:rsidR="0035746D" w:rsidRDefault="00A82004" w:rsidP="00AD252C">
      <w:pPr>
        <w:rPr>
          <w:rFonts w:cs="Arial"/>
        </w:rPr>
      </w:pPr>
      <w:r w:rsidRPr="00A82004">
        <w:rPr>
          <w:rFonts w:cs="Arial"/>
        </w:rPr>
        <w:t>The heuristic model of consumption, which combined the distribution of end-uses of water resulted in a poor approximation of the distribution of metered water consumption among households</w:t>
      </w:r>
      <w:r w:rsidR="00E128B9">
        <w:rPr>
          <w:rFonts w:cs="Arial"/>
        </w:rPr>
        <w:t xml:space="preserve"> (Figure 3)</w:t>
      </w:r>
      <w:r w:rsidRPr="00A82004">
        <w:rPr>
          <w:rFonts w:cs="Arial"/>
        </w:rPr>
        <w:t xml:space="preserve">. </w:t>
      </w:r>
      <w:r w:rsidR="006E3598">
        <w:rPr>
          <w:rFonts w:cs="Arial"/>
        </w:rPr>
        <w:t>Many of the components of water consumption were modelled as normal distributions which resulted in a normal distribution when components were combined</w:t>
      </w:r>
      <w:r w:rsidR="001E543C">
        <w:rPr>
          <w:rFonts w:cs="Arial"/>
        </w:rPr>
        <w:t xml:space="preserve">, consistent with the literature </w:t>
      </w:r>
      <w:r w:rsidR="001E543C">
        <w:rPr>
          <w:rFonts w:cs="Arial"/>
        </w:rPr>
        <w:fldChar w:fldCharType="begin"/>
      </w:r>
      <w:r w:rsidR="001E543C">
        <w:rPr>
          <w:rFonts w:cs="Arial"/>
        </w:rPr>
        <w:instrText xml:space="preserve"> ADDIN EN.CITE &lt;EndNote&gt;&lt;Cite&gt;&lt;Author&gt;Eisenberg&lt;/Author&gt;&lt;Year&gt;2008&lt;/Year&gt;&lt;RecNum&gt;275&lt;/RecNum&gt;&lt;DisplayText&gt;(Eisenberg and Sullivan, 2008)&lt;/DisplayText&gt;&lt;record&gt;&lt;rec-number&gt;275&lt;/rec-number&gt;&lt;foreign-keys&gt;&lt;key app="EN" db-id="wd2xatvs5e2wadeaa53pvef6sdtsa9rwv55d" timestamp="1500525901"&gt;275&lt;/key&gt;&lt;/foreign-keys&gt;&lt;ref-type name="Journal Article"&gt;17&lt;/ref-type&gt;&lt;contributors&gt;&lt;authors&gt;&lt;author&gt;Eisenberg, Bennett&lt;/author&gt;&lt;author&gt;Sullivan, Rosemary&lt;/author&gt;&lt;/authors&gt;&lt;/contributors&gt;&lt;titles&gt;&lt;title&gt;Why is the sum of independent normal random variables normal?&lt;/title&gt;&lt;secondary-title&gt;Mathematics Magazine&lt;/secondary-title&gt;&lt;/titles&gt;&lt;periodical&gt;&lt;full-title&gt;Mathematics Magazine&lt;/full-title&gt;&lt;/periodical&gt;&lt;pages&gt;362-366&lt;/pages&gt;&lt;volume&gt;81&lt;/volume&gt;&lt;number&gt;5&lt;/number&gt;&lt;dates&gt;&lt;year&gt;2008&lt;/year&gt;&lt;/dates&gt;&lt;isbn&gt;0025-570X&lt;/isbn&gt;&lt;urls&gt;&lt;/urls&gt;&lt;/record&gt;&lt;/Cite&gt;&lt;/EndNote&gt;</w:instrText>
      </w:r>
      <w:r w:rsidR="001E543C">
        <w:rPr>
          <w:rFonts w:cs="Arial"/>
        </w:rPr>
        <w:fldChar w:fldCharType="separate"/>
      </w:r>
      <w:r w:rsidR="001E543C">
        <w:rPr>
          <w:rFonts w:cs="Arial"/>
          <w:noProof/>
        </w:rPr>
        <w:t>(Eisenberg and Sullivan, 2008)</w:t>
      </w:r>
      <w:r w:rsidR="001E543C">
        <w:rPr>
          <w:rFonts w:cs="Arial"/>
        </w:rPr>
        <w:fldChar w:fldCharType="end"/>
      </w:r>
      <w:r w:rsidR="006E3598">
        <w:rPr>
          <w:rFonts w:cs="Arial"/>
        </w:rPr>
        <w:t>. For example, toilet flushing volume was modelled as a normal distribution with mean of 6.0 and a standard deviation of 3.0 litres and toilet flushing frequency was modelled as a normal distribution with mean 3.4 and a standard deviation of 0.9</w:t>
      </w:r>
      <w:r w:rsidR="00F01C2D">
        <w:rPr>
          <w:rFonts w:cs="Arial"/>
        </w:rPr>
        <w:t xml:space="preserve"> times daily</w:t>
      </w:r>
      <w:r w:rsidR="006E3598">
        <w:rPr>
          <w:rFonts w:cs="Arial"/>
        </w:rPr>
        <w:t>. The sum of these two independent distributi</w:t>
      </w:r>
      <w:r w:rsidR="00F01C2D">
        <w:rPr>
          <w:rFonts w:cs="Arial"/>
        </w:rPr>
        <w:t>ons (i</w:t>
      </w:r>
      <w:r w:rsidR="009C09F5">
        <w:rPr>
          <w:rFonts w:cs="Arial"/>
        </w:rPr>
        <w:t>.</w:t>
      </w:r>
      <w:r w:rsidR="00F01C2D">
        <w:rPr>
          <w:rFonts w:cs="Arial"/>
        </w:rPr>
        <w:t>e. no correlation) resulted</w:t>
      </w:r>
      <w:r w:rsidR="006E3598">
        <w:rPr>
          <w:rFonts w:cs="Arial"/>
        </w:rPr>
        <w:t xml:space="preserve"> in a normal distribution with mean of 25.0 and a standard deviation of 10.0 litres. The exclusion of </w:t>
      </w:r>
      <w:r w:rsidR="00F01C2D">
        <w:rPr>
          <w:rFonts w:cs="Arial"/>
        </w:rPr>
        <w:t xml:space="preserve">modelled </w:t>
      </w:r>
      <w:r w:rsidR="006E3598">
        <w:rPr>
          <w:rFonts w:cs="Arial"/>
        </w:rPr>
        <w:t>water flushing volumes of less than zero litres result</w:t>
      </w:r>
      <w:r w:rsidR="00E93B9C">
        <w:rPr>
          <w:rFonts w:cs="Arial"/>
        </w:rPr>
        <w:t>ed</w:t>
      </w:r>
      <w:r w:rsidR="006E3598">
        <w:rPr>
          <w:rFonts w:cs="Arial"/>
        </w:rPr>
        <w:t xml:space="preserve"> in an increased mean of 25.0 litres rather than 20.4 litres had </w:t>
      </w:r>
      <w:r w:rsidR="00FB310C">
        <w:rPr>
          <w:rFonts w:cs="Arial"/>
        </w:rPr>
        <w:t>these values not been excluded.</w:t>
      </w:r>
    </w:p>
    <w:p w14:paraId="0D7C2C68" w14:textId="77777777" w:rsidR="00AD252C" w:rsidRPr="00B20CBE" w:rsidRDefault="00A82004" w:rsidP="00AD252C">
      <w:pPr>
        <w:rPr>
          <w:rFonts w:cs="Arial"/>
        </w:rPr>
      </w:pPr>
      <w:r w:rsidRPr="00A82004">
        <w:rPr>
          <w:rFonts w:cs="Arial"/>
        </w:rPr>
        <w:t>The extreme values that occurred in the metered data did not occur in t</w:t>
      </w:r>
      <w:r w:rsidR="00F01C2D">
        <w:rPr>
          <w:rFonts w:cs="Arial"/>
        </w:rPr>
        <w:t>he heuristic model. This result</w:t>
      </w:r>
      <w:r w:rsidRPr="00A82004">
        <w:rPr>
          <w:rFonts w:cs="Arial"/>
        </w:rPr>
        <w:t xml:space="preserve"> suggests that at least some of the components</w:t>
      </w:r>
      <w:r w:rsidR="00F01C2D">
        <w:rPr>
          <w:rFonts w:cs="Arial"/>
        </w:rPr>
        <w:t xml:space="preserve"> (end-uses) that contribute to total</w:t>
      </w:r>
      <w:r w:rsidRPr="00A82004">
        <w:rPr>
          <w:rFonts w:cs="Arial"/>
        </w:rPr>
        <w:t xml:space="preserve"> household </w:t>
      </w:r>
      <w:r w:rsidR="00F01C2D">
        <w:rPr>
          <w:rFonts w:cs="Arial"/>
        </w:rPr>
        <w:t xml:space="preserve">consumption </w:t>
      </w:r>
      <w:r w:rsidRPr="00A82004">
        <w:rPr>
          <w:rFonts w:cs="Arial"/>
        </w:rPr>
        <w:t>must be non-normally di</w:t>
      </w:r>
      <w:r w:rsidR="00E128B9">
        <w:rPr>
          <w:rFonts w:cs="Arial"/>
        </w:rPr>
        <w:t>stributed. As highlighted in section 2.1</w:t>
      </w:r>
      <w:r w:rsidRPr="00A82004">
        <w:rPr>
          <w:rFonts w:cs="Arial"/>
        </w:rPr>
        <w:t>, the data set of metered water consumption excluded the possibility that leaking pipes were the cause of such high consumption.</w:t>
      </w:r>
      <w:r w:rsidR="00F01C2D">
        <w:rPr>
          <w:rFonts w:cs="Arial"/>
        </w:rPr>
        <w:t xml:space="preserve"> </w:t>
      </w:r>
      <w:r w:rsidR="00AD252C" w:rsidRPr="00B20CBE">
        <w:rPr>
          <w:rFonts w:cs="Arial"/>
        </w:rPr>
        <w:t>The</w:t>
      </w:r>
      <w:r w:rsidR="00E93B9C">
        <w:rPr>
          <w:rFonts w:cs="Arial"/>
        </w:rPr>
        <w:t xml:space="preserve"> mean end-use water consumption, </w:t>
      </w:r>
      <w:r w:rsidR="00AD252C" w:rsidRPr="00B20CBE">
        <w:rPr>
          <w:rFonts w:cs="Arial"/>
        </w:rPr>
        <w:t>the 95% confidence interval</w:t>
      </w:r>
      <w:r w:rsidR="00F01C2D">
        <w:rPr>
          <w:rFonts w:cs="Arial"/>
        </w:rPr>
        <w:t>s of each</w:t>
      </w:r>
      <w:r w:rsidR="00AD252C">
        <w:rPr>
          <w:rFonts w:cs="Arial"/>
        </w:rPr>
        <w:t xml:space="preserve"> estimate</w:t>
      </w:r>
      <w:r w:rsidR="00E93B9C">
        <w:rPr>
          <w:rFonts w:cs="Arial"/>
        </w:rPr>
        <w:t xml:space="preserve"> and the standard deviation</w:t>
      </w:r>
      <w:r w:rsidR="00AD252C">
        <w:rPr>
          <w:rFonts w:cs="Arial"/>
        </w:rPr>
        <w:t xml:space="preserve"> are shown in Table 1.</w:t>
      </w:r>
    </w:p>
    <w:p w14:paraId="6FC047E0" w14:textId="77777777" w:rsidR="00653F15" w:rsidRDefault="00653F15">
      <w:pPr>
        <w:spacing w:before="0"/>
        <w:jc w:val="left"/>
        <w:rPr>
          <w:rFonts w:eastAsia="Calibri" w:cs="Arial"/>
          <w:b/>
          <w:bCs/>
          <w:szCs w:val="18"/>
        </w:rPr>
      </w:pPr>
    </w:p>
    <w:p w14:paraId="3E92621F" w14:textId="77777777" w:rsidR="004E2300" w:rsidRPr="00E4229C" w:rsidRDefault="004E2300" w:rsidP="00E93B9C">
      <w:pPr>
        <w:pStyle w:val="Caption"/>
        <w:keepNext/>
        <w:spacing w:after="120"/>
        <w:rPr>
          <w:rFonts w:cs="Arial"/>
        </w:rPr>
      </w:pPr>
      <w:r w:rsidRPr="00E4229C">
        <w:rPr>
          <w:rFonts w:cs="Arial"/>
        </w:rPr>
        <w:t xml:space="preserve">Table </w:t>
      </w:r>
      <w:r w:rsidRPr="00E4229C">
        <w:rPr>
          <w:rFonts w:cs="Arial"/>
        </w:rPr>
        <w:fldChar w:fldCharType="begin"/>
      </w:r>
      <w:r w:rsidRPr="00E4229C">
        <w:rPr>
          <w:rFonts w:cs="Arial"/>
        </w:rPr>
        <w:instrText xml:space="preserve"> SEQ Table \* ARABIC </w:instrText>
      </w:r>
      <w:r w:rsidRPr="00E4229C">
        <w:rPr>
          <w:rFonts w:cs="Arial"/>
        </w:rPr>
        <w:fldChar w:fldCharType="separate"/>
      </w:r>
      <w:r w:rsidR="00040043" w:rsidRPr="00E4229C">
        <w:rPr>
          <w:rFonts w:cs="Arial"/>
          <w:noProof/>
        </w:rPr>
        <w:t>1</w:t>
      </w:r>
      <w:r w:rsidRPr="00E4229C">
        <w:rPr>
          <w:rFonts w:cs="Arial"/>
        </w:rPr>
        <w:fldChar w:fldCharType="end"/>
      </w:r>
      <w:r w:rsidR="002745AF" w:rsidRPr="00E4229C">
        <w:rPr>
          <w:rFonts w:cs="Arial"/>
        </w:rPr>
        <w:t>:</w:t>
      </w:r>
      <w:r w:rsidRPr="00E4229C">
        <w:rPr>
          <w:rFonts w:cs="Arial"/>
        </w:rPr>
        <w:t xml:space="preserve"> </w:t>
      </w:r>
      <w:r w:rsidR="002C0430">
        <w:rPr>
          <w:rFonts w:cs="Arial"/>
        </w:rPr>
        <w:t>Modelled components of heuristic model</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332"/>
        <w:gridCol w:w="887"/>
        <w:gridCol w:w="1372"/>
        <w:gridCol w:w="1372"/>
        <w:gridCol w:w="1207"/>
      </w:tblGrid>
      <w:tr w:rsidR="00AE277E" w:rsidRPr="002C0430" w14:paraId="52202E03" w14:textId="77777777" w:rsidTr="00653F15">
        <w:trPr>
          <w:trHeight w:val="693"/>
        </w:trPr>
        <w:tc>
          <w:tcPr>
            <w:tcW w:w="2144" w:type="dxa"/>
            <w:tcBorders>
              <w:bottom w:val="single" w:sz="4" w:space="0" w:color="auto"/>
            </w:tcBorders>
          </w:tcPr>
          <w:p w14:paraId="10CB21F2" w14:textId="77777777" w:rsidR="00AE277E" w:rsidRPr="002C0430" w:rsidRDefault="00AE277E" w:rsidP="002C0430">
            <w:pPr>
              <w:spacing w:before="0"/>
              <w:jc w:val="left"/>
              <w:rPr>
                <w:rFonts w:cs="Arial"/>
                <w:b/>
                <w:sz w:val="20"/>
                <w:szCs w:val="20"/>
              </w:rPr>
            </w:pPr>
            <w:r w:rsidRPr="002C0430">
              <w:rPr>
                <w:rFonts w:cs="Arial"/>
                <w:b/>
                <w:sz w:val="20"/>
                <w:szCs w:val="20"/>
              </w:rPr>
              <w:t>End-use (Major Component)</w:t>
            </w:r>
          </w:p>
        </w:tc>
        <w:tc>
          <w:tcPr>
            <w:tcW w:w="2332" w:type="dxa"/>
            <w:tcBorders>
              <w:bottom w:val="single" w:sz="4" w:space="0" w:color="auto"/>
            </w:tcBorders>
          </w:tcPr>
          <w:p w14:paraId="5BE1FCDB" w14:textId="77777777" w:rsidR="00AE277E" w:rsidRPr="002C0430" w:rsidRDefault="00AE277E" w:rsidP="002C0430">
            <w:pPr>
              <w:spacing w:before="0"/>
              <w:jc w:val="left"/>
              <w:rPr>
                <w:rFonts w:cs="Arial"/>
                <w:b/>
                <w:sz w:val="20"/>
                <w:szCs w:val="20"/>
              </w:rPr>
            </w:pPr>
            <w:r w:rsidRPr="002C0430">
              <w:rPr>
                <w:rFonts w:cs="Arial"/>
                <w:b/>
                <w:sz w:val="20"/>
                <w:szCs w:val="20"/>
              </w:rPr>
              <w:t>End-use (Minor Component)</w:t>
            </w:r>
          </w:p>
        </w:tc>
        <w:tc>
          <w:tcPr>
            <w:tcW w:w="887" w:type="dxa"/>
            <w:tcBorders>
              <w:bottom w:val="single" w:sz="4" w:space="0" w:color="auto"/>
            </w:tcBorders>
          </w:tcPr>
          <w:p w14:paraId="07AE4364" w14:textId="77777777" w:rsidR="00AE277E" w:rsidRPr="002C0430" w:rsidRDefault="00AE277E" w:rsidP="002C0430">
            <w:pPr>
              <w:spacing w:before="0"/>
              <w:jc w:val="left"/>
              <w:rPr>
                <w:rFonts w:cs="Arial"/>
                <w:b/>
                <w:sz w:val="20"/>
                <w:szCs w:val="20"/>
              </w:rPr>
            </w:pPr>
            <w:r w:rsidRPr="002C0430">
              <w:rPr>
                <w:rFonts w:cs="Arial"/>
                <w:b/>
                <w:sz w:val="20"/>
                <w:szCs w:val="20"/>
              </w:rPr>
              <w:t>Mean</w:t>
            </w:r>
          </w:p>
        </w:tc>
        <w:tc>
          <w:tcPr>
            <w:tcW w:w="1372" w:type="dxa"/>
            <w:tcBorders>
              <w:bottom w:val="single" w:sz="4" w:space="0" w:color="auto"/>
            </w:tcBorders>
          </w:tcPr>
          <w:p w14:paraId="435C0109" w14:textId="77777777" w:rsidR="00AE277E" w:rsidRPr="002C0430" w:rsidRDefault="00AE277E" w:rsidP="00AE277E">
            <w:pPr>
              <w:spacing w:before="0"/>
              <w:jc w:val="left"/>
              <w:rPr>
                <w:rFonts w:cs="Arial"/>
                <w:b/>
                <w:sz w:val="20"/>
                <w:szCs w:val="20"/>
              </w:rPr>
            </w:pPr>
            <w:r>
              <w:rPr>
                <w:rFonts w:cs="Arial"/>
                <w:b/>
                <w:sz w:val="20"/>
                <w:szCs w:val="20"/>
              </w:rPr>
              <w:t xml:space="preserve">Mean </w:t>
            </w:r>
            <w:r w:rsidRPr="002C0430">
              <w:rPr>
                <w:rFonts w:cs="Arial"/>
                <w:b/>
                <w:sz w:val="20"/>
                <w:szCs w:val="20"/>
              </w:rPr>
              <w:t>Lower Confidence Interval</w:t>
            </w:r>
            <w:r>
              <w:rPr>
                <w:rFonts w:cs="Arial"/>
                <w:b/>
                <w:sz w:val="20"/>
                <w:szCs w:val="20"/>
              </w:rPr>
              <w:t xml:space="preserve"> (.025)</w:t>
            </w:r>
          </w:p>
        </w:tc>
        <w:tc>
          <w:tcPr>
            <w:tcW w:w="1372" w:type="dxa"/>
            <w:tcBorders>
              <w:bottom w:val="single" w:sz="4" w:space="0" w:color="auto"/>
            </w:tcBorders>
          </w:tcPr>
          <w:p w14:paraId="3BA08877" w14:textId="77777777" w:rsidR="00AE277E" w:rsidRPr="002C0430" w:rsidRDefault="00AE277E" w:rsidP="00AE277E">
            <w:pPr>
              <w:spacing w:before="0"/>
              <w:jc w:val="left"/>
              <w:rPr>
                <w:rFonts w:cs="Arial"/>
                <w:b/>
                <w:sz w:val="20"/>
                <w:szCs w:val="20"/>
              </w:rPr>
            </w:pPr>
            <w:r>
              <w:rPr>
                <w:rFonts w:cs="Arial"/>
                <w:b/>
                <w:sz w:val="20"/>
                <w:szCs w:val="20"/>
              </w:rPr>
              <w:t xml:space="preserve">Mean </w:t>
            </w:r>
            <w:r w:rsidRPr="002C0430">
              <w:rPr>
                <w:rFonts w:cs="Arial"/>
                <w:b/>
                <w:sz w:val="20"/>
                <w:szCs w:val="20"/>
              </w:rPr>
              <w:t>Upper Confidence Interval</w:t>
            </w:r>
            <w:r>
              <w:rPr>
                <w:rFonts w:cs="Arial"/>
                <w:b/>
                <w:sz w:val="20"/>
                <w:szCs w:val="20"/>
              </w:rPr>
              <w:t xml:space="preserve"> (.975)</w:t>
            </w:r>
          </w:p>
        </w:tc>
        <w:tc>
          <w:tcPr>
            <w:tcW w:w="1207" w:type="dxa"/>
            <w:tcBorders>
              <w:bottom w:val="single" w:sz="4" w:space="0" w:color="auto"/>
            </w:tcBorders>
          </w:tcPr>
          <w:p w14:paraId="18A0210A" w14:textId="77777777" w:rsidR="00AE277E" w:rsidRDefault="00AE277E" w:rsidP="00AE277E">
            <w:pPr>
              <w:spacing w:before="0"/>
              <w:jc w:val="left"/>
              <w:rPr>
                <w:rFonts w:cs="Arial"/>
                <w:b/>
                <w:szCs w:val="20"/>
              </w:rPr>
            </w:pPr>
            <w:r>
              <w:rPr>
                <w:rFonts w:cs="Arial"/>
                <w:b/>
                <w:szCs w:val="20"/>
              </w:rPr>
              <w:t>Standard Deviation</w:t>
            </w:r>
          </w:p>
        </w:tc>
      </w:tr>
      <w:tr w:rsidR="00AE277E" w:rsidRPr="002C0430" w14:paraId="59B5D9EE" w14:textId="77777777" w:rsidTr="00653F15">
        <w:tc>
          <w:tcPr>
            <w:tcW w:w="2144" w:type="dxa"/>
            <w:tcBorders>
              <w:top w:val="single" w:sz="4" w:space="0" w:color="auto"/>
            </w:tcBorders>
          </w:tcPr>
          <w:p w14:paraId="3791F777" w14:textId="77777777" w:rsidR="00AE277E" w:rsidRPr="002C0430" w:rsidRDefault="00AE277E" w:rsidP="002C0430">
            <w:pPr>
              <w:spacing w:before="0"/>
              <w:rPr>
                <w:rFonts w:cs="Arial"/>
                <w:sz w:val="20"/>
                <w:szCs w:val="20"/>
              </w:rPr>
            </w:pPr>
            <w:r w:rsidRPr="002C0430">
              <w:rPr>
                <w:rFonts w:cs="Arial"/>
                <w:sz w:val="20"/>
                <w:szCs w:val="20"/>
              </w:rPr>
              <w:t>Total Toilet Use (L/day)</w:t>
            </w:r>
          </w:p>
        </w:tc>
        <w:tc>
          <w:tcPr>
            <w:tcW w:w="2332" w:type="dxa"/>
            <w:tcBorders>
              <w:top w:val="single" w:sz="4" w:space="0" w:color="auto"/>
            </w:tcBorders>
          </w:tcPr>
          <w:p w14:paraId="75CF69EB" w14:textId="77777777" w:rsidR="00AE277E" w:rsidRPr="002C0430" w:rsidRDefault="00AE277E" w:rsidP="002C0430">
            <w:pPr>
              <w:spacing w:before="0"/>
              <w:rPr>
                <w:rFonts w:cs="Arial"/>
                <w:sz w:val="20"/>
                <w:szCs w:val="20"/>
              </w:rPr>
            </w:pPr>
          </w:p>
        </w:tc>
        <w:tc>
          <w:tcPr>
            <w:tcW w:w="887" w:type="dxa"/>
            <w:tcBorders>
              <w:top w:val="single" w:sz="4" w:space="0" w:color="auto"/>
            </w:tcBorders>
          </w:tcPr>
          <w:p w14:paraId="311F4679" w14:textId="77777777" w:rsidR="00AE277E" w:rsidRPr="002C0430" w:rsidRDefault="00AE277E" w:rsidP="002C0430">
            <w:pPr>
              <w:spacing w:before="0"/>
              <w:rPr>
                <w:rFonts w:cs="Arial"/>
                <w:sz w:val="20"/>
                <w:szCs w:val="20"/>
              </w:rPr>
            </w:pPr>
            <w:r w:rsidRPr="002C0430">
              <w:rPr>
                <w:rFonts w:cs="Arial"/>
                <w:sz w:val="20"/>
                <w:szCs w:val="20"/>
              </w:rPr>
              <w:t>24.9</w:t>
            </w:r>
          </w:p>
        </w:tc>
        <w:tc>
          <w:tcPr>
            <w:tcW w:w="1372" w:type="dxa"/>
            <w:tcBorders>
              <w:top w:val="single" w:sz="4" w:space="0" w:color="auto"/>
            </w:tcBorders>
          </w:tcPr>
          <w:p w14:paraId="17DF4B3A" w14:textId="77777777" w:rsidR="00AE277E" w:rsidRPr="002C0430" w:rsidRDefault="00AE277E" w:rsidP="002C0430">
            <w:pPr>
              <w:spacing w:before="0"/>
              <w:rPr>
                <w:rFonts w:cs="Arial"/>
                <w:sz w:val="20"/>
                <w:szCs w:val="20"/>
              </w:rPr>
            </w:pPr>
            <w:r w:rsidRPr="002C0430">
              <w:rPr>
                <w:rFonts w:cs="Arial"/>
                <w:sz w:val="20"/>
                <w:szCs w:val="20"/>
              </w:rPr>
              <w:t>24.8</w:t>
            </w:r>
          </w:p>
        </w:tc>
        <w:tc>
          <w:tcPr>
            <w:tcW w:w="1372" w:type="dxa"/>
            <w:tcBorders>
              <w:top w:val="single" w:sz="4" w:space="0" w:color="auto"/>
            </w:tcBorders>
          </w:tcPr>
          <w:p w14:paraId="6C55BD8B" w14:textId="77777777" w:rsidR="00AE277E" w:rsidRPr="002C0430" w:rsidRDefault="00AE277E" w:rsidP="002C0430">
            <w:pPr>
              <w:spacing w:before="0"/>
              <w:rPr>
                <w:rFonts w:cs="Arial"/>
                <w:sz w:val="20"/>
                <w:szCs w:val="20"/>
              </w:rPr>
            </w:pPr>
            <w:r w:rsidRPr="002C0430">
              <w:rPr>
                <w:rFonts w:cs="Arial"/>
                <w:sz w:val="20"/>
                <w:szCs w:val="20"/>
              </w:rPr>
              <w:t>25.0</w:t>
            </w:r>
          </w:p>
        </w:tc>
        <w:tc>
          <w:tcPr>
            <w:tcW w:w="1207" w:type="dxa"/>
            <w:tcBorders>
              <w:top w:val="single" w:sz="4" w:space="0" w:color="auto"/>
            </w:tcBorders>
          </w:tcPr>
          <w:p w14:paraId="305576A8" w14:textId="77777777" w:rsidR="00AE277E" w:rsidRPr="002C0430" w:rsidRDefault="00552A0E" w:rsidP="002C0430">
            <w:pPr>
              <w:spacing w:before="0"/>
              <w:rPr>
                <w:rFonts w:cs="Arial"/>
                <w:szCs w:val="20"/>
              </w:rPr>
            </w:pPr>
            <w:r>
              <w:rPr>
                <w:rFonts w:cs="Arial"/>
                <w:szCs w:val="20"/>
              </w:rPr>
              <w:t>9.92</w:t>
            </w:r>
          </w:p>
        </w:tc>
      </w:tr>
      <w:tr w:rsidR="00AE277E" w:rsidRPr="002C0430" w14:paraId="2F0C25ED" w14:textId="77777777" w:rsidTr="00653F15">
        <w:tc>
          <w:tcPr>
            <w:tcW w:w="2144" w:type="dxa"/>
          </w:tcPr>
          <w:p w14:paraId="30766391" w14:textId="77777777" w:rsidR="00AE277E" w:rsidRPr="002C0430" w:rsidRDefault="00AE277E" w:rsidP="002C0430">
            <w:pPr>
              <w:spacing w:before="0"/>
              <w:rPr>
                <w:rFonts w:cs="Arial"/>
                <w:sz w:val="20"/>
                <w:szCs w:val="20"/>
              </w:rPr>
            </w:pPr>
          </w:p>
        </w:tc>
        <w:tc>
          <w:tcPr>
            <w:tcW w:w="2332" w:type="dxa"/>
          </w:tcPr>
          <w:p w14:paraId="48D67EED" w14:textId="77777777" w:rsidR="00AE277E" w:rsidRPr="002C0430" w:rsidRDefault="00AE277E" w:rsidP="002C0430">
            <w:pPr>
              <w:spacing w:before="0"/>
              <w:rPr>
                <w:rFonts w:cs="Arial"/>
                <w:sz w:val="20"/>
                <w:szCs w:val="20"/>
              </w:rPr>
            </w:pPr>
            <w:r w:rsidRPr="002C0430">
              <w:rPr>
                <w:rFonts w:cs="Arial"/>
                <w:sz w:val="20"/>
                <w:szCs w:val="20"/>
              </w:rPr>
              <w:t>Toilet Flush Volume (L)</w:t>
            </w:r>
          </w:p>
        </w:tc>
        <w:tc>
          <w:tcPr>
            <w:tcW w:w="887" w:type="dxa"/>
          </w:tcPr>
          <w:p w14:paraId="67D02E59" w14:textId="77777777" w:rsidR="00AE277E" w:rsidRPr="002C0430" w:rsidRDefault="00AE277E" w:rsidP="002C0430">
            <w:pPr>
              <w:spacing w:before="0"/>
              <w:rPr>
                <w:rFonts w:cs="Arial"/>
                <w:sz w:val="20"/>
                <w:szCs w:val="20"/>
              </w:rPr>
            </w:pPr>
            <w:r w:rsidRPr="002C0430">
              <w:rPr>
                <w:rFonts w:cs="Arial"/>
                <w:sz w:val="20"/>
                <w:szCs w:val="20"/>
              </w:rPr>
              <w:t>7.28</w:t>
            </w:r>
          </w:p>
        </w:tc>
        <w:tc>
          <w:tcPr>
            <w:tcW w:w="1372" w:type="dxa"/>
          </w:tcPr>
          <w:p w14:paraId="388F0DE2" w14:textId="77777777" w:rsidR="00AE277E" w:rsidRPr="002C0430" w:rsidRDefault="00AE277E" w:rsidP="002C0430">
            <w:pPr>
              <w:spacing w:before="0"/>
              <w:rPr>
                <w:rFonts w:cs="Arial"/>
                <w:sz w:val="20"/>
                <w:szCs w:val="20"/>
              </w:rPr>
            </w:pPr>
            <w:r w:rsidRPr="002C0430">
              <w:rPr>
                <w:rFonts w:cs="Arial"/>
                <w:sz w:val="20"/>
                <w:szCs w:val="20"/>
              </w:rPr>
              <w:t>7.26</w:t>
            </w:r>
          </w:p>
        </w:tc>
        <w:tc>
          <w:tcPr>
            <w:tcW w:w="1372" w:type="dxa"/>
          </w:tcPr>
          <w:p w14:paraId="6314731D" w14:textId="77777777" w:rsidR="00AE277E" w:rsidRPr="002C0430" w:rsidRDefault="00AE277E" w:rsidP="002C0430">
            <w:pPr>
              <w:spacing w:before="0"/>
              <w:rPr>
                <w:rFonts w:cs="Arial"/>
                <w:sz w:val="20"/>
                <w:szCs w:val="20"/>
              </w:rPr>
            </w:pPr>
            <w:r w:rsidRPr="002C0430">
              <w:rPr>
                <w:rFonts w:cs="Arial"/>
                <w:sz w:val="20"/>
                <w:szCs w:val="20"/>
              </w:rPr>
              <w:t>7.30</w:t>
            </w:r>
          </w:p>
        </w:tc>
        <w:tc>
          <w:tcPr>
            <w:tcW w:w="1207" w:type="dxa"/>
          </w:tcPr>
          <w:p w14:paraId="2290FB79" w14:textId="77777777" w:rsidR="00AE277E" w:rsidRPr="002C0430" w:rsidRDefault="00552A0E" w:rsidP="002C0430">
            <w:pPr>
              <w:spacing w:before="0"/>
              <w:rPr>
                <w:rFonts w:cs="Arial"/>
                <w:szCs w:val="20"/>
              </w:rPr>
            </w:pPr>
            <w:r>
              <w:rPr>
                <w:rFonts w:cs="Arial"/>
                <w:szCs w:val="20"/>
              </w:rPr>
              <w:t>2.19</w:t>
            </w:r>
          </w:p>
        </w:tc>
      </w:tr>
      <w:tr w:rsidR="00AE277E" w:rsidRPr="002C0430" w14:paraId="526AC10B" w14:textId="77777777" w:rsidTr="00653F15">
        <w:tc>
          <w:tcPr>
            <w:tcW w:w="2144" w:type="dxa"/>
          </w:tcPr>
          <w:p w14:paraId="0017CE31" w14:textId="77777777" w:rsidR="00AE277E" w:rsidRPr="002C0430" w:rsidRDefault="00AE277E" w:rsidP="002C0430">
            <w:pPr>
              <w:spacing w:before="0"/>
              <w:rPr>
                <w:rFonts w:cs="Arial"/>
                <w:sz w:val="20"/>
                <w:szCs w:val="20"/>
              </w:rPr>
            </w:pPr>
          </w:p>
        </w:tc>
        <w:tc>
          <w:tcPr>
            <w:tcW w:w="2332" w:type="dxa"/>
          </w:tcPr>
          <w:p w14:paraId="2C4DE027" w14:textId="77777777" w:rsidR="00AE277E" w:rsidRPr="002C0430" w:rsidRDefault="00AE277E" w:rsidP="002C0430">
            <w:pPr>
              <w:spacing w:before="0"/>
              <w:rPr>
                <w:rFonts w:cs="Arial"/>
                <w:sz w:val="20"/>
                <w:szCs w:val="20"/>
              </w:rPr>
            </w:pPr>
            <w:r w:rsidRPr="002C0430">
              <w:rPr>
                <w:rFonts w:cs="Arial"/>
                <w:sz w:val="20"/>
                <w:szCs w:val="20"/>
              </w:rPr>
              <w:t>Toilet Flushing Frequency (per day)</w:t>
            </w:r>
          </w:p>
        </w:tc>
        <w:tc>
          <w:tcPr>
            <w:tcW w:w="887" w:type="dxa"/>
          </w:tcPr>
          <w:p w14:paraId="429D1468" w14:textId="77777777" w:rsidR="00AE277E" w:rsidRPr="002C0430" w:rsidRDefault="00AE277E" w:rsidP="002C0430">
            <w:pPr>
              <w:spacing w:before="0"/>
              <w:rPr>
                <w:rFonts w:cs="Arial"/>
                <w:sz w:val="20"/>
                <w:szCs w:val="20"/>
              </w:rPr>
            </w:pPr>
            <w:r w:rsidRPr="002C0430">
              <w:rPr>
                <w:rFonts w:cs="Arial"/>
                <w:sz w:val="20"/>
                <w:szCs w:val="20"/>
              </w:rPr>
              <w:t>3.42</w:t>
            </w:r>
          </w:p>
        </w:tc>
        <w:tc>
          <w:tcPr>
            <w:tcW w:w="1372" w:type="dxa"/>
          </w:tcPr>
          <w:p w14:paraId="1F24B1E6" w14:textId="77777777" w:rsidR="00AE277E" w:rsidRPr="002C0430" w:rsidRDefault="00AE277E" w:rsidP="002C0430">
            <w:pPr>
              <w:spacing w:before="0"/>
              <w:rPr>
                <w:rFonts w:cs="Arial"/>
                <w:sz w:val="20"/>
                <w:szCs w:val="20"/>
              </w:rPr>
            </w:pPr>
            <w:r w:rsidRPr="002C0430">
              <w:rPr>
                <w:rFonts w:cs="Arial"/>
                <w:sz w:val="20"/>
                <w:szCs w:val="20"/>
              </w:rPr>
              <w:t>3.41</w:t>
            </w:r>
          </w:p>
        </w:tc>
        <w:tc>
          <w:tcPr>
            <w:tcW w:w="1372" w:type="dxa"/>
          </w:tcPr>
          <w:p w14:paraId="5DC98F68" w14:textId="77777777" w:rsidR="00AE277E" w:rsidRPr="002C0430" w:rsidRDefault="00AE277E" w:rsidP="002C0430">
            <w:pPr>
              <w:spacing w:before="0"/>
              <w:rPr>
                <w:rFonts w:cs="Arial"/>
                <w:sz w:val="20"/>
                <w:szCs w:val="20"/>
              </w:rPr>
            </w:pPr>
            <w:r w:rsidRPr="002C0430">
              <w:rPr>
                <w:rFonts w:cs="Arial"/>
                <w:sz w:val="20"/>
                <w:szCs w:val="20"/>
              </w:rPr>
              <w:t>3.43</w:t>
            </w:r>
          </w:p>
        </w:tc>
        <w:tc>
          <w:tcPr>
            <w:tcW w:w="1207" w:type="dxa"/>
          </w:tcPr>
          <w:p w14:paraId="188F743B" w14:textId="77777777" w:rsidR="00AE277E" w:rsidRPr="002C0430" w:rsidRDefault="00552A0E" w:rsidP="002C0430">
            <w:pPr>
              <w:spacing w:before="0"/>
              <w:rPr>
                <w:rFonts w:cs="Arial"/>
                <w:szCs w:val="20"/>
              </w:rPr>
            </w:pPr>
            <w:r>
              <w:rPr>
                <w:rFonts w:cs="Arial"/>
                <w:szCs w:val="20"/>
              </w:rPr>
              <w:t>0.86</w:t>
            </w:r>
          </w:p>
        </w:tc>
      </w:tr>
      <w:tr w:rsidR="00AE277E" w:rsidRPr="002C0430" w14:paraId="31424ECD" w14:textId="77777777" w:rsidTr="00653F15">
        <w:tc>
          <w:tcPr>
            <w:tcW w:w="2144" w:type="dxa"/>
          </w:tcPr>
          <w:p w14:paraId="647C9305" w14:textId="77777777" w:rsidR="00AE277E" w:rsidRPr="002C0430" w:rsidRDefault="00AE277E" w:rsidP="002C0430">
            <w:pPr>
              <w:spacing w:before="0"/>
              <w:rPr>
                <w:rFonts w:cs="Arial"/>
                <w:sz w:val="20"/>
                <w:szCs w:val="20"/>
              </w:rPr>
            </w:pPr>
            <w:r>
              <w:rPr>
                <w:rFonts w:cs="Arial"/>
                <w:sz w:val="20"/>
                <w:szCs w:val="20"/>
              </w:rPr>
              <w:t>Total Shower Use (L/day)</w:t>
            </w:r>
          </w:p>
        </w:tc>
        <w:tc>
          <w:tcPr>
            <w:tcW w:w="2332" w:type="dxa"/>
          </w:tcPr>
          <w:p w14:paraId="1A21005C" w14:textId="77777777" w:rsidR="00AE277E" w:rsidRPr="002C0430" w:rsidRDefault="00AE277E" w:rsidP="002C0430">
            <w:pPr>
              <w:spacing w:before="0"/>
              <w:rPr>
                <w:rFonts w:cs="Arial"/>
                <w:sz w:val="20"/>
                <w:szCs w:val="20"/>
              </w:rPr>
            </w:pPr>
          </w:p>
        </w:tc>
        <w:tc>
          <w:tcPr>
            <w:tcW w:w="887" w:type="dxa"/>
          </w:tcPr>
          <w:p w14:paraId="7F177F38" w14:textId="77777777" w:rsidR="00AE277E" w:rsidRPr="002C0430" w:rsidRDefault="00AE277E" w:rsidP="002C0430">
            <w:pPr>
              <w:spacing w:before="0"/>
              <w:rPr>
                <w:rFonts w:cs="Arial"/>
                <w:sz w:val="20"/>
                <w:szCs w:val="20"/>
              </w:rPr>
            </w:pPr>
            <w:r>
              <w:rPr>
                <w:rFonts w:cs="Arial"/>
                <w:sz w:val="20"/>
                <w:szCs w:val="20"/>
              </w:rPr>
              <w:t>48.77</w:t>
            </w:r>
          </w:p>
        </w:tc>
        <w:tc>
          <w:tcPr>
            <w:tcW w:w="1372" w:type="dxa"/>
          </w:tcPr>
          <w:p w14:paraId="43787138" w14:textId="77777777" w:rsidR="00AE277E" w:rsidRPr="002C0430" w:rsidRDefault="00AE277E" w:rsidP="002C0430">
            <w:pPr>
              <w:spacing w:before="0"/>
              <w:rPr>
                <w:rFonts w:cs="Arial"/>
                <w:sz w:val="20"/>
                <w:szCs w:val="20"/>
              </w:rPr>
            </w:pPr>
            <w:r>
              <w:rPr>
                <w:rFonts w:cs="Arial"/>
                <w:sz w:val="20"/>
                <w:szCs w:val="20"/>
              </w:rPr>
              <w:t>48.44</w:t>
            </w:r>
          </w:p>
        </w:tc>
        <w:tc>
          <w:tcPr>
            <w:tcW w:w="1372" w:type="dxa"/>
          </w:tcPr>
          <w:p w14:paraId="7E9C3E24" w14:textId="77777777" w:rsidR="00AE277E" w:rsidRPr="002C0430" w:rsidRDefault="00AE277E" w:rsidP="002C0430">
            <w:pPr>
              <w:spacing w:before="0"/>
              <w:rPr>
                <w:rFonts w:cs="Arial"/>
                <w:sz w:val="20"/>
                <w:szCs w:val="20"/>
              </w:rPr>
            </w:pPr>
            <w:r>
              <w:rPr>
                <w:rFonts w:cs="Arial"/>
                <w:sz w:val="20"/>
                <w:szCs w:val="20"/>
              </w:rPr>
              <w:t>49.09</w:t>
            </w:r>
          </w:p>
        </w:tc>
        <w:tc>
          <w:tcPr>
            <w:tcW w:w="1207" w:type="dxa"/>
          </w:tcPr>
          <w:p w14:paraId="4B08F240" w14:textId="77777777" w:rsidR="00AE277E" w:rsidRDefault="00552A0E" w:rsidP="002C0430">
            <w:pPr>
              <w:spacing w:before="0"/>
              <w:rPr>
                <w:rFonts w:cs="Arial"/>
                <w:szCs w:val="20"/>
              </w:rPr>
            </w:pPr>
            <w:r>
              <w:rPr>
                <w:rFonts w:cs="Arial"/>
                <w:szCs w:val="20"/>
              </w:rPr>
              <w:t>39.66</w:t>
            </w:r>
          </w:p>
        </w:tc>
      </w:tr>
      <w:tr w:rsidR="00AE277E" w:rsidRPr="002C0430" w14:paraId="02F2F7E8" w14:textId="77777777" w:rsidTr="00653F15">
        <w:tc>
          <w:tcPr>
            <w:tcW w:w="2144" w:type="dxa"/>
          </w:tcPr>
          <w:p w14:paraId="57D5E83C" w14:textId="77777777" w:rsidR="00AE277E" w:rsidRPr="002C0430" w:rsidRDefault="00AE277E" w:rsidP="002C0430">
            <w:pPr>
              <w:spacing w:before="0"/>
              <w:rPr>
                <w:rFonts w:cs="Arial"/>
                <w:sz w:val="20"/>
                <w:szCs w:val="20"/>
              </w:rPr>
            </w:pPr>
          </w:p>
        </w:tc>
        <w:tc>
          <w:tcPr>
            <w:tcW w:w="2332" w:type="dxa"/>
          </w:tcPr>
          <w:p w14:paraId="443B36DD" w14:textId="77777777" w:rsidR="00AE277E" w:rsidRPr="002C0430" w:rsidRDefault="00AE277E" w:rsidP="002C0430">
            <w:pPr>
              <w:spacing w:before="0"/>
              <w:rPr>
                <w:rFonts w:cs="Arial"/>
                <w:sz w:val="20"/>
                <w:szCs w:val="20"/>
              </w:rPr>
            </w:pPr>
            <w:r>
              <w:rPr>
                <w:rFonts w:cs="Arial"/>
                <w:sz w:val="20"/>
                <w:szCs w:val="20"/>
              </w:rPr>
              <w:t>Shower Flor Rate (L)</w:t>
            </w:r>
          </w:p>
        </w:tc>
        <w:tc>
          <w:tcPr>
            <w:tcW w:w="887" w:type="dxa"/>
          </w:tcPr>
          <w:p w14:paraId="2EB499CC" w14:textId="77777777" w:rsidR="00AE277E" w:rsidRPr="002C0430" w:rsidRDefault="00AE277E" w:rsidP="002C0430">
            <w:pPr>
              <w:spacing w:before="0"/>
              <w:rPr>
                <w:rFonts w:cs="Arial"/>
                <w:sz w:val="20"/>
                <w:szCs w:val="20"/>
              </w:rPr>
            </w:pPr>
            <w:r>
              <w:rPr>
                <w:rFonts w:cs="Arial"/>
                <w:sz w:val="20"/>
                <w:szCs w:val="20"/>
              </w:rPr>
              <w:t>6.15</w:t>
            </w:r>
          </w:p>
        </w:tc>
        <w:tc>
          <w:tcPr>
            <w:tcW w:w="1372" w:type="dxa"/>
          </w:tcPr>
          <w:p w14:paraId="617CF4F5" w14:textId="77777777" w:rsidR="00AE277E" w:rsidRPr="002C0430" w:rsidRDefault="00AE277E" w:rsidP="002C0430">
            <w:pPr>
              <w:spacing w:before="0"/>
              <w:rPr>
                <w:rFonts w:cs="Arial"/>
                <w:sz w:val="20"/>
                <w:szCs w:val="20"/>
              </w:rPr>
            </w:pPr>
            <w:r>
              <w:rPr>
                <w:rFonts w:cs="Arial"/>
                <w:sz w:val="20"/>
                <w:szCs w:val="20"/>
              </w:rPr>
              <w:t>6.13</w:t>
            </w:r>
          </w:p>
        </w:tc>
        <w:tc>
          <w:tcPr>
            <w:tcW w:w="1372" w:type="dxa"/>
          </w:tcPr>
          <w:p w14:paraId="11CE50A5" w14:textId="77777777" w:rsidR="00AE277E" w:rsidRPr="002C0430" w:rsidRDefault="00AE277E" w:rsidP="002C0430">
            <w:pPr>
              <w:spacing w:before="0"/>
              <w:rPr>
                <w:rFonts w:cs="Arial"/>
                <w:sz w:val="20"/>
                <w:szCs w:val="20"/>
              </w:rPr>
            </w:pPr>
            <w:r>
              <w:rPr>
                <w:rFonts w:cs="Arial"/>
                <w:sz w:val="20"/>
                <w:szCs w:val="20"/>
              </w:rPr>
              <w:t>6.17</w:t>
            </w:r>
          </w:p>
        </w:tc>
        <w:tc>
          <w:tcPr>
            <w:tcW w:w="1207" w:type="dxa"/>
          </w:tcPr>
          <w:p w14:paraId="32F88429" w14:textId="77777777" w:rsidR="00AE277E" w:rsidRDefault="00552A0E" w:rsidP="002C0430">
            <w:pPr>
              <w:spacing w:before="0"/>
              <w:rPr>
                <w:rFonts w:cs="Arial"/>
                <w:szCs w:val="20"/>
              </w:rPr>
            </w:pPr>
            <w:r>
              <w:rPr>
                <w:rFonts w:cs="Arial"/>
                <w:szCs w:val="20"/>
              </w:rPr>
              <w:t>2.83</w:t>
            </w:r>
          </w:p>
        </w:tc>
      </w:tr>
      <w:tr w:rsidR="00AE277E" w:rsidRPr="002C0430" w14:paraId="7752F93C" w14:textId="77777777" w:rsidTr="00653F15">
        <w:tc>
          <w:tcPr>
            <w:tcW w:w="2144" w:type="dxa"/>
          </w:tcPr>
          <w:p w14:paraId="3E1D3F0C" w14:textId="77777777" w:rsidR="00AE277E" w:rsidRPr="002C0430" w:rsidRDefault="00AE277E" w:rsidP="002C0430">
            <w:pPr>
              <w:spacing w:before="0"/>
              <w:rPr>
                <w:rFonts w:cs="Arial"/>
                <w:sz w:val="20"/>
                <w:szCs w:val="20"/>
              </w:rPr>
            </w:pPr>
          </w:p>
        </w:tc>
        <w:tc>
          <w:tcPr>
            <w:tcW w:w="2332" w:type="dxa"/>
          </w:tcPr>
          <w:p w14:paraId="030878F2" w14:textId="77777777" w:rsidR="00AE277E" w:rsidRPr="002C0430" w:rsidRDefault="00AE277E" w:rsidP="002C0430">
            <w:pPr>
              <w:spacing w:before="0"/>
              <w:rPr>
                <w:rFonts w:cs="Arial"/>
                <w:sz w:val="20"/>
                <w:szCs w:val="20"/>
              </w:rPr>
            </w:pPr>
            <w:r>
              <w:rPr>
                <w:rFonts w:cs="Arial"/>
                <w:sz w:val="20"/>
                <w:szCs w:val="20"/>
              </w:rPr>
              <w:t>Shower Frequency (per day)</w:t>
            </w:r>
          </w:p>
        </w:tc>
        <w:tc>
          <w:tcPr>
            <w:tcW w:w="887" w:type="dxa"/>
          </w:tcPr>
          <w:p w14:paraId="77148E43" w14:textId="77777777" w:rsidR="00AE277E" w:rsidRPr="002C0430" w:rsidRDefault="00AE277E" w:rsidP="002C0430">
            <w:pPr>
              <w:spacing w:before="0"/>
              <w:rPr>
                <w:rFonts w:cs="Arial"/>
                <w:sz w:val="20"/>
                <w:szCs w:val="20"/>
              </w:rPr>
            </w:pPr>
            <w:r>
              <w:rPr>
                <w:rFonts w:cs="Arial"/>
                <w:sz w:val="20"/>
                <w:szCs w:val="20"/>
              </w:rPr>
              <w:t>1.045</w:t>
            </w:r>
          </w:p>
        </w:tc>
        <w:tc>
          <w:tcPr>
            <w:tcW w:w="1372" w:type="dxa"/>
          </w:tcPr>
          <w:p w14:paraId="6AA2A2F1" w14:textId="77777777" w:rsidR="00AE277E" w:rsidRPr="002C0430" w:rsidRDefault="00AE277E" w:rsidP="002C0430">
            <w:pPr>
              <w:spacing w:before="0"/>
              <w:rPr>
                <w:rFonts w:cs="Arial"/>
                <w:sz w:val="20"/>
                <w:szCs w:val="20"/>
              </w:rPr>
            </w:pPr>
            <w:r>
              <w:rPr>
                <w:rFonts w:cs="Arial"/>
                <w:sz w:val="20"/>
                <w:szCs w:val="20"/>
              </w:rPr>
              <w:t>1.04</w:t>
            </w:r>
          </w:p>
        </w:tc>
        <w:tc>
          <w:tcPr>
            <w:tcW w:w="1372" w:type="dxa"/>
          </w:tcPr>
          <w:p w14:paraId="7C51D907" w14:textId="77777777" w:rsidR="00AE277E" w:rsidRPr="002C0430" w:rsidRDefault="00AE277E" w:rsidP="002C0430">
            <w:pPr>
              <w:spacing w:before="0"/>
              <w:rPr>
                <w:rFonts w:cs="Arial"/>
                <w:sz w:val="20"/>
                <w:szCs w:val="20"/>
              </w:rPr>
            </w:pPr>
            <w:r>
              <w:rPr>
                <w:rFonts w:cs="Arial"/>
                <w:sz w:val="20"/>
                <w:szCs w:val="20"/>
              </w:rPr>
              <w:t>1.05</w:t>
            </w:r>
          </w:p>
        </w:tc>
        <w:tc>
          <w:tcPr>
            <w:tcW w:w="1207" w:type="dxa"/>
          </w:tcPr>
          <w:p w14:paraId="6AFFEDCE" w14:textId="77777777" w:rsidR="00AE277E" w:rsidRDefault="00552A0E" w:rsidP="002C0430">
            <w:pPr>
              <w:spacing w:before="0"/>
              <w:rPr>
                <w:rFonts w:cs="Arial"/>
                <w:szCs w:val="20"/>
              </w:rPr>
            </w:pPr>
            <w:r>
              <w:rPr>
                <w:rFonts w:cs="Arial"/>
                <w:szCs w:val="20"/>
              </w:rPr>
              <w:t>0.46</w:t>
            </w:r>
          </w:p>
        </w:tc>
      </w:tr>
      <w:tr w:rsidR="00AE277E" w:rsidRPr="002C0430" w14:paraId="58580E89" w14:textId="77777777" w:rsidTr="00653F15">
        <w:tc>
          <w:tcPr>
            <w:tcW w:w="2144" w:type="dxa"/>
          </w:tcPr>
          <w:p w14:paraId="4530674F" w14:textId="77777777" w:rsidR="00AE277E" w:rsidRPr="002C0430" w:rsidRDefault="00AE277E" w:rsidP="002C0430">
            <w:pPr>
              <w:spacing w:before="0"/>
              <w:rPr>
                <w:rFonts w:cs="Arial"/>
                <w:szCs w:val="20"/>
              </w:rPr>
            </w:pPr>
          </w:p>
        </w:tc>
        <w:tc>
          <w:tcPr>
            <w:tcW w:w="2332" w:type="dxa"/>
          </w:tcPr>
          <w:p w14:paraId="6CF82CEB" w14:textId="77777777" w:rsidR="00AE277E" w:rsidRPr="002C0430" w:rsidRDefault="00AE277E" w:rsidP="002C0430">
            <w:pPr>
              <w:spacing w:before="0"/>
              <w:rPr>
                <w:rFonts w:cs="Arial"/>
                <w:szCs w:val="20"/>
              </w:rPr>
            </w:pPr>
            <w:r>
              <w:rPr>
                <w:rFonts w:cs="Arial"/>
                <w:szCs w:val="20"/>
              </w:rPr>
              <w:t>Shower Length (min)</w:t>
            </w:r>
          </w:p>
        </w:tc>
        <w:tc>
          <w:tcPr>
            <w:tcW w:w="887" w:type="dxa"/>
          </w:tcPr>
          <w:p w14:paraId="07E030CE" w14:textId="77777777" w:rsidR="00AE277E" w:rsidRPr="002C0430" w:rsidRDefault="00AE277E" w:rsidP="002C0430">
            <w:pPr>
              <w:spacing w:before="0"/>
              <w:rPr>
                <w:rFonts w:cs="Arial"/>
                <w:szCs w:val="20"/>
              </w:rPr>
            </w:pPr>
            <w:r>
              <w:rPr>
                <w:rFonts w:cs="Arial"/>
                <w:szCs w:val="20"/>
              </w:rPr>
              <w:t>7.57</w:t>
            </w:r>
          </w:p>
        </w:tc>
        <w:tc>
          <w:tcPr>
            <w:tcW w:w="1372" w:type="dxa"/>
          </w:tcPr>
          <w:p w14:paraId="3EBD0502" w14:textId="77777777" w:rsidR="00AE277E" w:rsidRPr="002C0430" w:rsidRDefault="00AE277E" w:rsidP="002C0430">
            <w:pPr>
              <w:spacing w:before="0"/>
              <w:rPr>
                <w:rFonts w:cs="Arial"/>
                <w:szCs w:val="20"/>
              </w:rPr>
            </w:pPr>
            <w:r>
              <w:rPr>
                <w:rFonts w:cs="Arial"/>
                <w:szCs w:val="20"/>
              </w:rPr>
              <w:t>7.55</w:t>
            </w:r>
          </w:p>
        </w:tc>
        <w:tc>
          <w:tcPr>
            <w:tcW w:w="1372" w:type="dxa"/>
          </w:tcPr>
          <w:p w14:paraId="74760413" w14:textId="77777777" w:rsidR="00AE277E" w:rsidRPr="002C0430" w:rsidRDefault="00AE277E" w:rsidP="002C0430">
            <w:pPr>
              <w:spacing w:before="0"/>
              <w:rPr>
                <w:rFonts w:cs="Arial"/>
                <w:szCs w:val="20"/>
              </w:rPr>
            </w:pPr>
            <w:r>
              <w:rPr>
                <w:rFonts w:cs="Arial"/>
                <w:szCs w:val="20"/>
              </w:rPr>
              <w:t>7.61</w:t>
            </w:r>
          </w:p>
        </w:tc>
        <w:tc>
          <w:tcPr>
            <w:tcW w:w="1207" w:type="dxa"/>
          </w:tcPr>
          <w:p w14:paraId="6E8751BF" w14:textId="77777777" w:rsidR="00AE277E" w:rsidRDefault="00552A0E" w:rsidP="002C0430">
            <w:pPr>
              <w:spacing w:before="0"/>
              <w:rPr>
                <w:rFonts w:cs="Arial"/>
                <w:szCs w:val="20"/>
              </w:rPr>
            </w:pPr>
            <w:r>
              <w:rPr>
                <w:rFonts w:cs="Arial"/>
                <w:szCs w:val="20"/>
              </w:rPr>
              <w:t>2.97</w:t>
            </w:r>
          </w:p>
        </w:tc>
      </w:tr>
      <w:tr w:rsidR="00AE277E" w:rsidRPr="002C0430" w14:paraId="5A381EF2" w14:textId="77777777" w:rsidTr="00653F15">
        <w:tc>
          <w:tcPr>
            <w:tcW w:w="2144" w:type="dxa"/>
          </w:tcPr>
          <w:p w14:paraId="45328B3D" w14:textId="77777777" w:rsidR="00AE277E" w:rsidRPr="002C0430" w:rsidRDefault="00AE277E" w:rsidP="002C0430">
            <w:pPr>
              <w:spacing w:before="0"/>
              <w:rPr>
                <w:rFonts w:cs="Arial"/>
                <w:szCs w:val="20"/>
              </w:rPr>
            </w:pPr>
            <w:r>
              <w:rPr>
                <w:rFonts w:cs="Arial"/>
                <w:szCs w:val="20"/>
              </w:rPr>
              <w:t>Dishwasher (L/day)</w:t>
            </w:r>
          </w:p>
        </w:tc>
        <w:tc>
          <w:tcPr>
            <w:tcW w:w="2332" w:type="dxa"/>
          </w:tcPr>
          <w:p w14:paraId="3F148B76" w14:textId="77777777" w:rsidR="00AE277E" w:rsidRPr="002C0430" w:rsidRDefault="00AE277E" w:rsidP="002C0430">
            <w:pPr>
              <w:spacing w:before="0"/>
              <w:rPr>
                <w:rFonts w:cs="Arial"/>
                <w:szCs w:val="20"/>
              </w:rPr>
            </w:pPr>
          </w:p>
        </w:tc>
        <w:tc>
          <w:tcPr>
            <w:tcW w:w="887" w:type="dxa"/>
          </w:tcPr>
          <w:p w14:paraId="123701B7" w14:textId="77777777" w:rsidR="00AE277E" w:rsidRPr="002C0430" w:rsidRDefault="00AE277E" w:rsidP="002C0430">
            <w:pPr>
              <w:spacing w:before="0"/>
              <w:rPr>
                <w:rFonts w:cs="Arial"/>
                <w:szCs w:val="20"/>
              </w:rPr>
            </w:pPr>
            <w:r>
              <w:rPr>
                <w:rFonts w:cs="Arial"/>
                <w:szCs w:val="20"/>
              </w:rPr>
              <w:t>7.89</w:t>
            </w:r>
          </w:p>
        </w:tc>
        <w:tc>
          <w:tcPr>
            <w:tcW w:w="1372" w:type="dxa"/>
          </w:tcPr>
          <w:p w14:paraId="634986C5" w14:textId="77777777" w:rsidR="00AE277E" w:rsidRPr="002C0430" w:rsidRDefault="00AE277E" w:rsidP="002C0430">
            <w:pPr>
              <w:spacing w:before="0"/>
              <w:rPr>
                <w:rFonts w:cs="Arial"/>
                <w:szCs w:val="20"/>
              </w:rPr>
            </w:pPr>
            <w:r>
              <w:rPr>
                <w:rFonts w:cs="Arial"/>
                <w:szCs w:val="20"/>
              </w:rPr>
              <w:t>7.88</w:t>
            </w:r>
          </w:p>
        </w:tc>
        <w:tc>
          <w:tcPr>
            <w:tcW w:w="1372" w:type="dxa"/>
          </w:tcPr>
          <w:p w14:paraId="16C423BD" w14:textId="77777777" w:rsidR="00AE277E" w:rsidRPr="002C0430" w:rsidRDefault="00AE277E" w:rsidP="002C0430">
            <w:pPr>
              <w:spacing w:before="0"/>
              <w:rPr>
                <w:rFonts w:cs="Arial"/>
                <w:szCs w:val="20"/>
              </w:rPr>
            </w:pPr>
            <w:r>
              <w:rPr>
                <w:rFonts w:cs="Arial"/>
                <w:szCs w:val="20"/>
              </w:rPr>
              <w:t>7.91</w:t>
            </w:r>
          </w:p>
        </w:tc>
        <w:tc>
          <w:tcPr>
            <w:tcW w:w="1207" w:type="dxa"/>
          </w:tcPr>
          <w:p w14:paraId="7D9BB9E9" w14:textId="77777777" w:rsidR="00AE277E" w:rsidRDefault="00552A0E" w:rsidP="002C0430">
            <w:pPr>
              <w:spacing w:before="0"/>
              <w:rPr>
                <w:rFonts w:cs="Arial"/>
                <w:szCs w:val="20"/>
              </w:rPr>
            </w:pPr>
            <w:r>
              <w:rPr>
                <w:rFonts w:cs="Arial"/>
                <w:szCs w:val="20"/>
              </w:rPr>
              <w:t>1.31</w:t>
            </w:r>
          </w:p>
        </w:tc>
      </w:tr>
      <w:tr w:rsidR="00AE277E" w:rsidRPr="002C0430" w14:paraId="3983B690" w14:textId="77777777" w:rsidTr="00653F15">
        <w:tc>
          <w:tcPr>
            <w:tcW w:w="2144" w:type="dxa"/>
          </w:tcPr>
          <w:p w14:paraId="36081B22" w14:textId="77777777" w:rsidR="00AE277E" w:rsidRPr="002C0430" w:rsidRDefault="00AE277E" w:rsidP="002C0430">
            <w:pPr>
              <w:spacing w:before="0"/>
              <w:rPr>
                <w:rFonts w:cs="Arial"/>
                <w:szCs w:val="20"/>
              </w:rPr>
            </w:pPr>
            <w:r>
              <w:rPr>
                <w:rFonts w:cs="Arial"/>
                <w:szCs w:val="20"/>
              </w:rPr>
              <w:t>Washing Machine (L/day)</w:t>
            </w:r>
          </w:p>
        </w:tc>
        <w:tc>
          <w:tcPr>
            <w:tcW w:w="2332" w:type="dxa"/>
          </w:tcPr>
          <w:p w14:paraId="7005AC6F" w14:textId="77777777" w:rsidR="00AE277E" w:rsidRDefault="00AE277E" w:rsidP="002C0430">
            <w:pPr>
              <w:spacing w:before="0"/>
              <w:rPr>
                <w:rFonts w:cs="Arial"/>
                <w:szCs w:val="20"/>
              </w:rPr>
            </w:pPr>
          </w:p>
        </w:tc>
        <w:tc>
          <w:tcPr>
            <w:tcW w:w="887" w:type="dxa"/>
          </w:tcPr>
          <w:p w14:paraId="24B50A4C" w14:textId="77777777" w:rsidR="00AE277E" w:rsidRDefault="00AE277E" w:rsidP="002C0430">
            <w:pPr>
              <w:spacing w:before="0"/>
              <w:rPr>
                <w:rFonts w:cs="Arial"/>
                <w:szCs w:val="20"/>
              </w:rPr>
            </w:pPr>
            <w:r>
              <w:rPr>
                <w:rFonts w:cs="Arial"/>
                <w:szCs w:val="20"/>
              </w:rPr>
              <w:t>49.2</w:t>
            </w:r>
          </w:p>
        </w:tc>
        <w:tc>
          <w:tcPr>
            <w:tcW w:w="1372" w:type="dxa"/>
          </w:tcPr>
          <w:p w14:paraId="5058D5B5" w14:textId="77777777" w:rsidR="00AE277E" w:rsidRDefault="00AE277E" w:rsidP="002C0430">
            <w:pPr>
              <w:spacing w:before="0"/>
              <w:rPr>
                <w:rFonts w:cs="Arial"/>
                <w:szCs w:val="20"/>
              </w:rPr>
            </w:pPr>
            <w:r>
              <w:rPr>
                <w:rFonts w:cs="Arial"/>
                <w:szCs w:val="20"/>
              </w:rPr>
              <w:t>48.9</w:t>
            </w:r>
          </w:p>
        </w:tc>
        <w:tc>
          <w:tcPr>
            <w:tcW w:w="1372" w:type="dxa"/>
          </w:tcPr>
          <w:p w14:paraId="7B0B6142" w14:textId="77777777" w:rsidR="00AE277E" w:rsidRDefault="00AE277E" w:rsidP="002C0430">
            <w:pPr>
              <w:spacing w:before="0"/>
              <w:rPr>
                <w:rFonts w:cs="Arial"/>
                <w:szCs w:val="20"/>
              </w:rPr>
            </w:pPr>
            <w:r>
              <w:rPr>
                <w:rFonts w:cs="Arial"/>
                <w:szCs w:val="20"/>
              </w:rPr>
              <w:t>49.4</w:t>
            </w:r>
          </w:p>
        </w:tc>
        <w:tc>
          <w:tcPr>
            <w:tcW w:w="1207" w:type="dxa"/>
          </w:tcPr>
          <w:p w14:paraId="7E9F1F61" w14:textId="77777777" w:rsidR="00AE277E" w:rsidRDefault="00D57855" w:rsidP="002C0430">
            <w:pPr>
              <w:spacing w:before="0"/>
              <w:rPr>
                <w:rFonts w:cs="Arial"/>
                <w:szCs w:val="20"/>
              </w:rPr>
            </w:pPr>
            <w:r>
              <w:rPr>
                <w:rFonts w:cs="Arial"/>
                <w:szCs w:val="20"/>
              </w:rPr>
              <w:t>28.9</w:t>
            </w:r>
          </w:p>
        </w:tc>
      </w:tr>
      <w:tr w:rsidR="00AE277E" w:rsidRPr="002C0430" w14:paraId="6C8D343A" w14:textId="77777777" w:rsidTr="00653F15">
        <w:tc>
          <w:tcPr>
            <w:tcW w:w="2144" w:type="dxa"/>
          </w:tcPr>
          <w:p w14:paraId="0CFF8290" w14:textId="77777777" w:rsidR="00AE277E" w:rsidRPr="002C0430" w:rsidRDefault="00AE277E" w:rsidP="002C0430">
            <w:pPr>
              <w:spacing w:before="0"/>
              <w:rPr>
                <w:rFonts w:cs="Arial"/>
                <w:szCs w:val="20"/>
              </w:rPr>
            </w:pPr>
          </w:p>
        </w:tc>
        <w:tc>
          <w:tcPr>
            <w:tcW w:w="2332" w:type="dxa"/>
          </w:tcPr>
          <w:p w14:paraId="41409665" w14:textId="77777777" w:rsidR="00AE277E" w:rsidRPr="002C0430" w:rsidRDefault="00AE277E" w:rsidP="002C0430">
            <w:pPr>
              <w:spacing w:before="0"/>
              <w:rPr>
                <w:rFonts w:cs="Arial"/>
                <w:szCs w:val="20"/>
              </w:rPr>
            </w:pPr>
            <w:r>
              <w:rPr>
                <w:rFonts w:cs="Arial"/>
                <w:szCs w:val="20"/>
              </w:rPr>
              <w:t>Washing Machine (L per load)</w:t>
            </w:r>
          </w:p>
        </w:tc>
        <w:tc>
          <w:tcPr>
            <w:tcW w:w="887" w:type="dxa"/>
          </w:tcPr>
          <w:p w14:paraId="65D6707D" w14:textId="77777777" w:rsidR="00AE277E" w:rsidRPr="002C0430" w:rsidRDefault="00AE277E" w:rsidP="002C0430">
            <w:pPr>
              <w:spacing w:before="0"/>
              <w:rPr>
                <w:rFonts w:cs="Arial"/>
                <w:szCs w:val="20"/>
              </w:rPr>
            </w:pPr>
            <w:r>
              <w:rPr>
                <w:rFonts w:cs="Arial"/>
                <w:szCs w:val="20"/>
              </w:rPr>
              <w:t>105.0</w:t>
            </w:r>
          </w:p>
        </w:tc>
        <w:tc>
          <w:tcPr>
            <w:tcW w:w="1372" w:type="dxa"/>
          </w:tcPr>
          <w:p w14:paraId="6EA65668" w14:textId="77777777" w:rsidR="00AE277E" w:rsidRPr="002C0430" w:rsidRDefault="00AE277E" w:rsidP="002C0430">
            <w:pPr>
              <w:spacing w:before="0"/>
              <w:rPr>
                <w:rFonts w:cs="Arial"/>
                <w:szCs w:val="20"/>
              </w:rPr>
            </w:pPr>
            <w:r>
              <w:rPr>
                <w:rFonts w:cs="Arial"/>
                <w:szCs w:val="20"/>
              </w:rPr>
              <w:t>104.8</w:t>
            </w:r>
          </w:p>
        </w:tc>
        <w:tc>
          <w:tcPr>
            <w:tcW w:w="1372" w:type="dxa"/>
          </w:tcPr>
          <w:p w14:paraId="7E4DBC4E" w14:textId="77777777" w:rsidR="00AE277E" w:rsidRPr="002C0430" w:rsidRDefault="00AE277E" w:rsidP="002C0430">
            <w:pPr>
              <w:spacing w:before="0"/>
              <w:rPr>
                <w:rFonts w:cs="Arial"/>
                <w:szCs w:val="20"/>
              </w:rPr>
            </w:pPr>
            <w:r>
              <w:rPr>
                <w:rFonts w:cs="Arial"/>
                <w:szCs w:val="20"/>
              </w:rPr>
              <w:t>105.2</w:t>
            </w:r>
          </w:p>
        </w:tc>
        <w:tc>
          <w:tcPr>
            <w:tcW w:w="1207" w:type="dxa"/>
          </w:tcPr>
          <w:p w14:paraId="073DE52A" w14:textId="77777777" w:rsidR="00AE277E" w:rsidRDefault="00D57855" w:rsidP="002C0430">
            <w:pPr>
              <w:spacing w:before="0"/>
              <w:rPr>
                <w:rFonts w:cs="Arial"/>
                <w:szCs w:val="20"/>
              </w:rPr>
            </w:pPr>
            <w:r>
              <w:rPr>
                <w:rFonts w:cs="Arial"/>
                <w:szCs w:val="20"/>
              </w:rPr>
              <w:t>22.02</w:t>
            </w:r>
          </w:p>
        </w:tc>
      </w:tr>
      <w:tr w:rsidR="00AE277E" w:rsidRPr="002C0430" w14:paraId="5492CE56" w14:textId="77777777" w:rsidTr="00653F15">
        <w:tc>
          <w:tcPr>
            <w:tcW w:w="2144" w:type="dxa"/>
          </w:tcPr>
          <w:p w14:paraId="00198937" w14:textId="77777777" w:rsidR="00AE277E" w:rsidRPr="002C0430" w:rsidRDefault="00AE277E" w:rsidP="002C0430">
            <w:pPr>
              <w:spacing w:before="0"/>
              <w:rPr>
                <w:rFonts w:cs="Arial"/>
                <w:szCs w:val="20"/>
              </w:rPr>
            </w:pPr>
          </w:p>
        </w:tc>
        <w:tc>
          <w:tcPr>
            <w:tcW w:w="2332" w:type="dxa"/>
          </w:tcPr>
          <w:p w14:paraId="6EB1A512" w14:textId="77777777" w:rsidR="00AE277E" w:rsidRDefault="00AE277E" w:rsidP="002C0430">
            <w:pPr>
              <w:spacing w:before="0"/>
              <w:rPr>
                <w:rFonts w:cs="Arial"/>
                <w:szCs w:val="20"/>
              </w:rPr>
            </w:pPr>
            <w:r>
              <w:rPr>
                <w:rFonts w:cs="Arial"/>
                <w:szCs w:val="20"/>
              </w:rPr>
              <w:t>Washing Machine Frequency (per day)</w:t>
            </w:r>
          </w:p>
        </w:tc>
        <w:tc>
          <w:tcPr>
            <w:tcW w:w="887" w:type="dxa"/>
          </w:tcPr>
          <w:p w14:paraId="3016962F" w14:textId="77777777" w:rsidR="00AE277E" w:rsidRDefault="00AE277E" w:rsidP="00382C1F">
            <w:pPr>
              <w:spacing w:before="0"/>
              <w:rPr>
                <w:rFonts w:cs="Arial"/>
                <w:szCs w:val="20"/>
              </w:rPr>
            </w:pPr>
            <w:r>
              <w:rPr>
                <w:rFonts w:cs="Arial"/>
                <w:szCs w:val="20"/>
              </w:rPr>
              <w:t>0.</w:t>
            </w:r>
            <w:r w:rsidR="00382C1F">
              <w:rPr>
                <w:rFonts w:cs="Arial"/>
                <w:szCs w:val="20"/>
              </w:rPr>
              <w:t>760</w:t>
            </w:r>
          </w:p>
        </w:tc>
        <w:tc>
          <w:tcPr>
            <w:tcW w:w="1372" w:type="dxa"/>
          </w:tcPr>
          <w:p w14:paraId="6D8C46E3" w14:textId="77777777" w:rsidR="00AE277E" w:rsidRDefault="00382C1F" w:rsidP="002C0430">
            <w:pPr>
              <w:spacing w:before="0"/>
              <w:rPr>
                <w:rFonts w:cs="Arial"/>
                <w:szCs w:val="20"/>
              </w:rPr>
            </w:pPr>
            <w:r>
              <w:rPr>
                <w:rFonts w:cs="Arial"/>
                <w:szCs w:val="20"/>
              </w:rPr>
              <w:t>0.759</w:t>
            </w:r>
          </w:p>
        </w:tc>
        <w:tc>
          <w:tcPr>
            <w:tcW w:w="1372" w:type="dxa"/>
          </w:tcPr>
          <w:p w14:paraId="39886D0C" w14:textId="77777777" w:rsidR="00AE277E" w:rsidRDefault="00382C1F" w:rsidP="002C0430">
            <w:pPr>
              <w:spacing w:before="0"/>
              <w:rPr>
                <w:rFonts w:cs="Arial"/>
                <w:szCs w:val="20"/>
              </w:rPr>
            </w:pPr>
            <w:r>
              <w:rPr>
                <w:rFonts w:cs="Arial"/>
                <w:szCs w:val="20"/>
              </w:rPr>
              <w:t>0.763</w:t>
            </w:r>
          </w:p>
        </w:tc>
        <w:tc>
          <w:tcPr>
            <w:tcW w:w="1207" w:type="dxa"/>
          </w:tcPr>
          <w:p w14:paraId="41CC457E" w14:textId="77777777" w:rsidR="00AE277E" w:rsidRDefault="00382C1F" w:rsidP="002C0430">
            <w:pPr>
              <w:spacing w:before="0"/>
              <w:rPr>
                <w:rFonts w:cs="Arial"/>
                <w:szCs w:val="20"/>
              </w:rPr>
            </w:pPr>
            <w:r>
              <w:rPr>
                <w:rFonts w:cs="Arial"/>
                <w:szCs w:val="20"/>
              </w:rPr>
              <w:t>0.41</w:t>
            </w:r>
          </w:p>
        </w:tc>
      </w:tr>
      <w:tr w:rsidR="00AE277E" w:rsidRPr="002C0430" w14:paraId="2597A62C" w14:textId="77777777" w:rsidTr="00653F15">
        <w:tc>
          <w:tcPr>
            <w:tcW w:w="2144" w:type="dxa"/>
          </w:tcPr>
          <w:p w14:paraId="1F0291BC" w14:textId="77777777" w:rsidR="00AE277E" w:rsidRPr="002C0430" w:rsidRDefault="00AE277E" w:rsidP="002C0430">
            <w:pPr>
              <w:spacing w:before="0"/>
              <w:rPr>
                <w:rFonts w:cs="Arial"/>
                <w:szCs w:val="20"/>
              </w:rPr>
            </w:pPr>
            <w:r>
              <w:rPr>
                <w:rFonts w:cs="Arial"/>
                <w:szCs w:val="20"/>
              </w:rPr>
              <w:t>Taps Total (indoor, L/day)</w:t>
            </w:r>
          </w:p>
        </w:tc>
        <w:tc>
          <w:tcPr>
            <w:tcW w:w="2332" w:type="dxa"/>
          </w:tcPr>
          <w:p w14:paraId="409DA0A1" w14:textId="77777777" w:rsidR="00AE277E" w:rsidRDefault="00AE277E" w:rsidP="002C0430">
            <w:pPr>
              <w:spacing w:before="0"/>
              <w:rPr>
                <w:rFonts w:cs="Arial"/>
                <w:szCs w:val="20"/>
              </w:rPr>
            </w:pPr>
          </w:p>
        </w:tc>
        <w:tc>
          <w:tcPr>
            <w:tcW w:w="887" w:type="dxa"/>
          </w:tcPr>
          <w:p w14:paraId="7A281754" w14:textId="77777777" w:rsidR="00AE277E" w:rsidRDefault="00AE277E" w:rsidP="002C0430">
            <w:pPr>
              <w:spacing w:before="0"/>
              <w:rPr>
                <w:rFonts w:cs="Arial"/>
                <w:szCs w:val="20"/>
              </w:rPr>
            </w:pPr>
            <w:r>
              <w:rPr>
                <w:rFonts w:cs="Arial"/>
                <w:szCs w:val="20"/>
              </w:rPr>
              <w:t>23.19</w:t>
            </w:r>
          </w:p>
        </w:tc>
        <w:tc>
          <w:tcPr>
            <w:tcW w:w="1372" w:type="dxa"/>
          </w:tcPr>
          <w:p w14:paraId="6F13DF5C" w14:textId="77777777" w:rsidR="00AE277E" w:rsidRDefault="00AE277E" w:rsidP="002C0430">
            <w:pPr>
              <w:spacing w:before="0"/>
              <w:rPr>
                <w:rFonts w:cs="Arial"/>
                <w:szCs w:val="20"/>
              </w:rPr>
            </w:pPr>
            <w:r>
              <w:rPr>
                <w:rFonts w:cs="Arial"/>
                <w:szCs w:val="20"/>
              </w:rPr>
              <w:t>23.14</w:t>
            </w:r>
          </w:p>
        </w:tc>
        <w:tc>
          <w:tcPr>
            <w:tcW w:w="1372" w:type="dxa"/>
          </w:tcPr>
          <w:p w14:paraId="686CB159" w14:textId="77777777" w:rsidR="00AE277E" w:rsidRDefault="00AE277E" w:rsidP="002C0430">
            <w:pPr>
              <w:spacing w:before="0"/>
              <w:rPr>
                <w:rFonts w:cs="Arial"/>
                <w:szCs w:val="20"/>
              </w:rPr>
            </w:pPr>
            <w:r>
              <w:rPr>
                <w:rFonts w:cs="Arial"/>
                <w:szCs w:val="20"/>
              </w:rPr>
              <w:t>23.23</w:t>
            </w:r>
          </w:p>
        </w:tc>
        <w:tc>
          <w:tcPr>
            <w:tcW w:w="1207" w:type="dxa"/>
          </w:tcPr>
          <w:p w14:paraId="2CDC96F3" w14:textId="77777777" w:rsidR="00AE277E" w:rsidRDefault="00AE277E" w:rsidP="002C0430">
            <w:pPr>
              <w:spacing w:before="0"/>
              <w:rPr>
                <w:rFonts w:cs="Arial"/>
                <w:szCs w:val="20"/>
              </w:rPr>
            </w:pPr>
            <w:r>
              <w:rPr>
                <w:rFonts w:cs="Arial"/>
                <w:szCs w:val="20"/>
              </w:rPr>
              <w:t>5.3</w:t>
            </w:r>
            <w:r w:rsidR="00D57855">
              <w:rPr>
                <w:rFonts w:cs="Arial"/>
                <w:szCs w:val="20"/>
              </w:rPr>
              <w:t>0</w:t>
            </w:r>
          </w:p>
        </w:tc>
      </w:tr>
      <w:tr w:rsidR="00AE277E" w:rsidRPr="002C0430" w14:paraId="4373678D" w14:textId="77777777" w:rsidTr="00653F15">
        <w:tc>
          <w:tcPr>
            <w:tcW w:w="2144" w:type="dxa"/>
          </w:tcPr>
          <w:p w14:paraId="45CE9ACF" w14:textId="77777777" w:rsidR="00AE277E" w:rsidRPr="002C0430" w:rsidRDefault="00AE277E" w:rsidP="002C0430">
            <w:pPr>
              <w:spacing w:before="0"/>
              <w:rPr>
                <w:rFonts w:cs="Arial"/>
                <w:szCs w:val="20"/>
              </w:rPr>
            </w:pPr>
          </w:p>
        </w:tc>
        <w:tc>
          <w:tcPr>
            <w:tcW w:w="2332" w:type="dxa"/>
          </w:tcPr>
          <w:p w14:paraId="2215D337" w14:textId="77777777" w:rsidR="00AE277E" w:rsidRDefault="00AE277E" w:rsidP="002C0430">
            <w:pPr>
              <w:spacing w:before="0"/>
              <w:rPr>
                <w:rFonts w:cs="Arial"/>
                <w:szCs w:val="20"/>
              </w:rPr>
            </w:pPr>
            <w:r>
              <w:rPr>
                <w:rFonts w:cs="Arial"/>
                <w:szCs w:val="20"/>
              </w:rPr>
              <w:t>Teeth Brushing (L/day)</w:t>
            </w:r>
          </w:p>
        </w:tc>
        <w:tc>
          <w:tcPr>
            <w:tcW w:w="887" w:type="dxa"/>
          </w:tcPr>
          <w:p w14:paraId="3A549A8E" w14:textId="77777777" w:rsidR="00AE277E" w:rsidRDefault="00AE277E" w:rsidP="002C0430">
            <w:pPr>
              <w:spacing w:before="0"/>
              <w:rPr>
                <w:rFonts w:cs="Arial"/>
                <w:szCs w:val="20"/>
              </w:rPr>
            </w:pPr>
            <w:r>
              <w:rPr>
                <w:rFonts w:cs="Arial"/>
                <w:szCs w:val="20"/>
              </w:rPr>
              <w:t>1.79</w:t>
            </w:r>
          </w:p>
        </w:tc>
        <w:tc>
          <w:tcPr>
            <w:tcW w:w="1372" w:type="dxa"/>
          </w:tcPr>
          <w:p w14:paraId="5ABA0E8E" w14:textId="77777777" w:rsidR="00AE277E" w:rsidRDefault="00AE277E" w:rsidP="002C0430">
            <w:pPr>
              <w:spacing w:before="0"/>
              <w:rPr>
                <w:rFonts w:cs="Arial"/>
                <w:szCs w:val="20"/>
              </w:rPr>
            </w:pPr>
            <w:r>
              <w:rPr>
                <w:rFonts w:cs="Arial"/>
                <w:szCs w:val="20"/>
              </w:rPr>
              <w:t>1.78</w:t>
            </w:r>
          </w:p>
        </w:tc>
        <w:tc>
          <w:tcPr>
            <w:tcW w:w="1372" w:type="dxa"/>
          </w:tcPr>
          <w:p w14:paraId="2ECD36AD" w14:textId="77777777" w:rsidR="00AE277E" w:rsidRDefault="00AE277E" w:rsidP="002C0430">
            <w:pPr>
              <w:spacing w:before="0"/>
              <w:rPr>
                <w:rFonts w:cs="Arial"/>
                <w:szCs w:val="20"/>
              </w:rPr>
            </w:pPr>
            <w:r>
              <w:rPr>
                <w:rFonts w:cs="Arial"/>
                <w:szCs w:val="20"/>
              </w:rPr>
              <w:t>1.81</w:t>
            </w:r>
          </w:p>
        </w:tc>
        <w:tc>
          <w:tcPr>
            <w:tcW w:w="1207" w:type="dxa"/>
          </w:tcPr>
          <w:p w14:paraId="11B76391" w14:textId="77777777" w:rsidR="00AE277E" w:rsidRDefault="00D57855" w:rsidP="002C0430">
            <w:pPr>
              <w:spacing w:before="0"/>
              <w:rPr>
                <w:rFonts w:cs="Arial"/>
                <w:szCs w:val="20"/>
              </w:rPr>
            </w:pPr>
            <w:r>
              <w:rPr>
                <w:rFonts w:cs="Arial"/>
                <w:szCs w:val="20"/>
              </w:rPr>
              <w:t>1.29</w:t>
            </w:r>
          </w:p>
        </w:tc>
      </w:tr>
      <w:tr w:rsidR="00AE277E" w:rsidRPr="002C0430" w14:paraId="77B63D32" w14:textId="77777777" w:rsidTr="00653F15">
        <w:tc>
          <w:tcPr>
            <w:tcW w:w="2144" w:type="dxa"/>
          </w:tcPr>
          <w:p w14:paraId="3D5856B4" w14:textId="77777777" w:rsidR="00AE277E" w:rsidRPr="002C0430" w:rsidRDefault="00AE277E" w:rsidP="002C0430">
            <w:pPr>
              <w:spacing w:before="0"/>
              <w:rPr>
                <w:rFonts w:cs="Arial"/>
                <w:szCs w:val="20"/>
              </w:rPr>
            </w:pPr>
          </w:p>
        </w:tc>
        <w:tc>
          <w:tcPr>
            <w:tcW w:w="2332" w:type="dxa"/>
          </w:tcPr>
          <w:p w14:paraId="01030000" w14:textId="77777777" w:rsidR="00AE277E" w:rsidRDefault="00AE277E" w:rsidP="002C0430">
            <w:pPr>
              <w:spacing w:before="0"/>
              <w:rPr>
                <w:rFonts w:cs="Arial"/>
                <w:szCs w:val="20"/>
              </w:rPr>
            </w:pPr>
            <w:r>
              <w:rPr>
                <w:rFonts w:cs="Arial"/>
                <w:szCs w:val="20"/>
              </w:rPr>
              <w:t>Cooking (L/day)</w:t>
            </w:r>
          </w:p>
        </w:tc>
        <w:tc>
          <w:tcPr>
            <w:tcW w:w="887" w:type="dxa"/>
          </w:tcPr>
          <w:p w14:paraId="6B23B3D9" w14:textId="77777777" w:rsidR="00AE277E" w:rsidRDefault="00436F84" w:rsidP="002C0430">
            <w:pPr>
              <w:spacing w:before="0"/>
              <w:rPr>
                <w:rFonts w:cs="Arial"/>
                <w:szCs w:val="20"/>
              </w:rPr>
            </w:pPr>
            <w:r>
              <w:rPr>
                <w:rFonts w:cs="Arial"/>
                <w:szCs w:val="20"/>
              </w:rPr>
              <w:t>5.04</w:t>
            </w:r>
          </w:p>
        </w:tc>
        <w:tc>
          <w:tcPr>
            <w:tcW w:w="1372" w:type="dxa"/>
          </w:tcPr>
          <w:p w14:paraId="53B78059" w14:textId="77777777" w:rsidR="00AE277E" w:rsidRDefault="00436F84" w:rsidP="002C0430">
            <w:pPr>
              <w:spacing w:before="0"/>
              <w:rPr>
                <w:rFonts w:cs="Arial"/>
                <w:szCs w:val="20"/>
              </w:rPr>
            </w:pPr>
            <w:r>
              <w:rPr>
                <w:rFonts w:cs="Arial"/>
                <w:szCs w:val="20"/>
              </w:rPr>
              <w:t>5.02</w:t>
            </w:r>
          </w:p>
        </w:tc>
        <w:tc>
          <w:tcPr>
            <w:tcW w:w="1372" w:type="dxa"/>
          </w:tcPr>
          <w:p w14:paraId="41C3A6BB" w14:textId="77777777" w:rsidR="00AE277E" w:rsidRDefault="00436F84" w:rsidP="002C0430">
            <w:pPr>
              <w:spacing w:before="0"/>
              <w:rPr>
                <w:rFonts w:cs="Arial"/>
                <w:szCs w:val="20"/>
              </w:rPr>
            </w:pPr>
            <w:r>
              <w:rPr>
                <w:rFonts w:cs="Arial"/>
                <w:szCs w:val="20"/>
              </w:rPr>
              <w:t>5.02</w:t>
            </w:r>
          </w:p>
        </w:tc>
        <w:tc>
          <w:tcPr>
            <w:tcW w:w="1207" w:type="dxa"/>
          </w:tcPr>
          <w:p w14:paraId="09E029F4" w14:textId="77777777" w:rsidR="00AE277E" w:rsidRDefault="00436F84" w:rsidP="002C0430">
            <w:pPr>
              <w:spacing w:before="0"/>
              <w:rPr>
                <w:rFonts w:cs="Arial"/>
                <w:szCs w:val="20"/>
              </w:rPr>
            </w:pPr>
            <w:r>
              <w:rPr>
                <w:rFonts w:cs="Arial"/>
                <w:szCs w:val="20"/>
              </w:rPr>
              <w:t>1.95</w:t>
            </w:r>
          </w:p>
        </w:tc>
      </w:tr>
      <w:tr w:rsidR="00AE277E" w:rsidRPr="002C0430" w14:paraId="64C75C12" w14:textId="77777777" w:rsidTr="00653F15">
        <w:tc>
          <w:tcPr>
            <w:tcW w:w="2144" w:type="dxa"/>
          </w:tcPr>
          <w:p w14:paraId="255692EA" w14:textId="77777777" w:rsidR="00AE277E" w:rsidRPr="002C0430" w:rsidRDefault="00AE277E" w:rsidP="002C0430">
            <w:pPr>
              <w:spacing w:before="0"/>
              <w:rPr>
                <w:rFonts w:cs="Arial"/>
                <w:szCs w:val="20"/>
              </w:rPr>
            </w:pPr>
          </w:p>
        </w:tc>
        <w:tc>
          <w:tcPr>
            <w:tcW w:w="2332" w:type="dxa"/>
          </w:tcPr>
          <w:p w14:paraId="054ED648" w14:textId="77777777" w:rsidR="00AE277E" w:rsidRPr="002C0430" w:rsidRDefault="00AE277E" w:rsidP="002C0430">
            <w:pPr>
              <w:spacing w:before="0"/>
              <w:rPr>
                <w:rFonts w:cs="Arial"/>
                <w:szCs w:val="20"/>
              </w:rPr>
            </w:pPr>
            <w:r>
              <w:rPr>
                <w:rFonts w:cs="Arial"/>
                <w:szCs w:val="20"/>
              </w:rPr>
              <w:t>Drinking (L/day)</w:t>
            </w:r>
          </w:p>
        </w:tc>
        <w:tc>
          <w:tcPr>
            <w:tcW w:w="887" w:type="dxa"/>
          </w:tcPr>
          <w:p w14:paraId="3C7F2F45" w14:textId="77777777" w:rsidR="00AE277E" w:rsidRPr="002C0430" w:rsidRDefault="00AE277E" w:rsidP="002C0430">
            <w:pPr>
              <w:spacing w:before="0"/>
              <w:rPr>
                <w:rFonts w:cs="Arial"/>
                <w:szCs w:val="20"/>
              </w:rPr>
            </w:pPr>
            <w:r>
              <w:rPr>
                <w:rFonts w:cs="Arial"/>
                <w:szCs w:val="20"/>
              </w:rPr>
              <w:t>1.11</w:t>
            </w:r>
          </w:p>
        </w:tc>
        <w:tc>
          <w:tcPr>
            <w:tcW w:w="1372" w:type="dxa"/>
          </w:tcPr>
          <w:p w14:paraId="76453CDC" w14:textId="77777777" w:rsidR="00AE277E" w:rsidRPr="002C0430" w:rsidRDefault="00AE277E" w:rsidP="002C0430">
            <w:pPr>
              <w:spacing w:before="0"/>
              <w:rPr>
                <w:rFonts w:cs="Arial"/>
                <w:szCs w:val="20"/>
              </w:rPr>
            </w:pPr>
            <w:r>
              <w:rPr>
                <w:rFonts w:cs="Arial"/>
                <w:szCs w:val="20"/>
              </w:rPr>
              <w:t>1.10</w:t>
            </w:r>
          </w:p>
        </w:tc>
        <w:tc>
          <w:tcPr>
            <w:tcW w:w="1372" w:type="dxa"/>
          </w:tcPr>
          <w:p w14:paraId="593CB91C" w14:textId="77777777" w:rsidR="00AE277E" w:rsidRPr="002C0430" w:rsidRDefault="00AE277E" w:rsidP="002C0430">
            <w:pPr>
              <w:spacing w:before="0"/>
              <w:rPr>
                <w:rFonts w:cs="Arial"/>
                <w:szCs w:val="20"/>
              </w:rPr>
            </w:pPr>
            <w:r>
              <w:rPr>
                <w:rFonts w:cs="Arial"/>
                <w:szCs w:val="20"/>
              </w:rPr>
              <w:t>1.12</w:t>
            </w:r>
          </w:p>
        </w:tc>
        <w:tc>
          <w:tcPr>
            <w:tcW w:w="1207" w:type="dxa"/>
          </w:tcPr>
          <w:p w14:paraId="09964450" w14:textId="77777777" w:rsidR="00AE277E" w:rsidRDefault="00AE277E" w:rsidP="002C0430">
            <w:pPr>
              <w:spacing w:before="0"/>
              <w:rPr>
                <w:rFonts w:cs="Arial"/>
                <w:szCs w:val="20"/>
              </w:rPr>
            </w:pPr>
            <w:r>
              <w:rPr>
                <w:rFonts w:cs="Arial"/>
                <w:szCs w:val="20"/>
              </w:rPr>
              <w:t>0.61</w:t>
            </w:r>
          </w:p>
        </w:tc>
      </w:tr>
      <w:tr w:rsidR="00AE277E" w:rsidRPr="002C0430" w14:paraId="3FF66212" w14:textId="77777777" w:rsidTr="00653F15">
        <w:tc>
          <w:tcPr>
            <w:tcW w:w="2144" w:type="dxa"/>
          </w:tcPr>
          <w:p w14:paraId="4F24026B" w14:textId="77777777" w:rsidR="00AE277E" w:rsidRPr="002C0430" w:rsidRDefault="00AE277E" w:rsidP="002C0430">
            <w:pPr>
              <w:spacing w:before="0"/>
              <w:rPr>
                <w:rFonts w:cs="Arial"/>
                <w:szCs w:val="20"/>
              </w:rPr>
            </w:pPr>
          </w:p>
        </w:tc>
        <w:tc>
          <w:tcPr>
            <w:tcW w:w="2332" w:type="dxa"/>
          </w:tcPr>
          <w:p w14:paraId="337DA195" w14:textId="77777777" w:rsidR="00AE277E" w:rsidRDefault="00AE277E" w:rsidP="002C0430">
            <w:pPr>
              <w:spacing w:before="0"/>
              <w:rPr>
                <w:rFonts w:cs="Arial"/>
                <w:szCs w:val="20"/>
              </w:rPr>
            </w:pPr>
            <w:r>
              <w:rPr>
                <w:rFonts w:cs="Arial"/>
                <w:szCs w:val="20"/>
              </w:rPr>
              <w:t>Tap Other (L/day)</w:t>
            </w:r>
          </w:p>
        </w:tc>
        <w:tc>
          <w:tcPr>
            <w:tcW w:w="887" w:type="dxa"/>
          </w:tcPr>
          <w:p w14:paraId="75AC9B61" w14:textId="77777777" w:rsidR="00AE277E" w:rsidRDefault="00AE277E" w:rsidP="002C0430">
            <w:pPr>
              <w:spacing w:before="0"/>
              <w:rPr>
                <w:rFonts w:cs="Arial"/>
                <w:szCs w:val="20"/>
              </w:rPr>
            </w:pPr>
            <w:r>
              <w:rPr>
                <w:rFonts w:cs="Arial"/>
                <w:szCs w:val="20"/>
              </w:rPr>
              <w:t>10.27</w:t>
            </w:r>
          </w:p>
        </w:tc>
        <w:tc>
          <w:tcPr>
            <w:tcW w:w="1372" w:type="dxa"/>
          </w:tcPr>
          <w:p w14:paraId="79D1D8AA" w14:textId="77777777" w:rsidR="00AE277E" w:rsidRDefault="00AE277E" w:rsidP="002C0430">
            <w:pPr>
              <w:spacing w:before="0"/>
              <w:rPr>
                <w:rFonts w:cs="Arial"/>
                <w:szCs w:val="20"/>
              </w:rPr>
            </w:pPr>
            <w:r>
              <w:rPr>
                <w:rFonts w:cs="Arial"/>
                <w:szCs w:val="20"/>
              </w:rPr>
              <w:t>10.23</w:t>
            </w:r>
          </w:p>
        </w:tc>
        <w:tc>
          <w:tcPr>
            <w:tcW w:w="1372" w:type="dxa"/>
          </w:tcPr>
          <w:p w14:paraId="0271D87D" w14:textId="77777777" w:rsidR="00AE277E" w:rsidRDefault="00AE277E" w:rsidP="002C0430">
            <w:pPr>
              <w:spacing w:before="0"/>
              <w:rPr>
                <w:rFonts w:cs="Arial"/>
                <w:szCs w:val="20"/>
              </w:rPr>
            </w:pPr>
            <w:r>
              <w:rPr>
                <w:rFonts w:cs="Arial"/>
                <w:szCs w:val="20"/>
              </w:rPr>
              <w:t>10.30</w:t>
            </w:r>
          </w:p>
        </w:tc>
        <w:tc>
          <w:tcPr>
            <w:tcW w:w="1207" w:type="dxa"/>
          </w:tcPr>
          <w:p w14:paraId="648AE815" w14:textId="77777777" w:rsidR="00AE277E" w:rsidRDefault="00AE277E" w:rsidP="002C0430">
            <w:pPr>
              <w:spacing w:before="0"/>
              <w:rPr>
                <w:rFonts w:cs="Arial"/>
                <w:szCs w:val="20"/>
              </w:rPr>
            </w:pPr>
            <w:r>
              <w:rPr>
                <w:rFonts w:cs="Arial"/>
                <w:szCs w:val="20"/>
              </w:rPr>
              <w:t>4.7</w:t>
            </w:r>
            <w:r w:rsidR="00D57855">
              <w:rPr>
                <w:rFonts w:cs="Arial"/>
                <w:szCs w:val="20"/>
              </w:rPr>
              <w:t>0</w:t>
            </w:r>
          </w:p>
        </w:tc>
      </w:tr>
      <w:tr w:rsidR="00AE277E" w:rsidRPr="002C0430" w14:paraId="446FAD84" w14:textId="77777777" w:rsidTr="00653F15">
        <w:tc>
          <w:tcPr>
            <w:tcW w:w="2144" w:type="dxa"/>
          </w:tcPr>
          <w:p w14:paraId="6A1D215B" w14:textId="77777777" w:rsidR="00AE277E" w:rsidRPr="002C0430" w:rsidRDefault="006076BB" w:rsidP="002C0430">
            <w:pPr>
              <w:spacing w:before="0"/>
              <w:rPr>
                <w:rFonts w:cs="Arial"/>
                <w:szCs w:val="20"/>
              </w:rPr>
            </w:pPr>
            <w:r>
              <w:rPr>
                <w:rFonts w:cs="Arial"/>
                <w:szCs w:val="20"/>
              </w:rPr>
              <w:t>Swimming Pool (L/day)</w:t>
            </w:r>
          </w:p>
        </w:tc>
        <w:tc>
          <w:tcPr>
            <w:tcW w:w="2332" w:type="dxa"/>
          </w:tcPr>
          <w:p w14:paraId="7A959192" w14:textId="77777777" w:rsidR="00AE277E" w:rsidRDefault="00AE277E" w:rsidP="002C0430">
            <w:pPr>
              <w:spacing w:before="0"/>
              <w:rPr>
                <w:rFonts w:cs="Arial"/>
                <w:szCs w:val="20"/>
              </w:rPr>
            </w:pPr>
          </w:p>
        </w:tc>
        <w:tc>
          <w:tcPr>
            <w:tcW w:w="887" w:type="dxa"/>
          </w:tcPr>
          <w:p w14:paraId="56FE955C" w14:textId="77777777" w:rsidR="00AE277E" w:rsidRDefault="006076BB" w:rsidP="002C0430">
            <w:pPr>
              <w:spacing w:before="0"/>
              <w:rPr>
                <w:rFonts w:cs="Arial"/>
                <w:szCs w:val="20"/>
              </w:rPr>
            </w:pPr>
            <w:r>
              <w:rPr>
                <w:rFonts w:cs="Arial"/>
                <w:szCs w:val="20"/>
              </w:rPr>
              <w:t>4.88</w:t>
            </w:r>
          </w:p>
        </w:tc>
        <w:tc>
          <w:tcPr>
            <w:tcW w:w="1372" w:type="dxa"/>
          </w:tcPr>
          <w:p w14:paraId="7FB4C60E" w14:textId="77777777" w:rsidR="00AE277E" w:rsidRDefault="006076BB" w:rsidP="002C0430">
            <w:pPr>
              <w:spacing w:before="0"/>
              <w:rPr>
                <w:rFonts w:cs="Arial"/>
                <w:szCs w:val="20"/>
              </w:rPr>
            </w:pPr>
            <w:r>
              <w:rPr>
                <w:rFonts w:cs="Arial"/>
                <w:szCs w:val="20"/>
              </w:rPr>
              <w:t>4.71</w:t>
            </w:r>
          </w:p>
        </w:tc>
        <w:tc>
          <w:tcPr>
            <w:tcW w:w="1372" w:type="dxa"/>
          </w:tcPr>
          <w:p w14:paraId="551F0CE8" w14:textId="77777777" w:rsidR="00AE277E" w:rsidRDefault="006076BB" w:rsidP="002C0430">
            <w:pPr>
              <w:spacing w:before="0"/>
              <w:rPr>
                <w:rFonts w:cs="Arial"/>
                <w:szCs w:val="20"/>
              </w:rPr>
            </w:pPr>
            <w:r>
              <w:rPr>
                <w:rFonts w:cs="Arial"/>
                <w:szCs w:val="20"/>
              </w:rPr>
              <w:t>5.04</w:t>
            </w:r>
          </w:p>
        </w:tc>
        <w:tc>
          <w:tcPr>
            <w:tcW w:w="1207" w:type="dxa"/>
          </w:tcPr>
          <w:p w14:paraId="233F0A02" w14:textId="77777777" w:rsidR="00AE277E" w:rsidRDefault="006076BB" w:rsidP="002C0430">
            <w:pPr>
              <w:spacing w:before="0"/>
              <w:rPr>
                <w:rFonts w:cs="Arial"/>
                <w:szCs w:val="20"/>
              </w:rPr>
            </w:pPr>
            <w:r>
              <w:rPr>
                <w:rFonts w:cs="Arial"/>
                <w:szCs w:val="20"/>
              </w:rPr>
              <w:t>20.4</w:t>
            </w:r>
          </w:p>
        </w:tc>
      </w:tr>
      <w:tr w:rsidR="00AE277E" w:rsidRPr="002C0430" w14:paraId="7AF25AD7" w14:textId="77777777" w:rsidTr="00653F15">
        <w:tc>
          <w:tcPr>
            <w:tcW w:w="2144" w:type="dxa"/>
          </w:tcPr>
          <w:p w14:paraId="0B60830A" w14:textId="77777777" w:rsidR="00AE277E" w:rsidRPr="002C0430" w:rsidRDefault="00AE277E" w:rsidP="002C0430">
            <w:pPr>
              <w:spacing w:before="0"/>
              <w:rPr>
                <w:rFonts w:cs="Arial"/>
                <w:szCs w:val="20"/>
              </w:rPr>
            </w:pPr>
          </w:p>
        </w:tc>
        <w:tc>
          <w:tcPr>
            <w:tcW w:w="2332" w:type="dxa"/>
          </w:tcPr>
          <w:p w14:paraId="108FC132" w14:textId="77777777" w:rsidR="00AE277E" w:rsidRDefault="006076BB" w:rsidP="002C0430">
            <w:pPr>
              <w:spacing w:before="0"/>
              <w:rPr>
                <w:rFonts w:cs="Arial"/>
                <w:szCs w:val="20"/>
              </w:rPr>
            </w:pPr>
            <w:r>
              <w:rPr>
                <w:rFonts w:cs="Arial"/>
                <w:szCs w:val="20"/>
              </w:rPr>
              <w:t>Evaporation (L/day)</w:t>
            </w:r>
          </w:p>
        </w:tc>
        <w:tc>
          <w:tcPr>
            <w:tcW w:w="887" w:type="dxa"/>
          </w:tcPr>
          <w:p w14:paraId="75F3553B" w14:textId="77777777" w:rsidR="00AE277E" w:rsidRDefault="006076BB" w:rsidP="002C0430">
            <w:pPr>
              <w:spacing w:before="0"/>
              <w:rPr>
                <w:rFonts w:cs="Arial"/>
                <w:szCs w:val="20"/>
              </w:rPr>
            </w:pPr>
            <w:r>
              <w:rPr>
                <w:rFonts w:cs="Arial"/>
                <w:szCs w:val="20"/>
              </w:rPr>
              <w:t>82.6</w:t>
            </w:r>
          </w:p>
        </w:tc>
        <w:tc>
          <w:tcPr>
            <w:tcW w:w="1372" w:type="dxa"/>
          </w:tcPr>
          <w:p w14:paraId="1319AFDF" w14:textId="77777777" w:rsidR="00AE277E" w:rsidRDefault="006076BB" w:rsidP="002C0430">
            <w:pPr>
              <w:spacing w:before="0"/>
              <w:rPr>
                <w:rFonts w:cs="Arial"/>
                <w:szCs w:val="20"/>
              </w:rPr>
            </w:pPr>
            <w:r>
              <w:rPr>
                <w:rFonts w:cs="Arial"/>
                <w:szCs w:val="20"/>
              </w:rPr>
              <w:t>82.4</w:t>
            </w:r>
          </w:p>
        </w:tc>
        <w:tc>
          <w:tcPr>
            <w:tcW w:w="1372" w:type="dxa"/>
          </w:tcPr>
          <w:p w14:paraId="5B7CC62B" w14:textId="77777777" w:rsidR="00AE277E" w:rsidRDefault="006076BB" w:rsidP="002C0430">
            <w:pPr>
              <w:spacing w:before="0"/>
              <w:rPr>
                <w:rFonts w:cs="Arial"/>
                <w:szCs w:val="20"/>
              </w:rPr>
            </w:pPr>
            <w:r>
              <w:rPr>
                <w:rFonts w:cs="Arial"/>
                <w:szCs w:val="20"/>
              </w:rPr>
              <w:t>82.8</w:t>
            </w:r>
          </w:p>
        </w:tc>
        <w:tc>
          <w:tcPr>
            <w:tcW w:w="1207" w:type="dxa"/>
          </w:tcPr>
          <w:p w14:paraId="5CCB3663" w14:textId="77777777" w:rsidR="00AE277E" w:rsidRDefault="006076BB" w:rsidP="002C0430">
            <w:pPr>
              <w:spacing w:before="0"/>
              <w:rPr>
                <w:rFonts w:cs="Arial"/>
                <w:szCs w:val="20"/>
              </w:rPr>
            </w:pPr>
            <w:r>
              <w:rPr>
                <w:rFonts w:cs="Arial"/>
                <w:szCs w:val="20"/>
              </w:rPr>
              <w:t>26.6</w:t>
            </w:r>
          </w:p>
        </w:tc>
      </w:tr>
      <w:tr w:rsidR="00AE277E" w:rsidRPr="002C0430" w14:paraId="1F7AA9ED" w14:textId="77777777" w:rsidTr="00653F15">
        <w:tc>
          <w:tcPr>
            <w:tcW w:w="2144" w:type="dxa"/>
          </w:tcPr>
          <w:p w14:paraId="3E93D301" w14:textId="77777777" w:rsidR="00AE277E" w:rsidRPr="002C0430" w:rsidRDefault="00AE277E" w:rsidP="002C0430">
            <w:pPr>
              <w:spacing w:before="0"/>
              <w:rPr>
                <w:rFonts w:cs="Arial"/>
                <w:szCs w:val="20"/>
              </w:rPr>
            </w:pPr>
          </w:p>
        </w:tc>
        <w:tc>
          <w:tcPr>
            <w:tcW w:w="2332" w:type="dxa"/>
          </w:tcPr>
          <w:p w14:paraId="4812B297" w14:textId="77777777" w:rsidR="00AE277E" w:rsidRDefault="006076BB" w:rsidP="002C0430">
            <w:pPr>
              <w:spacing w:before="0"/>
              <w:rPr>
                <w:rFonts w:cs="Arial"/>
                <w:szCs w:val="20"/>
              </w:rPr>
            </w:pPr>
            <w:r>
              <w:rPr>
                <w:rFonts w:cs="Arial"/>
                <w:szCs w:val="20"/>
              </w:rPr>
              <w:t>Swimming Pool Occurrence (%)</w:t>
            </w:r>
          </w:p>
        </w:tc>
        <w:tc>
          <w:tcPr>
            <w:tcW w:w="887" w:type="dxa"/>
          </w:tcPr>
          <w:p w14:paraId="105A33E8" w14:textId="77777777" w:rsidR="00AE277E" w:rsidRDefault="006076BB" w:rsidP="002C0430">
            <w:pPr>
              <w:spacing w:before="0"/>
              <w:rPr>
                <w:rFonts w:cs="Arial"/>
                <w:szCs w:val="20"/>
              </w:rPr>
            </w:pPr>
            <w:r>
              <w:rPr>
                <w:rFonts w:cs="Arial"/>
                <w:szCs w:val="20"/>
              </w:rPr>
              <w:t>0.059</w:t>
            </w:r>
          </w:p>
        </w:tc>
        <w:tc>
          <w:tcPr>
            <w:tcW w:w="1372" w:type="dxa"/>
          </w:tcPr>
          <w:p w14:paraId="6F861815" w14:textId="77777777" w:rsidR="00AE277E" w:rsidRDefault="006076BB" w:rsidP="002C0430">
            <w:pPr>
              <w:spacing w:before="0"/>
              <w:rPr>
                <w:rFonts w:cs="Arial"/>
                <w:szCs w:val="20"/>
              </w:rPr>
            </w:pPr>
            <w:r>
              <w:rPr>
                <w:rFonts w:cs="Arial"/>
                <w:szCs w:val="20"/>
              </w:rPr>
              <w:t>0.058</w:t>
            </w:r>
          </w:p>
        </w:tc>
        <w:tc>
          <w:tcPr>
            <w:tcW w:w="1372" w:type="dxa"/>
          </w:tcPr>
          <w:p w14:paraId="0656BE71" w14:textId="77777777" w:rsidR="00AE277E" w:rsidRDefault="006076BB" w:rsidP="002C0430">
            <w:pPr>
              <w:spacing w:before="0"/>
              <w:rPr>
                <w:rFonts w:cs="Arial"/>
                <w:szCs w:val="20"/>
              </w:rPr>
            </w:pPr>
            <w:r>
              <w:rPr>
                <w:rFonts w:cs="Arial"/>
                <w:szCs w:val="20"/>
              </w:rPr>
              <w:t>0.061</w:t>
            </w:r>
          </w:p>
        </w:tc>
        <w:tc>
          <w:tcPr>
            <w:tcW w:w="1207" w:type="dxa"/>
          </w:tcPr>
          <w:p w14:paraId="48D49C3D" w14:textId="77777777" w:rsidR="00AE277E" w:rsidRDefault="006076BB" w:rsidP="002C0430">
            <w:pPr>
              <w:spacing w:before="0"/>
              <w:rPr>
                <w:rFonts w:cs="Arial"/>
                <w:szCs w:val="20"/>
              </w:rPr>
            </w:pPr>
            <w:r>
              <w:rPr>
                <w:rFonts w:cs="Arial"/>
                <w:szCs w:val="20"/>
              </w:rPr>
              <w:t>0.24</w:t>
            </w:r>
          </w:p>
        </w:tc>
      </w:tr>
      <w:tr w:rsidR="006076BB" w:rsidRPr="002C0430" w14:paraId="7E66727B" w14:textId="77777777" w:rsidTr="00653F15">
        <w:tc>
          <w:tcPr>
            <w:tcW w:w="2144" w:type="dxa"/>
          </w:tcPr>
          <w:p w14:paraId="3FD5B3CD" w14:textId="77777777" w:rsidR="006076BB" w:rsidRPr="002C0430" w:rsidRDefault="00653F15" w:rsidP="00653F15">
            <w:pPr>
              <w:spacing w:before="0"/>
              <w:rPr>
                <w:rFonts w:cs="Arial"/>
                <w:szCs w:val="20"/>
              </w:rPr>
            </w:pPr>
            <w:r>
              <w:rPr>
                <w:rFonts w:cs="Arial"/>
                <w:szCs w:val="20"/>
              </w:rPr>
              <w:t xml:space="preserve">Other </w:t>
            </w:r>
            <w:r w:rsidR="006076BB">
              <w:rPr>
                <w:rFonts w:cs="Arial"/>
                <w:szCs w:val="20"/>
              </w:rPr>
              <w:t>Out Door Use (L/day</w:t>
            </w:r>
            <w:r>
              <w:rPr>
                <w:rFonts w:cs="Arial"/>
                <w:szCs w:val="20"/>
              </w:rPr>
              <w:t>)</w:t>
            </w:r>
          </w:p>
        </w:tc>
        <w:tc>
          <w:tcPr>
            <w:tcW w:w="2332" w:type="dxa"/>
          </w:tcPr>
          <w:p w14:paraId="045F9CFD" w14:textId="77777777" w:rsidR="006076BB" w:rsidRDefault="006076BB" w:rsidP="002C0430">
            <w:pPr>
              <w:spacing w:before="0"/>
              <w:rPr>
                <w:rFonts w:cs="Arial"/>
                <w:szCs w:val="20"/>
              </w:rPr>
            </w:pPr>
          </w:p>
        </w:tc>
        <w:tc>
          <w:tcPr>
            <w:tcW w:w="887" w:type="dxa"/>
          </w:tcPr>
          <w:p w14:paraId="63163D65" w14:textId="77777777" w:rsidR="006076BB" w:rsidRDefault="00436F84" w:rsidP="002C0430">
            <w:pPr>
              <w:spacing w:before="0"/>
              <w:rPr>
                <w:rFonts w:cs="Arial"/>
                <w:szCs w:val="20"/>
              </w:rPr>
            </w:pPr>
            <w:r>
              <w:rPr>
                <w:rFonts w:cs="Arial"/>
                <w:szCs w:val="20"/>
              </w:rPr>
              <w:t>34.75</w:t>
            </w:r>
          </w:p>
        </w:tc>
        <w:tc>
          <w:tcPr>
            <w:tcW w:w="1372" w:type="dxa"/>
          </w:tcPr>
          <w:p w14:paraId="673E4154" w14:textId="77777777" w:rsidR="006076BB" w:rsidRDefault="00436F84" w:rsidP="002C0430">
            <w:pPr>
              <w:spacing w:before="0"/>
              <w:rPr>
                <w:rFonts w:cs="Arial"/>
                <w:szCs w:val="20"/>
              </w:rPr>
            </w:pPr>
            <w:r>
              <w:rPr>
                <w:rFonts w:cs="Arial"/>
                <w:szCs w:val="20"/>
              </w:rPr>
              <w:t>34.56</w:t>
            </w:r>
          </w:p>
        </w:tc>
        <w:tc>
          <w:tcPr>
            <w:tcW w:w="1372" w:type="dxa"/>
          </w:tcPr>
          <w:p w14:paraId="5A5D1419" w14:textId="77777777" w:rsidR="006076BB" w:rsidRDefault="00436F84" w:rsidP="002C0430">
            <w:pPr>
              <w:spacing w:before="0"/>
              <w:rPr>
                <w:rFonts w:cs="Arial"/>
                <w:szCs w:val="20"/>
              </w:rPr>
            </w:pPr>
            <w:r>
              <w:rPr>
                <w:rFonts w:cs="Arial"/>
                <w:szCs w:val="20"/>
              </w:rPr>
              <w:t>34.94</w:t>
            </w:r>
          </w:p>
        </w:tc>
        <w:tc>
          <w:tcPr>
            <w:tcW w:w="1207" w:type="dxa"/>
          </w:tcPr>
          <w:p w14:paraId="3FD8E217" w14:textId="77777777" w:rsidR="006076BB" w:rsidRDefault="00436F84" w:rsidP="002C0430">
            <w:pPr>
              <w:spacing w:before="0"/>
              <w:rPr>
                <w:rFonts w:cs="Arial"/>
                <w:szCs w:val="20"/>
              </w:rPr>
            </w:pPr>
            <w:r>
              <w:rPr>
                <w:rFonts w:cs="Arial"/>
                <w:szCs w:val="20"/>
              </w:rPr>
              <w:t>21.5</w:t>
            </w:r>
          </w:p>
        </w:tc>
      </w:tr>
      <w:tr w:rsidR="006076BB" w:rsidRPr="002C0430" w14:paraId="01FDB49B" w14:textId="77777777" w:rsidTr="00653F15">
        <w:tc>
          <w:tcPr>
            <w:tcW w:w="2144" w:type="dxa"/>
            <w:tcBorders>
              <w:bottom w:val="single" w:sz="4" w:space="0" w:color="auto"/>
            </w:tcBorders>
          </w:tcPr>
          <w:p w14:paraId="3B42C8A1" w14:textId="77777777" w:rsidR="006076BB" w:rsidRPr="00653F15" w:rsidRDefault="00653F15" w:rsidP="002C0430">
            <w:pPr>
              <w:spacing w:before="0"/>
              <w:rPr>
                <w:rFonts w:cs="Arial"/>
                <w:b/>
                <w:szCs w:val="20"/>
              </w:rPr>
            </w:pPr>
            <w:r w:rsidRPr="00653F15">
              <w:rPr>
                <w:rFonts w:cs="Arial"/>
                <w:b/>
                <w:szCs w:val="20"/>
              </w:rPr>
              <w:t>Total (L/day)</w:t>
            </w:r>
          </w:p>
        </w:tc>
        <w:tc>
          <w:tcPr>
            <w:tcW w:w="2332" w:type="dxa"/>
            <w:tcBorders>
              <w:bottom w:val="single" w:sz="4" w:space="0" w:color="auto"/>
            </w:tcBorders>
          </w:tcPr>
          <w:p w14:paraId="0C178A5B" w14:textId="77777777" w:rsidR="006076BB" w:rsidRPr="00653F15" w:rsidRDefault="006076BB" w:rsidP="002C0430">
            <w:pPr>
              <w:spacing w:before="0"/>
              <w:rPr>
                <w:rFonts w:cs="Arial"/>
                <w:b/>
                <w:szCs w:val="20"/>
              </w:rPr>
            </w:pPr>
          </w:p>
        </w:tc>
        <w:tc>
          <w:tcPr>
            <w:tcW w:w="887" w:type="dxa"/>
            <w:tcBorders>
              <w:bottom w:val="single" w:sz="4" w:space="0" w:color="auto"/>
            </w:tcBorders>
          </w:tcPr>
          <w:p w14:paraId="7E236B91" w14:textId="77777777" w:rsidR="006076BB" w:rsidRPr="00653F15" w:rsidRDefault="00436F84" w:rsidP="002C0430">
            <w:pPr>
              <w:spacing w:before="0"/>
              <w:rPr>
                <w:rFonts w:cs="Arial"/>
                <w:b/>
                <w:szCs w:val="20"/>
              </w:rPr>
            </w:pPr>
            <w:r>
              <w:rPr>
                <w:rFonts w:cs="Arial"/>
                <w:b/>
                <w:szCs w:val="20"/>
              </w:rPr>
              <w:t>208.9</w:t>
            </w:r>
          </w:p>
        </w:tc>
        <w:tc>
          <w:tcPr>
            <w:tcW w:w="1372" w:type="dxa"/>
            <w:tcBorders>
              <w:bottom w:val="single" w:sz="4" w:space="0" w:color="auto"/>
            </w:tcBorders>
          </w:tcPr>
          <w:p w14:paraId="2FE2A7D1" w14:textId="77777777" w:rsidR="006076BB" w:rsidRPr="00653F15" w:rsidRDefault="00436F84" w:rsidP="002C0430">
            <w:pPr>
              <w:spacing w:before="0"/>
              <w:rPr>
                <w:rFonts w:cs="Arial"/>
                <w:b/>
                <w:szCs w:val="20"/>
              </w:rPr>
            </w:pPr>
            <w:r>
              <w:rPr>
                <w:rFonts w:cs="Arial"/>
                <w:b/>
                <w:szCs w:val="20"/>
              </w:rPr>
              <w:t>208.4</w:t>
            </w:r>
          </w:p>
        </w:tc>
        <w:tc>
          <w:tcPr>
            <w:tcW w:w="1372" w:type="dxa"/>
            <w:tcBorders>
              <w:bottom w:val="single" w:sz="4" w:space="0" w:color="auto"/>
            </w:tcBorders>
          </w:tcPr>
          <w:p w14:paraId="254CC66F" w14:textId="77777777" w:rsidR="006076BB" w:rsidRPr="00653F15" w:rsidRDefault="00436F84" w:rsidP="002C0430">
            <w:pPr>
              <w:spacing w:before="0"/>
              <w:rPr>
                <w:rFonts w:cs="Arial"/>
                <w:b/>
                <w:szCs w:val="20"/>
              </w:rPr>
            </w:pPr>
            <w:r>
              <w:rPr>
                <w:rFonts w:cs="Arial"/>
                <w:b/>
                <w:szCs w:val="20"/>
              </w:rPr>
              <w:t>209.5</w:t>
            </w:r>
          </w:p>
        </w:tc>
        <w:tc>
          <w:tcPr>
            <w:tcW w:w="1207" w:type="dxa"/>
            <w:tcBorders>
              <w:bottom w:val="single" w:sz="4" w:space="0" w:color="auto"/>
            </w:tcBorders>
          </w:tcPr>
          <w:p w14:paraId="0D654B12" w14:textId="77777777" w:rsidR="006076BB" w:rsidRPr="00653F15" w:rsidRDefault="00436F84" w:rsidP="002C0430">
            <w:pPr>
              <w:spacing w:before="0"/>
              <w:rPr>
                <w:rFonts w:cs="Arial"/>
                <w:b/>
                <w:szCs w:val="20"/>
              </w:rPr>
            </w:pPr>
            <w:r>
              <w:rPr>
                <w:rFonts w:cs="Arial"/>
                <w:b/>
                <w:szCs w:val="20"/>
              </w:rPr>
              <w:t>68.9</w:t>
            </w:r>
          </w:p>
        </w:tc>
      </w:tr>
    </w:tbl>
    <w:p w14:paraId="7D064139" w14:textId="77777777" w:rsidR="00693D73" w:rsidRPr="00E4229C" w:rsidRDefault="00A95030" w:rsidP="00693D73">
      <w:pPr>
        <w:keepNext/>
        <w:rPr>
          <w:rFonts w:cs="Arial"/>
        </w:rPr>
      </w:pPr>
      <w:r w:rsidRPr="00E4229C">
        <w:rPr>
          <w:rFonts w:cs="Arial"/>
          <w:noProof/>
          <w:lang w:val="en-US"/>
        </w:rPr>
        <w:lastRenderedPageBreak/>
        <w:drawing>
          <wp:inline distT="0" distB="0" distL="0" distR="0" wp14:anchorId="3C757AF4" wp14:editId="01FAB8F6">
            <wp:extent cx="5504187" cy="78200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bined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4393" cy="7820318"/>
                    </a:xfrm>
                    <a:prstGeom prst="rect">
                      <a:avLst/>
                    </a:prstGeom>
                  </pic:spPr>
                </pic:pic>
              </a:graphicData>
            </a:graphic>
          </wp:inline>
        </w:drawing>
      </w:r>
    </w:p>
    <w:p w14:paraId="74011A46" w14:textId="77777777" w:rsidR="000D0A66" w:rsidRPr="00E4229C" w:rsidRDefault="00693D73" w:rsidP="00693D73">
      <w:pPr>
        <w:pStyle w:val="Caption"/>
        <w:rPr>
          <w:rFonts w:cs="Arial"/>
        </w:rPr>
      </w:pPr>
      <w:r w:rsidRPr="00E4229C">
        <w:rPr>
          <w:rFonts w:cs="Arial"/>
        </w:rPr>
        <w:t xml:space="preserve">Figure </w:t>
      </w:r>
      <w:r w:rsidRPr="00E4229C">
        <w:rPr>
          <w:rFonts w:cs="Arial"/>
        </w:rPr>
        <w:fldChar w:fldCharType="begin"/>
      </w:r>
      <w:r w:rsidRPr="00E4229C">
        <w:rPr>
          <w:rFonts w:cs="Arial"/>
        </w:rPr>
        <w:instrText xml:space="preserve"> SEQ Figure \* ARABIC </w:instrText>
      </w:r>
      <w:r w:rsidRPr="00E4229C">
        <w:rPr>
          <w:rFonts w:cs="Arial"/>
        </w:rPr>
        <w:fldChar w:fldCharType="separate"/>
      </w:r>
      <w:r w:rsidR="006076BB">
        <w:rPr>
          <w:rFonts w:cs="Arial"/>
          <w:noProof/>
        </w:rPr>
        <w:t>2</w:t>
      </w:r>
      <w:r w:rsidRPr="00E4229C">
        <w:rPr>
          <w:rFonts w:cs="Arial"/>
        </w:rPr>
        <w:fldChar w:fldCharType="end"/>
      </w:r>
      <w:r w:rsidR="002745AF" w:rsidRPr="00E4229C">
        <w:rPr>
          <w:rFonts w:cs="Arial"/>
        </w:rPr>
        <w:t>:</w:t>
      </w:r>
      <w:r w:rsidRPr="00E4229C">
        <w:rPr>
          <w:rFonts w:cs="Arial"/>
        </w:rPr>
        <w:t xml:space="preserve"> Heuristic estimations of end-use water consumption</w:t>
      </w:r>
    </w:p>
    <w:p w14:paraId="6959D5DB" w14:textId="77777777" w:rsidR="00B33498" w:rsidRPr="00E4229C" w:rsidRDefault="00B33498">
      <w:pPr>
        <w:spacing w:before="0"/>
        <w:jc w:val="left"/>
        <w:rPr>
          <w:rFonts w:cs="Arial"/>
        </w:rPr>
      </w:pPr>
    </w:p>
    <w:p w14:paraId="366E1816" w14:textId="77777777" w:rsidR="0035746D" w:rsidRDefault="00B20CBE" w:rsidP="00F01C2D">
      <w:pPr>
        <w:rPr>
          <w:rFonts w:cs="Arial"/>
        </w:rPr>
      </w:pPr>
      <w:r w:rsidRPr="00A82004">
        <w:rPr>
          <w:rFonts w:cs="Arial"/>
        </w:rPr>
        <w:lastRenderedPageBreak/>
        <w:t>In the extreme case of perfect correlation between variables (the Ordered Heuristic Model) the resultant distribution of total consumption showed a non-normal distribution</w:t>
      </w:r>
      <w:r w:rsidR="00DF19C3">
        <w:rPr>
          <w:rFonts w:cs="Arial"/>
        </w:rPr>
        <w:t xml:space="preserve"> (Figure 3)</w:t>
      </w:r>
      <w:r w:rsidRPr="00A82004">
        <w:rPr>
          <w:rFonts w:cs="Arial"/>
        </w:rPr>
        <w:t>. The Ordered Heuristic Model resulted in much higher extreme values than where no correlation between end-uses was assumed. The Ordered Heuristic Model, however, still lacked the most extreme values found in the metered data</w:t>
      </w:r>
      <w:r>
        <w:rPr>
          <w:rFonts w:cs="Arial"/>
        </w:rPr>
        <w:t>. The model also</w:t>
      </w:r>
      <w:r w:rsidRPr="00A82004">
        <w:rPr>
          <w:rFonts w:cs="Arial"/>
        </w:rPr>
        <w:t xml:space="preserve"> over-estimated the frequency of ‘high’ water consumers, such as those consuming 500 litres per person per day. </w:t>
      </w:r>
      <w:r w:rsidR="006D2EB4">
        <w:rPr>
          <w:rFonts w:cs="Arial"/>
        </w:rPr>
        <w:t xml:space="preserve">The higher than expected frequency of dwellings consuming 500-700 </w:t>
      </w:r>
      <w:r w:rsidR="006D2EB4" w:rsidRPr="00A82004">
        <w:rPr>
          <w:rFonts w:cs="Arial"/>
        </w:rPr>
        <w:t>litres per person per day</w:t>
      </w:r>
      <w:r w:rsidR="006D2EB4">
        <w:rPr>
          <w:rFonts w:cs="Arial"/>
        </w:rPr>
        <w:t xml:space="preserve"> results from all swimming pool owners occurring in this range. </w:t>
      </w:r>
      <w:r w:rsidR="0035746D">
        <w:rPr>
          <w:rFonts w:cs="Arial"/>
        </w:rPr>
        <w:t xml:space="preserve">In the unordered heuristic model, swimming pool owners appeared throughout the distribution. </w:t>
      </w:r>
    </w:p>
    <w:p w14:paraId="389EE28D" w14:textId="77777777" w:rsidR="00F01C2D" w:rsidRDefault="006D2EB4" w:rsidP="00F01C2D">
      <w:pPr>
        <w:rPr>
          <w:rFonts w:cs="Arial"/>
        </w:rPr>
      </w:pPr>
      <w:r>
        <w:rPr>
          <w:rFonts w:cs="Arial"/>
        </w:rPr>
        <w:t xml:space="preserve">The mean value of the Ordered Heuristic Model also </w:t>
      </w:r>
      <w:r w:rsidR="00653F15">
        <w:rPr>
          <w:rFonts w:cs="Arial"/>
        </w:rPr>
        <w:t>decreased</w:t>
      </w:r>
      <w:r>
        <w:rPr>
          <w:rFonts w:cs="Arial"/>
        </w:rPr>
        <w:t xml:space="preserve"> to </w:t>
      </w:r>
      <w:r w:rsidR="00653F15">
        <w:rPr>
          <w:rFonts w:cs="Arial"/>
        </w:rPr>
        <w:t>201.3 (</w:t>
      </w:r>
      <w:r w:rsidR="00653F15" w:rsidRPr="00E4229C">
        <w:rPr>
          <w:rFonts w:cs="Arial"/>
        </w:rPr>
        <w:sym w:font="Symbol" w:char="F073"/>
      </w:r>
      <w:r w:rsidR="00653F15" w:rsidRPr="00E4229C">
        <w:rPr>
          <w:rFonts w:cs="Arial"/>
        </w:rPr>
        <w:t>=</w:t>
      </w:r>
      <w:r w:rsidR="00653F15">
        <w:rPr>
          <w:rFonts w:cs="Arial"/>
        </w:rPr>
        <w:t>103.9) litres per person per day compared with the</w:t>
      </w:r>
      <w:r>
        <w:rPr>
          <w:rFonts w:cs="Arial"/>
        </w:rPr>
        <w:t xml:space="preserve"> the uncorrelated heuristic model of </w:t>
      </w:r>
      <w:r w:rsidR="00653F15">
        <w:rPr>
          <w:rFonts w:cs="Arial"/>
        </w:rPr>
        <w:t>206.0 (</w:t>
      </w:r>
      <w:r w:rsidR="00653F15" w:rsidRPr="00E4229C">
        <w:rPr>
          <w:rFonts w:cs="Arial"/>
        </w:rPr>
        <w:sym w:font="Symbol" w:char="F073"/>
      </w:r>
      <w:r w:rsidR="00653F15" w:rsidRPr="00E4229C">
        <w:rPr>
          <w:rFonts w:cs="Arial"/>
        </w:rPr>
        <w:t>=</w:t>
      </w:r>
      <w:r w:rsidR="00653F15">
        <w:rPr>
          <w:rFonts w:cs="Arial"/>
        </w:rPr>
        <w:t xml:space="preserve">61.7) </w:t>
      </w:r>
      <w:r w:rsidRPr="00A82004">
        <w:rPr>
          <w:rFonts w:cs="Arial"/>
        </w:rPr>
        <w:t>litres per person per day</w:t>
      </w:r>
      <w:r w:rsidR="00264B58">
        <w:rPr>
          <w:rFonts w:cs="Arial"/>
        </w:rPr>
        <w:t xml:space="preserve">. Allowing </w:t>
      </w:r>
      <w:r w:rsidR="00264B58" w:rsidRPr="00A82004">
        <w:rPr>
          <w:rFonts w:cs="Arial"/>
        </w:rPr>
        <w:t xml:space="preserve">perfect correlation between variables </w:t>
      </w:r>
      <w:r w:rsidR="00264B58">
        <w:rPr>
          <w:rFonts w:cs="Arial"/>
        </w:rPr>
        <w:t xml:space="preserve">resulted in a </w:t>
      </w:r>
      <w:r w:rsidR="00264B58" w:rsidRPr="00264B58">
        <w:rPr>
          <w:rFonts w:cs="Arial"/>
        </w:rPr>
        <w:t xml:space="preserve">model that was inconsistent </w:t>
      </w:r>
      <w:r w:rsidR="00625B85" w:rsidRPr="00264B58">
        <w:rPr>
          <w:rFonts w:cs="Arial"/>
        </w:rPr>
        <w:t xml:space="preserve">with the distribution of </w:t>
      </w:r>
      <w:r w:rsidR="00264B58" w:rsidRPr="00264B58">
        <w:rPr>
          <w:rFonts w:cs="Arial"/>
        </w:rPr>
        <w:t>metered</w:t>
      </w:r>
      <w:r w:rsidR="00625B85" w:rsidRPr="00264B58">
        <w:rPr>
          <w:rFonts w:cs="Arial"/>
        </w:rPr>
        <w:t xml:space="preserve"> data.</w:t>
      </w:r>
      <w:r w:rsidR="00625B85" w:rsidRPr="00E4229C">
        <w:rPr>
          <w:rFonts w:cs="Arial"/>
        </w:rPr>
        <w:t xml:space="preserve"> </w:t>
      </w:r>
      <w:r w:rsidR="00F01C2D" w:rsidRPr="00E128B9">
        <w:rPr>
          <w:rFonts w:cs="Arial"/>
        </w:rPr>
        <w:t>Neither of the heuristic models enabled the scaling up of the comp</w:t>
      </w:r>
      <w:r w:rsidR="007E706A">
        <w:rPr>
          <w:rFonts w:cs="Arial"/>
        </w:rPr>
        <w:t>onents of water use consumption</w:t>
      </w:r>
      <w:r w:rsidR="00F01C2D" w:rsidRPr="00E128B9">
        <w:rPr>
          <w:rFonts w:cs="Arial"/>
        </w:rPr>
        <w:t xml:space="preserve"> to a reliable estimate of the whole city</w:t>
      </w:r>
      <w:r w:rsidR="00F01C2D">
        <w:rPr>
          <w:rFonts w:cs="Arial"/>
        </w:rPr>
        <w:t xml:space="preserve"> (Figure 3)</w:t>
      </w:r>
      <w:r w:rsidR="00F01C2D" w:rsidRPr="00E128B9">
        <w:rPr>
          <w:rFonts w:cs="Arial"/>
        </w:rPr>
        <w:t>.</w:t>
      </w:r>
    </w:p>
    <w:p w14:paraId="42661DE7" w14:textId="77777777" w:rsidR="00502853" w:rsidRDefault="00502853" w:rsidP="00502853">
      <w:pPr>
        <w:rPr>
          <w:rFonts w:cs="Arial"/>
        </w:rPr>
      </w:pPr>
    </w:p>
    <w:p w14:paraId="62960939" w14:textId="77777777" w:rsidR="00693D73" w:rsidRPr="00E4229C" w:rsidRDefault="00B33498" w:rsidP="00693D73">
      <w:pPr>
        <w:keepNext/>
        <w:spacing w:before="0"/>
        <w:jc w:val="left"/>
        <w:rPr>
          <w:rFonts w:cs="Arial"/>
        </w:rPr>
      </w:pPr>
      <w:r w:rsidRPr="00E4229C">
        <w:rPr>
          <w:rFonts w:cs="Arial"/>
          <w:noProof/>
          <w:lang w:val="en-US"/>
        </w:rPr>
        <w:drawing>
          <wp:inline distT="0" distB="0" distL="0" distR="0" wp14:anchorId="0A967270" wp14:editId="48B0E797">
            <wp:extent cx="5943600" cy="249428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mbined3-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494280"/>
                    </a:xfrm>
                    <a:prstGeom prst="rect">
                      <a:avLst/>
                    </a:prstGeom>
                  </pic:spPr>
                </pic:pic>
              </a:graphicData>
            </a:graphic>
          </wp:inline>
        </w:drawing>
      </w:r>
    </w:p>
    <w:p w14:paraId="30ECB589" w14:textId="77777777" w:rsidR="00464265" w:rsidRPr="00E4229C" w:rsidRDefault="00693D73" w:rsidP="00693D73">
      <w:pPr>
        <w:pStyle w:val="Caption"/>
        <w:jc w:val="left"/>
        <w:rPr>
          <w:rFonts w:cs="Arial"/>
        </w:rPr>
      </w:pPr>
      <w:r w:rsidRPr="00E4229C">
        <w:rPr>
          <w:rFonts w:cs="Arial"/>
        </w:rPr>
        <w:t xml:space="preserve">Figure </w:t>
      </w:r>
      <w:r w:rsidRPr="00E4229C">
        <w:rPr>
          <w:rFonts w:cs="Arial"/>
        </w:rPr>
        <w:fldChar w:fldCharType="begin"/>
      </w:r>
      <w:r w:rsidRPr="00E4229C">
        <w:rPr>
          <w:rFonts w:cs="Arial"/>
        </w:rPr>
        <w:instrText xml:space="preserve"> SEQ Figure \* ARABIC </w:instrText>
      </w:r>
      <w:r w:rsidRPr="00E4229C">
        <w:rPr>
          <w:rFonts w:cs="Arial"/>
        </w:rPr>
        <w:fldChar w:fldCharType="separate"/>
      </w:r>
      <w:r w:rsidR="006076BB">
        <w:rPr>
          <w:rFonts w:cs="Arial"/>
          <w:noProof/>
        </w:rPr>
        <w:t>3</w:t>
      </w:r>
      <w:r w:rsidRPr="00E4229C">
        <w:rPr>
          <w:rFonts w:cs="Arial"/>
        </w:rPr>
        <w:fldChar w:fldCharType="end"/>
      </w:r>
      <w:r w:rsidR="002745AF" w:rsidRPr="00E4229C">
        <w:rPr>
          <w:rFonts w:cs="Arial"/>
        </w:rPr>
        <w:t>:</w:t>
      </w:r>
      <w:r w:rsidRPr="00E4229C">
        <w:rPr>
          <w:rFonts w:cs="Arial"/>
        </w:rPr>
        <w:t xml:space="preserve"> Distribution in water consumption among households. Metered consumption is compared with the heuristic model (uncorrelated end-uses) and the ordered heuristic model (perfect correlation in end-use consumption).</w:t>
      </w:r>
    </w:p>
    <w:p w14:paraId="03FD1CD8" w14:textId="77777777" w:rsidR="00464265" w:rsidRPr="00E4229C" w:rsidRDefault="00464265">
      <w:pPr>
        <w:spacing w:before="0"/>
        <w:jc w:val="left"/>
        <w:rPr>
          <w:rFonts w:cs="Arial"/>
        </w:rPr>
      </w:pPr>
    </w:p>
    <w:p w14:paraId="2048364E" w14:textId="77777777" w:rsidR="00464265" w:rsidRPr="00E4229C" w:rsidRDefault="00464265">
      <w:pPr>
        <w:spacing w:before="0"/>
        <w:jc w:val="left"/>
        <w:rPr>
          <w:rFonts w:cs="Arial"/>
        </w:rPr>
      </w:pPr>
    </w:p>
    <w:p w14:paraId="0D580BC8" w14:textId="77777777" w:rsidR="00464265" w:rsidRPr="00E4229C" w:rsidRDefault="00464265">
      <w:pPr>
        <w:spacing w:before="0"/>
        <w:jc w:val="left"/>
        <w:rPr>
          <w:rFonts w:cs="Arial"/>
        </w:rPr>
      </w:pPr>
    </w:p>
    <w:p w14:paraId="05C8A90A" w14:textId="77777777" w:rsidR="00464265" w:rsidRPr="00E4229C" w:rsidRDefault="00464265" w:rsidP="00155825">
      <w:pPr>
        <w:pStyle w:val="Heading7"/>
        <w:numPr>
          <w:ilvl w:val="1"/>
          <w:numId w:val="8"/>
        </w:numPr>
        <w:rPr>
          <w:rFonts w:cs="Arial"/>
        </w:rPr>
      </w:pPr>
      <w:r w:rsidRPr="00E4229C">
        <w:rPr>
          <w:rFonts w:cs="Arial"/>
        </w:rPr>
        <w:t>Distribution in Metered Water Consumption</w:t>
      </w:r>
    </w:p>
    <w:p w14:paraId="7E098CA4" w14:textId="77777777" w:rsidR="00B33498" w:rsidRPr="00E4229C" w:rsidRDefault="00B33498">
      <w:pPr>
        <w:spacing w:before="0"/>
        <w:jc w:val="left"/>
        <w:rPr>
          <w:rFonts w:cs="Arial"/>
        </w:rPr>
      </w:pPr>
    </w:p>
    <w:p w14:paraId="4F656FA1" w14:textId="77777777" w:rsidR="00DF19C3" w:rsidRPr="00E4229C" w:rsidRDefault="00464265" w:rsidP="00DF19C3">
      <w:pPr>
        <w:rPr>
          <w:rFonts w:cs="Arial"/>
        </w:rPr>
      </w:pPr>
      <w:r w:rsidRPr="00E4229C">
        <w:rPr>
          <w:rFonts w:cs="Arial"/>
        </w:rPr>
        <w:t xml:space="preserve">The highly skewed </w:t>
      </w:r>
      <w:r w:rsidR="00DF19C3">
        <w:rPr>
          <w:rFonts w:cs="Arial"/>
        </w:rPr>
        <w:t xml:space="preserve">metered </w:t>
      </w:r>
      <w:r w:rsidRPr="00E4229C">
        <w:rPr>
          <w:rFonts w:cs="Arial"/>
        </w:rPr>
        <w:t xml:space="preserve">data results in poor estimates in the mean when small sample sizes are taken. </w:t>
      </w:r>
      <w:r w:rsidR="00DF19C3" w:rsidRPr="00E4229C">
        <w:rPr>
          <w:rFonts w:cs="Arial"/>
        </w:rPr>
        <w:t xml:space="preserve">The distribution in household water consumption was </w:t>
      </w:r>
      <w:r w:rsidR="00DF19C3" w:rsidRPr="009C09F5">
        <w:rPr>
          <w:rFonts w:cs="Arial"/>
        </w:rPr>
        <w:t xml:space="preserve">highly positively skewed (Kurtosis </w:t>
      </w:r>
      <w:r w:rsidR="00F01C2D" w:rsidRPr="009C09F5">
        <w:rPr>
          <w:rFonts w:cs="Arial"/>
        </w:rPr>
        <w:t>=</w:t>
      </w:r>
      <w:r w:rsidR="00DF19C3" w:rsidRPr="009C09F5">
        <w:rPr>
          <w:rFonts w:cs="Arial"/>
        </w:rPr>
        <w:t xml:space="preserve"> 34), with a mean of </w:t>
      </w:r>
      <w:r w:rsidR="009C09F5" w:rsidRPr="009C09F5">
        <w:rPr>
          <w:rFonts w:cs="Arial"/>
        </w:rPr>
        <w:t>210 (</w:t>
      </w:r>
      <w:r w:rsidR="009C09F5" w:rsidRPr="009C09F5">
        <w:rPr>
          <w:rFonts w:cs="Arial"/>
        </w:rPr>
        <w:sym w:font="Symbol" w:char="F073"/>
      </w:r>
      <w:r w:rsidR="009C09F5" w:rsidRPr="009C09F5">
        <w:rPr>
          <w:rFonts w:cs="Arial"/>
        </w:rPr>
        <w:t>=127) litres</w:t>
      </w:r>
      <w:r w:rsidR="00DF19C3" w:rsidRPr="009C09F5">
        <w:rPr>
          <w:rFonts w:cs="Arial"/>
        </w:rPr>
        <w:t xml:space="preserve"> per person per day and a median of 189</w:t>
      </w:r>
      <w:r w:rsidR="009C09F5" w:rsidRPr="009C09F5">
        <w:rPr>
          <w:rFonts w:cs="Arial"/>
        </w:rPr>
        <w:t xml:space="preserve"> litres</w:t>
      </w:r>
      <w:r w:rsidR="00DF19C3" w:rsidRPr="00E4229C">
        <w:rPr>
          <w:rFonts w:cs="Arial"/>
        </w:rPr>
        <w:t>.</w:t>
      </w:r>
      <w:r w:rsidR="00DF19C3">
        <w:rPr>
          <w:rFonts w:cs="Arial"/>
        </w:rPr>
        <w:t xml:space="preserve"> The 95% co</w:t>
      </w:r>
      <w:r w:rsidR="00F01C2D">
        <w:rPr>
          <w:rFonts w:cs="Arial"/>
        </w:rPr>
        <w:t>nfidence interval underestimated</w:t>
      </w:r>
      <w:r w:rsidR="00DF19C3">
        <w:rPr>
          <w:rFonts w:cs="Arial"/>
        </w:rPr>
        <w:t xml:space="preserve"> the true population mean value for sample sizes of less than 500 dwellings (Figure 4). </w:t>
      </w:r>
    </w:p>
    <w:p w14:paraId="01785DAA" w14:textId="77777777" w:rsidR="006076BB" w:rsidRDefault="008C298E" w:rsidP="006076BB">
      <w:pPr>
        <w:keepNext/>
      </w:pPr>
      <w:r>
        <w:rPr>
          <w:rFonts w:cs="Arial"/>
          <w:noProof/>
          <w:lang w:val="en-US"/>
        </w:rPr>
        <w:lastRenderedPageBreak/>
        <w:drawing>
          <wp:inline distT="0" distB="0" distL="0" distR="0" wp14:anchorId="45B15F77" wp14:editId="40A83E0F">
            <wp:extent cx="3807181" cy="2552466"/>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7844" cy="2559615"/>
                    </a:xfrm>
                    <a:prstGeom prst="rect">
                      <a:avLst/>
                    </a:prstGeom>
                    <a:noFill/>
                  </pic:spPr>
                </pic:pic>
              </a:graphicData>
            </a:graphic>
          </wp:inline>
        </w:drawing>
      </w:r>
    </w:p>
    <w:p w14:paraId="01AE0500" w14:textId="77777777" w:rsidR="00B33498" w:rsidRPr="00E4229C" w:rsidRDefault="006076BB" w:rsidP="006076BB">
      <w:pPr>
        <w:pStyle w:val="Caption"/>
        <w:rPr>
          <w:rFonts w:cs="Arial"/>
        </w:rPr>
      </w:pPr>
      <w:r>
        <w:t xml:space="preserve">Figure </w:t>
      </w:r>
      <w:r>
        <w:fldChar w:fldCharType="begin"/>
      </w:r>
      <w:r>
        <w:instrText xml:space="preserve"> SEQ Figure \* ARABIC </w:instrText>
      </w:r>
      <w:r>
        <w:fldChar w:fldCharType="separate"/>
      </w:r>
      <w:r>
        <w:rPr>
          <w:noProof/>
        </w:rPr>
        <w:t>4</w:t>
      </w:r>
      <w:r>
        <w:fldChar w:fldCharType="end"/>
      </w:r>
      <w:r>
        <w:t xml:space="preserve"> T-test coverage as a function of sample size</w:t>
      </w:r>
    </w:p>
    <w:p w14:paraId="0C0273FF" w14:textId="77777777" w:rsidR="00776E29" w:rsidRDefault="00776E29" w:rsidP="000D0A66">
      <w:pPr>
        <w:rPr>
          <w:rFonts w:cs="Arial"/>
        </w:rPr>
      </w:pPr>
    </w:p>
    <w:p w14:paraId="5528B5F1" w14:textId="77777777" w:rsidR="00776E29" w:rsidRDefault="00040599" w:rsidP="000D0A66">
      <w:pPr>
        <w:rPr>
          <w:rFonts w:cs="Arial"/>
        </w:rPr>
      </w:pPr>
      <w:r w:rsidRPr="00E4229C">
        <w:rPr>
          <w:rFonts w:cs="Arial"/>
        </w:rPr>
        <w:t>The distribution in metered dat</w:t>
      </w:r>
      <w:r w:rsidR="00776E29">
        <w:rPr>
          <w:rFonts w:cs="Arial"/>
        </w:rPr>
        <w:t>a was best approximated with a Gamma distribution (Table 2</w:t>
      </w:r>
      <w:r w:rsidRPr="00E4229C">
        <w:rPr>
          <w:rFonts w:cs="Arial"/>
        </w:rPr>
        <w:t>).</w:t>
      </w:r>
      <w:r w:rsidR="00776E29">
        <w:rPr>
          <w:rFonts w:cs="Arial"/>
        </w:rPr>
        <w:t xml:space="preserve"> Notable also, </w:t>
      </w:r>
      <w:r w:rsidR="00624D44">
        <w:rPr>
          <w:rFonts w:cs="Arial"/>
        </w:rPr>
        <w:t>was</w:t>
      </w:r>
      <w:r w:rsidR="00776E29">
        <w:rPr>
          <w:rFonts w:cs="Arial"/>
        </w:rPr>
        <w:t xml:space="preserve"> that the </w:t>
      </w:r>
      <w:proofErr w:type="gramStart"/>
      <w:r w:rsidR="00776E29">
        <w:rPr>
          <w:rFonts w:cs="Arial"/>
        </w:rPr>
        <w:t>Log-Normal</w:t>
      </w:r>
      <w:proofErr w:type="gramEnd"/>
      <w:r w:rsidR="00776E29">
        <w:rPr>
          <w:rFonts w:cs="Arial"/>
        </w:rPr>
        <w:t xml:space="preserve"> distribution performed well</w:t>
      </w:r>
      <w:r w:rsidR="006076BB">
        <w:rPr>
          <w:rFonts w:cs="Arial"/>
        </w:rPr>
        <w:t xml:space="preserve"> compared with other distributions</w:t>
      </w:r>
      <w:r w:rsidR="00776E29">
        <w:rPr>
          <w:rFonts w:cs="Arial"/>
        </w:rPr>
        <w:t>. Surprisingly, the Weibull and Pareto distributions, which are often used in ‘fat-tailed’ distributions</w:t>
      </w:r>
      <w:r w:rsidR="007E706A">
        <w:rPr>
          <w:rFonts w:cs="Arial"/>
        </w:rPr>
        <w:t xml:space="preserve"> (e.g. household income)</w:t>
      </w:r>
      <w:r w:rsidR="00776E29">
        <w:rPr>
          <w:rFonts w:cs="Arial"/>
        </w:rPr>
        <w:t xml:space="preserve"> poorly fitted the metered data. </w:t>
      </w:r>
    </w:p>
    <w:p w14:paraId="15D8C7E0" w14:textId="77777777" w:rsidR="00B33498" w:rsidRPr="00E4229C" w:rsidRDefault="00B33498" w:rsidP="000D0A66">
      <w:pPr>
        <w:rPr>
          <w:rFonts w:cs="Arial"/>
        </w:rPr>
      </w:pPr>
    </w:p>
    <w:p w14:paraId="38789745" w14:textId="77777777" w:rsidR="004E2300" w:rsidRPr="00E4229C" w:rsidRDefault="004E2300" w:rsidP="00E93B9C">
      <w:pPr>
        <w:pStyle w:val="Caption"/>
        <w:keepNext/>
        <w:spacing w:after="120"/>
        <w:rPr>
          <w:rFonts w:cs="Arial"/>
        </w:rPr>
      </w:pPr>
      <w:r w:rsidRPr="00E4229C">
        <w:rPr>
          <w:rFonts w:cs="Arial"/>
        </w:rPr>
        <w:t xml:space="preserve">Table </w:t>
      </w:r>
      <w:r w:rsidRPr="00E4229C">
        <w:rPr>
          <w:rFonts w:cs="Arial"/>
        </w:rPr>
        <w:fldChar w:fldCharType="begin"/>
      </w:r>
      <w:r w:rsidRPr="00E4229C">
        <w:rPr>
          <w:rFonts w:cs="Arial"/>
        </w:rPr>
        <w:instrText xml:space="preserve"> SEQ Table \* ARABIC </w:instrText>
      </w:r>
      <w:r w:rsidRPr="00E4229C">
        <w:rPr>
          <w:rFonts w:cs="Arial"/>
        </w:rPr>
        <w:fldChar w:fldCharType="separate"/>
      </w:r>
      <w:r w:rsidR="00040043" w:rsidRPr="00E4229C">
        <w:rPr>
          <w:rFonts w:cs="Arial"/>
          <w:noProof/>
        </w:rPr>
        <w:t>2</w:t>
      </w:r>
      <w:r w:rsidRPr="00E4229C">
        <w:rPr>
          <w:rFonts w:cs="Arial"/>
        </w:rPr>
        <w:fldChar w:fldCharType="end"/>
      </w:r>
      <w:r w:rsidR="002745AF" w:rsidRPr="00E4229C">
        <w:rPr>
          <w:rFonts w:cs="Arial"/>
        </w:rPr>
        <w:t>:</w:t>
      </w:r>
      <w:r w:rsidRPr="00E4229C">
        <w:rPr>
          <w:rFonts w:cs="Arial"/>
        </w:rPr>
        <w:t xml:space="preserve"> Parameterised curve of best fit t</w:t>
      </w:r>
      <w:r w:rsidR="00476DF7">
        <w:rPr>
          <w:rFonts w:cs="Arial"/>
        </w:rPr>
        <w:t>o the metered water consumption</w:t>
      </w:r>
    </w:p>
    <w:tbl>
      <w:tblPr>
        <w:tblW w:w="4494" w:type="dxa"/>
        <w:tblInd w:w="1676" w:type="dxa"/>
        <w:tblLook w:val="04A0" w:firstRow="1" w:lastRow="0" w:firstColumn="1" w:lastColumn="0" w:noHBand="0" w:noVBand="1"/>
      </w:tblPr>
      <w:tblGrid>
        <w:gridCol w:w="960"/>
        <w:gridCol w:w="1840"/>
        <w:gridCol w:w="1694"/>
      </w:tblGrid>
      <w:tr w:rsidR="00AA7C14" w:rsidRPr="00E4229C" w14:paraId="2515BF35" w14:textId="77777777" w:rsidTr="00476DF7">
        <w:trPr>
          <w:trHeight w:val="300"/>
        </w:trPr>
        <w:tc>
          <w:tcPr>
            <w:tcW w:w="960" w:type="dxa"/>
            <w:tcBorders>
              <w:bottom w:val="single" w:sz="4" w:space="0" w:color="auto"/>
            </w:tcBorders>
            <w:shd w:val="clear" w:color="auto" w:fill="auto"/>
            <w:noWrap/>
            <w:vAlign w:val="center"/>
            <w:hideMark/>
          </w:tcPr>
          <w:p w14:paraId="05500311" w14:textId="77777777" w:rsidR="00AA7C14" w:rsidRPr="00F224FA" w:rsidRDefault="00AA7C14" w:rsidP="00F224FA">
            <w:pPr>
              <w:spacing w:before="0"/>
              <w:jc w:val="center"/>
              <w:rPr>
                <w:rFonts w:cs="Arial"/>
                <w:b/>
                <w:szCs w:val="20"/>
              </w:rPr>
            </w:pPr>
            <w:r w:rsidRPr="00F224FA">
              <w:rPr>
                <w:rFonts w:cs="Arial"/>
                <w:b/>
                <w:szCs w:val="20"/>
              </w:rPr>
              <w:t>Rank</w:t>
            </w:r>
          </w:p>
        </w:tc>
        <w:tc>
          <w:tcPr>
            <w:tcW w:w="1840" w:type="dxa"/>
            <w:tcBorders>
              <w:bottom w:val="single" w:sz="4" w:space="0" w:color="auto"/>
            </w:tcBorders>
            <w:shd w:val="clear" w:color="auto" w:fill="auto"/>
            <w:noWrap/>
            <w:vAlign w:val="center"/>
            <w:hideMark/>
          </w:tcPr>
          <w:p w14:paraId="69926436" w14:textId="77777777" w:rsidR="00AA7C14" w:rsidRPr="00F224FA" w:rsidRDefault="00AA7C14" w:rsidP="00F224FA">
            <w:pPr>
              <w:spacing w:before="0"/>
              <w:jc w:val="center"/>
              <w:rPr>
                <w:rFonts w:cs="Arial"/>
                <w:b/>
                <w:color w:val="000000"/>
                <w:szCs w:val="20"/>
              </w:rPr>
            </w:pPr>
            <w:r w:rsidRPr="00F224FA">
              <w:rPr>
                <w:rFonts w:cs="Arial"/>
                <w:b/>
                <w:color w:val="000000"/>
                <w:szCs w:val="20"/>
              </w:rPr>
              <w:t>Distribution</w:t>
            </w:r>
          </w:p>
        </w:tc>
        <w:tc>
          <w:tcPr>
            <w:tcW w:w="1694" w:type="dxa"/>
            <w:tcBorders>
              <w:bottom w:val="single" w:sz="4" w:space="0" w:color="auto"/>
            </w:tcBorders>
            <w:shd w:val="clear" w:color="auto" w:fill="auto"/>
            <w:noWrap/>
            <w:vAlign w:val="center"/>
            <w:hideMark/>
          </w:tcPr>
          <w:p w14:paraId="301B5EEF" w14:textId="77777777" w:rsidR="00AA7C14" w:rsidRPr="00F224FA" w:rsidRDefault="006076BB" w:rsidP="00F224FA">
            <w:pPr>
              <w:spacing w:before="0"/>
              <w:jc w:val="center"/>
              <w:rPr>
                <w:rFonts w:cs="Arial"/>
                <w:b/>
                <w:color w:val="000000"/>
                <w:szCs w:val="20"/>
              </w:rPr>
            </w:pPr>
            <w:r>
              <w:rPr>
                <w:rFonts w:cs="Arial"/>
                <w:b/>
                <w:color w:val="000000"/>
                <w:szCs w:val="20"/>
              </w:rPr>
              <w:t xml:space="preserve">Log </w:t>
            </w:r>
            <w:r w:rsidR="00AA7C14" w:rsidRPr="00F224FA">
              <w:rPr>
                <w:rFonts w:cs="Arial"/>
                <w:b/>
                <w:color w:val="000000"/>
                <w:szCs w:val="20"/>
              </w:rPr>
              <w:t>Likelihood</w:t>
            </w:r>
          </w:p>
        </w:tc>
      </w:tr>
      <w:tr w:rsidR="00AA7C14" w:rsidRPr="00E4229C" w14:paraId="7FF40A82" w14:textId="77777777" w:rsidTr="00476DF7">
        <w:trPr>
          <w:trHeight w:val="300"/>
        </w:trPr>
        <w:tc>
          <w:tcPr>
            <w:tcW w:w="960" w:type="dxa"/>
            <w:tcBorders>
              <w:top w:val="single" w:sz="4" w:space="0" w:color="auto"/>
            </w:tcBorders>
            <w:shd w:val="clear" w:color="auto" w:fill="auto"/>
            <w:noWrap/>
            <w:vAlign w:val="center"/>
            <w:hideMark/>
          </w:tcPr>
          <w:p w14:paraId="4E551990" w14:textId="77777777" w:rsidR="00AA7C14" w:rsidRPr="00FD1E66" w:rsidRDefault="00AA7C14" w:rsidP="00F224FA">
            <w:pPr>
              <w:spacing w:before="0"/>
              <w:jc w:val="center"/>
              <w:rPr>
                <w:rFonts w:cs="Arial"/>
                <w:color w:val="000000"/>
                <w:szCs w:val="20"/>
              </w:rPr>
            </w:pPr>
            <w:r w:rsidRPr="00FD1E66">
              <w:rPr>
                <w:rFonts w:cs="Arial"/>
                <w:color w:val="000000"/>
                <w:szCs w:val="20"/>
              </w:rPr>
              <w:t>1</w:t>
            </w:r>
          </w:p>
        </w:tc>
        <w:tc>
          <w:tcPr>
            <w:tcW w:w="1840" w:type="dxa"/>
            <w:tcBorders>
              <w:top w:val="single" w:sz="4" w:space="0" w:color="auto"/>
            </w:tcBorders>
            <w:shd w:val="clear" w:color="auto" w:fill="auto"/>
            <w:noWrap/>
            <w:vAlign w:val="center"/>
            <w:hideMark/>
          </w:tcPr>
          <w:p w14:paraId="31C283D4" w14:textId="77777777" w:rsidR="00AA7C14" w:rsidRPr="00FD1E66" w:rsidRDefault="00AA7C14" w:rsidP="00F224FA">
            <w:pPr>
              <w:spacing w:before="0"/>
              <w:jc w:val="center"/>
              <w:rPr>
                <w:rFonts w:cs="Arial"/>
                <w:color w:val="000000"/>
              </w:rPr>
            </w:pPr>
            <w:r w:rsidRPr="00FD1E66">
              <w:rPr>
                <w:rFonts w:cs="Arial"/>
                <w:color w:val="000000"/>
              </w:rPr>
              <w:t>Gamma</w:t>
            </w:r>
          </w:p>
        </w:tc>
        <w:tc>
          <w:tcPr>
            <w:tcW w:w="1694" w:type="dxa"/>
            <w:tcBorders>
              <w:top w:val="single" w:sz="4" w:space="0" w:color="auto"/>
            </w:tcBorders>
            <w:shd w:val="clear" w:color="auto" w:fill="auto"/>
            <w:noWrap/>
            <w:vAlign w:val="center"/>
            <w:hideMark/>
          </w:tcPr>
          <w:p w14:paraId="0E481FAE" w14:textId="77777777" w:rsidR="00AA7C14" w:rsidRPr="00FD1E66" w:rsidRDefault="00AA7C14" w:rsidP="00F224FA">
            <w:pPr>
              <w:spacing w:before="0"/>
              <w:jc w:val="center"/>
              <w:rPr>
                <w:rFonts w:cs="Arial"/>
                <w:color w:val="000000"/>
              </w:rPr>
            </w:pPr>
            <w:r w:rsidRPr="00FD1E66">
              <w:rPr>
                <w:rFonts w:cs="Arial"/>
                <w:color w:val="000000"/>
              </w:rPr>
              <w:t>(110,663)</w:t>
            </w:r>
          </w:p>
        </w:tc>
      </w:tr>
      <w:tr w:rsidR="00AA7C14" w:rsidRPr="00E4229C" w14:paraId="0BA5B257" w14:textId="77777777" w:rsidTr="00476DF7">
        <w:trPr>
          <w:trHeight w:val="300"/>
        </w:trPr>
        <w:tc>
          <w:tcPr>
            <w:tcW w:w="960" w:type="dxa"/>
            <w:shd w:val="clear" w:color="auto" w:fill="auto"/>
            <w:noWrap/>
            <w:vAlign w:val="center"/>
            <w:hideMark/>
          </w:tcPr>
          <w:p w14:paraId="50441530" w14:textId="77777777" w:rsidR="00AA7C14" w:rsidRPr="00FD1E66" w:rsidRDefault="00AA7C14" w:rsidP="00F224FA">
            <w:pPr>
              <w:spacing w:before="0"/>
              <w:jc w:val="center"/>
              <w:rPr>
                <w:rFonts w:cs="Arial"/>
                <w:color w:val="000000"/>
                <w:szCs w:val="20"/>
              </w:rPr>
            </w:pPr>
            <w:r w:rsidRPr="00FD1E66">
              <w:rPr>
                <w:rFonts w:cs="Arial"/>
                <w:color w:val="000000"/>
                <w:szCs w:val="20"/>
              </w:rPr>
              <w:t>2</w:t>
            </w:r>
          </w:p>
        </w:tc>
        <w:tc>
          <w:tcPr>
            <w:tcW w:w="1840" w:type="dxa"/>
            <w:shd w:val="clear" w:color="auto" w:fill="auto"/>
            <w:noWrap/>
            <w:vAlign w:val="center"/>
            <w:hideMark/>
          </w:tcPr>
          <w:p w14:paraId="5EEDA4EF" w14:textId="77777777" w:rsidR="00AA7C14" w:rsidRPr="00FD1E66" w:rsidRDefault="00AA7C14" w:rsidP="00F224FA">
            <w:pPr>
              <w:spacing w:before="0"/>
              <w:jc w:val="center"/>
              <w:rPr>
                <w:rFonts w:cs="Arial"/>
                <w:color w:val="000000"/>
              </w:rPr>
            </w:pPr>
            <w:r w:rsidRPr="00FD1E66">
              <w:rPr>
                <w:rFonts w:cs="Arial"/>
                <w:color w:val="000000"/>
              </w:rPr>
              <w:t>Negative Binomial</w:t>
            </w:r>
          </w:p>
        </w:tc>
        <w:tc>
          <w:tcPr>
            <w:tcW w:w="1694" w:type="dxa"/>
            <w:shd w:val="clear" w:color="auto" w:fill="auto"/>
            <w:noWrap/>
            <w:vAlign w:val="center"/>
            <w:hideMark/>
          </w:tcPr>
          <w:p w14:paraId="5DDD3E23" w14:textId="77777777" w:rsidR="00AA7C14" w:rsidRPr="00FD1E66" w:rsidRDefault="00AA7C14" w:rsidP="00F224FA">
            <w:pPr>
              <w:spacing w:before="0"/>
              <w:jc w:val="center"/>
              <w:rPr>
                <w:rFonts w:cs="Arial"/>
                <w:color w:val="000000"/>
              </w:rPr>
            </w:pPr>
            <w:r w:rsidRPr="00FD1E66">
              <w:rPr>
                <w:rFonts w:cs="Arial"/>
                <w:color w:val="000000"/>
              </w:rPr>
              <w:t>(110,730)</w:t>
            </w:r>
          </w:p>
        </w:tc>
      </w:tr>
      <w:tr w:rsidR="00AA7C14" w:rsidRPr="00E4229C" w14:paraId="03F6DBEB" w14:textId="77777777" w:rsidTr="00476DF7">
        <w:trPr>
          <w:trHeight w:val="300"/>
        </w:trPr>
        <w:tc>
          <w:tcPr>
            <w:tcW w:w="960" w:type="dxa"/>
            <w:shd w:val="clear" w:color="auto" w:fill="auto"/>
            <w:noWrap/>
            <w:vAlign w:val="center"/>
            <w:hideMark/>
          </w:tcPr>
          <w:p w14:paraId="6EB75D1D" w14:textId="77777777" w:rsidR="00AA7C14" w:rsidRPr="00FD1E66" w:rsidRDefault="00AA7C14" w:rsidP="00F224FA">
            <w:pPr>
              <w:spacing w:before="0"/>
              <w:jc w:val="center"/>
              <w:rPr>
                <w:rFonts w:cs="Arial"/>
                <w:color w:val="000000"/>
                <w:szCs w:val="20"/>
              </w:rPr>
            </w:pPr>
            <w:r w:rsidRPr="00FD1E66">
              <w:rPr>
                <w:rFonts w:cs="Arial"/>
                <w:color w:val="000000"/>
                <w:szCs w:val="20"/>
              </w:rPr>
              <w:t>3</w:t>
            </w:r>
          </w:p>
        </w:tc>
        <w:tc>
          <w:tcPr>
            <w:tcW w:w="1840" w:type="dxa"/>
            <w:shd w:val="clear" w:color="auto" w:fill="auto"/>
            <w:noWrap/>
            <w:vAlign w:val="center"/>
            <w:hideMark/>
          </w:tcPr>
          <w:p w14:paraId="0B7C1381" w14:textId="77777777" w:rsidR="00AA7C14" w:rsidRPr="00FD1E66" w:rsidRDefault="00AA7C14" w:rsidP="00F224FA">
            <w:pPr>
              <w:spacing w:before="0"/>
              <w:jc w:val="center"/>
              <w:rPr>
                <w:rFonts w:cs="Arial"/>
                <w:color w:val="000000"/>
              </w:rPr>
            </w:pPr>
            <w:r w:rsidRPr="00FD1E66">
              <w:rPr>
                <w:rFonts w:cs="Arial"/>
                <w:color w:val="000000"/>
              </w:rPr>
              <w:t>Log</w:t>
            </w:r>
            <w:r w:rsidR="00776E29" w:rsidRPr="00FD1E66">
              <w:rPr>
                <w:rFonts w:cs="Arial"/>
                <w:color w:val="000000"/>
              </w:rPr>
              <w:t>-</w:t>
            </w:r>
            <w:r w:rsidRPr="00FD1E66">
              <w:rPr>
                <w:rFonts w:cs="Arial"/>
                <w:color w:val="000000"/>
              </w:rPr>
              <w:t>Normal</w:t>
            </w:r>
          </w:p>
        </w:tc>
        <w:tc>
          <w:tcPr>
            <w:tcW w:w="1694" w:type="dxa"/>
            <w:shd w:val="clear" w:color="auto" w:fill="auto"/>
            <w:noWrap/>
            <w:vAlign w:val="center"/>
            <w:hideMark/>
          </w:tcPr>
          <w:p w14:paraId="3204F9FB" w14:textId="77777777" w:rsidR="00AA7C14" w:rsidRPr="00FD1E66" w:rsidRDefault="00AA7C14" w:rsidP="00F224FA">
            <w:pPr>
              <w:spacing w:before="0"/>
              <w:jc w:val="center"/>
              <w:rPr>
                <w:rFonts w:cs="Arial"/>
                <w:color w:val="000000"/>
              </w:rPr>
            </w:pPr>
            <w:r w:rsidRPr="00FD1E66">
              <w:rPr>
                <w:rFonts w:cs="Arial"/>
                <w:color w:val="000000"/>
              </w:rPr>
              <w:t>(111,110)</w:t>
            </w:r>
          </w:p>
        </w:tc>
      </w:tr>
      <w:tr w:rsidR="00AA7C14" w:rsidRPr="00E4229C" w14:paraId="388C8943" w14:textId="77777777" w:rsidTr="00476DF7">
        <w:trPr>
          <w:trHeight w:val="300"/>
        </w:trPr>
        <w:tc>
          <w:tcPr>
            <w:tcW w:w="960" w:type="dxa"/>
            <w:shd w:val="clear" w:color="auto" w:fill="auto"/>
            <w:noWrap/>
            <w:vAlign w:val="center"/>
            <w:hideMark/>
          </w:tcPr>
          <w:p w14:paraId="305F6FA8" w14:textId="77777777" w:rsidR="00AA7C14" w:rsidRPr="00FD1E66" w:rsidRDefault="00AA7C14" w:rsidP="00F224FA">
            <w:pPr>
              <w:spacing w:before="0"/>
              <w:jc w:val="center"/>
              <w:rPr>
                <w:rFonts w:cs="Arial"/>
                <w:color w:val="000000"/>
                <w:szCs w:val="20"/>
              </w:rPr>
            </w:pPr>
            <w:r w:rsidRPr="00FD1E66">
              <w:rPr>
                <w:rFonts w:cs="Arial"/>
                <w:color w:val="000000"/>
                <w:szCs w:val="20"/>
              </w:rPr>
              <w:t>4</w:t>
            </w:r>
          </w:p>
        </w:tc>
        <w:tc>
          <w:tcPr>
            <w:tcW w:w="1840" w:type="dxa"/>
            <w:shd w:val="clear" w:color="auto" w:fill="auto"/>
            <w:noWrap/>
            <w:vAlign w:val="center"/>
            <w:hideMark/>
          </w:tcPr>
          <w:p w14:paraId="584B5D17" w14:textId="77777777" w:rsidR="00AA7C14" w:rsidRPr="00FD1E66" w:rsidRDefault="00AA7C14" w:rsidP="00F224FA">
            <w:pPr>
              <w:spacing w:before="0"/>
              <w:jc w:val="center"/>
              <w:rPr>
                <w:rFonts w:cs="Arial"/>
                <w:color w:val="000000"/>
              </w:rPr>
            </w:pPr>
            <w:r w:rsidRPr="00FD1E66">
              <w:rPr>
                <w:rFonts w:cs="Arial"/>
                <w:color w:val="000000"/>
              </w:rPr>
              <w:t>Weibull</w:t>
            </w:r>
          </w:p>
        </w:tc>
        <w:tc>
          <w:tcPr>
            <w:tcW w:w="1694" w:type="dxa"/>
            <w:shd w:val="clear" w:color="auto" w:fill="auto"/>
            <w:noWrap/>
            <w:vAlign w:val="center"/>
            <w:hideMark/>
          </w:tcPr>
          <w:p w14:paraId="5E3F2C1F" w14:textId="77777777" w:rsidR="00AA7C14" w:rsidRPr="00FD1E66" w:rsidRDefault="00AA7C14" w:rsidP="00F224FA">
            <w:pPr>
              <w:spacing w:before="0"/>
              <w:jc w:val="center"/>
              <w:rPr>
                <w:rFonts w:cs="Arial"/>
                <w:color w:val="000000"/>
              </w:rPr>
            </w:pPr>
            <w:r w:rsidRPr="00FD1E66">
              <w:rPr>
                <w:rFonts w:cs="Arial"/>
                <w:color w:val="000000"/>
              </w:rPr>
              <w:t>(111,672)</w:t>
            </w:r>
          </w:p>
        </w:tc>
      </w:tr>
      <w:tr w:rsidR="00AA7C14" w:rsidRPr="00E4229C" w14:paraId="158B5CAC" w14:textId="77777777" w:rsidTr="00476DF7">
        <w:trPr>
          <w:trHeight w:val="300"/>
        </w:trPr>
        <w:tc>
          <w:tcPr>
            <w:tcW w:w="960" w:type="dxa"/>
            <w:shd w:val="clear" w:color="auto" w:fill="auto"/>
            <w:noWrap/>
            <w:vAlign w:val="center"/>
            <w:hideMark/>
          </w:tcPr>
          <w:p w14:paraId="027AADAE" w14:textId="77777777" w:rsidR="00AA7C14" w:rsidRPr="00FD1E66" w:rsidRDefault="00AA7C14" w:rsidP="00F224FA">
            <w:pPr>
              <w:spacing w:before="0"/>
              <w:jc w:val="center"/>
              <w:rPr>
                <w:rFonts w:cs="Arial"/>
                <w:color w:val="000000"/>
                <w:szCs w:val="20"/>
              </w:rPr>
            </w:pPr>
            <w:r w:rsidRPr="00FD1E66">
              <w:rPr>
                <w:rFonts w:cs="Arial"/>
                <w:color w:val="000000"/>
                <w:szCs w:val="20"/>
              </w:rPr>
              <w:t>5</w:t>
            </w:r>
          </w:p>
        </w:tc>
        <w:tc>
          <w:tcPr>
            <w:tcW w:w="1840" w:type="dxa"/>
            <w:shd w:val="clear" w:color="auto" w:fill="auto"/>
            <w:noWrap/>
            <w:vAlign w:val="center"/>
            <w:hideMark/>
          </w:tcPr>
          <w:p w14:paraId="376593A0" w14:textId="77777777" w:rsidR="00AA7C14" w:rsidRPr="00FD1E66" w:rsidRDefault="00AA7C14" w:rsidP="00F224FA">
            <w:pPr>
              <w:spacing w:before="0"/>
              <w:jc w:val="center"/>
              <w:rPr>
                <w:rFonts w:cs="Arial"/>
                <w:color w:val="000000"/>
              </w:rPr>
            </w:pPr>
            <w:r w:rsidRPr="00FD1E66">
              <w:rPr>
                <w:rFonts w:cs="Arial"/>
                <w:color w:val="000000"/>
              </w:rPr>
              <w:t>Logistic</w:t>
            </w:r>
          </w:p>
        </w:tc>
        <w:tc>
          <w:tcPr>
            <w:tcW w:w="1694" w:type="dxa"/>
            <w:shd w:val="clear" w:color="auto" w:fill="auto"/>
            <w:noWrap/>
            <w:vAlign w:val="center"/>
            <w:hideMark/>
          </w:tcPr>
          <w:p w14:paraId="4EDD296F" w14:textId="77777777" w:rsidR="00AA7C14" w:rsidRPr="00FD1E66" w:rsidRDefault="00AA7C14" w:rsidP="00F224FA">
            <w:pPr>
              <w:spacing w:before="0"/>
              <w:jc w:val="center"/>
              <w:rPr>
                <w:rFonts w:cs="Arial"/>
                <w:color w:val="000000"/>
              </w:rPr>
            </w:pPr>
            <w:r w:rsidRPr="00FD1E66">
              <w:rPr>
                <w:rFonts w:cs="Arial"/>
                <w:color w:val="000000"/>
              </w:rPr>
              <w:t>(112,527)</w:t>
            </w:r>
          </w:p>
        </w:tc>
      </w:tr>
      <w:tr w:rsidR="00AA7C14" w:rsidRPr="00E4229C" w14:paraId="67C40DD8" w14:textId="77777777" w:rsidTr="00476DF7">
        <w:trPr>
          <w:trHeight w:val="300"/>
        </w:trPr>
        <w:tc>
          <w:tcPr>
            <w:tcW w:w="960" w:type="dxa"/>
            <w:shd w:val="clear" w:color="auto" w:fill="auto"/>
            <w:noWrap/>
            <w:vAlign w:val="center"/>
            <w:hideMark/>
          </w:tcPr>
          <w:p w14:paraId="1E6EE1B1" w14:textId="77777777" w:rsidR="00AA7C14" w:rsidRPr="00FD1E66" w:rsidRDefault="00AA7C14" w:rsidP="00F224FA">
            <w:pPr>
              <w:spacing w:before="0"/>
              <w:jc w:val="center"/>
              <w:rPr>
                <w:rFonts w:cs="Arial"/>
                <w:color w:val="000000"/>
                <w:szCs w:val="20"/>
              </w:rPr>
            </w:pPr>
            <w:r w:rsidRPr="00FD1E66">
              <w:rPr>
                <w:rFonts w:cs="Arial"/>
                <w:color w:val="000000"/>
                <w:szCs w:val="20"/>
              </w:rPr>
              <w:t>6</w:t>
            </w:r>
          </w:p>
        </w:tc>
        <w:tc>
          <w:tcPr>
            <w:tcW w:w="1840" w:type="dxa"/>
            <w:shd w:val="clear" w:color="auto" w:fill="auto"/>
            <w:noWrap/>
            <w:vAlign w:val="center"/>
            <w:hideMark/>
          </w:tcPr>
          <w:p w14:paraId="1ED5076A" w14:textId="77777777" w:rsidR="00AA7C14" w:rsidRPr="00FD1E66" w:rsidRDefault="00AA7C14" w:rsidP="00F224FA">
            <w:pPr>
              <w:spacing w:before="0"/>
              <w:jc w:val="center"/>
              <w:rPr>
                <w:rFonts w:cs="Arial"/>
                <w:color w:val="000000"/>
              </w:rPr>
            </w:pPr>
            <w:r w:rsidRPr="00FD1E66">
              <w:rPr>
                <w:rFonts w:cs="Arial"/>
                <w:color w:val="000000"/>
              </w:rPr>
              <w:t>Cauchy</w:t>
            </w:r>
          </w:p>
        </w:tc>
        <w:tc>
          <w:tcPr>
            <w:tcW w:w="1694" w:type="dxa"/>
            <w:shd w:val="clear" w:color="auto" w:fill="auto"/>
            <w:noWrap/>
            <w:vAlign w:val="center"/>
            <w:hideMark/>
          </w:tcPr>
          <w:p w14:paraId="6D8A2541" w14:textId="77777777" w:rsidR="00AA7C14" w:rsidRPr="00FD1E66" w:rsidRDefault="00AA7C14" w:rsidP="00F224FA">
            <w:pPr>
              <w:spacing w:before="0"/>
              <w:jc w:val="center"/>
              <w:rPr>
                <w:rFonts w:cs="Arial"/>
                <w:color w:val="000000"/>
              </w:rPr>
            </w:pPr>
            <w:r w:rsidRPr="00FD1E66">
              <w:rPr>
                <w:rFonts w:cs="Arial"/>
                <w:color w:val="000000"/>
              </w:rPr>
              <w:t>(113,366)</w:t>
            </w:r>
          </w:p>
        </w:tc>
      </w:tr>
      <w:tr w:rsidR="00AA7C14" w:rsidRPr="00E4229C" w14:paraId="3FCEC42C" w14:textId="77777777" w:rsidTr="00476DF7">
        <w:trPr>
          <w:trHeight w:val="300"/>
        </w:trPr>
        <w:tc>
          <w:tcPr>
            <w:tcW w:w="960" w:type="dxa"/>
            <w:shd w:val="clear" w:color="auto" w:fill="auto"/>
            <w:noWrap/>
            <w:vAlign w:val="center"/>
            <w:hideMark/>
          </w:tcPr>
          <w:p w14:paraId="67541293" w14:textId="77777777" w:rsidR="00AA7C14" w:rsidRPr="00FD1E66" w:rsidRDefault="00AA7C14" w:rsidP="00F224FA">
            <w:pPr>
              <w:spacing w:before="0"/>
              <w:jc w:val="center"/>
              <w:rPr>
                <w:rFonts w:cs="Arial"/>
                <w:color w:val="000000"/>
                <w:szCs w:val="20"/>
              </w:rPr>
            </w:pPr>
            <w:r w:rsidRPr="00FD1E66">
              <w:rPr>
                <w:rFonts w:cs="Arial"/>
                <w:color w:val="000000"/>
                <w:szCs w:val="20"/>
              </w:rPr>
              <w:t>7</w:t>
            </w:r>
          </w:p>
        </w:tc>
        <w:tc>
          <w:tcPr>
            <w:tcW w:w="1840" w:type="dxa"/>
            <w:shd w:val="clear" w:color="auto" w:fill="auto"/>
            <w:noWrap/>
            <w:vAlign w:val="center"/>
            <w:hideMark/>
          </w:tcPr>
          <w:p w14:paraId="1F597BF4" w14:textId="77777777" w:rsidR="00AA7C14" w:rsidRPr="00FD1E66" w:rsidRDefault="00AA7C14" w:rsidP="00F224FA">
            <w:pPr>
              <w:spacing w:before="0"/>
              <w:jc w:val="center"/>
              <w:rPr>
                <w:rFonts w:cs="Arial"/>
                <w:color w:val="000000"/>
              </w:rPr>
            </w:pPr>
            <w:r w:rsidRPr="00FD1E66">
              <w:rPr>
                <w:rFonts w:cs="Arial"/>
                <w:color w:val="000000"/>
              </w:rPr>
              <w:t>Normal</w:t>
            </w:r>
          </w:p>
        </w:tc>
        <w:tc>
          <w:tcPr>
            <w:tcW w:w="1694" w:type="dxa"/>
            <w:shd w:val="clear" w:color="auto" w:fill="auto"/>
            <w:noWrap/>
            <w:vAlign w:val="center"/>
            <w:hideMark/>
          </w:tcPr>
          <w:p w14:paraId="46F4FE5B" w14:textId="77777777" w:rsidR="00AA7C14" w:rsidRPr="00FD1E66" w:rsidRDefault="00AA7C14" w:rsidP="00F224FA">
            <w:pPr>
              <w:spacing w:before="0"/>
              <w:jc w:val="center"/>
              <w:rPr>
                <w:rFonts w:cs="Arial"/>
                <w:color w:val="000000"/>
              </w:rPr>
            </w:pPr>
            <w:r w:rsidRPr="00FD1E66">
              <w:rPr>
                <w:rFonts w:cs="Arial"/>
                <w:color w:val="000000"/>
              </w:rPr>
              <w:t>(114,694)</w:t>
            </w:r>
          </w:p>
        </w:tc>
      </w:tr>
      <w:tr w:rsidR="00AA7C14" w:rsidRPr="00E4229C" w14:paraId="3900037C" w14:textId="77777777" w:rsidTr="00476DF7">
        <w:trPr>
          <w:trHeight w:val="300"/>
        </w:trPr>
        <w:tc>
          <w:tcPr>
            <w:tcW w:w="960" w:type="dxa"/>
            <w:shd w:val="clear" w:color="auto" w:fill="auto"/>
            <w:noWrap/>
            <w:vAlign w:val="center"/>
            <w:hideMark/>
          </w:tcPr>
          <w:p w14:paraId="7A48A106" w14:textId="77777777" w:rsidR="00AA7C14" w:rsidRPr="00FD1E66" w:rsidRDefault="00AA7C14" w:rsidP="00F224FA">
            <w:pPr>
              <w:spacing w:before="0"/>
              <w:jc w:val="center"/>
              <w:rPr>
                <w:rFonts w:cs="Arial"/>
                <w:color w:val="000000"/>
                <w:szCs w:val="20"/>
              </w:rPr>
            </w:pPr>
            <w:r w:rsidRPr="00FD1E66">
              <w:rPr>
                <w:rFonts w:cs="Arial"/>
                <w:color w:val="000000"/>
                <w:szCs w:val="20"/>
              </w:rPr>
              <w:t>8</w:t>
            </w:r>
          </w:p>
        </w:tc>
        <w:tc>
          <w:tcPr>
            <w:tcW w:w="1840" w:type="dxa"/>
            <w:shd w:val="clear" w:color="auto" w:fill="auto"/>
            <w:noWrap/>
            <w:vAlign w:val="center"/>
            <w:hideMark/>
          </w:tcPr>
          <w:p w14:paraId="4F56699A" w14:textId="77777777" w:rsidR="00AA7C14" w:rsidRPr="00FD1E66" w:rsidRDefault="00AA7C14" w:rsidP="00F224FA">
            <w:pPr>
              <w:spacing w:before="0"/>
              <w:jc w:val="center"/>
              <w:rPr>
                <w:rFonts w:cs="Arial"/>
                <w:color w:val="000000"/>
              </w:rPr>
            </w:pPr>
            <w:r w:rsidRPr="00FD1E66">
              <w:rPr>
                <w:rFonts w:cs="Arial"/>
                <w:color w:val="000000"/>
              </w:rPr>
              <w:t>Pareto</w:t>
            </w:r>
          </w:p>
        </w:tc>
        <w:tc>
          <w:tcPr>
            <w:tcW w:w="1694" w:type="dxa"/>
            <w:shd w:val="clear" w:color="auto" w:fill="auto"/>
            <w:noWrap/>
            <w:vAlign w:val="center"/>
            <w:hideMark/>
          </w:tcPr>
          <w:p w14:paraId="411E0DB1" w14:textId="77777777" w:rsidR="00AA7C14" w:rsidRPr="00FD1E66" w:rsidRDefault="00AA7C14" w:rsidP="00F224FA">
            <w:pPr>
              <w:spacing w:before="0"/>
              <w:jc w:val="center"/>
              <w:rPr>
                <w:rFonts w:cs="Arial"/>
                <w:color w:val="000000"/>
              </w:rPr>
            </w:pPr>
            <w:r w:rsidRPr="00FD1E66">
              <w:rPr>
                <w:rFonts w:cs="Arial"/>
                <w:color w:val="000000"/>
              </w:rPr>
              <w:t>(115,724)</w:t>
            </w:r>
          </w:p>
        </w:tc>
      </w:tr>
      <w:tr w:rsidR="00AA7C14" w:rsidRPr="00E4229C" w14:paraId="4E732F73" w14:textId="77777777" w:rsidTr="00476DF7">
        <w:trPr>
          <w:trHeight w:val="300"/>
        </w:trPr>
        <w:tc>
          <w:tcPr>
            <w:tcW w:w="960" w:type="dxa"/>
            <w:tcBorders>
              <w:bottom w:val="single" w:sz="4" w:space="0" w:color="auto"/>
            </w:tcBorders>
            <w:shd w:val="clear" w:color="auto" w:fill="auto"/>
            <w:noWrap/>
            <w:vAlign w:val="center"/>
            <w:hideMark/>
          </w:tcPr>
          <w:p w14:paraId="50929120" w14:textId="77777777" w:rsidR="00AA7C14" w:rsidRPr="00FD1E66" w:rsidRDefault="00AA7C14" w:rsidP="00F224FA">
            <w:pPr>
              <w:spacing w:before="0"/>
              <w:jc w:val="center"/>
              <w:rPr>
                <w:rFonts w:cs="Arial"/>
                <w:color w:val="000000"/>
                <w:szCs w:val="20"/>
              </w:rPr>
            </w:pPr>
            <w:r w:rsidRPr="00FD1E66">
              <w:rPr>
                <w:rFonts w:cs="Arial"/>
                <w:color w:val="000000"/>
                <w:szCs w:val="20"/>
              </w:rPr>
              <w:t>9</w:t>
            </w:r>
          </w:p>
        </w:tc>
        <w:tc>
          <w:tcPr>
            <w:tcW w:w="1840" w:type="dxa"/>
            <w:tcBorders>
              <w:bottom w:val="single" w:sz="4" w:space="0" w:color="auto"/>
            </w:tcBorders>
            <w:shd w:val="clear" w:color="auto" w:fill="auto"/>
            <w:noWrap/>
            <w:vAlign w:val="center"/>
            <w:hideMark/>
          </w:tcPr>
          <w:p w14:paraId="21D653BD" w14:textId="77777777" w:rsidR="00AA7C14" w:rsidRPr="00FD1E66" w:rsidRDefault="00AA7C14" w:rsidP="00F224FA">
            <w:pPr>
              <w:spacing w:before="0"/>
              <w:jc w:val="center"/>
              <w:rPr>
                <w:rFonts w:cs="Arial"/>
                <w:color w:val="000000"/>
              </w:rPr>
            </w:pPr>
            <w:r w:rsidRPr="00FD1E66">
              <w:rPr>
                <w:rFonts w:cs="Arial"/>
                <w:color w:val="000000"/>
              </w:rPr>
              <w:t>Poisson</w:t>
            </w:r>
          </w:p>
        </w:tc>
        <w:tc>
          <w:tcPr>
            <w:tcW w:w="1694" w:type="dxa"/>
            <w:tcBorders>
              <w:bottom w:val="single" w:sz="4" w:space="0" w:color="auto"/>
            </w:tcBorders>
            <w:shd w:val="clear" w:color="auto" w:fill="auto"/>
            <w:noWrap/>
            <w:vAlign w:val="center"/>
            <w:hideMark/>
          </w:tcPr>
          <w:p w14:paraId="36574EB4" w14:textId="77777777" w:rsidR="00AA7C14" w:rsidRPr="00FD1E66" w:rsidRDefault="00AA7C14" w:rsidP="00F224FA">
            <w:pPr>
              <w:spacing w:before="0"/>
              <w:jc w:val="center"/>
              <w:rPr>
                <w:rFonts w:cs="Arial"/>
                <w:color w:val="000000"/>
              </w:rPr>
            </w:pPr>
            <w:r w:rsidRPr="00FD1E66">
              <w:rPr>
                <w:rFonts w:cs="Arial"/>
                <w:color w:val="000000"/>
              </w:rPr>
              <w:t>(711,766)</w:t>
            </w:r>
          </w:p>
        </w:tc>
      </w:tr>
    </w:tbl>
    <w:p w14:paraId="33F0235F" w14:textId="77777777" w:rsidR="006F5862" w:rsidRPr="00E4229C" w:rsidRDefault="006F5862" w:rsidP="00B26DF2"/>
    <w:p w14:paraId="1E89D020" w14:textId="77777777" w:rsidR="00B26DF2" w:rsidRPr="00E4229C" w:rsidRDefault="00B26DF2" w:rsidP="00B26DF2"/>
    <w:p w14:paraId="28022295" w14:textId="77777777" w:rsidR="00B26DF2" w:rsidRPr="00E4229C" w:rsidRDefault="00B26DF2" w:rsidP="00B26DF2"/>
    <w:p w14:paraId="74F5887D" w14:textId="77777777" w:rsidR="00B26DF2" w:rsidRPr="00E4229C" w:rsidRDefault="00B26DF2" w:rsidP="00B26DF2"/>
    <w:p w14:paraId="0A8225DD" w14:textId="77777777" w:rsidR="00B26DF2" w:rsidRPr="00E4229C" w:rsidRDefault="00B26DF2" w:rsidP="00B26DF2"/>
    <w:p w14:paraId="3DF34BE7" w14:textId="77777777" w:rsidR="00B26DF2" w:rsidRPr="00E4229C" w:rsidRDefault="00B26DF2" w:rsidP="00B26DF2"/>
    <w:p w14:paraId="39B3B4BC" w14:textId="77777777" w:rsidR="00B26DF2" w:rsidRPr="00E4229C" w:rsidRDefault="00B26DF2" w:rsidP="00B26DF2"/>
    <w:p w14:paraId="3E2965A4" w14:textId="77777777" w:rsidR="000D0A66" w:rsidRPr="00E4229C" w:rsidRDefault="00390B3D" w:rsidP="00155825">
      <w:pPr>
        <w:pStyle w:val="Heading6"/>
        <w:numPr>
          <w:ilvl w:val="0"/>
          <w:numId w:val="8"/>
        </w:numPr>
        <w:rPr>
          <w:rFonts w:cs="Arial"/>
        </w:rPr>
      </w:pPr>
      <w:r w:rsidRPr="00E4229C">
        <w:rPr>
          <w:rFonts w:cs="Arial"/>
        </w:rPr>
        <w:br w:type="page"/>
      </w:r>
      <w:r w:rsidR="000D0A66" w:rsidRPr="00E4229C">
        <w:rPr>
          <w:rFonts w:cs="Arial"/>
        </w:rPr>
        <w:lastRenderedPageBreak/>
        <w:t xml:space="preserve">Discussion </w:t>
      </w:r>
    </w:p>
    <w:p w14:paraId="552D1A25" w14:textId="77777777" w:rsidR="00307FDF" w:rsidRPr="00E4229C" w:rsidRDefault="00307FDF" w:rsidP="00307FDF">
      <w:pPr>
        <w:rPr>
          <w:rFonts w:cs="Arial"/>
        </w:rPr>
      </w:pPr>
      <w:r w:rsidRPr="00E4229C">
        <w:rPr>
          <w:rFonts w:cs="Arial"/>
        </w:rPr>
        <w:t>The outcomes of policies based on small samples of water consuming households may be poor because of the highly skewed distribution</w:t>
      </w:r>
      <w:r w:rsidR="00E72712">
        <w:rPr>
          <w:rFonts w:cs="Arial"/>
        </w:rPr>
        <w:t xml:space="preserve"> of consumption</w:t>
      </w:r>
      <w:r w:rsidRPr="00E4229C">
        <w:rPr>
          <w:rFonts w:cs="Arial"/>
        </w:rPr>
        <w:t xml:space="preserve">. </w:t>
      </w:r>
      <w:r w:rsidR="00D77517">
        <w:rPr>
          <w:rFonts w:cs="Arial"/>
        </w:rPr>
        <w:t>This may occur for two reasons:</w:t>
      </w:r>
    </w:p>
    <w:p w14:paraId="3E50E7EA" w14:textId="77777777" w:rsidR="008A5A26" w:rsidRPr="00E4229C" w:rsidRDefault="003241A6" w:rsidP="000D0A66">
      <w:pPr>
        <w:rPr>
          <w:rFonts w:cs="Arial"/>
        </w:rPr>
      </w:pPr>
      <w:r w:rsidRPr="00E4229C">
        <w:rPr>
          <w:rFonts w:cs="Arial"/>
        </w:rPr>
        <w:t xml:space="preserve">Firstly, there is a high probability that the estimated mean value, for example, the volume of water </w:t>
      </w:r>
      <w:r w:rsidR="008A5A26" w:rsidRPr="00E4229C">
        <w:rPr>
          <w:rFonts w:cs="Arial"/>
        </w:rPr>
        <w:t>used for</w:t>
      </w:r>
      <w:r w:rsidRPr="00E4229C">
        <w:rPr>
          <w:rFonts w:cs="Arial"/>
        </w:rPr>
        <w:t xml:space="preserve"> toilet flushing is erroneous. The estimated mean value may be either higher or lower than the true value. The results of this work support</w:t>
      </w:r>
      <w:r w:rsidR="005E42D6">
        <w:rPr>
          <w:rFonts w:cs="Arial"/>
        </w:rPr>
        <w:t xml:space="preserve"> Mayer’s</w:t>
      </w:r>
      <w:r w:rsidRPr="00E4229C">
        <w:rPr>
          <w:rFonts w:cs="Arial"/>
        </w:rPr>
        <w:t xml:space="preserve"> apprehension of statistical generalisation from a study of 1188 households, even within the same country of study</w:t>
      </w:r>
      <w:r w:rsidR="005E42D6">
        <w:rPr>
          <w:rFonts w:cs="Arial"/>
        </w:rPr>
        <w:t xml:space="preserve"> </w:t>
      </w:r>
      <w:r w:rsidR="005E42D6">
        <w:rPr>
          <w:rFonts w:cs="Arial"/>
        </w:rPr>
        <w:fldChar w:fldCharType="begin"/>
      </w:r>
      <w:r w:rsidR="005E42D6">
        <w:rPr>
          <w:rFonts w:cs="Arial"/>
        </w:rPr>
        <w:instrText xml:space="preserve"> ADDIN EN.CITE &lt;EndNote&gt;&lt;Cite&gt;&lt;Author&gt;Mayer&lt;/Author&gt;&lt;Year&gt;1999&lt;/Year&gt;&lt;RecNum&gt;246&lt;/RecNum&gt;&lt;DisplayText&gt;(Mayer et al., 1999)&lt;/DisplayText&gt;&lt;record&gt;&lt;rec-number&gt;246&lt;/rec-number&gt;&lt;foreign-keys&gt;&lt;key app="EN" db-id="wd2xatvs5e2wadeaa53pvef6sdtsa9rwv55d" timestamp="1470709012"&gt;246&lt;/key&gt;&lt;/foreign-keys&gt;&lt;ref-type name="Report"&gt;27&lt;/ref-type&gt;&lt;contributors&gt;&lt;authors&gt;&lt;author&gt;Mayer, Peter W&lt;/author&gt;&lt;author&gt;DeOreo, William B&lt;/author&gt;&lt;author&gt;Opitz, Eva M&lt;/author&gt;&lt;author&gt;Kiefer, Jack C&lt;/author&gt;&lt;author&gt;Davis, William Y&lt;/author&gt;&lt;author&gt;Dziegielewski, Benedykt&lt;/author&gt;&lt;author&gt;Nelson, John Olaf&lt;/author&gt;&lt;/authors&gt;&lt;/contributors&gt;&lt;titles&gt;&lt;title&gt;Residential end uses of water&lt;/title&gt;&lt;/titles&gt;&lt;dates&gt;&lt;year&gt;1999&lt;/year&gt;&lt;/dates&gt;&lt;pub-location&gt;Denver, CO&lt;/pub-location&gt;&lt;publisher&gt;American Water Works Association Research Foundation&lt;/publisher&gt;&lt;urls&gt;&lt;/urls&gt;&lt;/record&gt;&lt;/Cite&gt;&lt;/EndNote&gt;</w:instrText>
      </w:r>
      <w:r w:rsidR="005E42D6">
        <w:rPr>
          <w:rFonts w:cs="Arial"/>
        </w:rPr>
        <w:fldChar w:fldCharType="separate"/>
      </w:r>
      <w:r w:rsidR="005E42D6">
        <w:rPr>
          <w:rFonts w:cs="Arial"/>
          <w:noProof/>
        </w:rPr>
        <w:t>(Mayer et al., 1999)</w:t>
      </w:r>
      <w:r w:rsidR="005E42D6">
        <w:rPr>
          <w:rFonts w:cs="Arial"/>
        </w:rPr>
        <w:fldChar w:fldCharType="end"/>
      </w:r>
      <w:r w:rsidRPr="00E4229C">
        <w:rPr>
          <w:rFonts w:cs="Arial"/>
        </w:rPr>
        <w:t xml:space="preserve">. </w:t>
      </w:r>
      <w:r w:rsidR="000B6792" w:rsidRPr="00E4229C">
        <w:rPr>
          <w:rFonts w:cs="Arial"/>
        </w:rPr>
        <w:t xml:space="preserve">The 95% confidence interval estimates of the mean, for samples of less than </w:t>
      </w:r>
      <w:r w:rsidR="00624D44">
        <w:rPr>
          <w:rFonts w:cs="Arial"/>
        </w:rPr>
        <w:t>500</w:t>
      </w:r>
      <w:r w:rsidR="000B6792" w:rsidRPr="00E4229C">
        <w:rPr>
          <w:rFonts w:cs="Arial"/>
        </w:rPr>
        <w:t xml:space="preserve"> households, were found to be inaccurate (</w:t>
      </w:r>
      <w:r w:rsidR="000B6792" w:rsidRPr="00624D44">
        <w:rPr>
          <w:rFonts w:cs="Arial"/>
        </w:rPr>
        <w:t>Figure</w:t>
      </w:r>
      <w:r w:rsidR="000B6792" w:rsidRPr="00E4229C">
        <w:rPr>
          <w:rFonts w:cs="Arial"/>
        </w:rPr>
        <w:t xml:space="preserve"> 4).</w:t>
      </w:r>
      <w:r w:rsidR="008A5A26" w:rsidRPr="00E4229C">
        <w:rPr>
          <w:rFonts w:cs="Arial"/>
        </w:rPr>
        <w:t xml:space="preserve"> </w:t>
      </w:r>
      <w:r w:rsidR="00624D44">
        <w:rPr>
          <w:rFonts w:cs="Arial"/>
        </w:rPr>
        <w:t>Where the mean values of multiple end-uses are estimated, samples sizes must be many thousands of households. The exact sample size will depend on the number of end-uses analysed</w:t>
      </w:r>
      <w:r w:rsidR="00781CDC">
        <w:rPr>
          <w:rFonts w:cs="Arial"/>
        </w:rPr>
        <w:t xml:space="preserve"> and should be considered along with other sampling criteria </w:t>
      </w:r>
      <w:r w:rsidR="00781CDC">
        <w:rPr>
          <w:rFonts w:cs="Arial"/>
        </w:rPr>
        <w:fldChar w:fldCharType="begin"/>
      </w:r>
      <w:r w:rsidR="00781CDC">
        <w:rPr>
          <w:rFonts w:cs="Arial"/>
        </w:rPr>
        <w:instrText xml:space="preserve"> ADDIN EN.CITE &lt;EndNote&gt;&lt;Cite&gt;&lt;Author&gt;Cordell&lt;/Author&gt;&lt;Year&gt;2003&lt;/Year&gt;&lt;RecNum&gt;279&lt;/RecNum&gt;&lt;DisplayText&gt;(Cordell et al., 2003)&lt;/DisplayText&gt;&lt;record&gt;&lt;rec-number&gt;279&lt;/rec-number&gt;&lt;foreign-keys&gt;&lt;key app="EN" db-id="wd2xatvs5e2wadeaa53pvef6sdtsa9rwv55d" timestamp="1501045744"&gt;279&lt;/key&gt;&lt;/foreign-keys&gt;&lt;ref-type name="Journal Article"&gt;17&lt;/ref-type&gt;&lt;contributors&gt;&lt;authors&gt;&lt;author&gt;Cordell, D&lt;/author&gt;&lt;author&gt;Robinson, J&lt;/author&gt;&lt;author&gt;Loh, M&lt;/author&gt;&lt;/authors&gt;&lt;/contributors&gt;&lt;titles&gt;&lt;title&gt;Collecting residential end use data from primary sources: Do’s and don’ts&lt;/title&gt;&lt;secondary-title&gt;Institute For Sustainable Futures, University of Technology, Sydney&lt;/secondary-title&gt;&lt;/titles&gt;&lt;periodical&gt;&lt;full-title&gt;Institute For Sustainable Futures, University of Technology, Sydney&lt;/full-title&gt;&lt;/periodical&gt;&lt;dates&gt;&lt;year&gt;2003&lt;/year&gt;&lt;/dates&gt;&lt;urls&gt;&lt;/urls&gt;&lt;/record&gt;&lt;/Cite&gt;&lt;/EndNote&gt;</w:instrText>
      </w:r>
      <w:r w:rsidR="00781CDC">
        <w:rPr>
          <w:rFonts w:cs="Arial"/>
        </w:rPr>
        <w:fldChar w:fldCharType="separate"/>
      </w:r>
      <w:r w:rsidR="00781CDC">
        <w:rPr>
          <w:rFonts w:cs="Arial"/>
          <w:noProof/>
        </w:rPr>
        <w:t>(Cordell et al., 2003)</w:t>
      </w:r>
      <w:r w:rsidR="00781CDC">
        <w:rPr>
          <w:rFonts w:cs="Arial"/>
        </w:rPr>
        <w:fldChar w:fldCharType="end"/>
      </w:r>
      <w:r w:rsidR="00624D44">
        <w:rPr>
          <w:rFonts w:cs="Arial"/>
        </w:rPr>
        <w:t xml:space="preserve">. </w:t>
      </w:r>
      <w:r w:rsidR="007C5C70" w:rsidRPr="00E4229C">
        <w:rPr>
          <w:rFonts w:cs="Arial"/>
        </w:rPr>
        <w:t>Th</w:t>
      </w:r>
      <w:r w:rsidR="00320CD3">
        <w:rPr>
          <w:rFonts w:cs="Arial"/>
        </w:rPr>
        <w:t xml:space="preserve">e present paper </w:t>
      </w:r>
      <w:r w:rsidRPr="00E4229C">
        <w:rPr>
          <w:rFonts w:cs="Arial"/>
        </w:rPr>
        <w:t>suggest</w:t>
      </w:r>
      <w:r w:rsidR="00320CD3">
        <w:rPr>
          <w:rFonts w:cs="Arial"/>
        </w:rPr>
        <w:t>s</w:t>
      </w:r>
      <w:r w:rsidRPr="00E4229C">
        <w:rPr>
          <w:rFonts w:cs="Arial"/>
        </w:rPr>
        <w:t xml:space="preserve"> that the standard errors in other studies</w:t>
      </w:r>
      <w:r w:rsidR="00800E41">
        <w:rPr>
          <w:rFonts w:cs="Arial"/>
        </w:rPr>
        <w:t xml:space="preserve"> </w:t>
      </w:r>
      <w:r w:rsidRPr="00E4229C">
        <w:rPr>
          <w:rFonts w:cs="Arial"/>
        </w:rPr>
        <w:t>are underestimated because the extreme variation in water consumption was not accounted for in their statistical analysis</w:t>
      </w:r>
      <w:r w:rsidR="00800E41">
        <w:rPr>
          <w:rFonts w:cs="Arial"/>
        </w:rPr>
        <w:t xml:space="preserve"> </w:t>
      </w:r>
      <w:r w:rsidR="00800E41">
        <w:rPr>
          <w:rFonts w:cs="Arial"/>
        </w:rPr>
        <w:fldChar w:fldCharType="begin"/>
      </w:r>
      <w:r w:rsidR="00800E41">
        <w:rPr>
          <w:rFonts w:cs="Arial"/>
        </w:rPr>
        <w:instrText xml:space="preserve"> ADDIN EN.CITE &lt;EndNote&gt;&lt;Cite&gt;&lt;Author&gt;Beal&lt;/Author&gt;&lt;Year&gt;2011&lt;/Year&gt;&lt;RecNum&gt;257&lt;/RecNum&gt;&lt;DisplayText&gt;(Beal et al., 2011, Loh and Coghlan, 2003)&lt;/DisplayText&gt;&lt;record&gt;&lt;rec-number&gt;257&lt;/rec-number&gt;&lt;foreign-keys&gt;&lt;key app="EN" db-id="wd2xatvs5e2wadeaa53pvef6sdtsa9rwv55d" timestamp="1499403337"&gt;257&lt;/key&gt;&lt;/foreign-keys&gt;&lt;ref-type name="Book"&gt;6&lt;/ref-type&gt;&lt;contributors&gt;&lt;authors&gt;&lt;author&gt;Beal, Cara&lt;/author&gt;&lt;author&gt;Stewart, Rodney&lt;/author&gt;&lt;author&gt;Huang, T&lt;/author&gt;&lt;author&gt;Rey, E&lt;/author&gt;&lt;/authors&gt;&lt;/contributors&gt;&lt;titles&gt;&lt;title&gt;South east queensland residential end use study&lt;/title&gt;&lt;/titles&gt;&lt;dates&gt;&lt;year&gt;2011&lt;/year&gt;&lt;/dates&gt;&lt;publisher&gt;Urban Water Security Research Alliance Brisbane, Australia&lt;/publisher&gt;&lt;urls&gt;&lt;/urls&gt;&lt;/record&gt;&lt;/Cite&gt;&lt;Cite&gt;&lt;Author&gt;Loh&lt;/Author&gt;&lt;Year&gt;2003&lt;/Year&gt;&lt;RecNum&gt;262&lt;/RecNum&gt;&lt;record&gt;&lt;rec-number&gt;262&lt;/rec-number&gt;&lt;foreign-keys&gt;&lt;key app="EN" db-id="wd2xatvs5e2wadeaa53pvef6sdtsa9rwv55d" timestamp="1499412981"&gt;262&lt;/key&gt;&lt;/foreign-keys&gt;&lt;ref-type name="Book"&gt;6&lt;/ref-type&gt;&lt;contributors&gt;&lt;authors&gt;&lt;author&gt;Loh, Michael&lt;/author&gt;&lt;author&gt;Coghlan, Peter&lt;/author&gt;&lt;/authors&gt;&lt;/contributors&gt;&lt;titles&gt;&lt;title&gt;Domestic water use study in Perth, Western Australia, 1998-2001&lt;/title&gt;&lt;/titles&gt;&lt;dates&gt;&lt;year&gt;2003&lt;/year&gt;&lt;/dates&gt;&lt;publisher&gt;Water Corporation Perth&lt;/publisher&gt;&lt;isbn&gt;1740431235&lt;/isbn&gt;&lt;urls&gt;&lt;/urls&gt;&lt;/record&gt;&lt;/Cite&gt;&lt;/EndNote&gt;</w:instrText>
      </w:r>
      <w:r w:rsidR="00800E41">
        <w:rPr>
          <w:rFonts w:cs="Arial"/>
        </w:rPr>
        <w:fldChar w:fldCharType="separate"/>
      </w:r>
      <w:r w:rsidR="00800E41">
        <w:rPr>
          <w:rFonts w:cs="Arial"/>
          <w:noProof/>
        </w:rPr>
        <w:t>(Beal et al., 2011, Loh and Coghlan, 2003)</w:t>
      </w:r>
      <w:r w:rsidR="00800E41">
        <w:rPr>
          <w:rFonts w:cs="Arial"/>
        </w:rPr>
        <w:fldChar w:fldCharType="end"/>
      </w:r>
      <w:r w:rsidRPr="00E4229C">
        <w:rPr>
          <w:rFonts w:cs="Arial"/>
        </w:rPr>
        <w:t>.</w:t>
      </w:r>
      <w:r w:rsidR="008A5A26" w:rsidRPr="00E4229C">
        <w:rPr>
          <w:rFonts w:cs="Arial"/>
        </w:rPr>
        <w:t xml:space="preserve"> </w:t>
      </w:r>
      <w:r w:rsidR="00800E41">
        <w:rPr>
          <w:rFonts w:cs="Arial"/>
        </w:rPr>
        <w:fldChar w:fldCharType="begin"/>
      </w:r>
      <w:r w:rsidR="00800E41">
        <w:rPr>
          <w:rFonts w:cs="Arial"/>
        </w:rPr>
        <w:instrText xml:space="preserve"> ADDIN EN.CITE &lt;EndNote&gt;&lt;Cite AuthorYear="1"&gt;&lt;Author&gt;Heinrich&lt;/Author&gt;&lt;Year&gt;2007&lt;/Year&gt;&lt;RecNum&gt;261&lt;/RecNum&gt;&lt;DisplayText&gt;Heinrich (2007)&lt;/DisplayText&gt;&lt;record&gt;&lt;rec-number&gt;261&lt;/rec-number&gt;&lt;foreign-keys&gt;&lt;key app="EN" db-id="wd2xatvs5e2wadeaa53pvef6sdtsa9rwv55d" timestamp="1499412240"&gt;261&lt;/key&gt;&lt;/foreign-keys&gt;&lt;ref-type name="Journal Article"&gt;17&lt;/ref-type&gt;&lt;contributors&gt;&lt;authors&gt;&lt;author&gt;Heinrich, M&lt;/author&gt;&lt;/authors&gt;&lt;/contributors&gt;&lt;titles&gt;&lt;title&gt;Water end use and efficiency project (WEEP)–final report, BRANZ study report 159&lt;/title&gt;&lt;secondary-title&gt;Branz, Judgeford, New Zealand&lt;/secondary-title&gt;&lt;/titles&gt;&lt;periodical&gt;&lt;full-title&gt;Branz, Judgeford, New Zealand&lt;/full-title&gt;&lt;/periodical&gt;&lt;dates&gt;&lt;year&gt;2007&lt;/year&gt;&lt;/dates&gt;&lt;urls&gt;&lt;/urls&gt;&lt;/record&gt;&lt;/Cite&gt;&lt;/EndNote&gt;</w:instrText>
      </w:r>
      <w:r w:rsidR="00800E41">
        <w:rPr>
          <w:rFonts w:cs="Arial"/>
        </w:rPr>
        <w:fldChar w:fldCharType="separate"/>
      </w:r>
      <w:r w:rsidR="00800E41">
        <w:rPr>
          <w:rFonts w:cs="Arial"/>
          <w:noProof/>
        </w:rPr>
        <w:t>Heinrich (2007)</w:t>
      </w:r>
      <w:r w:rsidR="00800E41">
        <w:rPr>
          <w:rFonts w:cs="Arial"/>
        </w:rPr>
        <w:fldChar w:fldCharType="end"/>
      </w:r>
      <w:r w:rsidR="00800E41">
        <w:rPr>
          <w:rFonts w:cs="Arial"/>
        </w:rPr>
        <w:t xml:space="preserve"> suggested that a sample of 600 would be required for a 95% confidence interval in the mean for shower length, but relaxed this requirement because of the cost of collection was too high and so proceeded with a sample of only 100</w:t>
      </w:r>
      <w:r w:rsidR="00781CDC">
        <w:rPr>
          <w:rFonts w:cs="Arial"/>
        </w:rPr>
        <w:t xml:space="preserve"> dwellings</w:t>
      </w:r>
      <w:r w:rsidR="00800E41">
        <w:rPr>
          <w:rFonts w:cs="Arial"/>
        </w:rPr>
        <w:t xml:space="preserve"> </w:t>
      </w:r>
      <w:r w:rsidR="00800E41">
        <w:rPr>
          <w:rFonts w:cs="Arial"/>
        </w:rPr>
        <w:fldChar w:fldCharType="begin"/>
      </w:r>
      <w:r w:rsidR="00800E41">
        <w:rPr>
          <w:rFonts w:cs="Arial"/>
        </w:rPr>
        <w:instrText xml:space="preserve"> ADDIN EN.CITE &lt;EndNote&gt;&lt;Cite&gt;&lt;Author&gt;Heinrich&lt;/Author&gt;&lt;Year&gt;2007&lt;/Year&gt;&lt;RecNum&gt;261&lt;/RecNum&gt;&lt;Suffix&gt; p.9&lt;/Suffix&gt;&lt;DisplayText&gt;(Heinrich, 2007 p.9)&lt;/DisplayText&gt;&lt;record&gt;&lt;rec-number&gt;261&lt;/rec-number&gt;&lt;foreign-keys&gt;&lt;key app="EN" db-id="wd2xatvs5e2wadeaa53pvef6sdtsa9rwv55d" timestamp="1499412240"&gt;261&lt;/key&gt;&lt;/foreign-keys&gt;&lt;ref-type name="Journal Article"&gt;17&lt;/ref-type&gt;&lt;contributors&gt;&lt;authors&gt;&lt;author&gt;Heinrich, M&lt;/author&gt;&lt;/authors&gt;&lt;/contributors&gt;&lt;titles&gt;&lt;title&gt;Water end use and efficiency project (WEEP)–final report, BRANZ study report 159&lt;/title&gt;&lt;secondary-title&gt;Branz, Judgeford, New Zealand&lt;/secondary-title&gt;&lt;/titles&gt;&lt;periodical&gt;&lt;full-title&gt;Branz, Judgeford, New Zealand&lt;/full-title&gt;&lt;/periodical&gt;&lt;dates&gt;&lt;year&gt;2007&lt;/year&gt;&lt;/dates&gt;&lt;urls&gt;&lt;/urls&gt;&lt;/record&gt;&lt;/Cite&gt;&lt;/EndNote&gt;</w:instrText>
      </w:r>
      <w:r w:rsidR="00800E41">
        <w:rPr>
          <w:rFonts w:cs="Arial"/>
        </w:rPr>
        <w:fldChar w:fldCharType="separate"/>
      </w:r>
      <w:r w:rsidR="00800E41">
        <w:rPr>
          <w:rFonts w:cs="Arial"/>
          <w:noProof/>
        </w:rPr>
        <w:t>(Heinrich, 2007 p.9)</w:t>
      </w:r>
      <w:r w:rsidR="00800E41">
        <w:rPr>
          <w:rFonts w:cs="Arial"/>
        </w:rPr>
        <w:fldChar w:fldCharType="end"/>
      </w:r>
      <w:r w:rsidR="00800E41">
        <w:rPr>
          <w:rFonts w:cs="Arial"/>
        </w:rPr>
        <w:t xml:space="preserve">. </w:t>
      </w:r>
      <w:r w:rsidR="000B6792" w:rsidRPr="00E4229C">
        <w:rPr>
          <w:rFonts w:cs="Arial"/>
        </w:rPr>
        <w:t xml:space="preserve">Confidence interval estimates are typically derived by comparison with a normal distribution e.g. using a t-test. However, as shown in this work, the distribution in water consumption not normally distributed. </w:t>
      </w:r>
      <w:r w:rsidR="008A5A26" w:rsidRPr="00E4229C">
        <w:rPr>
          <w:rFonts w:cs="Arial"/>
        </w:rPr>
        <w:t>Indeed, t</w:t>
      </w:r>
      <w:r w:rsidR="000B6792" w:rsidRPr="00E4229C">
        <w:rPr>
          <w:rFonts w:cs="Arial"/>
        </w:rPr>
        <w:t>he best parameterisation of the data was the ‘Gamma’ distribution.</w:t>
      </w:r>
      <w:r w:rsidR="008A5A26" w:rsidRPr="00E4229C">
        <w:rPr>
          <w:rFonts w:cs="Arial"/>
        </w:rPr>
        <w:t xml:space="preserve"> </w:t>
      </w:r>
      <w:r w:rsidR="0027664D">
        <w:rPr>
          <w:rFonts w:cs="Arial"/>
        </w:rPr>
        <w:t>T</w:t>
      </w:r>
      <w:r w:rsidR="0027664D" w:rsidRPr="0027664D">
        <w:rPr>
          <w:rFonts w:cs="Arial"/>
        </w:rPr>
        <w:t xml:space="preserve">his work questions the ability to accurately evaluate policies </w:t>
      </w:r>
      <w:r w:rsidR="008A5A26" w:rsidRPr="0027664D">
        <w:rPr>
          <w:rFonts w:cs="Arial"/>
        </w:rPr>
        <w:t>based on estimated mean</w:t>
      </w:r>
      <w:r w:rsidR="0027664D" w:rsidRPr="0027664D">
        <w:rPr>
          <w:rFonts w:cs="Arial"/>
        </w:rPr>
        <w:t>s of small samples</w:t>
      </w:r>
      <w:r w:rsidR="008A5A26" w:rsidRPr="0027664D">
        <w:rPr>
          <w:rFonts w:cs="Arial"/>
        </w:rPr>
        <w:t>.</w:t>
      </w:r>
    </w:p>
    <w:p w14:paraId="40DDDA1E" w14:textId="77777777" w:rsidR="00477968" w:rsidRDefault="003241A6" w:rsidP="0027664D">
      <w:pPr>
        <w:rPr>
          <w:rFonts w:cs="Arial"/>
        </w:rPr>
      </w:pPr>
      <w:r w:rsidRPr="00E4229C">
        <w:rPr>
          <w:rFonts w:cs="Arial"/>
        </w:rPr>
        <w:t>Secondly</w:t>
      </w:r>
      <w:r w:rsidR="00307FDF" w:rsidRPr="00E4229C">
        <w:rPr>
          <w:rFonts w:cs="Arial"/>
        </w:rPr>
        <w:t>, the frequency of extremely high water consuming households will be under-estimated</w:t>
      </w:r>
      <w:r w:rsidR="008A5A26" w:rsidRPr="00E4229C">
        <w:rPr>
          <w:rFonts w:cs="Arial"/>
        </w:rPr>
        <w:t xml:space="preserve"> in small samples</w:t>
      </w:r>
      <w:r w:rsidR="00307FDF" w:rsidRPr="00E4229C">
        <w:rPr>
          <w:rFonts w:cs="Arial"/>
        </w:rPr>
        <w:t xml:space="preserve">. </w:t>
      </w:r>
      <w:r w:rsidR="00C76A81" w:rsidRPr="00E4229C">
        <w:rPr>
          <w:rFonts w:cs="Arial"/>
        </w:rPr>
        <w:t xml:space="preserve">It is important to understand these high users of water to evaluate the social equality of particular policies. It may be that those who use the highest </w:t>
      </w:r>
      <w:r w:rsidR="00624D44">
        <w:rPr>
          <w:rFonts w:cs="Arial"/>
        </w:rPr>
        <w:t>volumes</w:t>
      </w:r>
      <w:r w:rsidR="00C76A81" w:rsidRPr="00E4229C">
        <w:rPr>
          <w:rFonts w:cs="Arial"/>
        </w:rPr>
        <w:t xml:space="preserve"> of</w:t>
      </w:r>
      <w:r w:rsidR="00D12D1A">
        <w:rPr>
          <w:rFonts w:cs="Arial"/>
        </w:rPr>
        <w:t xml:space="preserve"> water do so because they are in</w:t>
      </w:r>
      <w:r w:rsidR="00C76A81" w:rsidRPr="00E4229C">
        <w:rPr>
          <w:rFonts w:cs="Arial"/>
        </w:rPr>
        <w:t xml:space="preserve"> a situation of multiple disadvantage. </w:t>
      </w:r>
      <w:r w:rsidRPr="00E4229C">
        <w:rPr>
          <w:rFonts w:cs="Arial"/>
        </w:rPr>
        <w:t xml:space="preserve">For example, they may use high volumes of water for medical purposes. Most current water policies use financial penalties to limit water use despite little evidence that </w:t>
      </w:r>
      <w:r w:rsidR="008A5A26" w:rsidRPr="00E4229C">
        <w:rPr>
          <w:rFonts w:cs="Arial"/>
        </w:rPr>
        <w:t>such policies</w:t>
      </w:r>
      <w:r w:rsidRPr="00E4229C">
        <w:rPr>
          <w:rFonts w:cs="Arial"/>
        </w:rPr>
        <w:t xml:space="preserve"> are effective </w:t>
      </w:r>
      <w:r w:rsidR="005E42D6">
        <w:rPr>
          <w:rFonts w:cs="Arial"/>
        </w:rPr>
        <w:fldChar w:fldCharType="begin"/>
      </w:r>
      <w:r w:rsidR="005E42D6">
        <w:rPr>
          <w:rFonts w:cs="Arial"/>
        </w:rPr>
        <w:instrText xml:space="preserve"> ADDIN EN.CITE &lt;EndNote&gt;&lt;Cite&gt;&lt;Author&gt;Hoffmann&lt;/Author&gt;&lt;Year&gt;2006&lt;/Year&gt;&lt;RecNum&gt;247&lt;/RecNum&gt;&lt;DisplayText&gt;(Hoffmann et al., 2006)&lt;/DisplayText&gt;&lt;record&gt;&lt;rec-number&gt;247&lt;/rec-number&gt;&lt;foreign-keys&gt;&lt;key app="EN" db-id="wd2xatvs5e2wadeaa53pvef6sdtsa9rwv55d" timestamp="1470709898"&gt;247&lt;/key&gt;&lt;/foreign-keys&gt;&lt;ref-type name="Journal Article"&gt;17&lt;/ref-type&gt;&lt;contributors&gt;&lt;authors&gt;&lt;author&gt;Hoffmann, Mark&lt;/author&gt;&lt;author&gt;Worthington, Andrew&lt;/author&gt;&lt;author&gt;Higgs, Helen&lt;/author&gt;&lt;/authors&gt;&lt;/contributors&gt;&lt;titles&gt;&lt;title&gt;Urban water demand with fixed volumetric charging in a large municipality: the case of Brisbane, Australia&lt;/title&gt;&lt;secondary-title&gt;Australian Journal of Agricultural and Resource Economics&lt;/secondary-title&gt;&lt;/titles&gt;&lt;periodical&gt;&lt;full-title&gt;Australian Journal of Agricultural and Resource Economics&lt;/full-title&gt;&lt;/periodical&gt;&lt;pages&gt;347-359&lt;/pages&gt;&lt;volume&gt;50&lt;/volume&gt;&lt;number&gt;3&lt;/number&gt;&lt;dates&gt;&lt;year&gt;2006&lt;/year&gt;&lt;/dates&gt;&lt;isbn&gt;1467-8489&lt;/isbn&gt;&lt;urls&gt;&lt;/urls&gt;&lt;/record&gt;&lt;/Cite&gt;&lt;/EndNote&gt;</w:instrText>
      </w:r>
      <w:r w:rsidR="005E42D6">
        <w:rPr>
          <w:rFonts w:cs="Arial"/>
        </w:rPr>
        <w:fldChar w:fldCharType="separate"/>
      </w:r>
      <w:r w:rsidR="005E42D6">
        <w:rPr>
          <w:rFonts w:cs="Arial"/>
          <w:noProof/>
        </w:rPr>
        <w:t>(Hoffmann et al., 2006)</w:t>
      </w:r>
      <w:r w:rsidR="005E42D6">
        <w:rPr>
          <w:rFonts w:cs="Arial"/>
        </w:rPr>
        <w:fldChar w:fldCharType="end"/>
      </w:r>
      <w:r w:rsidRPr="00E4229C">
        <w:rPr>
          <w:rFonts w:cs="Arial"/>
        </w:rPr>
        <w:t>. The equity of these policies is poorly tested</w:t>
      </w:r>
      <w:r w:rsidRPr="0027664D">
        <w:rPr>
          <w:rFonts w:cs="Arial"/>
        </w:rPr>
        <w:t xml:space="preserve">. </w:t>
      </w:r>
      <w:r w:rsidR="00307FDF" w:rsidRPr="0027664D">
        <w:rPr>
          <w:rFonts w:cs="Arial"/>
        </w:rPr>
        <w:t>Policies that aim to influence water consumption can only ensure equitable outcomes where determinants of water c</w:t>
      </w:r>
      <w:r w:rsidRPr="0027664D">
        <w:rPr>
          <w:rFonts w:cs="Arial"/>
        </w:rPr>
        <w:t>onsumption are well understood.</w:t>
      </w:r>
      <w:r w:rsidR="008A5A26" w:rsidRPr="00E4229C">
        <w:rPr>
          <w:rFonts w:cs="Arial"/>
        </w:rPr>
        <w:t xml:space="preserve"> </w:t>
      </w:r>
      <w:r w:rsidR="00800E41">
        <w:rPr>
          <w:rFonts w:cs="Arial"/>
        </w:rPr>
        <w:fldChar w:fldCharType="begin"/>
      </w:r>
      <w:r w:rsidR="00800E41">
        <w:rPr>
          <w:rFonts w:cs="Arial"/>
        </w:rPr>
        <w:instrText xml:space="preserve"> ADDIN EN.CITE &lt;EndNote&gt;&lt;Cite AuthorYear="1"&gt;&lt;Author&gt;Heinrich&lt;/Author&gt;&lt;Year&gt;2007&lt;/Year&gt;&lt;RecNum&gt;261&lt;/RecNum&gt;&lt;DisplayText&gt;Heinrich (2007)&lt;/DisplayText&gt;&lt;record&gt;&lt;rec-number&gt;261&lt;/rec-number&gt;&lt;foreign-keys&gt;&lt;key app="EN" db-id="wd2xatvs5e2wadeaa53pvef6sdtsa9rwv55d" timestamp="1499412240"&gt;261&lt;/key&gt;&lt;/foreign-keys&gt;&lt;ref-type name="Journal Article"&gt;17&lt;/ref-type&gt;&lt;contributors&gt;&lt;authors&gt;&lt;author&gt;Heinrich, M&lt;/author&gt;&lt;/authors&gt;&lt;/contributors&gt;&lt;titles&gt;&lt;title&gt;Water end use and efficiency project (WEEP)–final report, BRANZ study report 159&lt;/title&gt;&lt;secondary-title&gt;Branz, Judgeford, New Zealand&lt;/secondary-title&gt;&lt;/titles&gt;&lt;periodical&gt;&lt;full-title&gt;Branz, Judgeford, New Zealand&lt;/full-title&gt;&lt;/periodical&gt;&lt;dates&gt;&lt;year&gt;2007&lt;/year&gt;&lt;/dates&gt;&lt;urls&gt;&lt;/urls&gt;&lt;/record&gt;&lt;/Cite&gt;&lt;/EndNote&gt;</w:instrText>
      </w:r>
      <w:r w:rsidR="00800E41">
        <w:rPr>
          <w:rFonts w:cs="Arial"/>
        </w:rPr>
        <w:fldChar w:fldCharType="separate"/>
      </w:r>
      <w:r w:rsidR="00800E41">
        <w:rPr>
          <w:rFonts w:cs="Arial"/>
          <w:noProof/>
        </w:rPr>
        <w:t>Heinrich (2007)</w:t>
      </w:r>
      <w:r w:rsidR="00800E41">
        <w:rPr>
          <w:rFonts w:cs="Arial"/>
        </w:rPr>
        <w:fldChar w:fldCharType="end"/>
      </w:r>
      <w:r w:rsidR="00800E41">
        <w:rPr>
          <w:rFonts w:cs="Arial"/>
        </w:rPr>
        <w:t xml:space="preserve">, </w:t>
      </w:r>
      <w:r w:rsidR="00800E41">
        <w:rPr>
          <w:rFonts w:cs="Arial"/>
        </w:rPr>
        <w:fldChar w:fldCharType="begin"/>
      </w:r>
      <w:r w:rsidR="00800E41">
        <w:rPr>
          <w:rFonts w:cs="Arial"/>
        </w:rPr>
        <w:instrText xml:space="preserve"> ADDIN EN.CITE &lt;EndNote&gt;&lt;Cite AuthorYear="1"&gt;&lt;Author&gt;Loh&lt;/Author&gt;&lt;Year&gt;2003&lt;/Year&gt;&lt;RecNum&gt;262&lt;/RecNum&gt;&lt;DisplayText&gt;Loh and Coghlan (2003)&lt;/DisplayText&gt;&lt;record&gt;&lt;rec-number&gt;262&lt;/rec-number&gt;&lt;foreign-keys&gt;&lt;key app="EN" db-id="wd2xatvs5e2wadeaa53pvef6sdtsa9rwv55d" timestamp="1499412981"&gt;262&lt;/key&gt;&lt;/foreign-keys&gt;&lt;ref-type name="Book"&gt;6&lt;/ref-type&gt;&lt;contributors&gt;&lt;authors&gt;&lt;author&gt;Loh, Michael&lt;/author&gt;&lt;author&gt;Coghlan, Peter&lt;/author&gt;&lt;/authors&gt;&lt;/contributors&gt;&lt;titles&gt;&lt;title&gt;Domestic water use study in Perth, Western Australia, 1998-2001&lt;/title&gt;&lt;/titles&gt;&lt;dates&gt;&lt;year&gt;2003&lt;/year&gt;&lt;/dates&gt;&lt;publisher&gt;Water Corporation Perth&lt;/publisher&gt;&lt;isbn&gt;1740431235&lt;/isbn&gt;&lt;urls&gt;&lt;/urls&gt;&lt;/record&gt;&lt;/Cite&gt;&lt;/EndNote&gt;</w:instrText>
      </w:r>
      <w:r w:rsidR="00800E41">
        <w:rPr>
          <w:rFonts w:cs="Arial"/>
        </w:rPr>
        <w:fldChar w:fldCharType="separate"/>
      </w:r>
      <w:r w:rsidR="00800E41">
        <w:rPr>
          <w:rFonts w:cs="Arial"/>
          <w:noProof/>
        </w:rPr>
        <w:t>Loh and Coghlan (2003)</w:t>
      </w:r>
      <w:r w:rsidR="00800E41">
        <w:rPr>
          <w:rFonts w:cs="Arial"/>
        </w:rPr>
        <w:fldChar w:fldCharType="end"/>
      </w:r>
      <w:r w:rsidR="00800E41">
        <w:rPr>
          <w:rFonts w:cs="Arial"/>
        </w:rPr>
        <w:t xml:space="preserve"> and </w:t>
      </w:r>
      <w:r w:rsidR="00800E41">
        <w:rPr>
          <w:rFonts w:cs="Arial"/>
        </w:rPr>
        <w:fldChar w:fldCharType="begin"/>
      </w:r>
      <w:r w:rsidR="00800E41">
        <w:rPr>
          <w:rFonts w:cs="Arial"/>
        </w:rPr>
        <w:instrText xml:space="preserve"> ADDIN EN.CITE &lt;EndNote&gt;&lt;Cite AuthorYear="1"&gt;&lt;Author&gt;Beal&lt;/Author&gt;&lt;Year&gt;2011&lt;/Year&gt;&lt;RecNum&gt;257&lt;/RecNum&gt;&lt;DisplayText&gt;Beal et al. (2011)&lt;/DisplayText&gt;&lt;record&gt;&lt;rec-number&gt;257&lt;/rec-number&gt;&lt;foreign-keys&gt;&lt;key app="EN" db-id="wd2xatvs5e2wadeaa53pvef6sdtsa9rwv55d" timestamp="1499403337"&gt;257&lt;/key&gt;&lt;/foreign-keys&gt;&lt;ref-type name="Book"&gt;6&lt;/ref-type&gt;&lt;contributors&gt;&lt;authors&gt;&lt;author&gt;Beal, Cara&lt;/author&gt;&lt;author&gt;Stewart, Rodney&lt;/author&gt;&lt;author&gt;Huang, T&lt;/author&gt;&lt;author&gt;Rey, E&lt;/author&gt;&lt;/authors&gt;&lt;/contributors&gt;&lt;titles&gt;&lt;title&gt;South east queensland residential end use study&lt;/title&gt;&lt;/titles&gt;&lt;dates&gt;&lt;year&gt;2011&lt;/year&gt;&lt;/dates&gt;&lt;publisher&gt;Urban Water Security Research Alliance Brisbane, Australia&lt;/publisher&gt;&lt;urls&gt;&lt;/urls&gt;&lt;/record&gt;&lt;/Cite&gt;&lt;/EndNote&gt;</w:instrText>
      </w:r>
      <w:r w:rsidR="00800E41">
        <w:rPr>
          <w:rFonts w:cs="Arial"/>
        </w:rPr>
        <w:fldChar w:fldCharType="separate"/>
      </w:r>
      <w:r w:rsidR="00800E41">
        <w:rPr>
          <w:rFonts w:cs="Arial"/>
          <w:noProof/>
        </w:rPr>
        <w:t>Beal et al. (2011)</w:t>
      </w:r>
      <w:r w:rsidR="00800E41">
        <w:rPr>
          <w:rFonts w:cs="Arial"/>
        </w:rPr>
        <w:fldChar w:fldCharType="end"/>
      </w:r>
      <w:r w:rsidR="00800E41">
        <w:rPr>
          <w:rFonts w:cs="Arial"/>
        </w:rPr>
        <w:t xml:space="preserve"> </w:t>
      </w:r>
      <w:r w:rsidR="008A5A26" w:rsidRPr="00E4229C">
        <w:rPr>
          <w:rFonts w:cs="Arial"/>
        </w:rPr>
        <w:t xml:space="preserve">all had very small sample sizes and are therefore very unlikely to have </w:t>
      </w:r>
      <w:r w:rsidR="0027664D">
        <w:rPr>
          <w:rFonts w:cs="Arial"/>
        </w:rPr>
        <w:t xml:space="preserve">sampled </w:t>
      </w:r>
      <w:r w:rsidR="008A5A26" w:rsidRPr="00E4229C">
        <w:rPr>
          <w:rFonts w:cs="Arial"/>
        </w:rPr>
        <w:t>the extreme water users</w:t>
      </w:r>
      <w:r w:rsidR="0027664D">
        <w:rPr>
          <w:rFonts w:cs="Arial"/>
        </w:rPr>
        <w:t xml:space="preserve"> in the population</w:t>
      </w:r>
      <w:r w:rsidR="00420D48">
        <w:rPr>
          <w:rFonts w:cs="Arial"/>
        </w:rPr>
        <w:t>s</w:t>
      </w:r>
      <w:r w:rsidR="0027664D">
        <w:rPr>
          <w:rFonts w:cs="Arial"/>
        </w:rPr>
        <w:t xml:space="preserve"> they </w:t>
      </w:r>
      <w:r w:rsidR="0027664D" w:rsidRPr="0027664D">
        <w:rPr>
          <w:rFonts w:cs="Arial"/>
        </w:rPr>
        <w:t>studied.</w:t>
      </w:r>
      <w:r w:rsidR="008A5A26" w:rsidRPr="0027664D">
        <w:rPr>
          <w:rFonts w:cs="Arial"/>
        </w:rPr>
        <w:t xml:space="preserve"> A stratification sampling technique could be used to improve the chances of capturing these high water users, but only where the determinants </w:t>
      </w:r>
      <w:r w:rsidR="00D12D1A">
        <w:rPr>
          <w:rFonts w:cs="Arial"/>
        </w:rPr>
        <w:t>of</w:t>
      </w:r>
      <w:r w:rsidR="008A5A26" w:rsidRPr="0027664D">
        <w:rPr>
          <w:rFonts w:cs="Arial"/>
        </w:rPr>
        <w:t xml:space="preserve"> consumption are known</w:t>
      </w:r>
      <w:r w:rsidR="00624D44">
        <w:rPr>
          <w:rFonts w:cs="Arial"/>
        </w:rPr>
        <w:t xml:space="preserve"> prior to sampling</w:t>
      </w:r>
      <w:r w:rsidR="008A5A26" w:rsidRPr="0027664D">
        <w:rPr>
          <w:rFonts w:cs="Arial"/>
        </w:rPr>
        <w:t>.</w:t>
      </w:r>
    </w:p>
    <w:p w14:paraId="1A059023" w14:textId="77777777" w:rsidR="000D0A66" w:rsidRPr="00E4229C" w:rsidRDefault="000D0A66" w:rsidP="00155825">
      <w:pPr>
        <w:pStyle w:val="Heading6"/>
        <w:numPr>
          <w:ilvl w:val="0"/>
          <w:numId w:val="8"/>
        </w:numPr>
        <w:rPr>
          <w:rFonts w:cs="Arial"/>
        </w:rPr>
      </w:pPr>
      <w:r w:rsidRPr="00E4229C">
        <w:rPr>
          <w:rFonts w:cs="Arial"/>
        </w:rPr>
        <w:t>Conclusions</w:t>
      </w:r>
    </w:p>
    <w:p w14:paraId="62773D05" w14:textId="77777777" w:rsidR="004875B5" w:rsidRDefault="00F30A20" w:rsidP="000D0A66">
      <w:pPr>
        <w:rPr>
          <w:rFonts w:cs="Arial"/>
        </w:rPr>
      </w:pPr>
      <w:r w:rsidRPr="004875B5">
        <w:rPr>
          <w:rFonts w:cs="Arial"/>
        </w:rPr>
        <w:t>This study suggests that both self-report surveys and heuristic models should be treated with caution</w:t>
      </w:r>
      <w:r w:rsidR="004875B5" w:rsidRPr="004875B5">
        <w:rPr>
          <w:rFonts w:cs="Arial"/>
        </w:rPr>
        <w:t>.</w:t>
      </w:r>
      <w:r w:rsidRPr="004875B5">
        <w:rPr>
          <w:rFonts w:cs="Arial"/>
        </w:rPr>
        <w:t xml:space="preserve"> They both understate the extreme high </w:t>
      </w:r>
      <w:r w:rsidR="004875B5" w:rsidRPr="004875B5">
        <w:rPr>
          <w:rFonts w:cs="Arial"/>
        </w:rPr>
        <w:t xml:space="preserve">water </w:t>
      </w:r>
      <w:r w:rsidRPr="004875B5">
        <w:rPr>
          <w:rFonts w:cs="Arial"/>
        </w:rPr>
        <w:t xml:space="preserve">users </w:t>
      </w:r>
      <w:r w:rsidR="004875B5" w:rsidRPr="004875B5">
        <w:rPr>
          <w:rFonts w:cs="Arial"/>
        </w:rPr>
        <w:t>that are observed in the metered data. Average (mean) household water consumption values should be treated with caution where samples are less than 500 dwellings or many thousands of households where many end-uses of water are evaluated. The Gamma and Log-Normal distributions best fitte</w:t>
      </w:r>
      <w:r w:rsidR="00D77517">
        <w:rPr>
          <w:rFonts w:cs="Arial"/>
        </w:rPr>
        <w:t>d the metered data. This result</w:t>
      </w:r>
      <w:r w:rsidR="004875B5" w:rsidRPr="004875B5">
        <w:rPr>
          <w:rFonts w:cs="Arial"/>
        </w:rPr>
        <w:t xml:space="preserve"> contradicts the literature where normal distributions are assumed.</w:t>
      </w:r>
    </w:p>
    <w:p w14:paraId="136CCC66" w14:textId="77777777" w:rsidR="00040599" w:rsidRPr="00E4229C" w:rsidRDefault="00040599">
      <w:pPr>
        <w:spacing w:before="0"/>
        <w:jc w:val="left"/>
        <w:rPr>
          <w:rFonts w:cs="Arial"/>
          <w:b/>
          <w:bCs/>
          <w:sz w:val="22"/>
          <w:szCs w:val="20"/>
        </w:rPr>
      </w:pPr>
    </w:p>
    <w:p w14:paraId="4FEA27E4" w14:textId="77777777" w:rsidR="000D0A66" w:rsidRPr="00E4229C" w:rsidRDefault="00390B3D" w:rsidP="00155825">
      <w:pPr>
        <w:pStyle w:val="Heading6"/>
        <w:numPr>
          <w:ilvl w:val="0"/>
          <w:numId w:val="8"/>
        </w:numPr>
        <w:rPr>
          <w:rFonts w:cs="Arial"/>
        </w:rPr>
      </w:pPr>
      <w:r w:rsidRPr="00E4229C">
        <w:rPr>
          <w:rFonts w:cs="Arial"/>
        </w:rPr>
        <w:t>References</w:t>
      </w:r>
    </w:p>
    <w:p w14:paraId="65093090" w14:textId="77777777" w:rsidR="00781CDC" w:rsidRPr="00781CDC" w:rsidRDefault="000D0A66" w:rsidP="00781CDC">
      <w:pPr>
        <w:pStyle w:val="EndNoteBibliography"/>
        <w:spacing w:after="0"/>
        <w:ind w:left="720" w:hanging="720"/>
      </w:pPr>
      <w:r w:rsidRPr="00E4229C">
        <w:fldChar w:fldCharType="begin"/>
      </w:r>
      <w:r w:rsidRPr="00E4229C">
        <w:instrText xml:space="preserve"> ADDIN EN.REFLIST </w:instrText>
      </w:r>
      <w:r w:rsidRPr="00E4229C">
        <w:fldChar w:fldCharType="separate"/>
      </w:r>
      <w:r w:rsidR="00781CDC" w:rsidRPr="00781CDC">
        <w:t xml:space="preserve">ALLIANCE FOR WATER EFFICIENCY. 2017. </w:t>
      </w:r>
      <w:r w:rsidR="00781CDC" w:rsidRPr="00781CDC">
        <w:rPr>
          <w:i/>
        </w:rPr>
        <w:t xml:space="preserve">Clothes Washer </w:t>
      </w:r>
      <w:r w:rsidR="00781CDC" w:rsidRPr="00781CDC">
        <w:t xml:space="preserve">[Online]. Home Water Works. Available: </w:t>
      </w:r>
      <w:hyperlink r:id="rId13" w:history="1">
        <w:r w:rsidR="00781CDC" w:rsidRPr="00781CDC">
          <w:rPr>
            <w:rStyle w:val="Hyperlink"/>
          </w:rPr>
          <w:t>http://www.home-water-works.org/indoor-use/clothes-washer</w:t>
        </w:r>
      </w:hyperlink>
      <w:r w:rsidR="00781CDC" w:rsidRPr="00781CDC">
        <w:t xml:space="preserve"> [Accessed 2017].</w:t>
      </w:r>
    </w:p>
    <w:p w14:paraId="2C99033E" w14:textId="77777777" w:rsidR="00781CDC" w:rsidRPr="00781CDC" w:rsidRDefault="00781CDC" w:rsidP="00781CDC">
      <w:pPr>
        <w:pStyle w:val="EndNoteBibliography"/>
        <w:spacing w:after="0"/>
        <w:ind w:left="720" w:hanging="720"/>
      </w:pPr>
      <w:r w:rsidRPr="00781CDC">
        <w:t xml:space="preserve">ARCHER, J. 1991. </w:t>
      </w:r>
      <w:r w:rsidRPr="00781CDC">
        <w:rPr>
          <w:i/>
        </w:rPr>
        <w:t>On the water front: making your water safe to drink</w:t>
      </w:r>
      <w:r w:rsidRPr="00781CDC">
        <w:t>, Pure Water Press.</w:t>
      </w:r>
    </w:p>
    <w:p w14:paraId="051E2FD4" w14:textId="77777777" w:rsidR="00781CDC" w:rsidRPr="00781CDC" w:rsidRDefault="00781CDC" w:rsidP="00781CDC">
      <w:pPr>
        <w:pStyle w:val="EndNoteBibliography"/>
        <w:spacing w:after="0"/>
        <w:ind w:left="720" w:hanging="720"/>
      </w:pPr>
      <w:r w:rsidRPr="00781CDC">
        <w:lastRenderedPageBreak/>
        <w:t>AUSTRALIAN BUREAU OF STATISTICS 2006. Cat 4652.5 - Domestic Water and Energy Use, Western Australia, Oct 2006  Canberra: ABS.</w:t>
      </w:r>
    </w:p>
    <w:p w14:paraId="721D845F" w14:textId="77777777" w:rsidR="00781CDC" w:rsidRPr="00781CDC" w:rsidRDefault="00781CDC" w:rsidP="00781CDC">
      <w:pPr>
        <w:pStyle w:val="EndNoteBibliography"/>
        <w:spacing w:after="0"/>
        <w:ind w:left="720" w:hanging="720"/>
      </w:pPr>
      <w:r w:rsidRPr="00781CDC">
        <w:t>AUSTRALIAN BUREAU OF STATISTICS 2016. Cat 4610.0 - Water Account, Australia, 2014-15. Canberra: ABS.</w:t>
      </w:r>
    </w:p>
    <w:p w14:paraId="716C1EBB" w14:textId="77777777" w:rsidR="00781CDC" w:rsidRPr="00781CDC" w:rsidRDefault="00781CDC" w:rsidP="00781CDC">
      <w:pPr>
        <w:pStyle w:val="EndNoteBibliography"/>
        <w:spacing w:after="0"/>
        <w:ind w:left="720" w:hanging="720"/>
      </w:pPr>
      <w:r w:rsidRPr="00781CDC">
        <w:t>AUSTRALIAN NATIONAL WATER COMMISSION, WATER SERVICES ASSOCIATION OF AUSTRALIA &amp; NATIONAL WATER INITIATIVE (AUSTRALIA) 2006. National performance report ... major urban water utilities.</w:t>
      </w:r>
    </w:p>
    <w:p w14:paraId="5BE3CD44" w14:textId="77777777" w:rsidR="00781CDC" w:rsidRPr="00781CDC" w:rsidRDefault="00781CDC" w:rsidP="00781CDC">
      <w:pPr>
        <w:pStyle w:val="EndNoteBibliography"/>
        <w:spacing w:after="0"/>
        <w:ind w:left="720" w:hanging="720"/>
      </w:pPr>
      <w:r w:rsidRPr="00781CDC">
        <w:t xml:space="preserve">BEAL, C., STEWART, R., HUANG, T. &amp; REY, E. 2011. </w:t>
      </w:r>
      <w:r w:rsidRPr="00781CDC">
        <w:rPr>
          <w:i/>
        </w:rPr>
        <w:t>South east queensland residential end use study</w:t>
      </w:r>
      <w:r w:rsidRPr="00781CDC">
        <w:t>, Urban Water Security Research Alliance Brisbane, Australia.</w:t>
      </w:r>
    </w:p>
    <w:p w14:paraId="4D4681BE" w14:textId="77777777" w:rsidR="00781CDC" w:rsidRPr="00781CDC" w:rsidRDefault="00781CDC" w:rsidP="00781CDC">
      <w:pPr>
        <w:pStyle w:val="EndNoteBibliography"/>
        <w:spacing w:after="0"/>
        <w:ind w:left="720" w:hanging="720"/>
      </w:pPr>
      <w:r w:rsidRPr="00781CDC">
        <w:t xml:space="preserve">CORDELL, D., ROBINSON, J. &amp; LOH, M. 2003. Collecting residential end use data from primary sources: Do’s and don’ts. </w:t>
      </w:r>
      <w:r w:rsidRPr="00781CDC">
        <w:rPr>
          <w:i/>
        </w:rPr>
        <w:t>Institute For Sustainable Futures, University of Technology, Sydney</w:t>
      </w:r>
      <w:r w:rsidRPr="00781CDC">
        <w:t>.</w:t>
      </w:r>
    </w:p>
    <w:p w14:paraId="24EC4046" w14:textId="77777777" w:rsidR="00781CDC" w:rsidRPr="00781CDC" w:rsidRDefault="00781CDC" w:rsidP="00781CDC">
      <w:pPr>
        <w:pStyle w:val="EndNoteBibliography"/>
        <w:spacing w:after="0"/>
        <w:ind w:left="720" w:hanging="720"/>
      </w:pPr>
      <w:r w:rsidRPr="00781CDC">
        <w:t xml:space="preserve">DAWSON, P. 2013. How much water does a pool use after filling? </w:t>
      </w:r>
      <w:r w:rsidRPr="00781CDC">
        <w:rPr>
          <w:i/>
        </w:rPr>
        <w:t>In:</w:t>
      </w:r>
      <w:r w:rsidRPr="00781CDC">
        <w:t xml:space="preserve"> SOLAR, S. (ed.). Suncap Solar.</w:t>
      </w:r>
    </w:p>
    <w:p w14:paraId="166A86A3" w14:textId="77777777" w:rsidR="00781CDC" w:rsidRPr="00781CDC" w:rsidRDefault="00781CDC" w:rsidP="00781CDC">
      <w:pPr>
        <w:pStyle w:val="EndNoteBibliography"/>
        <w:spacing w:after="0"/>
        <w:ind w:left="720" w:hanging="720"/>
      </w:pPr>
      <w:r w:rsidRPr="00781CDC">
        <w:t xml:space="preserve">DENT, J. 2006. </w:t>
      </w:r>
      <w:r w:rsidRPr="00781CDC">
        <w:rPr>
          <w:i/>
        </w:rPr>
        <w:t xml:space="preserve">Australians urged to save energy with shorter showers </w:t>
      </w:r>
      <w:r w:rsidRPr="00781CDC">
        <w:t>[Online]. The Guardian.  [Accessed July 20, 2017].</w:t>
      </w:r>
    </w:p>
    <w:p w14:paraId="0FBBE074" w14:textId="77777777" w:rsidR="00781CDC" w:rsidRPr="00781CDC" w:rsidRDefault="00781CDC" w:rsidP="00781CDC">
      <w:pPr>
        <w:pStyle w:val="EndNoteBibliography"/>
        <w:spacing w:after="0"/>
        <w:ind w:left="720" w:hanging="720"/>
      </w:pPr>
      <w:r w:rsidRPr="00781CDC">
        <w:t xml:space="preserve">DIJK, A. I., BECK, H. E., CROSBIE, R. S., JEU, R. A., LIU, Y. Y., PODGER, G. M., TIMBAL, B. &amp; VINEY, N. R. 2013. The Millennium Drought in southeast Australia (2001–2009): Natural and human causes and implications for water resources, ecosystems, economy, and society. </w:t>
      </w:r>
      <w:r w:rsidRPr="00781CDC">
        <w:rPr>
          <w:i/>
        </w:rPr>
        <w:t>Water Resources Research,</w:t>
      </w:r>
      <w:r w:rsidRPr="00781CDC">
        <w:t xml:space="preserve"> 49</w:t>
      </w:r>
      <w:r w:rsidRPr="00781CDC">
        <w:rPr>
          <w:b/>
        </w:rPr>
        <w:t>,</w:t>
      </w:r>
      <w:r w:rsidRPr="00781CDC">
        <w:t xml:space="preserve"> 1040-1057.</w:t>
      </w:r>
    </w:p>
    <w:p w14:paraId="359E6F53" w14:textId="77777777" w:rsidR="00781CDC" w:rsidRPr="00781CDC" w:rsidRDefault="00781CDC" w:rsidP="00781CDC">
      <w:pPr>
        <w:pStyle w:val="EndNoteBibliography"/>
        <w:spacing w:after="0"/>
        <w:ind w:left="720" w:hanging="720"/>
      </w:pPr>
      <w:r w:rsidRPr="00781CDC">
        <w:t xml:space="preserve">EISENBERG, B. &amp; SULLIVAN, R. 2008. Why is the sum of independent normal random variables normal? </w:t>
      </w:r>
      <w:r w:rsidRPr="00781CDC">
        <w:rPr>
          <w:i/>
        </w:rPr>
        <w:t>Mathematics Magazine,</w:t>
      </w:r>
      <w:r w:rsidRPr="00781CDC">
        <w:t xml:space="preserve"> 81</w:t>
      </w:r>
      <w:r w:rsidRPr="00781CDC">
        <w:rPr>
          <w:b/>
        </w:rPr>
        <w:t>,</w:t>
      </w:r>
      <w:r w:rsidRPr="00781CDC">
        <w:t xml:space="preserve"> 362-366.</w:t>
      </w:r>
    </w:p>
    <w:p w14:paraId="1A218AF0" w14:textId="77777777" w:rsidR="00781CDC" w:rsidRPr="00781CDC" w:rsidRDefault="00781CDC" w:rsidP="00781CDC">
      <w:pPr>
        <w:pStyle w:val="EndNoteBibliography"/>
        <w:spacing w:after="0"/>
        <w:ind w:left="720" w:hanging="720"/>
      </w:pPr>
      <w:r w:rsidRPr="00781CDC">
        <w:t xml:space="preserve">EL SALIBY, I., OKOUR, Y., SHON, H., KANDASAMY, J. &amp; KIM, I. S. 2009. Desalination plants in Australia, review and facts. </w:t>
      </w:r>
      <w:r w:rsidRPr="00781CDC">
        <w:rPr>
          <w:i/>
        </w:rPr>
        <w:t>Desalination,</w:t>
      </w:r>
      <w:r w:rsidRPr="00781CDC">
        <w:t xml:space="preserve"> 247</w:t>
      </w:r>
      <w:r w:rsidRPr="00781CDC">
        <w:rPr>
          <w:b/>
        </w:rPr>
        <w:t>,</w:t>
      </w:r>
      <w:r w:rsidRPr="00781CDC">
        <w:t xml:space="preserve"> 1-14.</w:t>
      </w:r>
    </w:p>
    <w:p w14:paraId="13DBCD1E" w14:textId="77777777" w:rsidR="00781CDC" w:rsidRPr="00781CDC" w:rsidRDefault="00781CDC" w:rsidP="00781CDC">
      <w:pPr>
        <w:pStyle w:val="EndNoteBibliography"/>
        <w:spacing w:after="0"/>
        <w:ind w:left="720" w:hanging="720"/>
      </w:pPr>
      <w:r w:rsidRPr="00781CDC">
        <w:t xml:space="preserve">HEINRICH, M. 2007. Water end use and efficiency project (WEEP)–final report, BRANZ study report 159. </w:t>
      </w:r>
      <w:r w:rsidRPr="00781CDC">
        <w:rPr>
          <w:i/>
        </w:rPr>
        <w:t>Branz, Judgeford, New Zealand</w:t>
      </w:r>
      <w:r w:rsidRPr="00781CDC">
        <w:t>.</w:t>
      </w:r>
    </w:p>
    <w:p w14:paraId="7258A6A7" w14:textId="77777777" w:rsidR="00781CDC" w:rsidRPr="00781CDC" w:rsidRDefault="00781CDC" w:rsidP="00781CDC">
      <w:pPr>
        <w:pStyle w:val="EndNoteBibliography"/>
        <w:spacing w:after="0"/>
        <w:ind w:left="720" w:hanging="720"/>
      </w:pPr>
      <w:r w:rsidRPr="00781CDC">
        <w:t xml:space="preserve">HOFFMANN, M., WORTHINGTON, A. &amp; HIGGS, H. 2006. Urban water demand with fixed volumetric charging in a large municipality: the case of Brisbane, Australia. </w:t>
      </w:r>
      <w:r w:rsidRPr="00781CDC">
        <w:rPr>
          <w:i/>
        </w:rPr>
        <w:t>Australian Journal of Agricultural and Resource Economics,</w:t>
      </w:r>
      <w:r w:rsidRPr="00781CDC">
        <w:t xml:space="preserve"> 50</w:t>
      </w:r>
      <w:r w:rsidRPr="00781CDC">
        <w:rPr>
          <w:b/>
        </w:rPr>
        <w:t>,</w:t>
      </w:r>
      <w:r w:rsidRPr="00781CDC">
        <w:t xml:space="preserve"> 347-359.</w:t>
      </w:r>
    </w:p>
    <w:p w14:paraId="4DFE3BB2" w14:textId="77777777" w:rsidR="00781CDC" w:rsidRPr="00781CDC" w:rsidRDefault="00781CDC" w:rsidP="00781CDC">
      <w:pPr>
        <w:pStyle w:val="EndNoteBibliography"/>
        <w:spacing w:after="0"/>
        <w:ind w:left="720" w:hanging="720"/>
      </w:pPr>
      <w:r w:rsidRPr="00781CDC">
        <w:t xml:space="preserve">ICON WATER LIMITED. 2017. </w:t>
      </w:r>
      <w:r w:rsidRPr="00781CDC">
        <w:rPr>
          <w:i/>
        </w:rPr>
        <w:t xml:space="preserve">Enlarged Cotter Dam </w:t>
      </w:r>
      <w:r w:rsidRPr="00781CDC">
        <w:t xml:space="preserve">[Online]. Available: </w:t>
      </w:r>
      <w:hyperlink r:id="rId14" w:history="1">
        <w:r w:rsidRPr="00781CDC">
          <w:rPr>
            <w:rStyle w:val="Hyperlink"/>
          </w:rPr>
          <w:t>https://www.iconwater.com.au/Community-and-Education/Our-projects/Water%20Security%20Projects/Enlarged-Cotter-Dam.aspx</w:t>
        </w:r>
      </w:hyperlink>
      <w:r w:rsidRPr="00781CDC">
        <w:t xml:space="preserve"> [Accessed 1/7/2017].</w:t>
      </w:r>
    </w:p>
    <w:p w14:paraId="2D44EC37" w14:textId="77777777" w:rsidR="00781CDC" w:rsidRPr="00781CDC" w:rsidRDefault="00781CDC" w:rsidP="00781CDC">
      <w:pPr>
        <w:pStyle w:val="EndNoteBibliography"/>
        <w:spacing w:after="0"/>
        <w:ind w:left="720" w:hanging="720"/>
      </w:pPr>
      <w:r w:rsidRPr="00781CDC">
        <w:t xml:space="preserve">LOH, M. &amp; COGHLAN, P. 2003. </w:t>
      </w:r>
      <w:r w:rsidRPr="00781CDC">
        <w:rPr>
          <w:i/>
        </w:rPr>
        <w:t>Domestic water use study in Perth, Western Australia, 1998-2001</w:t>
      </w:r>
      <w:r w:rsidRPr="00781CDC">
        <w:t>, Water Corporation Perth.</w:t>
      </w:r>
    </w:p>
    <w:p w14:paraId="4826B792" w14:textId="77777777" w:rsidR="00781CDC" w:rsidRPr="00781CDC" w:rsidRDefault="00781CDC" w:rsidP="00781CDC">
      <w:pPr>
        <w:pStyle w:val="EndNoteBibliography"/>
        <w:spacing w:after="0"/>
        <w:ind w:left="720" w:hanging="720"/>
      </w:pPr>
      <w:r w:rsidRPr="00781CDC">
        <w:t xml:space="preserve">MAKKI, A. A., STEWART, R. A., PANUWATWANICH, K. &amp; BEAL, C. 2013. Revealing the determinants of shower water end use consumption: enabling better targeted urban water conservation strategies. </w:t>
      </w:r>
      <w:r w:rsidRPr="00781CDC">
        <w:rPr>
          <w:i/>
        </w:rPr>
        <w:t>Journal of Cleaner Production,</w:t>
      </w:r>
      <w:r w:rsidRPr="00781CDC">
        <w:t xml:space="preserve"> 60</w:t>
      </w:r>
      <w:r w:rsidRPr="00781CDC">
        <w:rPr>
          <w:b/>
        </w:rPr>
        <w:t>,</w:t>
      </w:r>
      <w:r w:rsidRPr="00781CDC">
        <w:t xml:space="preserve"> 129-146.</w:t>
      </w:r>
    </w:p>
    <w:p w14:paraId="105D41B8" w14:textId="77777777" w:rsidR="00781CDC" w:rsidRPr="00781CDC" w:rsidRDefault="00781CDC" w:rsidP="00781CDC">
      <w:pPr>
        <w:pStyle w:val="EndNoteBibliography"/>
        <w:ind w:left="720" w:hanging="720"/>
      </w:pPr>
      <w:r w:rsidRPr="00781CDC">
        <w:t>MARSHALL, A. 1879. Water as an element of national wealth</w:t>
      </w:r>
    </w:p>
    <w:p w14:paraId="64AEF5FA" w14:textId="77777777" w:rsidR="00781CDC" w:rsidRPr="00781CDC" w:rsidRDefault="00781CDC" w:rsidP="00781CDC">
      <w:pPr>
        <w:pStyle w:val="EndNoteBibliography"/>
        <w:spacing w:after="0"/>
        <w:ind w:left="720" w:hanging="720"/>
      </w:pPr>
      <w:r w:rsidRPr="00781CDC">
        <w:rPr>
          <w:i/>
        </w:rPr>
        <w:t>In:</w:t>
      </w:r>
      <w:r w:rsidRPr="00781CDC">
        <w:t xml:space="preserve"> PIGOU, A. (ed.) </w:t>
      </w:r>
      <w:r w:rsidRPr="00781CDC">
        <w:rPr>
          <w:i/>
        </w:rPr>
        <w:t>Memorials of Alfred Marshall.</w:t>
      </w:r>
      <w:r w:rsidRPr="00781CDC">
        <w:t xml:space="preserve"> New York: Kelley &amp; Millman.</w:t>
      </w:r>
    </w:p>
    <w:p w14:paraId="271F5243" w14:textId="77777777" w:rsidR="00781CDC" w:rsidRPr="00781CDC" w:rsidRDefault="00781CDC" w:rsidP="00781CDC">
      <w:pPr>
        <w:pStyle w:val="EndNoteBibliography"/>
        <w:spacing w:after="0"/>
        <w:ind w:left="720" w:hanging="720"/>
      </w:pPr>
      <w:r w:rsidRPr="00781CDC">
        <w:t>MAYER, P. W., DEOREO, W. B., OPITZ, E. M., KIEFER, J. C., DAVIS, W. Y., DZIEGIELEWSKI, B. &amp; NELSON, J. O. 1999. Residential end uses of water. Denver, CO: American Water Works Association Research Foundation.</w:t>
      </w:r>
    </w:p>
    <w:p w14:paraId="77A39107" w14:textId="77777777" w:rsidR="00781CDC" w:rsidRPr="00781CDC" w:rsidRDefault="00781CDC" w:rsidP="00781CDC">
      <w:pPr>
        <w:pStyle w:val="EndNoteBibliography"/>
        <w:spacing w:after="0"/>
        <w:ind w:left="720" w:hanging="720"/>
      </w:pPr>
      <w:r w:rsidRPr="00781CDC">
        <w:lastRenderedPageBreak/>
        <w:t>R CORE TEAM 2015. R: A Language and Environment for Statistical Computing. Vienna, Austria: R Foundation for Statistical Computing.</w:t>
      </w:r>
    </w:p>
    <w:p w14:paraId="58FFBEB0" w14:textId="77777777" w:rsidR="00781CDC" w:rsidRPr="00781CDC" w:rsidRDefault="00781CDC" w:rsidP="00781CDC">
      <w:pPr>
        <w:pStyle w:val="EndNoteBibliography"/>
        <w:spacing w:after="0"/>
        <w:ind w:left="720" w:hanging="720"/>
      </w:pPr>
      <w:r w:rsidRPr="00781CDC">
        <w:t xml:space="preserve">REINHARDT, W. 2015. </w:t>
      </w:r>
      <w:r w:rsidRPr="00781CDC">
        <w:rPr>
          <w:i/>
        </w:rPr>
        <w:t>Knowing more, using less: The prospects for household-led change in energy and water systems.</w:t>
      </w:r>
      <w:r w:rsidRPr="00781CDC">
        <w:t xml:space="preserve"> Australian National University.</w:t>
      </w:r>
    </w:p>
    <w:p w14:paraId="66435D99" w14:textId="77777777" w:rsidR="00781CDC" w:rsidRPr="00781CDC" w:rsidRDefault="00781CDC" w:rsidP="00781CDC">
      <w:pPr>
        <w:pStyle w:val="EndNoteBibliography"/>
        <w:spacing w:after="0"/>
        <w:ind w:left="720" w:hanging="720"/>
      </w:pPr>
      <w:r w:rsidRPr="00781CDC">
        <w:t xml:space="preserve">ROBERTS, P. 2005. </w:t>
      </w:r>
      <w:r w:rsidRPr="00781CDC">
        <w:rPr>
          <w:i/>
        </w:rPr>
        <w:t>Yarra Valley Water: 2004 residential end use measurement study</w:t>
      </w:r>
      <w:r w:rsidRPr="00781CDC">
        <w:t>, Yarra Valley Water Melbourne.</w:t>
      </w:r>
    </w:p>
    <w:p w14:paraId="416A937E" w14:textId="77777777" w:rsidR="00781CDC" w:rsidRPr="00781CDC" w:rsidRDefault="00781CDC" w:rsidP="00781CDC">
      <w:pPr>
        <w:pStyle w:val="EndNoteBibliography"/>
        <w:spacing w:after="0"/>
        <w:ind w:left="720" w:hanging="720"/>
      </w:pPr>
      <w:r w:rsidRPr="00781CDC">
        <w:t xml:space="preserve">SCHLUNKE, A., LEWIS, J. &amp; FANE, S. 2008. </w:t>
      </w:r>
      <w:r w:rsidRPr="00781CDC">
        <w:rPr>
          <w:i/>
        </w:rPr>
        <w:t>Analysis of Australian opportunities for more water-efficient toilets</w:t>
      </w:r>
      <w:r w:rsidRPr="00781CDC">
        <w:t>, Department of the Environment, Heritage, Water and the Arts.</w:t>
      </w:r>
    </w:p>
    <w:p w14:paraId="30A92B9B" w14:textId="77777777" w:rsidR="00781CDC" w:rsidRPr="00781CDC" w:rsidRDefault="00781CDC" w:rsidP="00781CDC">
      <w:pPr>
        <w:pStyle w:val="EndNoteBibliography"/>
        <w:spacing w:after="0"/>
        <w:ind w:left="720" w:hanging="720"/>
      </w:pPr>
      <w:r w:rsidRPr="00781CDC">
        <w:t xml:space="preserve">TALENT, M. in press. Improving Estimates of Occupancy Rate and Population Density in Different Dwelling Types. </w:t>
      </w:r>
      <w:r w:rsidRPr="00781CDC">
        <w:rPr>
          <w:i/>
        </w:rPr>
        <w:t>Environment and Planning B: Planning and Design</w:t>
      </w:r>
      <w:r w:rsidRPr="00781CDC">
        <w:t>.</w:t>
      </w:r>
    </w:p>
    <w:p w14:paraId="64FAA330" w14:textId="77777777" w:rsidR="00781CDC" w:rsidRPr="00781CDC" w:rsidRDefault="00781CDC" w:rsidP="00781CDC">
      <w:pPr>
        <w:pStyle w:val="EndNoteBibliography"/>
        <w:spacing w:after="0"/>
        <w:ind w:left="720" w:hanging="720"/>
      </w:pPr>
      <w:r w:rsidRPr="00781CDC">
        <w:t xml:space="preserve">TALENT, M., TROY, P. &amp; DOVERS, S. 2013. </w:t>
      </w:r>
      <w:r w:rsidRPr="00781CDC">
        <w:rPr>
          <w:i/>
        </w:rPr>
        <w:t xml:space="preserve">Canberra Residential Energy and Water Consumption Baseline Report, </w:t>
      </w:r>
      <w:r w:rsidRPr="00781CDC">
        <w:t>Canberra, Australia, Australian National University.</w:t>
      </w:r>
    </w:p>
    <w:p w14:paraId="7E534605" w14:textId="77777777" w:rsidR="00781CDC" w:rsidRPr="00781CDC" w:rsidRDefault="00781CDC" w:rsidP="00781CDC">
      <w:pPr>
        <w:pStyle w:val="EndNoteBibliography"/>
        <w:spacing w:after="0"/>
        <w:ind w:left="720" w:hanging="720"/>
      </w:pPr>
      <w:r w:rsidRPr="00781CDC">
        <w:t xml:space="preserve">TANVERAKUL, S. A. &amp; LEE, J. 2016. Decadal review of residential water demand analysis from a practical perspective. </w:t>
      </w:r>
      <w:r w:rsidRPr="00781CDC">
        <w:rPr>
          <w:i/>
        </w:rPr>
        <w:t>Water Practice and Technology,</w:t>
      </w:r>
      <w:r w:rsidRPr="00781CDC">
        <w:t xml:space="preserve"> 11</w:t>
      </w:r>
      <w:r w:rsidRPr="00781CDC">
        <w:rPr>
          <w:b/>
        </w:rPr>
        <w:t>,</w:t>
      </w:r>
      <w:r w:rsidRPr="00781CDC">
        <w:t xml:space="preserve"> 433-447.</w:t>
      </w:r>
    </w:p>
    <w:p w14:paraId="5BB228FF" w14:textId="77777777" w:rsidR="00781CDC" w:rsidRPr="00781CDC" w:rsidRDefault="00781CDC" w:rsidP="00781CDC">
      <w:pPr>
        <w:pStyle w:val="EndNoteBibliography"/>
        <w:spacing w:after="0"/>
        <w:ind w:left="720" w:hanging="720"/>
      </w:pPr>
      <w:r w:rsidRPr="00781CDC">
        <w:t xml:space="preserve">TROY, P. 2008. </w:t>
      </w:r>
      <w:r w:rsidRPr="00781CDC">
        <w:rPr>
          <w:i/>
        </w:rPr>
        <w:t>Troubled waters: Confronting the water crisis in Australia's cities</w:t>
      </w:r>
      <w:r w:rsidRPr="00781CDC">
        <w:t>, ANU Press.</w:t>
      </w:r>
    </w:p>
    <w:p w14:paraId="5CDBB027" w14:textId="77777777" w:rsidR="00781CDC" w:rsidRPr="00781CDC" w:rsidRDefault="00781CDC" w:rsidP="00781CDC">
      <w:pPr>
        <w:pStyle w:val="EndNoteBibliography"/>
        <w:spacing w:after="0"/>
        <w:ind w:left="720" w:hanging="720"/>
      </w:pPr>
      <w:r w:rsidRPr="00781CDC">
        <w:t xml:space="preserve">WALTER, S., HALLBÖÖK, O., GOTTHARD, R., BERGMARK, M. &amp; SJÖDAHL, R. 2002. A population-based study on bowel habits in a Swedish community: prevalence of faecal incontinence and constipation. </w:t>
      </w:r>
      <w:r w:rsidRPr="00781CDC">
        <w:rPr>
          <w:i/>
        </w:rPr>
        <w:t>Scandinavian journal of gastroenterology,</w:t>
      </w:r>
      <w:r w:rsidRPr="00781CDC">
        <w:t xml:space="preserve"> 37</w:t>
      </w:r>
      <w:r w:rsidRPr="00781CDC">
        <w:rPr>
          <w:b/>
        </w:rPr>
        <w:t>,</w:t>
      </w:r>
      <w:r w:rsidRPr="00781CDC">
        <w:t xml:space="preserve"> 911-916.</w:t>
      </w:r>
    </w:p>
    <w:p w14:paraId="7301A91F" w14:textId="77777777" w:rsidR="00781CDC" w:rsidRPr="00781CDC" w:rsidRDefault="00781CDC" w:rsidP="00781CDC">
      <w:pPr>
        <w:pStyle w:val="EndNoteBibliography"/>
        <w:spacing w:after="0"/>
        <w:ind w:left="720" w:hanging="720"/>
      </w:pPr>
      <w:r w:rsidRPr="00781CDC">
        <w:t xml:space="preserve">WALTON, A. &amp; HUME, M. 2011. Creating positive habits in water conservation: the case of the Queensland Water Commission and the Target 140 campaign. </w:t>
      </w:r>
      <w:r w:rsidRPr="00781CDC">
        <w:rPr>
          <w:i/>
        </w:rPr>
        <w:t>International Journal of Nonprofit and Voluntary Sector Marketing,</w:t>
      </w:r>
      <w:r w:rsidRPr="00781CDC">
        <w:t xml:space="preserve"> 16</w:t>
      </w:r>
      <w:r w:rsidRPr="00781CDC">
        <w:rPr>
          <w:b/>
        </w:rPr>
        <w:t>,</w:t>
      </w:r>
      <w:r w:rsidRPr="00781CDC">
        <w:t xml:space="preserve"> 215-224.</w:t>
      </w:r>
    </w:p>
    <w:p w14:paraId="21C20C1D" w14:textId="77777777" w:rsidR="00781CDC" w:rsidRPr="00781CDC" w:rsidRDefault="00781CDC" w:rsidP="00781CDC">
      <w:pPr>
        <w:pStyle w:val="EndNoteBibliography"/>
        <w:spacing w:after="0"/>
        <w:ind w:left="720" w:hanging="720"/>
      </w:pPr>
      <w:r w:rsidRPr="00781CDC">
        <w:t xml:space="preserve">WILLIS, R., STEWART, R. A., GIURCO, D., PANUWATWANICH, K. &amp; CAPATI, B. 2009. Gold Coast domestic water end use study. </w:t>
      </w:r>
      <w:r w:rsidRPr="00781CDC">
        <w:rPr>
          <w:i/>
        </w:rPr>
        <w:t>Water: Journal of the Australian Water Association,</w:t>
      </w:r>
      <w:r w:rsidRPr="00781CDC">
        <w:t xml:space="preserve"> 36</w:t>
      </w:r>
      <w:r w:rsidRPr="00781CDC">
        <w:rPr>
          <w:b/>
        </w:rPr>
        <w:t>,</w:t>
      </w:r>
      <w:r w:rsidRPr="00781CDC">
        <w:t xml:space="preserve"> 84.</w:t>
      </w:r>
    </w:p>
    <w:p w14:paraId="2C578622" w14:textId="77777777" w:rsidR="00781CDC" w:rsidRPr="00781CDC" w:rsidRDefault="00781CDC" w:rsidP="00781CDC">
      <w:pPr>
        <w:pStyle w:val="EndNoteBibliography"/>
        <w:spacing w:after="0"/>
        <w:ind w:left="720" w:hanging="720"/>
      </w:pPr>
      <w:r w:rsidRPr="00781CDC">
        <w:t xml:space="preserve">WILLIS, R. M., STEWART, R. A., PANUWATWANICH, K., JONES, S. &amp; KYRIAKIDES, A. 2010. Alarming visual display monitors affecting shower end use water and energy conservation in Australian residential households. </w:t>
      </w:r>
      <w:r w:rsidRPr="00781CDC">
        <w:rPr>
          <w:i/>
        </w:rPr>
        <w:t>Resources, Conservation and Recycling,</w:t>
      </w:r>
      <w:r w:rsidRPr="00781CDC">
        <w:t xml:space="preserve"> 54</w:t>
      </w:r>
      <w:r w:rsidRPr="00781CDC">
        <w:rPr>
          <w:b/>
        </w:rPr>
        <w:t>,</w:t>
      </w:r>
      <w:r w:rsidRPr="00781CDC">
        <w:t xml:space="preserve"> 1117-1127.</w:t>
      </w:r>
    </w:p>
    <w:p w14:paraId="34C198C6" w14:textId="77777777" w:rsidR="00781CDC" w:rsidRPr="00781CDC" w:rsidRDefault="00781CDC" w:rsidP="00781CDC">
      <w:pPr>
        <w:pStyle w:val="EndNoteBibliography"/>
        <w:ind w:left="720" w:hanging="720"/>
      </w:pPr>
      <w:r w:rsidRPr="00781CDC">
        <w:t xml:space="preserve">WILLIS, R. M., STEWART, R. A., PANUWATWANICH, K., WILLIAMS, P. R. &amp; HOLLINGSWORTH, A. L. 2011. Quantifying the influence of environmental and water conservation attitudes on household end use water consumption. </w:t>
      </w:r>
      <w:r w:rsidRPr="00781CDC">
        <w:rPr>
          <w:i/>
        </w:rPr>
        <w:t>Journal of environmental management,</w:t>
      </w:r>
      <w:r w:rsidRPr="00781CDC">
        <w:t xml:space="preserve"> 92</w:t>
      </w:r>
      <w:r w:rsidRPr="00781CDC">
        <w:rPr>
          <w:b/>
        </w:rPr>
        <w:t>,</w:t>
      </w:r>
      <w:r w:rsidRPr="00781CDC">
        <w:t xml:space="preserve"> 1996-2009.</w:t>
      </w:r>
    </w:p>
    <w:p w14:paraId="020EB648" w14:textId="77777777" w:rsidR="002745AF" w:rsidRPr="00E4229C" w:rsidRDefault="000D0A66" w:rsidP="002745AF">
      <w:pPr>
        <w:rPr>
          <w:rFonts w:cs="Arial"/>
          <w:b/>
          <w:i/>
        </w:rPr>
      </w:pPr>
      <w:r w:rsidRPr="00E4229C">
        <w:rPr>
          <w:rFonts w:cs="Arial"/>
        </w:rPr>
        <w:fldChar w:fldCharType="end"/>
      </w:r>
    </w:p>
    <w:p w14:paraId="09738D2D" w14:textId="77777777" w:rsidR="0058259B" w:rsidRPr="00E4229C" w:rsidRDefault="0058259B" w:rsidP="000A29BB">
      <w:pPr>
        <w:rPr>
          <w:rFonts w:cs="Arial"/>
          <w:b/>
          <w:i/>
        </w:rPr>
      </w:pPr>
      <w:r w:rsidRPr="00E4229C">
        <w:rPr>
          <w:rFonts w:cs="Arial"/>
          <w:b/>
          <w:i/>
        </w:rPr>
        <w:t xml:space="preserve"> </w:t>
      </w:r>
    </w:p>
    <w:sectPr w:rsidR="0058259B" w:rsidRPr="00E4229C" w:rsidSect="00180AD0">
      <w:head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D58B4" w14:textId="77777777" w:rsidR="00FB310C" w:rsidRDefault="00FB310C">
      <w:r>
        <w:separator/>
      </w:r>
    </w:p>
  </w:endnote>
  <w:endnote w:type="continuationSeparator" w:id="0">
    <w:p w14:paraId="63FBEA94" w14:textId="77777777" w:rsidR="00FB310C" w:rsidRDefault="00FB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19986" w14:textId="77777777" w:rsidR="00FB310C" w:rsidRDefault="00FB310C">
      <w:r>
        <w:separator/>
      </w:r>
    </w:p>
  </w:footnote>
  <w:footnote w:type="continuationSeparator" w:id="0">
    <w:p w14:paraId="2D1C6665" w14:textId="77777777" w:rsidR="00FB310C" w:rsidRDefault="00FB31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F4388" w14:textId="77777777" w:rsidR="00FB310C" w:rsidRPr="002E374A" w:rsidRDefault="00FB310C">
    <w:pPr>
      <w:pStyle w:val="Header"/>
      <w:rPr>
        <w:rFonts w:cs="Arial"/>
        <w:szCs w:val="20"/>
      </w:rPr>
    </w:pPr>
    <w:r>
      <w:rPr>
        <w:rFonts w:cs="Arial"/>
        <w:szCs w:val="20"/>
      </w:rPr>
      <w:t>SOAC 2017</w:t>
    </w:r>
  </w:p>
  <w:p w14:paraId="21EE8B34" w14:textId="77777777" w:rsidR="00FB310C" w:rsidRPr="00674F13" w:rsidRDefault="00FB310C" w:rsidP="00674F13">
    <w:pPr>
      <w:pStyle w:val="Header"/>
      <w:rPr>
        <w:rFonts w:cs="Arial"/>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4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E05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DA3CD1"/>
    <w:multiLevelType w:val="hybridMultilevel"/>
    <w:tmpl w:val="1B981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07ED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A27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F66810"/>
    <w:multiLevelType w:val="hybridMultilevel"/>
    <w:tmpl w:val="F300DD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DE5C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140C65"/>
    <w:multiLevelType w:val="hybridMultilevel"/>
    <w:tmpl w:val="8124B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906E1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763E8F"/>
    <w:multiLevelType w:val="hybridMultilevel"/>
    <w:tmpl w:val="608A09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057C24"/>
    <w:multiLevelType w:val="hybridMultilevel"/>
    <w:tmpl w:val="608A09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2492D7F"/>
    <w:multiLevelType w:val="hybridMultilevel"/>
    <w:tmpl w:val="5462C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F30FA2"/>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59B11D91"/>
    <w:multiLevelType w:val="hybridMultilevel"/>
    <w:tmpl w:val="F45E5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89155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E7C4E5D"/>
    <w:multiLevelType w:val="hybridMultilevel"/>
    <w:tmpl w:val="082A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FC2B9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4329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C20E3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2"/>
  </w:num>
  <w:num w:numId="4">
    <w:abstractNumId w:val="9"/>
  </w:num>
  <w:num w:numId="5">
    <w:abstractNumId w:val="14"/>
  </w:num>
  <w:num w:numId="6">
    <w:abstractNumId w:val="16"/>
  </w:num>
  <w:num w:numId="7">
    <w:abstractNumId w:val="6"/>
  </w:num>
  <w:num w:numId="8">
    <w:abstractNumId w:val="1"/>
  </w:num>
  <w:num w:numId="9">
    <w:abstractNumId w:val="17"/>
  </w:num>
  <w:num w:numId="10">
    <w:abstractNumId w:val="0"/>
  </w:num>
  <w:num w:numId="11">
    <w:abstractNumId w:val="10"/>
  </w:num>
  <w:num w:numId="12">
    <w:abstractNumId w:val="12"/>
  </w:num>
  <w:num w:numId="13">
    <w:abstractNumId w:val="18"/>
  </w:num>
  <w:num w:numId="14">
    <w:abstractNumId w:val="4"/>
  </w:num>
  <w:num w:numId="15">
    <w:abstractNumId w:val="3"/>
  </w:num>
  <w:num w:numId="16">
    <w:abstractNumId w:val="5"/>
  </w:num>
  <w:num w:numId="17">
    <w:abstractNumId w:val="13"/>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2xatvs5e2wadeaa53pvef6sdtsa9rwv55d&quot;&gt;Energy and Water Consumption Thesis-Saved-Saved3&lt;record-ids&gt;&lt;item&gt;47&lt;/item&gt;&lt;item&gt;183&lt;/item&gt;&lt;item&gt;202&lt;/item&gt;&lt;item&gt;233&lt;/item&gt;&lt;item&gt;234&lt;/item&gt;&lt;item&gt;246&lt;/item&gt;&lt;item&gt;247&lt;/item&gt;&lt;item&gt;252&lt;/item&gt;&lt;item&gt;253&lt;/item&gt;&lt;item&gt;254&lt;/item&gt;&lt;item&gt;255&lt;/item&gt;&lt;item&gt;256&lt;/item&gt;&lt;item&gt;257&lt;/item&gt;&lt;item&gt;258&lt;/item&gt;&lt;item&gt;259&lt;/item&gt;&lt;item&gt;260&lt;/item&gt;&lt;item&gt;261&lt;/item&gt;&lt;item&gt;262&lt;/item&gt;&lt;item&gt;263&lt;/item&gt;&lt;item&gt;264&lt;/item&gt;&lt;item&gt;266&lt;/item&gt;&lt;item&gt;267&lt;/item&gt;&lt;item&gt;268&lt;/item&gt;&lt;item&gt;269&lt;/item&gt;&lt;item&gt;270&lt;/item&gt;&lt;item&gt;271&lt;/item&gt;&lt;item&gt;272&lt;/item&gt;&lt;item&gt;273&lt;/item&gt;&lt;item&gt;274&lt;/item&gt;&lt;item&gt;275&lt;/item&gt;&lt;item&gt;276&lt;/item&gt;&lt;item&gt;277&lt;/item&gt;&lt;item&gt;279&lt;/item&gt;&lt;/record-ids&gt;&lt;/item&gt;&lt;/Libraries&gt;"/>
  </w:docVars>
  <w:rsids>
    <w:rsidRoot w:val="005E6F46"/>
    <w:rsid w:val="00002D74"/>
    <w:rsid w:val="0001244B"/>
    <w:rsid w:val="000242A5"/>
    <w:rsid w:val="00034DD8"/>
    <w:rsid w:val="00036DC9"/>
    <w:rsid w:val="00040043"/>
    <w:rsid w:val="00040599"/>
    <w:rsid w:val="00050CF5"/>
    <w:rsid w:val="000518B5"/>
    <w:rsid w:val="0005749A"/>
    <w:rsid w:val="00057639"/>
    <w:rsid w:val="000627C5"/>
    <w:rsid w:val="00085D9B"/>
    <w:rsid w:val="000A1B72"/>
    <w:rsid w:val="000A29BB"/>
    <w:rsid w:val="000A2D63"/>
    <w:rsid w:val="000A351A"/>
    <w:rsid w:val="000A5F35"/>
    <w:rsid w:val="000B2A98"/>
    <w:rsid w:val="000B6792"/>
    <w:rsid w:val="000C021F"/>
    <w:rsid w:val="000C0ADD"/>
    <w:rsid w:val="000D0A66"/>
    <w:rsid w:val="000D5B49"/>
    <w:rsid w:val="000D7B39"/>
    <w:rsid w:val="000E3728"/>
    <w:rsid w:val="000E48A1"/>
    <w:rsid w:val="000E680F"/>
    <w:rsid w:val="000F2693"/>
    <w:rsid w:val="000F6D2E"/>
    <w:rsid w:val="00106A91"/>
    <w:rsid w:val="00106C78"/>
    <w:rsid w:val="00132D40"/>
    <w:rsid w:val="00145564"/>
    <w:rsid w:val="00151013"/>
    <w:rsid w:val="001517DC"/>
    <w:rsid w:val="00155825"/>
    <w:rsid w:val="00180AD0"/>
    <w:rsid w:val="00186326"/>
    <w:rsid w:val="001907BF"/>
    <w:rsid w:val="001A1A12"/>
    <w:rsid w:val="001B2408"/>
    <w:rsid w:val="001C3B60"/>
    <w:rsid w:val="001E543C"/>
    <w:rsid w:val="00230FCE"/>
    <w:rsid w:val="002420E9"/>
    <w:rsid w:val="00264B58"/>
    <w:rsid w:val="00272146"/>
    <w:rsid w:val="002745AF"/>
    <w:rsid w:val="0027664D"/>
    <w:rsid w:val="002B6F7A"/>
    <w:rsid w:val="002C0430"/>
    <w:rsid w:val="002E374A"/>
    <w:rsid w:val="002F49CB"/>
    <w:rsid w:val="002F67A5"/>
    <w:rsid w:val="003048B6"/>
    <w:rsid w:val="00307CDC"/>
    <w:rsid w:val="00307FDF"/>
    <w:rsid w:val="0031564A"/>
    <w:rsid w:val="00320CD3"/>
    <w:rsid w:val="003241A6"/>
    <w:rsid w:val="00341A68"/>
    <w:rsid w:val="00351A5A"/>
    <w:rsid w:val="0035746D"/>
    <w:rsid w:val="00360FE1"/>
    <w:rsid w:val="00363F46"/>
    <w:rsid w:val="0036598B"/>
    <w:rsid w:val="00372834"/>
    <w:rsid w:val="00382C1F"/>
    <w:rsid w:val="00390B3D"/>
    <w:rsid w:val="003963A6"/>
    <w:rsid w:val="00396CF5"/>
    <w:rsid w:val="003B7C21"/>
    <w:rsid w:val="003C236C"/>
    <w:rsid w:val="003E1B49"/>
    <w:rsid w:val="003F2F16"/>
    <w:rsid w:val="004005D5"/>
    <w:rsid w:val="0040338F"/>
    <w:rsid w:val="004062C5"/>
    <w:rsid w:val="00410D79"/>
    <w:rsid w:val="00420D48"/>
    <w:rsid w:val="00436F84"/>
    <w:rsid w:val="004474A1"/>
    <w:rsid w:val="00464265"/>
    <w:rsid w:val="004739B1"/>
    <w:rsid w:val="00476DF7"/>
    <w:rsid w:val="00477968"/>
    <w:rsid w:val="004875B5"/>
    <w:rsid w:val="00494931"/>
    <w:rsid w:val="004C029A"/>
    <w:rsid w:val="004C584D"/>
    <w:rsid w:val="004D176D"/>
    <w:rsid w:val="004E2300"/>
    <w:rsid w:val="004F2A8E"/>
    <w:rsid w:val="004F6D02"/>
    <w:rsid w:val="00502853"/>
    <w:rsid w:val="00503B39"/>
    <w:rsid w:val="00521DA2"/>
    <w:rsid w:val="0053371A"/>
    <w:rsid w:val="0054249B"/>
    <w:rsid w:val="00550B56"/>
    <w:rsid w:val="00550DEC"/>
    <w:rsid w:val="00551D2D"/>
    <w:rsid w:val="00552A0E"/>
    <w:rsid w:val="00554487"/>
    <w:rsid w:val="0058259B"/>
    <w:rsid w:val="005A271A"/>
    <w:rsid w:val="005A6584"/>
    <w:rsid w:val="005B738E"/>
    <w:rsid w:val="005C4569"/>
    <w:rsid w:val="005D5AFB"/>
    <w:rsid w:val="005D7790"/>
    <w:rsid w:val="005E42D6"/>
    <w:rsid w:val="005E6F46"/>
    <w:rsid w:val="00600A9F"/>
    <w:rsid w:val="006076BB"/>
    <w:rsid w:val="00624D44"/>
    <w:rsid w:val="00625B85"/>
    <w:rsid w:val="0063023D"/>
    <w:rsid w:val="00632FD2"/>
    <w:rsid w:val="00641A1D"/>
    <w:rsid w:val="00653F15"/>
    <w:rsid w:val="0066155B"/>
    <w:rsid w:val="006747E5"/>
    <w:rsid w:val="00674F13"/>
    <w:rsid w:val="00677726"/>
    <w:rsid w:val="006779AE"/>
    <w:rsid w:val="00693D73"/>
    <w:rsid w:val="006D2EB4"/>
    <w:rsid w:val="006E1754"/>
    <w:rsid w:val="006E3598"/>
    <w:rsid w:val="006E4FA5"/>
    <w:rsid w:val="006F5862"/>
    <w:rsid w:val="006F76CB"/>
    <w:rsid w:val="0070707A"/>
    <w:rsid w:val="00724C5C"/>
    <w:rsid w:val="00743DE7"/>
    <w:rsid w:val="00751B14"/>
    <w:rsid w:val="00764E56"/>
    <w:rsid w:val="00771C3E"/>
    <w:rsid w:val="00776E29"/>
    <w:rsid w:val="00777E30"/>
    <w:rsid w:val="00781CDC"/>
    <w:rsid w:val="007B057A"/>
    <w:rsid w:val="007B69B2"/>
    <w:rsid w:val="007C53ED"/>
    <w:rsid w:val="007C5C70"/>
    <w:rsid w:val="007E706A"/>
    <w:rsid w:val="00800E41"/>
    <w:rsid w:val="00835149"/>
    <w:rsid w:val="008364E1"/>
    <w:rsid w:val="00846E87"/>
    <w:rsid w:val="008666FC"/>
    <w:rsid w:val="00872392"/>
    <w:rsid w:val="008A5A26"/>
    <w:rsid w:val="008A6D26"/>
    <w:rsid w:val="008B2B04"/>
    <w:rsid w:val="008C298E"/>
    <w:rsid w:val="008D5B6F"/>
    <w:rsid w:val="008D6EC1"/>
    <w:rsid w:val="008E241A"/>
    <w:rsid w:val="009165D2"/>
    <w:rsid w:val="009338DB"/>
    <w:rsid w:val="00936F06"/>
    <w:rsid w:val="00943743"/>
    <w:rsid w:val="00946F41"/>
    <w:rsid w:val="00977262"/>
    <w:rsid w:val="0098003D"/>
    <w:rsid w:val="00990EF4"/>
    <w:rsid w:val="00994D97"/>
    <w:rsid w:val="009A1F52"/>
    <w:rsid w:val="009C09F5"/>
    <w:rsid w:val="009C6C81"/>
    <w:rsid w:val="00A07A91"/>
    <w:rsid w:val="00A16487"/>
    <w:rsid w:val="00A247D7"/>
    <w:rsid w:val="00A26D57"/>
    <w:rsid w:val="00A30DD6"/>
    <w:rsid w:val="00A32E4C"/>
    <w:rsid w:val="00A34841"/>
    <w:rsid w:val="00A36881"/>
    <w:rsid w:val="00A45F00"/>
    <w:rsid w:val="00A54517"/>
    <w:rsid w:val="00A57B0E"/>
    <w:rsid w:val="00A638A8"/>
    <w:rsid w:val="00A82004"/>
    <w:rsid w:val="00A86C8E"/>
    <w:rsid w:val="00A91454"/>
    <w:rsid w:val="00A95030"/>
    <w:rsid w:val="00AA7C14"/>
    <w:rsid w:val="00AB419C"/>
    <w:rsid w:val="00AD252C"/>
    <w:rsid w:val="00AE277E"/>
    <w:rsid w:val="00AE3826"/>
    <w:rsid w:val="00B0238C"/>
    <w:rsid w:val="00B04079"/>
    <w:rsid w:val="00B10AE4"/>
    <w:rsid w:val="00B20CBE"/>
    <w:rsid w:val="00B26DF2"/>
    <w:rsid w:val="00B33498"/>
    <w:rsid w:val="00B34649"/>
    <w:rsid w:val="00B35F1C"/>
    <w:rsid w:val="00B472FC"/>
    <w:rsid w:val="00B623A5"/>
    <w:rsid w:val="00B76481"/>
    <w:rsid w:val="00B80568"/>
    <w:rsid w:val="00B84E17"/>
    <w:rsid w:val="00B95353"/>
    <w:rsid w:val="00BB635D"/>
    <w:rsid w:val="00BD7E81"/>
    <w:rsid w:val="00BF0EC1"/>
    <w:rsid w:val="00BF68C8"/>
    <w:rsid w:val="00C16955"/>
    <w:rsid w:val="00C17BFE"/>
    <w:rsid w:val="00C36994"/>
    <w:rsid w:val="00C76A81"/>
    <w:rsid w:val="00C77D1D"/>
    <w:rsid w:val="00C83237"/>
    <w:rsid w:val="00CA2367"/>
    <w:rsid w:val="00CD620C"/>
    <w:rsid w:val="00D0307F"/>
    <w:rsid w:val="00D12D1A"/>
    <w:rsid w:val="00D2050E"/>
    <w:rsid w:val="00D36816"/>
    <w:rsid w:val="00D52FC6"/>
    <w:rsid w:val="00D57855"/>
    <w:rsid w:val="00D7568E"/>
    <w:rsid w:val="00D77517"/>
    <w:rsid w:val="00D84989"/>
    <w:rsid w:val="00D920D8"/>
    <w:rsid w:val="00D940D0"/>
    <w:rsid w:val="00DA2FC4"/>
    <w:rsid w:val="00DB442C"/>
    <w:rsid w:val="00DD2256"/>
    <w:rsid w:val="00DD6085"/>
    <w:rsid w:val="00DE17CB"/>
    <w:rsid w:val="00DE2AC4"/>
    <w:rsid w:val="00DF19C3"/>
    <w:rsid w:val="00DF6B2D"/>
    <w:rsid w:val="00E1204E"/>
    <w:rsid w:val="00E128B9"/>
    <w:rsid w:val="00E242B7"/>
    <w:rsid w:val="00E3687B"/>
    <w:rsid w:val="00E40CE6"/>
    <w:rsid w:val="00E4229C"/>
    <w:rsid w:val="00E72712"/>
    <w:rsid w:val="00E81658"/>
    <w:rsid w:val="00E93841"/>
    <w:rsid w:val="00E93B9C"/>
    <w:rsid w:val="00EA0056"/>
    <w:rsid w:val="00EA54AA"/>
    <w:rsid w:val="00EB5A5D"/>
    <w:rsid w:val="00EC0E4A"/>
    <w:rsid w:val="00EC1981"/>
    <w:rsid w:val="00EC40C4"/>
    <w:rsid w:val="00ED1317"/>
    <w:rsid w:val="00ED2492"/>
    <w:rsid w:val="00EE7B4B"/>
    <w:rsid w:val="00EF4EBD"/>
    <w:rsid w:val="00F01C2D"/>
    <w:rsid w:val="00F04D7B"/>
    <w:rsid w:val="00F16E16"/>
    <w:rsid w:val="00F224FA"/>
    <w:rsid w:val="00F30A20"/>
    <w:rsid w:val="00F501DD"/>
    <w:rsid w:val="00F51E6D"/>
    <w:rsid w:val="00F54075"/>
    <w:rsid w:val="00FA50B6"/>
    <w:rsid w:val="00FB28E4"/>
    <w:rsid w:val="00FB310C"/>
    <w:rsid w:val="00FC24D9"/>
    <w:rsid w:val="00FD1E66"/>
    <w:rsid w:val="00FE1C41"/>
    <w:rsid w:val="00FE28A8"/>
    <w:rsid w:val="00FF6858"/>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41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E7"/>
    <w:pPr>
      <w:spacing w:before="200"/>
      <w:jc w:val="both"/>
    </w:pPr>
    <w:rPr>
      <w:rFonts w:ascii="Arial" w:hAnsi="Arial"/>
      <w:szCs w:val="24"/>
      <w:lang w:val="en-AU"/>
    </w:rPr>
  </w:style>
  <w:style w:type="paragraph" w:styleId="Heading1">
    <w:name w:val="heading 1"/>
    <w:basedOn w:val="Normal"/>
    <w:next w:val="Normal"/>
    <w:link w:val="Heading1Char"/>
    <w:uiPriority w:val="9"/>
    <w:qFormat/>
    <w:rsid w:val="00674F13"/>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rFonts w:cs="Arial"/>
      <w:b/>
      <w:bCs/>
      <w:sz w:val="28"/>
      <w:szCs w:val="20"/>
    </w:rPr>
  </w:style>
  <w:style w:type="paragraph" w:styleId="Heading3">
    <w:name w:val="heading 3"/>
    <w:basedOn w:val="Normal"/>
    <w:next w:val="Normal"/>
    <w:qFormat/>
    <w:pPr>
      <w:keepNext/>
      <w:outlineLvl w:val="2"/>
    </w:pPr>
    <w:rPr>
      <w:rFonts w:cs="Arial"/>
      <w:b/>
      <w:bCs/>
      <w:szCs w:val="20"/>
    </w:rPr>
  </w:style>
  <w:style w:type="paragraph" w:styleId="Heading4">
    <w:name w:val="heading 4"/>
    <w:basedOn w:val="Normal"/>
    <w:next w:val="Normal"/>
    <w:qFormat/>
    <w:pPr>
      <w:keepNext/>
      <w:outlineLvl w:val="3"/>
    </w:pPr>
    <w:rPr>
      <w:b/>
      <w:bCs/>
      <w:sz w:val="22"/>
      <w:szCs w:val="20"/>
    </w:rPr>
  </w:style>
  <w:style w:type="paragraph" w:styleId="Heading5">
    <w:name w:val="heading 5"/>
    <w:basedOn w:val="Normal"/>
    <w:next w:val="Normal"/>
    <w:qFormat/>
    <w:pPr>
      <w:keepNext/>
      <w:outlineLvl w:val="4"/>
    </w:pPr>
    <w:rPr>
      <w:b/>
      <w:bCs/>
      <w:sz w:val="22"/>
      <w:szCs w:val="20"/>
    </w:rPr>
  </w:style>
  <w:style w:type="paragraph" w:styleId="Heading6">
    <w:name w:val="heading 6"/>
    <w:basedOn w:val="Normal"/>
    <w:next w:val="Normal"/>
    <w:qFormat/>
    <w:rsid w:val="00390B3D"/>
    <w:pPr>
      <w:keepNext/>
      <w:spacing w:before="440"/>
      <w:outlineLvl w:val="5"/>
    </w:pPr>
    <w:rPr>
      <w:b/>
      <w:bCs/>
      <w:sz w:val="22"/>
      <w:szCs w:val="20"/>
    </w:rPr>
  </w:style>
  <w:style w:type="paragraph" w:styleId="Heading7">
    <w:name w:val="heading 7"/>
    <w:basedOn w:val="Normal"/>
    <w:next w:val="Normal"/>
    <w:qFormat/>
    <w:rsid w:val="000D0A66"/>
    <w:pPr>
      <w:keepNext/>
      <w:outlineLvl w:val="6"/>
    </w:pPr>
    <w:rPr>
      <w:b/>
      <w:bCs/>
      <w:i/>
      <w:iCs/>
      <w:sz w:val="22"/>
      <w:szCs w:val="20"/>
    </w:rPr>
  </w:style>
  <w:style w:type="paragraph" w:styleId="Heading8">
    <w:name w:val="heading 8"/>
    <w:basedOn w:val="Normal"/>
    <w:next w:val="Normal"/>
    <w:qFormat/>
    <w:rsid w:val="000D0A66"/>
    <w:pPr>
      <w:keepNext/>
      <w:ind w:left="720" w:firstLine="720"/>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cs="Arial"/>
      <w:szCs w:val="20"/>
    </w:rPr>
  </w:style>
  <w:style w:type="paragraph" w:styleId="BodyText2">
    <w:name w:val="Body Text 2"/>
    <w:basedOn w:val="Normal"/>
    <w:semiHidden/>
    <w:rPr>
      <w:sz w:val="22"/>
      <w:szCs w:val="20"/>
    </w:rPr>
  </w:style>
  <w:style w:type="paragraph" w:styleId="BodyText3">
    <w:name w:val="Body Text 3"/>
    <w:basedOn w:val="Normal"/>
    <w:semiHidden/>
    <w:rPr>
      <w:szCs w:val="20"/>
    </w:rPr>
  </w:style>
  <w:style w:type="paragraph" w:styleId="NormalWeb">
    <w:name w:val="Normal (Web)"/>
    <w:basedOn w:val="Normal"/>
    <w:uiPriority w:val="99"/>
    <w:semiHidden/>
    <w:pPr>
      <w:spacing w:before="100" w:beforeAutospacing="1" w:after="100" w:afterAutospacing="1"/>
    </w:pPr>
    <w:rPr>
      <w:rFonts w:cs="Arial"/>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sid w:val="00674F13"/>
    <w:rPr>
      <w:sz w:val="24"/>
      <w:szCs w:val="24"/>
      <w:lang w:val="en-US" w:eastAsia="en-US"/>
    </w:rPr>
  </w:style>
  <w:style w:type="character" w:customStyle="1" w:styleId="FooterChar">
    <w:name w:val="Footer Char"/>
    <w:link w:val="Footer"/>
    <w:uiPriority w:val="99"/>
    <w:rsid w:val="00674F13"/>
    <w:rPr>
      <w:sz w:val="24"/>
      <w:szCs w:val="24"/>
      <w:lang w:val="en-US" w:eastAsia="en-US"/>
    </w:rPr>
  </w:style>
  <w:style w:type="character" w:customStyle="1" w:styleId="Heading1Char">
    <w:name w:val="Heading 1 Char"/>
    <w:link w:val="Heading1"/>
    <w:uiPriority w:val="9"/>
    <w:rsid w:val="00674F13"/>
    <w:rPr>
      <w:rFonts w:ascii="Cambria" w:eastAsia="Times New Roman" w:hAnsi="Cambria" w:cs="Times New Roman"/>
      <w:b/>
      <w:bCs/>
      <w:kern w:val="32"/>
      <w:sz w:val="32"/>
      <w:szCs w:val="32"/>
      <w:lang w:val="en-US" w:eastAsia="en-US"/>
    </w:rPr>
  </w:style>
  <w:style w:type="paragraph" w:customStyle="1" w:styleId="EndNoteBibliography">
    <w:name w:val="EndNote Bibliography"/>
    <w:basedOn w:val="Normal"/>
    <w:link w:val="EndNoteBibliographyChar"/>
    <w:qFormat/>
    <w:rsid w:val="00990EF4"/>
    <w:pPr>
      <w:spacing w:after="120"/>
    </w:pPr>
    <w:rPr>
      <w:rFonts w:eastAsia="Calibri" w:cs="Arial"/>
      <w:noProof/>
      <w:szCs w:val="22"/>
    </w:rPr>
  </w:style>
  <w:style w:type="character" w:customStyle="1" w:styleId="EndNoteBibliographyChar">
    <w:name w:val="EndNote Bibliography Char"/>
    <w:link w:val="EndNoteBibliography"/>
    <w:rsid w:val="00990EF4"/>
    <w:rPr>
      <w:rFonts w:ascii="Arial" w:eastAsia="Calibri" w:hAnsi="Arial" w:cs="Arial"/>
      <w:noProof/>
      <w:szCs w:val="22"/>
      <w:lang w:val="en-AU"/>
    </w:rPr>
  </w:style>
  <w:style w:type="table" w:styleId="TableGrid">
    <w:name w:val="Table Grid"/>
    <w:basedOn w:val="TableNormal"/>
    <w:uiPriority w:val="59"/>
    <w:rsid w:val="000D0A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A6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0D0A66"/>
    <w:rPr>
      <w:color w:val="0563C1"/>
      <w:u w:val="single"/>
    </w:rPr>
  </w:style>
  <w:style w:type="paragraph" w:styleId="Caption">
    <w:name w:val="caption"/>
    <w:basedOn w:val="Normal"/>
    <w:next w:val="Normal"/>
    <w:uiPriority w:val="35"/>
    <w:unhideWhenUsed/>
    <w:qFormat/>
    <w:rsid w:val="002745AF"/>
    <w:pPr>
      <w:spacing w:before="120"/>
    </w:pPr>
    <w:rPr>
      <w:rFonts w:eastAsia="Calibri"/>
      <w:b/>
      <w:bCs/>
      <w:szCs w:val="18"/>
    </w:rPr>
  </w:style>
  <w:style w:type="character" w:styleId="PlaceholderText">
    <w:name w:val="Placeholder Text"/>
    <w:basedOn w:val="DefaultParagraphFont"/>
    <w:uiPriority w:val="99"/>
    <w:semiHidden/>
    <w:rsid w:val="00DF6B2D"/>
    <w:rPr>
      <w:color w:val="808080"/>
    </w:rPr>
  </w:style>
  <w:style w:type="paragraph" w:styleId="HTMLPreformatted">
    <w:name w:val="HTML Preformatted"/>
    <w:basedOn w:val="Normal"/>
    <w:link w:val="HTMLPreformattedChar"/>
    <w:uiPriority w:val="99"/>
    <w:semiHidden/>
    <w:unhideWhenUsed/>
    <w:rsid w:val="00A2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A247D7"/>
    <w:rPr>
      <w:rFonts w:ascii="Courier New" w:hAnsi="Courier New" w:cs="Courier New"/>
    </w:rPr>
  </w:style>
  <w:style w:type="paragraph" w:customStyle="1" w:styleId="EndNoteBibliographyTitle">
    <w:name w:val="EndNote Bibliography Title"/>
    <w:basedOn w:val="Normal"/>
    <w:link w:val="EndNoteBibliographyTitleChar"/>
    <w:rsid w:val="00A247D7"/>
    <w:pPr>
      <w:jc w:val="center"/>
    </w:pPr>
    <w:rPr>
      <w:rFonts w:cs="Arial"/>
      <w:noProof/>
    </w:rPr>
  </w:style>
  <w:style w:type="character" w:customStyle="1" w:styleId="EndNoteBibliographyTitleChar">
    <w:name w:val="EndNote Bibliography Title Char"/>
    <w:basedOn w:val="DefaultParagraphFont"/>
    <w:link w:val="EndNoteBibliographyTitle"/>
    <w:rsid w:val="00A247D7"/>
    <w:rPr>
      <w:rFonts w:ascii="Arial" w:hAnsi="Arial" w:cs="Arial"/>
      <w:noProof/>
      <w:szCs w:val="24"/>
      <w:lang w:val="en-AU"/>
    </w:rPr>
  </w:style>
  <w:style w:type="character" w:customStyle="1" w:styleId="gghfmyibcpb">
    <w:name w:val="gghfmyibcpb"/>
    <w:basedOn w:val="DefaultParagraphFont"/>
    <w:rsid w:val="00503B39"/>
  </w:style>
  <w:style w:type="character" w:customStyle="1" w:styleId="gghfmyibcob">
    <w:name w:val="gghfmyibcob"/>
    <w:basedOn w:val="DefaultParagraphFont"/>
    <w:rsid w:val="00503B39"/>
  </w:style>
  <w:style w:type="character" w:customStyle="1" w:styleId="gghfmyibgob">
    <w:name w:val="gghfmyibgob"/>
    <w:basedOn w:val="DefaultParagraphFont"/>
    <w:rsid w:val="00503B39"/>
  </w:style>
  <w:style w:type="paragraph" w:styleId="NoSpacing">
    <w:name w:val="No Spacing"/>
    <w:uiPriority w:val="1"/>
    <w:qFormat/>
    <w:rsid w:val="00B26DF2"/>
    <w:pPr>
      <w:jc w:val="both"/>
    </w:pPr>
    <w:rPr>
      <w:rFonts w:ascii="Arial" w:hAnsi="Arial"/>
      <w:szCs w:val="24"/>
    </w:rPr>
  </w:style>
  <w:style w:type="character" w:styleId="Emphasis">
    <w:name w:val="Emphasis"/>
    <w:basedOn w:val="DefaultParagraphFont"/>
    <w:uiPriority w:val="20"/>
    <w:qFormat/>
    <w:rsid w:val="007C53E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E7"/>
    <w:pPr>
      <w:spacing w:before="200"/>
      <w:jc w:val="both"/>
    </w:pPr>
    <w:rPr>
      <w:rFonts w:ascii="Arial" w:hAnsi="Arial"/>
      <w:szCs w:val="24"/>
      <w:lang w:val="en-AU"/>
    </w:rPr>
  </w:style>
  <w:style w:type="paragraph" w:styleId="Heading1">
    <w:name w:val="heading 1"/>
    <w:basedOn w:val="Normal"/>
    <w:next w:val="Normal"/>
    <w:link w:val="Heading1Char"/>
    <w:uiPriority w:val="9"/>
    <w:qFormat/>
    <w:rsid w:val="00674F13"/>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rFonts w:cs="Arial"/>
      <w:b/>
      <w:bCs/>
      <w:sz w:val="28"/>
      <w:szCs w:val="20"/>
    </w:rPr>
  </w:style>
  <w:style w:type="paragraph" w:styleId="Heading3">
    <w:name w:val="heading 3"/>
    <w:basedOn w:val="Normal"/>
    <w:next w:val="Normal"/>
    <w:qFormat/>
    <w:pPr>
      <w:keepNext/>
      <w:outlineLvl w:val="2"/>
    </w:pPr>
    <w:rPr>
      <w:rFonts w:cs="Arial"/>
      <w:b/>
      <w:bCs/>
      <w:szCs w:val="20"/>
    </w:rPr>
  </w:style>
  <w:style w:type="paragraph" w:styleId="Heading4">
    <w:name w:val="heading 4"/>
    <w:basedOn w:val="Normal"/>
    <w:next w:val="Normal"/>
    <w:qFormat/>
    <w:pPr>
      <w:keepNext/>
      <w:outlineLvl w:val="3"/>
    </w:pPr>
    <w:rPr>
      <w:b/>
      <w:bCs/>
      <w:sz w:val="22"/>
      <w:szCs w:val="20"/>
    </w:rPr>
  </w:style>
  <w:style w:type="paragraph" w:styleId="Heading5">
    <w:name w:val="heading 5"/>
    <w:basedOn w:val="Normal"/>
    <w:next w:val="Normal"/>
    <w:qFormat/>
    <w:pPr>
      <w:keepNext/>
      <w:outlineLvl w:val="4"/>
    </w:pPr>
    <w:rPr>
      <w:b/>
      <w:bCs/>
      <w:sz w:val="22"/>
      <w:szCs w:val="20"/>
    </w:rPr>
  </w:style>
  <w:style w:type="paragraph" w:styleId="Heading6">
    <w:name w:val="heading 6"/>
    <w:basedOn w:val="Normal"/>
    <w:next w:val="Normal"/>
    <w:qFormat/>
    <w:rsid w:val="00390B3D"/>
    <w:pPr>
      <w:keepNext/>
      <w:spacing w:before="440"/>
      <w:outlineLvl w:val="5"/>
    </w:pPr>
    <w:rPr>
      <w:b/>
      <w:bCs/>
      <w:sz w:val="22"/>
      <w:szCs w:val="20"/>
    </w:rPr>
  </w:style>
  <w:style w:type="paragraph" w:styleId="Heading7">
    <w:name w:val="heading 7"/>
    <w:basedOn w:val="Normal"/>
    <w:next w:val="Normal"/>
    <w:qFormat/>
    <w:rsid w:val="000D0A66"/>
    <w:pPr>
      <w:keepNext/>
      <w:outlineLvl w:val="6"/>
    </w:pPr>
    <w:rPr>
      <w:b/>
      <w:bCs/>
      <w:i/>
      <w:iCs/>
      <w:sz w:val="22"/>
      <w:szCs w:val="20"/>
    </w:rPr>
  </w:style>
  <w:style w:type="paragraph" w:styleId="Heading8">
    <w:name w:val="heading 8"/>
    <w:basedOn w:val="Normal"/>
    <w:next w:val="Normal"/>
    <w:qFormat/>
    <w:rsid w:val="000D0A66"/>
    <w:pPr>
      <w:keepNext/>
      <w:ind w:left="720" w:firstLine="720"/>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cs="Arial"/>
      <w:szCs w:val="20"/>
    </w:rPr>
  </w:style>
  <w:style w:type="paragraph" w:styleId="BodyText2">
    <w:name w:val="Body Text 2"/>
    <w:basedOn w:val="Normal"/>
    <w:semiHidden/>
    <w:rPr>
      <w:sz w:val="22"/>
      <w:szCs w:val="20"/>
    </w:rPr>
  </w:style>
  <w:style w:type="paragraph" w:styleId="BodyText3">
    <w:name w:val="Body Text 3"/>
    <w:basedOn w:val="Normal"/>
    <w:semiHidden/>
    <w:rPr>
      <w:szCs w:val="20"/>
    </w:rPr>
  </w:style>
  <w:style w:type="paragraph" w:styleId="NormalWeb">
    <w:name w:val="Normal (Web)"/>
    <w:basedOn w:val="Normal"/>
    <w:uiPriority w:val="99"/>
    <w:semiHidden/>
    <w:pPr>
      <w:spacing w:before="100" w:beforeAutospacing="1" w:after="100" w:afterAutospacing="1"/>
    </w:pPr>
    <w:rPr>
      <w:rFonts w:cs="Arial"/>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sid w:val="00674F13"/>
    <w:rPr>
      <w:sz w:val="24"/>
      <w:szCs w:val="24"/>
      <w:lang w:val="en-US" w:eastAsia="en-US"/>
    </w:rPr>
  </w:style>
  <w:style w:type="character" w:customStyle="1" w:styleId="FooterChar">
    <w:name w:val="Footer Char"/>
    <w:link w:val="Footer"/>
    <w:uiPriority w:val="99"/>
    <w:rsid w:val="00674F13"/>
    <w:rPr>
      <w:sz w:val="24"/>
      <w:szCs w:val="24"/>
      <w:lang w:val="en-US" w:eastAsia="en-US"/>
    </w:rPr>
  </w:style>
  <w:style w:type="character" w:customStyle="1" w:styleId="Heading1Char">
    <w:name w:val="Heading 1 Char"/>
    <w:link w:val="Heading1"/>
    <w:uiPriority w:val="9"/>
    <w:rsid w:val="00674F13"/>
    <w:rPr>
      <w:rFonts w:ascii="Cambria" w:eastAsia="Times New Roman" w:hAnsi="Cambria" w:cs="Times New Roman"/>
      <w:b/>
      <w:bCs/>
      <w:kern w:val="32"/>
      <w:sz w:val="32"/>
      <w:szCs w:val="32"/>
      <w:lang w:val="en-US" w:eastAsia="en-US"/>
    </w:rPr>
  </w:style>
  <w:style w:type="paragraph" w:customStyle="1" w:styleId="EndNoteBibliography">
    <w:name w:val="EndNote Bibliography"/>
    <w:basedOn w:val="Normal"/>
    <w:link w:val="EndNoteBibliographyChar"/>
    <w:qFormat/>
    <w:rsid w:val="00990EF4"/>
    <w:pPr>
      <w:spacing w:after="120"/>
    </w:pPr>
    <w:rPr>
      <w:rFonts w:eastAsia="Calibri" w:cs="Arial"/>
      <w:noProof/>
      <w:szCs w:val="22"/>
    </w:rPr>
  </w:style>
  <w:style w:type="character" w:customStyle="1" w:styleId="EndNoteBibliographyChar">
    <w:name w:val="EndNote Bibliography Char"/>
    <w:link w:val="EndNoteBibliography"/>
    <w:rsid w:val="00990EF4"/>
    <w:rPr>
      <w:rFonts w:ascii="Arial" w:eastAsia="Calibri" w:hAnsi="Arial" w:cs="Arial"/>
      <w:noProof/>
      <w:szCs w:val="22"/>
      <w:lang w:val="en-AU"/>
    </w:rPr>
  </w:style>
  <w:style w:type="table" w:styleId="TableGrid">
    <w:name w:val="Table Grid"/>
    <w:basedOn w:val="TableNormal"/>
    <w:uiPriority w:val="59"/>
    <w:rsid w:val="000D0A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A6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0D0A66"/>
    <w:rPr>
      <w:color w:val="0563C1"/>
      <w:u w:val="single"/>
    </w:rPr>
  </w:style>
  <w:style w:type="paragraph" w:styleId="Caption">
    <w:name w:val="caption"/>
    <w:basedOn w:val="Normal"/>
    <w:next w:val="Normal"/>
    <w:uiPriority w:val="35"/>
    <w:unhideWhenUsed/>
    <w:qFormat/>
    <w:rsid w:val="002745AF"/>
    <w:pPr>
      <w:spacing w:before="120"/>
    </w:pPr>
    <w:rPr>
      <w:rFonts w:eastAsia="Calibri"/>
      <w:b/>
      <w:bCs/>
      <w:szCs w:val="18"/>
    </w:rPr>
  </w:style>
  <w:style w:type="character" w:styleId="PlaceholderText">
    <w:name w:val="Placeholder Text"/>
    <w:basedOn w:val="DefaultParagraphFont"/>
    <w:uiPriority w:val="99"/>
    <w:semiHidden/>
    <w:rsid w:val="00DF6B2D"/>
    <w:rPr>
      <w:color w:val="808080"/>
    </w:rPr>
  </w:style>
  <w:style w:type="paragraph" w:styleId="HTMLPreformatted">
    <w:name w:val="HTML Preformatted"/>
    <w:basedOn w:val="Normal"/>
    <w:link w:val="HTMLPreformattedChar"/>
    <w:uiPriority w:val="99"/>
    <w:semiHidden/>
    <w:unhideWhenUsed/>
    <w:rsid w:val="00A2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A247D7"/>
    <w:rPr>
      <w:rFonts w:ascii="Courier New" w:hAnsi="Courier New" w:cs="Courier New"/>
    </w:rPr>
  </w:style>
  <w:style w:type="paragraph" w:customStyle="1" w:styleId="EndNoteBibliographyTitle">
    <w:name w:val="EndNote Bibliography Title"/>
    <w:basedOn w:val="Normal"/>
    <w:link w:val="EndNoteBibliographyTitleChar"/>
    <w:rsid w:val="00A247D7"/>
    <w:pPr>
      <w:jc w:val="center"/>
    </w:pPr>
    <w:rPr>
      <w:rFonts w:cs="Arial"/>
      <w:noProof/>
    </w:rPr>
  </w:style>
  <w:style w:type="character" w:customStyle="1" w:styleId="EndNoteBibliographyTitleChar">
    <w:name w:val="EndNote Bibliography Title Char"/>
    <w:basedOn w:val="DefaultParagraphFont"/>
    <w:link w:val="EndNoteBibliographyTitle"/>
    <w:rsid w:val="00A247D7"/>
    <w:rPr>
      <w:rFonts w:ascii="Arial" w:hAnsi="Arial" w:cs="Arial"/>
      <w:noProof/>
      <w:szCs w:val="24"/>
      <w:lang w:val="en-AU"/>
    </w:rPr>
  </w:style>
  <w:style w:type="character" w:customStyle="1" w:styleId="gghfmyibcpb">
    <w:name w:val="gghfmyibcpb"/>
    <w:basedOn w:val="DefaultParagraphFont"/>
    <w:rsid w:val="00503B39"/>
  </w:style>
  <w:style w:type="character" w:customStyle="1" w:styleId="gghfmyibcob">
    <w:name w:val="gghfmyibcob"/>
    <w:basedOn w:val="DefaultParagraphFont"/>
    <w:rsid w:val="00503B39"/>
  </w:style>
  <w:style w:type="character" w:customStyle="1" w:styleId="gghfmyibgob">
    <w:name w:val="gghfmyibgob"/>
    <w:basedOn w:val="DefaultParagraphFont"/>
    <w:rsid w:val="00503B39"/>
  </w:style>
  <w:style w:type="paragraph" w:styleId="NoSpacing">
    <w:name w:val="No Spacing"/>
    <w:uiPriority w:val="1"/>
    <w:qFormat/>
    <w:rsid w:val="00B26DF2"/>
    <w:pPr>
      <w:jc w:val="both"/>
    </w:pPr>
    <w:rPr>
      <w:rFonts w:ascii="Arial" w:hAnsi="Arial"/>
      <w:szCs w:val="24"/>
    </w:rPr>
  </w:style>
  <w:style w:type="character" w:styleId="Emphasis">
    <w:name w:val="Emphasis"/>
    <w:basedOn w:val="DefaultParagraphFont"/>
    <w:uiPriority w:val="20"/>
    <w:qFormat/>
    <w:rsid w:val="007C5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29133">
      <w:bodyDiv w:val="1"/>
      <w:marLeft w:val="0"/>
      <w:marRight w:val="0"/>
      <w:marTop w:val="0"/>
      <w:marBottom w:val="0"/>
      <w:divBdr>
        <w:top w:val="none" w:sz="0" w:space="0" w:color="auto"/>
        <w:left w:val="none" w:sz="0" w:space="0" w:color="auto"/>
        <w:bottom w:val="none" w:sz="0" w:space="0" w:color="auto"/>
        <w:right w:val="none" w:sz="0" w:space="0" w:color="auto"/>
      </w:divBdr>
    </w:div>
    <w:div w:id="701827579">
      <w:bodyDiv w:val="1"/>
      <w:marLeft w:val="0"/>
      <w:marRight w:val="0"/>
      <w:marTop w:val="0"/>
      <w:marBottom w:val="0"/>
      <w:divBdr>
        <w:top w:val="none" w:sz="0" w:space="0" w:color="auto"/>
        <w:left w:val="none" w:sz="0" w:space="0" w:color="auto"/>
        <w:bottom w:val="none" w:sz="0" w:space="0" w:color="auto"/>
        <w:right w:val="none" w:sz="0" w:space="0" w:color="auto"/>
      </w:divBdr>
    </w:div>
    <w:div w:id="924463037">
      <w:bodyDiv w:val="1"/>
      <w:marLeft w:val="0"/>
      <w:marRight w:val="0"/>
      <w:marTop w:val="0"/>
      <w:marBottom w:val="0"/>
      <w:divBdr>
        <w:top w:val="none" w:sz="0" w:space="0" w:color="auto"/>
        <w:left w:val="none" w:sz="0" w:space="0" w:color="auto"/>
        <w:bottom w:val="none" w:sz="0" w:space="0" w:color="auto"/>
        <w:right w:val="none" w:sz="0" w:space="0" w:color="auto"/>
      </w:divBdr>
      <w:divsChild>
        <w:div w:id="1219130848">
          <w:marLeft w:val="0"/>
          <w:marRight w:val="0"/>
          <w:marTop w:val="0"/>
          <w:marBottom w:val="0"/>
          <w:divBdr>
            <w:top w:val="none" w:sz="0" w:space="0" w:color="auto"/>
            <w:left w:val="none" w:sz="0" w:space="0" w:color="auto"/>
            <w:bottom w:val="none" w:sz="0" w:space="0" w:color="auto"/>
            <w:right w:val="none" w:sz="0" w:space="0" w:color="auto"/>
          </w:divBdr>
          <w:divsChild>
            <w:div w:id="201945668">
              <w:marLeft w:val="0"/>
              <w:marRight w:val="0"/>
              <w:marTop w:val="0"/>
              <w:marBottom w:val="0"/>
              <w:divBdr>
                <w:top w:val="none" w:sz="0" w:space="0" w:color="auto"/>
                <w:left w:val="none" w:sz="0" w:space="0" w:color="auto"/>
                <w:bottom w:val="none" w:sz="0" w:space="0" w:color="auto"/>
                <w:right w:val="none" w:sz="0" w:space="0" w:color="auto"/>
              </w:divBdr>
              <w:divsChild>
                <w:div w:id="1983460533">
                  <w:marLeft w:val="0"/>
                  <w:marRight w:val="0"/>
                  <w:marTop w:val="0"/>
                  <w:marBottom w:val="0"/>
                  <w:divBdr>
                    <w:top w:val="none" w:sz="0" w:space="0" w:color="auto"/>
                    <w:left w:val="none" w:sz="0" w:space="0" w:color="auto"/>
                    <w:bottom w:val="none" w:sz="0" w:space="0" w:color="auto"/>
                    <w:right w:val="none" w:sz="0" w:space="0" w:color="auto"/>
                  </w:divBdr>
                  <w:divsChild>
                    <w:div w:id="1635256991">
                      <w:marLeft w:val="0"/>
                      <w:marRight w:val="0"/>
                      <w:marTop w:val="0"/>
                      <w:marBottom w:val="0"/>
                      <w:divBdr>
                        <w:top w:val="none" w:sz="0" w:space="0" w:color="auto"/>
                        <w:left w:val="none" w:sz="0" w:space="0" w:color="auto"/>
                        <w:bottom w:val="none" w:sz="0" w:space="0" w:color="auto"/>
                        <w:right w:val="none" w:sz="0" w:space="0" w:color="auto"/>
                      </w:divBdr>
                      <w:divsChild>
                        <w:div w:id="1831213030">
                          <w:marLeft w:val="0"/>
                          <w:marRight w:val="0"/>
                          <w:marTop w:val="0"/>
                          <w:marBottom w:val="0"/>
                          <w:divBdr>
                            <w:top w:val="none" w:sz="0" w:space="0" w:color="auto"/>
                            <w:left w:val="none" w:sz="0" w:space="0" w:color="auto"/>
                            <w:bottom w:val="none" w:sz="0" w:space="0" w:color="auto"/>
                            <w:right w:val="none" w:sz="0" w:space="0" w:color="auto"/>
                          </w:divBdr>
                          <w:divsChild>
                            <w:div w:id="1000042810">
                              <w:marLeft w:val="0"/>
                              <w:marRight w:val="0"/>
                              <w:marTop w:val="0"/>
                              <w:marBottom w:val="0"/>
                              <w:divBdr>
                                <w:top w:val="none" w:sz="0" w:space="0" w:color="auto"/>
                                <w:left w:val="none" w:sz="0" w:space="0" w:color="auto"/>
                                <w:bottom w:val="none" w:sz="0" w:space="0" w:color="auto"/>
                                <w:right w:val="none" w:sz="0" w:space="0" w:color="auto"/>
                              </w:divBdr>
                              <w:divsChild>
                                <w:div w:id="427971124">
                                  <w:marLeft w:val="0"/>
                                  <w:marRight w:val="0"/>
                                  <w:marTop w:val="0"/>
                                  <w:marBottom w:val="0"/>
                                  <w:divBdr>
                                    <w:top w:val="none" w:sz="0" w:space="0" w:color="auto"/>
                                    <w:left w:val="none" w:sz="0" w:space="0" w:color="auto"/>
                                    <w:bottom w:val="none" w:sz="0" w:space="0" w:color="auto"/>
                                    <w:right w:val="none" w:sz="0" w:space="0" w:color="auto"/>
                                  </w:divBdr>
                                  <w:divsChild>
                                    <w:div w:id="590821040">
                                      <w:marLeft w:val="0"/>
                                      <w:marRight w:val="0"/>
                                      <w:marTop w:val="0"/>
                                      <w:marBottom w:val="0"/>
                                      <w:divBdr>
                                        <w:top w:val="none" w:sz="0" w:space="0" w:color="auto"/>
                                        <w:left w:val="none" w:sz="0" w:space="0" w:color="auto"/>
                                        <w:bottom w:val="none" w:sz="0" w:space="0" w:color="auto"/>
                                        <w:right w:val="none" w:sz="0" w:space="0" w:color="auto"/>
                                      </w:divBdr>
                                      <w:divsChild>
                                        <w:div w:id="1203518082">
                                          <w:marLeft w:val="0"/>
                                          <w:marRight w:val="0"/>
                                          <w:marTop w:val="0"/>
                                          <w:marBottom w:val="0"/>
                                          <w:divBdr>
                                            <w:top w:val="none" w:sz="0" w:space="0" w:color="auto"/>
                                            <w:left w:val="none" w:sz="0" w:space="0" w:color="auto"/>
                                            <w:bottom w:val="none" w:sz="0" w:space="0" w:color="auto"/>
                                            <w:right w:val="none" w:sz="0" w:space="0" w:color="auto"/>
                                          </w:divBdr>
                                          <w:divsChild>
                                            <w:div w:id="15268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604471">
      <w:bodyDiv w:val="1"/>
      <w:marLeft w:val="0"/>
      <w:marRight w:val="0"/>
      <w:marTop w:val="0"/>
      <w:marBottom w:val="0"/>
      <w:divBdr>
        <w:top w:val="none" w:sz="0" w:space="0" w:color="auto"/>
        <w:left w:val="none" w:sz="0" w:space="0" w:color="auto"/>
        <w:bottom w:val="none" w:sz="0" w:space="0" w:color="auto"/>
        <w:right w:val="none" w:sz="0" w:space="0" w:color="auto"/>
      </w:divBdr>
    </w:div>
    <w:div w:id="1258251609">
      <w:bodyDiv w:val="1"/>
      <w:marLeft w:val="0"/>
      <w:marRight w:val="0"/>
      <w:marTop w:val="0"/>
      <w:marBottom w:val="0"/>
      <w:divBdr>
        <w:top w:val="none" w:sz="0" w:space="0" w:color="auto"/>
        <w:left w:val="none" w:sz="0" w:space="0" w:color="auto"/>
        <w:bottom w:val="none" w:sz="0" w:space="0" w:color="auto"/>
        <w:right w:val="none" w:sz="0" w:space="0" w:color="auto"/>
      </w:divBdr>
    </w:div>
    <w:div w:id="1275791910">
      <w:bodyDiv w:val="1"/>
      <w:marLeft w:val="0"/>
      <w:marRight w:val="0"/>
      <w:marTop w:val="0"/>
      <w:marBottom w:val="0"/>
      <w:divBdr>
        <w:top w:val="none" w:sz="0" w:space="0" w:color="auto"/>
        <w:left w:val="none" w:sz="0" w:space="0" w:color="auto"/>
        <w:bottom w:val="none" w:sz="0" w:space="0" w:color="auto"/>
        <w:right w:val="none" w:sz="0" w:space="0" w:color="auto"/>
      </w:divBdr>
      <w:divsChild>
        <w:div w:id="1450975453">
          <w:marLeft w:val="0"/>
          <w:marRight w:val="0"/>
          <w:marTop w:val="0"/>
          <w:marBottom w:val="0"/>
          <w:divBdr>
            <w:top w:val="none" w:sz="0" w:space="0" w:color="auto"/>
            <w:left w:val="none" w:sz="0" w:space="0" w:color="auto"/>
            <w:bottom w:val="none" w:sz="0" w:space="0" w:color="auto"/>
            <w:right w:val="none" w:sz="0" w:space="0" w:color="auto"/>
          </w:divBdr>
          <w:divsChild>
            <w:div w:id="1671787177">
              <w:marLeft w:val="0"/>
              <w:marRight w:val="0"/>
              <w:marTop w:val="0"/>
              <w:marBottom w:val="0"/>
              <w:divBdr>
                <w:top w:val="single" w:sz="2" w:space="0" w:color="E2E2DD"/>
                <w:left w:val="single" w:sz="6" w:space="19" w:color="E2E2DD"/>
                <w:bottom w:val="single" w:sz="2" w:space="0" w:color="E2E2DD"/>
                <w:right w:val="single" w:sz="6" w:space="19" w:color="E2E2DD"/>
              </w:divBdr>
              <w:divsChild>
                <w:div w:id="398945243">
                  <w:marLeft w:val="0"/>
                  <w:marRight w:val="300"/>
                  <w:marTop w:val="0"/>
                  <w:marBottom w:val="300"/>
                  <w:divBdr>
                    <w:top w:val="none" w:sz="0" w:space="0" w:color="auto"/>
                    <w:left w:val="none" w:sz="0" w:space="0" w:color="auto"/>
                    <w:bottom w:val="none" w:sz="0" w:space="0" w:color="auto"/>
                    <w:right w:val="none" w:sz="0" w:space="0" w:color="auto"/>
                  </w:divBdr>
                  <w:divsChild>
                    <w:div w:id="610820417">
                      <w:marLeft w:val="0"/>
                      <w:marRight w:val="0"/>
                      <w:marTop w:val="0"/>
                      <w:marBottom w:val="0"/>
                      <w:divBdr>
                        <w:top w:val="none" w:sz="0" w:space="0" w:color="auto"/>
                        <w:left w:val="none" w:sz="0" w:space="0" w:color="auto"/>
                        <w:bottom w:val="none" w:sz="0" w:space="0" w:color="auto"/>
                        <w:right w:val="none" w:sz="0" w:space="0" w:color="auto"/>
                      </w:divBdr>
                      <w:divsChild>
                        <w:div w:id="2436046">
                          <w:marLeft w:val="0"/>
                          <w:marRight w:val="0"/>
                          <w:marTop w:val="0"/>
                          <w:marBottom w:val="0"/>
                          <w:divBdr>
                            <w:top w:val="none" w:sz="0" w:space="0" w:color="auto"/>
                            <w:left w:val="none" w:sz="0" w:space="0" w:color="auto"/>
                            <w:bottom w:val="none" w:sz="0" w:space="0" w:color="auto"/>
                            <w:right w:val="none" w:sz="0" w:space="0" w:color="auto"/>
                          </w:divBdr>
                        </w:div>
                        <w:div w:id="2102295571">
                          <w:marLeft w:val="150"/>
                          <w:marRight w:val="0"/>
                          <w:marTop w:val="150"/>
                          <w:marBottom w:val="150"/>
                          <w:divBdr>
                            <w:top w:val="none" w:sz="0" w:space="0" w:color="auto"/>
                            <w:left w:val="none" w:sz="0" w:space="0" w:color="auto"/>
                            <w:bottom w:val="none" w:sz="0" w:space="0" w:color="auto"/>
                            <w:right w:val="none" w:sz="0" w:space="0" w:color="auto"/>
                          </w:divBdr>
                        </w:div>
                      </w:divsChild>
                    </w:div>
                    <w:div w:id="1113280554">
                      <w:marLeft w:val="0"/>
                      <w:marRight w:val="0"/>
                      <w:marTop w:val="192"/>
                      <w:marBottom w:val="0"/>
                      <w:divBdr>
                        <w:top w:val="none" w:sz="0" w:space="0" w:color="auto"/>
                        <w:left w:val="none" w:sz="0" w:space="0" w:color="auto"/>
                        <w:bottom w:val="none" w:sz="0" w:space="0" w:color="auto"/>
                        <w:right w:val="none" w:sz="0" w:space="0" w:color="auto"/>
                      </w:divBdr>
                      <w:divsChild>
                        <w:div w:id="472530887">
                          <w:marLeft w:val="0"/>
                          <w:marRight w:val="0"/>
                          <w:marTop w:val="0"/>
                          <w:marBottom w:val="0"/>
                          <w:divBdr>
                            <w:top w:val="none" w:sz="0" w:space="0" w:color="auto"/>
                            <w:left w:val="none" w:sz="0" w:space="0" w:color="auto"/>
                            <w:bottom w:val="none" w:sz="0" w:space="0" w:color="auto"/>
                            <w:right w:val="none" w:sz="0" w:space="0" w:color="auto"/>
                          </w:divBdr>
                          <w:divsChild>
                            <w:div w:id="967125613">
                              <w:marLeft w:val="0"/>
                              <w:marRight w:val="0"/>
                              <w:marTop w:val="0"/>
                              <w:marBottom w:val="480"/>
                              <w:divBdr>
                                <w:top w:val="dotted" w:sz="6" w:space="5" w:color="DCDCDC"/>
                                <w:left w:val="none" w:sz="0" w:space="0" w:color="auto"/>
                                <w:bottom w:val="single" w:sz="6" w:space="1" w:color="DCDCDC"/>
                                <w:right w:val="none" w:sz="0" w:space="0" w:color="auto"/>
                              </w:divBdr>
                              <w:divsChild>
                                <w:div w:id="206182029">
                                  <w:marLeft w:val="0"/>
                                  <w:marRight w:val="0"/>
                                  <w:marTop w:val="0"/>
                                  <w:marBottom w:val="0"/>
                                  <w:divBdr>
                                    <w:top w:val="none" w:sz="0" w:space="0" w:color="auto"/>
                                    <w:left w:val="none" w:sz="0" w:space="0" w:color="auto"/>
                                    <w:bottom w:val="single" w:sz="12" w:space="0" w:color="CCCCCC"/>
                                    <w:right w:val="none" w:sz="0" w:space="0" w:color="auto"/>
                                  </w:divBdr>
                                </w:div>
                              </w:divsChild>
                            </w:div>
                          </w:divsChild>
                        </w:div>
                      </w:divsChild>
                    </w:div>
                  </w:divsChild>
                </w:div>
              </w:divsChild>
            </w:div>
          </w:divsChild>
        </w:div>
      </w:divsChild>
    </w:div>
    <w:div w:id="1381906415">
      <w:bodyDiv w:val="1"/>
      <w:marLeft w:val="0"/>
      <w:marRight w:val="0"/>
      <w:marTop w:val="0"/>
      <w:marBottom w:val="0"/>
      <w:divBdr>
        <w:top w:val="none" w:sz="0" w:space="0" w:color="auto"/>
        <w:left w:val="none" w:sz="0" w:space="0" w:color="auto"/>
        <w:bottom w:val="none" w:sz="0" w:space="0" w:color="auto"/>
        <w:right w:val="none" w:sz="0" w:space="0" w:color="auto"/>
      </w:divBdr>
    </w:div>
    <w:div w:id="18450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www.home-water-works.org/indoor-use/clothes-washer" TargetMode="External"/><Relationship Id="rId14" Type="http://schemas.openxmlformats.org/officeDocument/2006/relationships/hyperlink" Target="https://www.iconwater.com.au/Community-and-Education/Our-projects/Water%20Security%20Projects/Enlarged-Cotter-Dam.aspx"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332E-B953-0247-AF5B-2E3ED120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10751</Words>
  <Characters>61283</Characters>
  <Application>Microsoft Macintosh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Concrete 2007 - Final Paper Template</vt:lpstr>
    </vt:vector>
  </TitlesOfParts>
  <Company>Plevin and Associates</Company>
  <LinksUpToDate>false</LinksUpToDate>
  <CharactersWithSpaces>71891</CharactersWithSpaces>
  <SharedDoc>false</SharedDoc>
  <HLinks>
    <vt:vector size="18" baseType="variant">
      <vt:variant>
        <vt:i4>7143535</vt:i4>
      </vt:variant>
      <vt:variant>
        <vt:i4>81</vt:i4>
      </vt:variant>
      <vt:variant>
        <vt:i4>0</vt:i4>
      </vt:variant>
      <vt:variant>
        <vt:i4>5</vt:i4>
      </vt:variant>
      <vt:variant>
        <vt:lpwstr>https://www.iconwater.com.au/Community-and-Education/Our-projects/Water Security Projects/Enlarged-Cotter-Dam.aspx</vt:lpwstr>
      </vt:variant>
      <vt:variant>
        <vt:lpwstr/>
      </vt:variant>
      <vt:variant>
        <vt:i4>1966106</vt:i4>
      </vt:variant>
      <vt:variant>
        <vt:i4>71</vt:i4>
      </vt:variant>
      <vt:variant>
        <vt:i4>0</vt:i4>
      </vt:variant>
      <vt:variant>
        <vt:i4>5</vt:i4>
      </vt:variant>
      <vt:variant>
        <vt:lpwstr>https://www.researchgate.net/figure/237489422_fig1_Figure-1-Indicative-average-'actual'-shower-flow-rates-compared-to-the-capacity-flow</vt:lpwstr>
      </vt:variant>
      <vt:variant>
        <vt:lpwstr/>
      </vt:variant>
      <vt:variant>
        <vt:i4>7864430</vt:i4>
      </vt:variant>
      <vt:variant>
        <vt:i4>68</vt:i4>
      </vt:variant>
      <vt:variant>
        <vt:i4>0</vt:i4>
      </vt:variant>
      <vt:variant>
        <vt:i4>5</vt:i4>
      </vt:variant>
      <vt:variant>
        <vt:lpwstr>http://www.waterrating.gov.au/sitecollectionimages/publications/2012/10/108/water-efficient-toilets.pdf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2007 - Final Paper Template</dc:title>
  <dc:subject/>
  <dc:creator>Phil</dc:creator>
  <cp:keywords/>
  <cp:lastModifiedBy>Lesley K  Woods</cp:lastModifiedBy>
  <cp:revision>4</cp:revision>
  <cp:lastPrinted>2017-07-14T05:19:00Z</cp:lastPrinted>
  <dcterms:created xsi:type="dcterms:W3CDTF">2017-07-26T06:37:00Z</dcterms:created>
  <dcterms:modified xsi:type="dcterms:W3CDTF">2018-03-26T00:31:00Z</dcterms:modified>
</cp:coreProperties>
</file>