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4C542" w14:textId="77777777" w:rsidR="00A833AB" w:rsidRPr="00EE109C" w:rsidRDefault="00A833AB" w:rsidP="000F60E8">
      <w:pPr>
        <w:pStyle w:val="Heading2"/>
        <w:jc w:val="center"/>
        <w:rPr>
          <w:sz w:val="28"/>
          <w:szCs w:val="28"/>
          <w:lang w:val="en-US"/>
        </w:rPr>
      </w:pPr>
      <w:r>
        <w:rPr>
          <w:sz w:val="28"/>
          <w:szCs w:val="28"/>
          <w:lang w:val="en-US"/>
        </w:rPr>
        <w:t>Metro-</w:t>
      </w:r>
      <w:bookmarkStart w:id="0" w:name="_GoBack"/>
      <w:r>
        <w:rPr>
          <w:sz w:val="28"/>
          <w:szCs w:val="28"/>
          <w:lang w:val="en-US"/>
        </w:rPr>
        <w:t xml:space="preserve">bound </w:t>
      </w:r>
      <w:bookmarkEnd w:id="0"/>
      <w:r>
        <w:rPr>
          <w:sz w:val="28"/>
          <w:szCs w:val="28"/>
          <w:lang w:val="en-US"/>
        </w:rPr>
        <w:t>commuting and regional development: evidence from Victoria</w:t>
      </w:r>
    </w:p>
    <w:p w14:paraId="2D751A77" w14:textId="77777777" w:rsidR="003B427D" w:rsidRDefault="003B427D" w:rsidP="003B427D">
      <w:pPr>
        <w:spacing w:after="0"/>
        <w:jc w:val="center"/>
        <w:rPr>
          <w:lang w:val="en-US"/>
        </w:rPr>
      </w:pPr>
      <w:r>
        <w:rPr>
          <w:lang w:val="en-US"/>
        </w:rPr>
        <w:t>Todd Denham</w:t>
      </w:r>
    </w:p>
    <w:p w14:paraId="7550625E" w14:textId="0C80ED2B" w:rsidR="00A833AB" w:rsidRPr="003B427D" w:rsidRDefault="003B427D" w:rsidP="003B427D">
      <w:pPr>
        <w:spacing w:before="0"/>
        <w:jc w:val="center"/>
        <w:rPr>
          <w:lang w:val="en-US"/>
        </w:rPr>
      </w:pPr>
      <w:r>
        <w:rPr>
          <w:lang w:val="en-US"/>
        </w:rPr>
        <w:t>Centre for Urban Research, RMIT University</w:t>
      </w:r>
    </w:p>
    <w:p w14:paraId="68820E32" w14:textId="545DEBB2" w:rsidR="00C534E1" w:rsidRDefault="00C534E1" w:rsidP="000F60E8">
      <w:r>
        <w:t xml:space="preserve">I would like to be considered for the </w:t>
      </w:r>
      <w:r w:rsidRPr="00C534E1">
        <w:t>Peter Harrison Memorial Prize</w:t>
      </w:r>
      <w:r>
        <w:t xml:space="preserve"> for PhD students.</w:t>
      </w:r>
    </w:p>
    <w:p w14:paraId="27DAB7D8" w14:textId="77777777" w:rsidR="00A833AB" w:rsidRDefault="00A833AB" w:rsidP="000F60E8">
      <w:r w:rsidRPr="00C534E1">
        <w:rPr>
          <w:b/>
        </w:rPr>
        <w:t>Abstract:</w:t>
      </w:r>
      <w:r>
        <w:t xml:space="preserve"> Metro-bound commuters are people who live in regional areas and travel to major cities for work, connecting regional cities and towns with the major cities and their prospering economies.  As governments invest in regional transport infrastructure, as well as become concerned about spatial inequity, how regional development outcomes can be obtained from metro-bound commuting is an important question.  Analysis of the 2006 and 2011 census data for Melbourne and regional Victoria indicates that while the growth in metro-bound commuting was marginal, there was an important transition from people commuting to outer suburban work in factories and warehouses, to commuting to inner city office work. Th</w:t>
      </w:r>
      <w:r w:rsidR="000F60E8">
        <w:t>i</w:t>
      </w:r>
      <w:r>
        <w:t xml:space="preserve">s article presents an introduction to metro-bound commuting in Victoria, providing the basis for further research into how regional fortunes may be improved as a result of the growth in this section of the community.  </w:t>
      </w:r>
    </w:p>
    <w:p w14:paraId="0CCBB183" w14:textId="77777777" w:rsidR="00A833AB" w:rsidRDefault="00A833AB" w:rsidP="000F60E8">
      <w:pPr>
        <w:pStyle w:val="Heading2"/>
      </w:pPr>
      <w:r>
        <w:t>Key words:</w:t>
      </w:r>
    </w:p>
    <w:p w14:paraId="7D65B279" w14:textId="77777777" w:rsidR="00A833AB" w:rsidRDefault="00A833AB">
      <w:r>
        <w:t>Commuting; regional development; transport; spatial inequity</w:t>
      </w:r>
    </w:p>
    <w:p w14:paraId="417CBB87" w14:textId="77777777" w:rsidR="00A833AB" w:rsidRDefault="00A833AB" w:rsidP="000F60E8">
      <w:pPr>
        <w:pStyle w:val="Heading2"/>
      </w:pPr>
      <w:r>
        <w:t>Introduction</w:t>
      </w:r>
    </w:p>
    <w:p w14:paraId="6932EF59" w14:textId="77777777" w:rsidR="00A833AB" w:rsidRDefault="000F60E8" w:rsidP="000F60E8">
      <w:r>
        <w:t>In the state of</w:t>
      </w:r>
      <w:r w:rsidR="00A833AB">
        <w:t xml:space="preserve"> Victoria </w:t>
      </w:r>
      <w:r>
        <w:t xml:space="preserve">the idea of moving out of Melbourne to regional areas </w:t>
      </w:r>
      <w:r w:rsidR="00A833AB">
        <w:t xml:space="preserve">seems to be having a moment in the sun, with a spate of newspaper articles regarding regional living in recent times, focusing in particular on real estate, commuting and lifestyles </w:t>
      </w:r>
      <w:r w:rsidR="00A833AB">
        <w:rPr>
          <w:noProof/>
        </w:rPr>
        <w:t>(Delany 2016; Lucas 2016; Morris-Marr 2016; Power 2016; Robb 2016; Zhou 2016)</w:t>
      </w:r>
      <w:r w:rsidR="00A833AB">
        <w:t xml:space="preserve">. The central highlands town of Castlemaine has become known as ‘North Northcote’ due to the steady stream of people relocating from Melbourne, including people who continue to work in Melbourne </w:t>
      </w:r>
      <w:r w:rsidR="00A833AB">
        <w:rPr>
          <w:noProof/>
        </w:rPr>
        <w:t>(Butt 2011; Costello 2007, 2009; Dobbin 2009)</w:t>
      </w:r>
      <w:r w:rsidR="00A833AB">
        <w:t xml:space="preserve">. The State Government is also interested in regional development, “rebalancing the growth” is a direction within </w:t>
      </w:r>
      <w:r>
        <w:t xml:space="preserve">the latest metropolitan planning strategy, </w:t>
      </w:r>
      <w:r w:rsidR="00A833AB">
        <w:rPr>
          <w:i/>
        </w:rPr>
        <w:t xml:space="preserve">Plan Melbourne </w:t>
      </w:r>
      <w:r w:rsidR="00A833AB">
        <w:rPr>
          <w:noProof/>
        </w:rPr>
        <w:t>(Department of Transport Planning and Local Infrastructure 2014, p. 155)</w:t>
      </w:r>
      <w:r w:rsidR="00A833AB">
        <w:t>. There is also an ongoing program of regional rail investments</w:t>
      </w:r>
      <w:proofErr w:type="gramStart"/>
      <w:r w:rsidR="00A833AB">
        <w:t>, that commenced with the Regional Fast Rail project in the early 2000s, with a recent proposal calling for a ‘commuter style’ service from the regional cities</w:t>
      </w:r>
      <w:proofErr w:type="gramEnd"/>
      <w:r w:rsidR="00A833AB">
        <w:t xml:space="preserve"> </w:t>
      </w:r>
      <w:r w:rsidR="00A833AB">
        <w:rPr>
          <w:noProof/>
        </w:rPr>
        <w:t>(Department of Economic Development Jobs Transport and Resources 2016, 2017)</w:t>
      </w:r>
      <w:r w:rsidR="00A833AB">
        <w:t xml:space="preserve">. The State Opposition is also concerned with issues of population distribution within Victoria and established the </w:t>
      </w:r>
      <w:r w:rsidR="00A833AB">
        <w:rPr>
          <w:noProof/>
        </w:rPr>
        <w:t>Victorian Population Policy Taskforce (2016)</w:t>
      </w:r>
      <w:r w:rsidR="00A833AB">
        <w:t xml:space="preserve"> to work on strategies to “</w:t>
      </w:r>
      <w:r w:rsidR="00A833AB" w:rsidRPr="00F17821">
        <w:t>incentivise our regions to grow and encourage people to live and work in regional Victoria</w:t>
      </w:r>
      <w:r w:rsidR="00A833AB">
        <w:t>”.  This interest in regional population growth and investment in transport infrastructure indicates that investigating the effects of the growth in commuting from regional Victoria to Melbourne for work is a timely undertaking.</w:t>
      </w:r>
    </w:p>
    <w:p w14:paraId="62152A35" w14:textId="1D812034" w:rsidR="00A833AB" w:rsidRPr="00D152EC" w:rsidRDefault="00A833AB" w:rsidP="000F60E8">
      <w:pPr>
        <w:rPr>
          <w:lang w:val="en-US"/>
        </w:rPr>
      </w:pPr>
      <w:r>
        <w:t xml:space="preserve">Metro-bound commuters, as defined here, are people who live regionally and work in metropolitan based employment.  </w:t>
      </w:r>
      <w:r>
        <w:rPr>
          <w:lang w:val="en-US"/>
        </w:rPr>
        <w:t xml:space="preserve">A </w:t>
      </w:r>
      <w:r w:rsidR="000F60E8">
        <w:rPr>
          <w:lang w:val="en-US"/>
        </w:rPr>
        <w:t xml:space="preserve">useful </w:t>
      </w:r>
      <w:r>
        <w:rPr>
          <w:lang w:val="en-US"/>
        </w:rPr>
        <w:t xml:space="preserve">distinction </w:t>
      </w:r>
      <w:r w:rsidR="000F60E8">
        <w:rPr>
          <w:lang w:val="en-US"/>
        </w:rPr>
        <w:t>can</w:t>
      </w:r>
      <w:r w:rsidR="00026282">
        <w:rPr>
          <w:lang w:val="en-US"/>
        </w:rPr>
        <w:t xml:space="preserve"> also</w:t>
      </w:r>
      <w:r w:rsidR="000F60E8">
        <w:rPr>
          <w:lang w:val="en-US"/>
        </w:rPr>
        <w:t xml:space="preserve"> be </w:t>
      </w:r>
      <w:r>
        <w:rPr>
          <w:lang w:val="en-US"/>
        </w:rPr>
        <w:t xml:space="preserve">made based on the place of work of the metro-bound commuters: </w:t>
      </w:r>
      <w:r w:rsidR="000F60E8">
        <w:rPr>
          <w:lang w:val="en-US"/>
        </w:rPr>
        <w:t>‘</w:t>
      </w:r>
      <w:r>
        <w:rPr>
          <w:lang w:val="en-US"/>
        </w:rPr>
        <w:t>deep commuters</w:t>
      </w:r>
      <w:r w:rsidR="000F60E8">
        <w:rPr>
          <w:lang w:val="en-US"/>
        </w:rPr>
        <w:t>’</w:t>
      </w:r>
      <w:r>
        <w:rPr>
          <w:lang w:val="en-US"/>
        </w:rPr>
        <w:t xml:space="preserve"> work in </w:t>
      </w:r>
      <w:r w:rsidR="000F60E8">
        <w:rPr>
          <w:lang w:val="en-US"/>
        </w:rPr>
        <w:t xml:space="preserve">the </w:t>
      </w:r>
      <w:r>
        <w:rPr>
          <w:lang w:val="en-US"/>
        </w:rPr>
        <w:t xml:space="preserve">central </w:t>
      </w:r>
      <w:r w:rsidR="000F60E8">
        <w:rPr>
          <w:lang w:val="en-US"/>
        </w:rPr>
        <w:t xml:space="preserve">and inner suburbs </w:t>
      </w:r>
      <w:r>
        <w:rPr>
          <w:lang w:val="en-US"/>
        </w:rPr>
        <w:t xml:space="preserve">of </w:t>
      </w:r>
      <w:r w:rsidR="000F60E8">
        <w:rPr>
          <w:lang w:val="en-US"/>
        </w:rPr>
        <w:t xml:space="preserve">the </w:t>
      </w:r>
      <w:r>
        <w:rPr>
          <w:lang w:val="en-US"/>
        </w:rPr>
        <w:t xml:space="preserve">Melbourne, </w:t>
      </w:r>
      <w:proofErr w:type="spellStart"/>
      <w:r>
        <w:rPr>
          <w:lang w:val="en-US"/>
        </w:rPr>
        <w:t>Yarra</w:t>
      </w:r>
      <w:proofErr w:type="spellEnd"/>
      <w:r>
        <w:rPr>
          <w:lang w:val="en-US"/>
        </w:rPr>
        <w:t xml:space="preserve"> and Port Phillip local government areas, </w:t>
      </w:r>
      <w:r w:rsidR="000F60E8">
        <w:rPr>
          <w:lang w:val="en-US"/>
        </w:rPr>
        <w:t>‘</w:t>
      </w:r>
      <w:r>
        <w:rPr>
          <w:lang w:val="en-US"/>
        </w:rPr>
        <w:t>shallow commuters</w:t>
      </w:r>
      <w:r w:rsidR="000F60E8">
        <w:rPr>
          <w:lang w:val="en-US"/>
        </w:rPr>
        <w:t>’</w:t>
      </w:r>
      <w:r>
        <w:rPr>
          <w:lang w:val="en-US"/>
        </w:rPr>
        <w:t xml:space="preserve"> work in the eight interface councils that border the </w:t>
      </w:r>
      <w:r w:rsidR="000F60E8">
        <w:rPr>
          <w:lang w:val="en-US"/>
        </w:rPr>
        <w:t>edge of the metropolitan area</w:t>
      </w:r>
      <w:r>
        <w:rPr>
          <w:lang w:val="en-US"/>
        </w:rPr>
        <w:t xml:space="preserve"> and </w:t>
      </w:r>
      <w:r w:rsidR="000F60E8">
        <w:rPr>
          <w:lang w:val="en-US"/>
        </w:rPr>
        <w:t>‘</w:t>
      </w:r>
      <w:r>
        <w:rPr>
          <w:lang w:val="en-US"/>
        </w:rPr>
        <w:t>middle commuters</w:t>
      </w:r>
      <w:r w:rsidR="000F60E8">
        <w:rPr>
          <w:lang w:val="en-US"/>
        </w:rPr>
        <w:t>’</w:t>
      </w:r>
      <w:r>
        <w:rPr>
          <w:lang w:val="en-US"/>
        </w:rPr>
        <w:t xml:space="preserve"> work in the areas between. </w:t>
      </w:r>
      <w:r>
        <w:t xml:space="preserve">Metro-bound commuting may start by either a metropolitan worker shifting their place of residence to a regional location, or a regional resident obtaining work in a metropolitan area. Even though both of these types of metro-bound commuters will support additional population, incomes and consumption in regional areas, the intent of government policy, as well as the focus of popular media, is on city people moving to the country.  These people can be described as exurbanites, </w:t>
      </w:r>
      <w:r>
        <w:rPr>
          <w:lang w:val="en-US"/>
        </w:rPr>
        <w:t>“</w:t>
      </w:r>
      <w:r w:rsidRPr="004C1DD5">
        <w:rPr>
          <w:lang w:val="en-US"/>
        </w:rPr>
        <w:t>city people who have deli</w:t>
      </w:r>
      <w:r>
        <w:rPr>
          <w:lang w:val="en-US"/>
        </w:rPr>
        <w:t>berately chosen the rural land</w:t>
      </w:r>
      <w:r w:rsidRPr="004C1DD5">
        <w:rPr>
          <w:lang w:val="en-US"/>
        </w:rPr>
        <w:t>scape as a setting for their homes</w:t>
      </w:r>
      <w:r>
        <w:rPr>
          <w:lang w:val="en-US"/>
        </w:rPr>
        <w:t xml:space="preserve"> … (and)</w:t>
      </w:r>
      <w:r w:rsidRPr="004C1DD5">
        <w:rPr>
          <w:lang w:val="en-US"/>
        </w:rPr>
        <w:t xml:space="preserve"> commute by </w:t>
      </w:r>
      <w:r w:rsidRPr="004C1DD5">
        <w:rPr>
          <w:lang w:val="en-US"/>
        </w:rPr>
        <w:lastRenderedPageBreak/>
        <w:t>cars, trains, planes and internet to one (or more) cities and suburbs for work, shopping and entertainment</w:t>
      </w:r>
      <w:r>
        <w:rPr>
          <w:lang w:val="en-US"/>
        </w:rPr>
        <w:t xml:space="preserve">” </w:t>
      </w:r>
      <w:r>
        <w:rPr>
          <w:noProof/>
          <w:lang w:val="en-US"/>
        </w:rPr>
        <w:t>(Taylor 2011, p. 324)</w:t>
      </w:r>
      <w:r w:rsidRPr="004C1DD5">
        <w:rPr>
          <w:lang w:val="en-US"/>
        </w:rPr>
        <w:t>.</w:t>
      </w:r>
      <w:r>
        <w:rPr>
          <w:lang w:val="en-US"/>
        </w:rPr>
        <w:t xml:space="preserve">  </w:t>
      </w:r>
    </w:p>
    <w:p w14:paraId="61011D47" w14:textId="77777777" w:rsidR="00A833AB" w:rsidRPr="00D00FDB" w:rsidRDefault="00A833AB" w:rsidP="000F60E8">
      <w:r>
        <w:t xml:space="preserve">The </w:t>
      </w:r>
      <w:r w:rsidR="000F60E8">
        <w:t xml:space="preserve">classification of commuters into </w:t>
      </w:r>
      <w:r>
        <w:t>deep, medium and shallow commuting types enable</w:t>
      </w:r>
      <w:r w:rsidR="000F60E8">
        <w:t>s</w:t>
      </w:r>
      <w:r>
        <w:t xml:space="preserve"> analysis of the Melbourne economy, its spatial distribution, and </w:t>
      </w:r>
      <w:r w:rsidR="000F60E8">
        <w:t xml:space="preserve">the way in which </w:t>
      </w:r>
      <w:r>
        <w:t xml:space="preserve">this is reflected in trends in metro-bound commuting. Research undertaken during the 1990s pointed to the dispersal of employment to outer suburbs as a factor in increasing exurbanism </w:t>
      </w:r>
      <w:r>
        <w:rPr>
          <w:noProof/>
        </w:rPr>
        <w:t>(Burnley &amp; Murphy 1995; Burnley, Murphy &amp; Jenner 1997; Forrest 1996)</w:t>
      </w:r>
      <w:r w:rsidR="000F60E8">
        <w:rPr>
          <w:noProof/>
        </w:rPr>
        <w:t>. W</w:t>
      </w:r>
      <w:r>
        <w:t xml:space="preserve">hile this research focused on Sydney, there was also a decentralisation of employment in Melbourne during this period, particularly in the manufacturing sector </w:t>
      </w:r>
      <w:r>
        <w:rPr>
          <w:noProof/>
        </w:rPr>
        <w:t>(Watkins 2009)</w:t>
      </w:r>
      <w:r>
        <w:t>.  However, in the 20 years since these investigations into exurbanism there has been a reconcentration of employment opportunities within central business districts, which is related to the transition to a more services</w:t>
      </w:r>
      <w:r w:rsidR="000F60E8">
        <w:t>-</w:t>
      </w:r>
      <w:r>
        <w:t xml:space="preserve">oriented economy. This shift has been attributed to the deregulation and increased </w:t>
      </w:r>
      <w:proofErr w:type="spellStart"/>
      <w:r>
        <w:t>financialisation</w:t>
      </w:r>
      <w:proofErr w:type="spellEnd"/>
      <w:r>
        <w:t xml:space="preserve"> of the Australian economy under Hawke and Keating in the 1980s and early 1990s, which had significant impacts on the structure of the economy and the spatial distribution of employment </w:t>
      </w:r>
      <w:r>
        <w:rPr>
          <w:noProof/>
        </w:rPr>
        <w:t>(Badcock 2000; Beer 2012; Kelly 2014; Maude 2004; O'Neill &amp; McGuirk 2002; Watkins 2009)</w:t>
      </w:r>
      <w:r>
        <w:t xml:space="preserve">. </w:t>
      </w:r>
      <w:r>
        <w:rPr>
          <w:noProof/>
          <w:lang w:val="en-US"/>
        </w:rPr>
        <w:t>Scott (2008, pp. 67, 8)</w:t>
      </w:r>
      <w:r>
        <w:rPr>
          <w:lang w:val="en-US"/>
        </w:rPr>
        <w:t xml:space="preserve"> has termed the city-centric growth sectors the ‘cognitive-cultural economy’, closely linked to </w:t>
      </w:r>
      <w:proofErr w:type="spellStart"/>
      <w:r>
        <w:rPr>
          <w:lang w:val="en-US"/>
        </w:rPr>
        <w:t>globalisation</w:t>
      </w:r>
      <w:proofErr w:type="spellEnd"/>
      <w:r>
        <w:rPr>
          <w:lang w:val="en-US"/>
        </w:rPr>
        <w:t xml:space="preserve"> and includes “</w:t>
      </w:r>
      <w:r w:rsidRPr="00AF475B">
        <w:rPr>
          <w:lang w:val="en-US"/>
        </w:rPr>
        <w:t>managers, professional workers, busines</w:t>
      </w:r>
      <w:r>
        <w:rPr>
          <w:lang w:val="en-US"/>
        </w:rPr>
        <w:t>s and finan</w:t>
      </w:r>
      <w:r w:rsidRPr="00AF475B">
        <w:rPr>
          <w:lang w:val="en-US"/>
        </w:rPr>
        <w:t xml:space="preserve">cial analysts, scientific researchers, technicians, skilled </w:t>
      </w:r>
      <w:proofErr w:type="spellStart"/>
      <w:r w:rsidRPr="00AF475B">
        <w:rPr>
          <w:lang w:val="en-US"/>
        </w:rPr>
        <w:t>craftsworkers</w:t>
      </w:r>
      <w:proofErr w:type="spellEnd"/>
      <w:r w:rsidRPr="00AF475B">
        <w:rPr>
          <w:lang w:val="en-US"/>
        </w:rPr>
        <w:t>, designers, artists, and so on</w:t>
      </w:r>
      <w:r>
        <w:rPr>
          <w:lang w:val="en-US"/>
        </w:rPr>
        <w:t xml:space="preserve">”.  International research indicates a growing disparity between the wages of these cognitive-cultural occupations and other forms of work </w:t>
      </w:r>
      <w:r>
        <w:rPr>
          <w:noProof/>
          <w:lang w:val="en-US"/>
        </w:rPr>
        <w:t>(Pacione 2005; Scott 2008; Soja 2000)</w:t>
      </w:r>
      <w:r>
        <w:rPr>
          <w:lang w:val="en-US"/>
        </w:rPr>
        <w:t xml:space="preserve">, which is a factor in the diverging fortunes of inner cities and generally everywhere else. </w:t>
      </w:r>
      <w:r>
        <w:t xml:space="preserve"> On a regional scale, these spatial trends can be characterised as a flow of economic activity from regional areas to increasingly larger cities.  </w:t>
      </w:r>
      <w:r>
        <w:rPr>
          <w:lang w:val="en-US"/>
        </w:rPr>
        <w:t xml:space="preserve">As </w:t>
      </w:r>
      <w:r>
        <w:rPr>
          <w:noProof/>
          <w:lang w:val="en-US"/>
        </w:rPr>
        <w:t>Beer (2012, p. 271)</w:t>
      </w:r>
      <w:r>
        <w:rPr>
          <w:lang w:val="en-US"/>
        </w:rPr>
        <w:t xml:space="preserve"> observes, “(</w:t>
      </w:r>
      <w:proofErr w:type="spellStart"/>
      <w:r>
        <w:rPr>
          <w:lang w:val="en-US"/>
        </w:rPr>
        <w:t>i</w:t>
      </w:r>
      <w:proofErr w:type="spellEnd"/>
      <w:r>
        <w:rPr>
          <w:lang w:val="en-US"/>
        </w:rPr>
        <w:t>)</w:t>
      </w:r>
      <w:proofErr w:type="spellStart"/>
      <w:r>
        <w:rPr>
          <w:lang w:val="en-US"/>
        </w:rPr>
        <w:t>ncomes</w:t>
      </w:r>
      <w:proofErr w:type="spellEnd"/>
      <w:r>
        <w:rPr>
          <w:lang w:val="en-US"/>
        </w:rPr>
        <w:t xml:space="preserve"> in rural and non-</w:t>
      </w:r>
      <w:r w:rsidRPr="00C82603">
        <w:rPr>
          <w:lang w:val="en-US"/>
        </w:rPr>
        <w:t xml:space="preserve">metropolitan regions have not kept pace with the capitals, and many regions have lost important sources of employment as a consequence of the resulting </w:t>
      </w:r>
      <w:proofErr w:type="spellStart"/>
      <w:r w:rsidRPr="00C82603">
        <w:rPr>
          <w:lang w:val="en-US"/>
        </w:rPr>
        <w:t>privatisat</w:t>
      </w:r>
      <w:r>
        <w:rPr>
          <w:lang w:val="en-US"/>
        </w:rPr>
        <w:t>ion</w:t>
      </w:r>
      <w:proofErr w:type="spellEnd"/>
      <w:r>
        <w:rPr>
          <w:lang w:val="en-US"/>
        </w:rPr>
        <w:t xml:space="preserve"> of previously public enter</w:t>
      </w:r>
      <w:r w:rsidRPr="00C82603">
        <w:rPr>
          <w:lang w:val="en-US"/>
        </w:rPr>
        <w:t>prises</w:t>
      </w:r>
      <w:r>
        <w:rPr>
          <w:lang w:val="en-US"/>
        </w:rPr>
        <w:t>”</w:t>
      </w:r>
      <w:r w:rsidRPr="00C82603">
        <w:rPr>
          <w:lang w:val="en-US"/>
        </w:rPr>
        <w:t>.</w:t>
      </w:r>
      <w:r>
        <w:rPr>
          <w:lang w:val="en-US"/>
        </w:rPr>
        <w:t xml:space="preserve"> </w:t>
      </w:r>
      <w:r>
        <w:t xml:space="preserve"> Evidence of these trends is provided by the </w:t>
      </w:r>
      <w:r>
        <w:rPr>
          <w:lang w:val="en-US"/>
        </w:rPr>
        <w:t>estimation that</w:t>
      </w:r>
      <w:r w:rsidRPr="00DE15FB">
        <w:rPr>
          <w:lang w:val="en-US"/>
        </w:rPr>
        <w:t xml:space="preserve"> the gross product of </w:t>
      </w:r>
      <w:r>
        <w:rPr>
          <w:lang w:val="en-US"/>
        </w:rPr>
        <w:t>Melbourne</w:t>
      </w:r>
      <w:r w:rsidRPr="00DE15FB">
        <w:rPr>
          <w:lang w:val="en-US"/>
        </w:rPr>
        <w:t xml:space="preserve"> increased by 4.4% </w:t>
      </w:r>
      <w:r>
        <w:rPr>
          <w:lang w:val="en-US"/>
        </w:rPr>
        <w:t xml:space="preserve">in </w:t>
      </w:r>
      <w:r w:rsidRPr="00DE15FB">
        <w:rPr>
          <w:lang w:val="en-US"/>
        </w:rPr>
        <w:t xml:space="preserve">2015/16 while Regional Victoria’s declined by 1%, </w:t>
      </w:r>
      <w:r>
        <w:rPr>
          <w:lang w:val="en-US"/>
        </w:rPr>
        <w:t xml:space="preserve">with similar differences in the other states </w:t>
      </w:r>
      <w:r w:rsidRPr="00DE15FB">
        <w:t xml:space="preserve">(SGS Economics and Planning 2017, p. 5). </w:t>
      </w:r>
      <w:r>
        <w:rPr>
          <w:lang w:val="en-US"/>
        </w:rPr>
        <w:t xml:space="preserve"> </w:t>
      </w:r>
    </w:p>
    <w:p w14:paraId="02CD0776" w14:textId="77777777" w:rsidR="00A833AB" w:rsidRPr="00A00F58" w:rsidRDefault="00A833AB" w:rsidP="000F60E8">
      <w:pPr>
        <w:rPr>
          <w:lang w:val="en-US"/>
        </w:rPr>
      </w:pPr>
      <w:r>
        <w:rPr>
          <w:lang w:val="en-US"/>
        </w:rPr>
        <w:t xml:space="preserve">The interest in these changes in the location of employment is two-fold. Firstly, how are the transitions in Melbourne’s employment structure reflected in metro-bound </w:t>
      </w:r>
      <w:proofErr w:type="gramStart"/>
      <w:r>
        <w:rPr>
          <w:lang w:val="en-US"/>
        </w:rPr>
        <w:t>commuting.</w:t>
      </w:r>
      <w:proofErr w:type="gramEnd"/>
      <w:r>
        <w:rPr>
          <w:lang w:val="en-US"/>
        </w:rPr>
        <w:t xml:space="preserve"> As high income employment is concentrating in the inner city, and given the evidence that people will generally only travel long distances for work for high rates of pay </w:t>
      </w:r>
      <w:r>
        <w:rPr>
          <w:noProof/>
          <w:lang w:val="en-US"/>
        </w:rPr>
        <w:t>(Bill, Mitchell &amp; Watts 2006; De Silva, Johnson &amp; Wade 2011; Flood &amp; Barbato 2005; Manning 2003; Shen 2000; Watts 2005)</w:t>
      </w:r>
      <w:r>
        <w:rPr>
          <w:lang w:val="en-US"/>
        </w:rPr>
        <w:t xml:space="preserve">, then the expectation is that there will be a shift towards more deep commuting. This shift should also be associated with changes to the type of employment of metro-bound commuters, in the sectors they work in as well as their occupation types. Secondly, if there has been a change in metro-bound commuting are there opportunities for regional development outcomes. </w:t>
      </w:r>
      <w:r>
        <w:t xml:space="preserve">Regional development is an important consideration due to the diverging fortunes of regional and metropolitan Australia. </w:t>
      </w:r>
      <w:r>
        <w:rPr>
          <w:lang w:val="en-US"/>
        </w:rPr>
        <w:t xml:space="preserve">While many regional areas lie outside of commuting distance to metropolitan areas, for communities within </w:t>
      </w:r>
      <w:proofErr w:type="spellStart"/>
      <w:r>
        <w:rPr>
          <w:lang w:val="en-US"/>
        </w:rPr>
        <w:t>commutersheds</w:t>
      </w:r>
      <w:proofErr w:type="spellEnd"/>
      <w:r>
        <w:rPr>
          <w:lang w:val="en-US"/>
        </w:rPr>
        <w:t xml:space="preserve"> the economic benefits of commuter growth is an important consideration. </w:t>
      </w:r>
    </w:p>
    <w:p w14:paraId="0EA3E51B" w14:textId="77777777" w:rsidR="00A833AB" w:rsidRDefault="00A833AB" w:rsidP="000F60E8">
      <w:r>
        <w:t xml:space="preserve">This article argues </w:t>
      </w:r>
      <w:r w:rsidR="000F60E8">
        <w:t xml:space="preserve">the need </w:t>
      </w:r>
      <w:r>
        <w:t xml:space="preserve">for further investigation into metro-bound commuting and regional development. Analysis of 2006 and 2011 census data for Victoria indicates that there is a transition in metro-bound commuting, from the shallow commuters travelling to work in outer suburban manufacturing, transport and warehousing employment to deep commuting workers in finance, professional services and public administration. The middle suburbs have seen increases in education and training, health care and social assistance and construction commuting, which correlate with employment trends across the country.  The outcome is that these changes in metro-bound commuting indicate that there are an increasing number of well-paid, highly educated and </w:t>
      </w:r>
      <w:r w:rsidR="00026282">
        <w:t xml:space="preserve">skilled </w:t>
      </w:r>
      <w:r>
        <w:t>residents of regional Victoria, who may provide the basis for stronger regional economies.</w:t>
      </w:r>
    </w:p>
    <w:p w14:paraId="4098E8DE" w14:textId="77777777" w:rsidR="00A833AB" w:rsidRDefault="00A833AB" w:rsidP="000F60E8">
      <w:pPr>
        <w:pStyle w:val="Heading2"/>
      </w:pPr>
      <w:r>
        <w:t>Metro-bound commuting in Victoria</w:t>
      </w:r>
    </w:p>
    <w:p w14:paraId="452A75FF" w14:textId="77777777" w:rsidR="00A833AB" w:rsidRDefault="00A833AB" w:rsidP="000F60E8">
      <w:r>
        <w:t xml:space="preserve">Melbourne and its commutershed is an interesting case study for metro-bound commuting, particularly for the role of commuting in spreading prosperity in strongly mono-centric city </w:t>
      </w:r>
      <w:r>
        <w:lastRenderedPageBreak/>
        <w:t xml:space="preserve">regions.  In 2011 approximately 75% of the Victorian population lived within Greater Melbourne; it was also estimated to represent more than 80% of the state’s economy </w:t>
      </w:r>
      <w:r>
        <w:rPr>
          <w:noProof/>
        </w:rPr>
        <w:t>(Australian Bureau of Statistics 2011a; Kelly 2014)</w:t>
      </w:r>
      <w:r>
        <w:t>.  Melbourne is ranked as an Alpha-</w:t>
      </w:r>
      <w:r w:rsidR="00026282">
        <w:t xml:space="preserve"> </w:t>
      </w:r>
      <w:r>
        <w:t xml:space="preserve">global city by the </w:t>
      </w:r>
      <w:r>
        <w:rPr>
          <w:noProof/>
        </w:rPr>
        <w:t>Globalization and World Cities Research Network (2016)</w:t>
      </w:r>
      <w:r>
        <w:t xml:space="preserve">, as it </w:t>
      </w:r>
      <w:r w:rsidR="006509E0">
        <w:t xml:space="preserve">is </w:t>
      </w:r>
      <w:r>
        <w:t>an important world city that connects</w:t>
      </w:r>
      <w:r w:rsidRPr="009345E2">
        <w:t xml:space="preserve"> </w:t>
      </w:r>
      <w:r>
        <w:t>“</w:t>
      </w:r>
      <w:r w:rsidRPr="009345E2">
        <w:t>major economic regions and states into the world economy</w:t>
      </w:r>
      <w:r>
        <w:t xml:space="preserve">”. The three next largest cities in Victoria are Geelong, Ballarat and Bendigo, which have populations between 93,000 and 210,000 in their Local Government Areas and are located between 75kms and 150kms from Melbourne and also similar distances between each other.  Geelong in particular has a growing metro-bound commuting population at a time when its economy is also in a period of transition, as </w:t>
      </w:r>
      <w:r w:rsidR="006509E0">
        <w:t xml:space="preserve">the </w:t>
      </w:r>
      <w:r>
        <w:t xml:space="preserve">Ford </w:t>
      </w:r>
      <w:r w:rsidR="006509E0">
        <w:t xml:space="preserve">motor company </w:t>
      </w:r>
      <w:r>
        <w:t>recently ceased manufacturing in the city. Commuting from Ballarat also appears to be increasing, and along with Bendigo, form the commutable limits of rail and freeway services that connect a number of growing, smaller settlements to Melbourne</w:t>
      </w:r>
      <w:r w:rsidR="006509E0">
        <w:t>, such as</w:t>
      </w:r>
      <w:r>
        <w:t xml:space="preserve"> Castlemaine, Kyneton, Woodend, Gisborne, Bacchus Marsh and Ballan. Metro-bound commuting also is also increasing from Gippsland, to the east of the city, where the closure of major employers in coal fired power generation will have a significant impact on the local economy.  Also, there is evidence of growth in commuting to Melbourne from regional Victoria over the past 5 years, based on growth in train patronage and freeway traffic </w:t>
      </w:r>
      <w:r>
        <w:rPr>
          <w:noProof/>
        </w:rPr>
        <w:t>(VicRoads 2017; VLine 2016, 2017)</w:t>
      </w:r>
      <w:r>
        <w:t xml:space="preserve"> which indicates that analysis of the 2016 place of work census data will provide new insights into the role of metro-bound commuting in regional development.</w:t>
      </w:r>
    </w:p>
    <w:p w14:paraId="08FDA051" w14:textId="77777777" w:rsidR="00A833AB" w:rsidRDefault="00A833AB" w:rsidP="000F60E8">
      <w:r>
        <w:t xml:space="preserve">The study of commuting to Melbourne should also provide outcomes that are </w:t>
      </w:r>
      <w:r w:rsidR="006509E0">
        <w:t>also</w:t>
      </w:r>
      <w:r>
        <w:t xml:space="preserve"> applicable</w:t>
      </w:r>
      <w:r w:rsidR="006509E0">
        <w:t xml:space="preserve"> to other states</w:t>
      </w:r>
      <w:r>
        <w:t xml:space="preserve">, as there appears to be increased commuting from regional areas to the major cities, such as Wollongong and the Central Coast in New South Wales, as well as the regional municipalities surrounding the ACT; Mandurah in Western Australia; and across south eastern Queensland. Internationally, there is a number of strongly </w:t>
      </w:r>
      <w:proofErr w:type="spellStart"/>
      <w:r>
        <w:t>monocentric</w:t>
      </w:r>
      <w:proofErr w:type="spellEnd"/>
      <w:r>
        <w:t xml:space="preserve"> city regions where there is an interest in the spreading of economic activity and prosperity through commuting and infrastructure developments, including London, Paris, Chicago, Dublin and across regional Canada </w:t>
      </w:r>
      <w:r>
        <w:rPr>
          <w:noProof/>
        </w:rPr>
        <w:t>(Chen &amp; Hall 2011, 2013, 2015; Halbert 2006; Horner 1999; Hu &amp; He 2016; Partridge, Ali &amp; Olfert 2010; Wang &amp; Hu 2017)</w:t>
      </w:r>
      <w:r>
        <w:t xml:space="preserve">. </w:t>
      </w:r>
    </w:p>
    <w:p w14:paraId="04FBED64" w14:textId="77777777" w:rsidR="00A833AB" w:rsidRDefault="00A833AB" w:rsidP="000F60E8">
      <w:pPr>
        <w:pStyle w:val="Heading3"/>
      </w:pPr>
      <w:r>
        <w:t>Previous studies of metro-bound commuting in Victoria</w:t>
      </w:r>
    </w:p>
    <w:p w14:paraId="4FCEBE03" w14:textId="0DDF0983" w:rsidR="00A833AB" w:rsidRDefault="00A833AB" w:rsidP="000F60E8">
      <w:r>
        <w:t xml:space="preserve">Analysis of the 1991 Census data for exurban commuters in to Melbourne’s Central Business District found a strong western skew with Ballan, 80kms away, recording 11% of the workforce commuting to the city. All of the other </w:t>
      </w:r>
      <w:r w:rsidR="006509E0">
        <w:t>l</w:t>
      </w:r>
      <w:r>
        <w:t xml:space="preserve">ocal </w:t>
      </w:r>
      <w:r w:rsidR="006509E0">
        <w:t>g</w:t>
      </w:r>
      <w:r>
        <w:t xml:space="preserve">overnment areas between Ballan and Melbourne recorded commuting rates above 10% </w:t>
      </w:r>
      <w:r>
        <w:rPr>
          <w:noProof/>
        </w:rPr>
        <w:t>(McKenzie 1996, p. 40)</w:t>
      </w:r>
      <w:r>
        <w:t xml:space="preserve">.  This western skew can be attributed to the </w:t>
      </w:r>
      <w:r w:rsidR="006509E0">
        <w:t>overall shape met</w:t>
      </w:r>
      <w:r w:rsidR="009B1F5F">
        <w:t>ropolitan area with a prominent</w:t>
      </w:r>
      <w:r>
        <w:t xml:space="preserve"> eastern bulge</w:t>
      </w:r>
      <w:r w:rsidR="006509E0">
        <w:t>, with</w:t>
      </w:r>
      <w:r>
        <w:t xml:space="preserve"> Pakenham on the south-eastern fringe 60km from the city, </w:t>
      </w:r>
      <w:r w:rsidR="006509E0">
        <w:t xml:space="preserve">while </w:t>
      </w:r>
      <w:r>
        <w:t xml:space="preserve">the recently developed Caroline Springs </w:t>
      </w:r>
      <w:r w:rsidR="006509E0">
        <w:t>o</w:t>
      </w:r>
      <w:r>
        <w:t xml:space="preserve">n the western fringe </w:t>
      </w:r>
      <w:r w:rsidR="006509E0">
        <w:t>only</w:t>
      </w:r>
      <w:r>
        <w:t xml:space="preserve"> 24kms. The report notes the role of changing residential preferences, affluence and personal mobility, economic restructuring, cheaper land in regional areas, developers increasing peri-urban supply and metropolitan push factors as causes of increased commuting (ibid, p.67), which accords with contemporaneous research in Sydney </w:t>
      </w:r>
      <w:r>
        <w:rPr>
          <w:noProof/>
        </w:rPr>
        <w:t>(Burnley &amp; Murphy 1995; Forrest 1996)</w:t>
      </w:r>
      <w:r>
        <w:t xml:space="preserve"> and the United States </w:t>
      </w:r>
      <w:r>
        <w:rPr>
          <w:noProof/>
        </w:rPr>
        <w:t>(Renkow &amp; Hoover 2000)</w:t>
      </w:r>
      <w:r>
        <w:t xml:space="preserve">. By the late 1990s </w:t>
      </w:r>
      <w:r w:rsidRPr="00677C7F">
        <w:t xml:space="preserve">Melbourne </w:t>
      </w:r>
      <w:r>
        <w:t>was considered the</w:t>
      </w:r>
      <w:r w:rsidRPr="00677C7F">
        <w:t xml:space="preserve"> centre of a </w:t>
      </w:r>
      <w:r>
        <w:t>“mega metro” region, defined by the extent of commuting, and are “</w:t>
      </w:r>
      <w:r w:rsidRPr="000D2E42">
        <w:rPr>
          <w:lang w:val="en-US"/>
        </w:rPr>
        <w:t>places where the nation’s population, employment and investment in economic activity are concentrated</w:t>
      </w:r>
      <w:r>
        <w:rPr>
          <w:lang w:val="en-US"/>
        </w:rPr>
        <w:t xml:space="preserve">” </w:t>
      </w:r>
      <w:r>
        <w:rPr>
          <w:noProof/>
        </w:rPr>
        <w:t>(O'Connor, KB, Stimson &amp; Taylor 1998, p. 207)</w:t>
      </w:r>
      <w:r>
        <w:t xml:space="preserve">. </w:t>
      </w:r>
    </w:p>
    <w:p w14:paraId="495C6B21" w14:textId="77777777" w:rsidR="00A833AB" w:rsidRDefault="00A833AB" w:rsidP="000F60E8">
      <w:pPr>
        <w:rPr>
          <w:lang w:val="en-US"/>
        </w:rPr>
      </w:pPr>
      <w:r>
        <w:rPr>
          <w:lang w:val="en-US"/>
        </w:rPr>
        <w:t xml:space="preserve">More recently, the Bureau of Transport, Infrastructure and Regional Economics have published an extensive analysis of commuting patterns in Melbourne, including trends in commuting from the surrounding regions </w:t>
      </w:r>
      <w:r>
        <w:rPr>
          <w:noProof/>
          <w:lang w:val="en-US"/>
        </w:rPr>
        <w:t>(Bureau of Infrastructure Transp</w:t>
      </w:r>
      <w:r w:rsidR="005D0AD3">
        <w:rPr>
          <w:noProof/>
          <w:lang w:val="en-US"/>
        </w:rPr>
        <w:t>ort and Regional Economics 2011</w:t>
      </w:r>
      <w:r>
        <w:rPr>
          <w:noProof/>
          <w:lang w:val="en-US"/>
        </w:rPr>
        <w:t>)</w:t>
      </w:r>
      <w:r>
        <w:rPr>
          <w:lang w:val="en-US"/>
        </w:rPr>
        <w:t xml:space="preserve">.The data indicates that there were more than 10,000 Geelong-Melbourne commuters in 2001, although it had only increased by 207 by 2006. The report also notes improvements in transport infrastructure have facilitated growth in commuting. The completion of the Regional Fast Rail project in 2006 led to increased patronage between </w:t>
      </w:r>
      <w:proofErr w:type="spellStart"/>
      <w:r>
        <w:rPr>
          <w:lang w:val="en-US"/>
        </w:rPr>
        <w:t>Ballarat</w:t>
      </w:r>
      <w:proofErr w:type="spellEnd"/>
      <w:r>
        <w:rPr>
          <w:lang w:val="en-US"/>
        </w:rPr>
        <w:t xml:space="preserve">, </w:t>
      </w:r>
      <w:proofErr w:type="spellStart"/>
      <w:r>
        <w:rPr>
          <w:lang w:val="en-US"/>
        </w:rPr>
        <w:t>Bendigo</w:t>
      </w:r>
      <w:proofErr w:type="spellEnd"/>
      <w:r>
        <w:rPr>
          <w:lang w:val="en-US"/>
        </w:rPr>
        <w:t xml:space="preserve"> and Geelong, particularly after service frequency was increased in 2007 </w:t>
      </w:r>
      <w:r>
        <w:rPr>
          <w:noProof/>
          <w:lang w:val="en-US"/>
        </w:rPr>
        <w:t>(Bureau of Infrastructure Transport and Regional Economics 2011a, p. 283)</w:t>
      </w:r>
      <w:r>
        <w:rPr>
          <w:lang w:val="en-US"/>
        </w:rPr>
        <w:t xml:space="preserve">.  Major road improvements completed between 2001 and 2006, including the Geelong Road upgrade, and </w:t>
      </w:r>
      <w:r>
        <w:rPr>
          <w:lang w:val="en-US"/>
        </w:rPr>
        <w:lastRenderedPageBreak/>
        <w:t xml:space="preserve">the </w:t>
      </w:r>
      <w:proofErr w:type="spellStart"/>
      <w:r>
        <w:rPr>
          <w:lang w:val="en-US"/>
        </w:rPr>
        <w:t>Hallam</w:t>
      </w:r>
      <w:proofErr w:type="spellEnd"/>
      <w:r>
        <w:rPr>
          <w:lang w:val="en-US"/>
        </w:rPr>
        <w:t xml:space="preserve"> and </w:t>
      </w:r>
      <w:proofErr w:type="spellStart"/>
      <w:r>
        <w:rPr>
          <w:lang w:val="en-US"/>
        </w:rPr>
        <w:t>Craigieburn</w:t>
      </w:r>
      <w:proofErr w:type="spellEnd"/>
      <w:r>
        <w:rPr>
          <w:lang w:val="en-US"/>
        </w:rPr>
        <w:t xml:space="preserve"> Bypasses, have also improved access to employment in inner city Melbourne (ibid).   </w:t>
      </w:r>
    </w:p>
    <w:p w14:paraId="7986BC5B" w14:textId="77777777" w:rsidR="00A833AB" w:rsidRDefault="00A833AB" w:rsidP="000F60E8">
      <w:r w:rsidRPr="00EB5707">
        <w:rPr>
          <w:i/>
          <w:lang w:val="en-US"/>
        </w:rPr>
        <w:t>The country town and the city network: the expanding commuter field of Melbourne</w:t>
      </w:r>
      <w:r>
        <w:rPr>
          <w:lang w:val="en-US"/>
        </w:rPr>
        <w:t xml:space="preserve"> </w:t>
      </w:r>
      <w:r>
        <w:rPr>
          <w:noProof/>
          <w:lang w:val="en-US"/>
        </w:rPr>
        <w:t>(Butt 2011)</w:t>
      </w:r>
      <w:r>
        <w:rPr>
          <w:lang w:val="en-US"/>
        </w:rPr>
        <w:t xml:space="preserve"> stands out from the previous research into metro-bound commuting as it is qualitative in its approach. Fifteen residents of Castlemaine who had relocated to the town in the preceding 10 years were interviewed.  The interviews indicated that although people tired of long distance commuting it was difficult to alter their circumstances, particularly as their type of work was not available locally.  An important outcome of the interviews is “</w:t>
      </w:r>
      <w:r>
        <w:t>mobility in itself was seen to allow respondents to remain available to a wider metropolitan labour market, recognizing the limitations of local (or regional) employment options”, which is also evidenced by the oversupply of people working in “scientific and technical roles, education, media and telecommunications and other services” (ibid, p.68).  This finding correlates with the changes in the spatial distribution of employment discussed in the introduction.</w:t>
      </w:r>
    </w:p>
    <w:p w14:paraId="40F4FA6D" w14:textId="77777777" w:rsidR="00A833AB" w:rsidRDefault="00A833AB" w:rsidP="000F60E8">
      <w:pPr>
        <w:pStyle w:val="Heading3"/>
      </w:pPr>
      <w:r>
        <w:t>Evidence from the 2006 and 2011 censuses</w:t>
      </w:r>
    </w:p>
    <w:p w14:paraId="1137FBBF" w14:textId="77777777" w:rsidR="00A833AB" w:rsidRDefault="00A833AB" w:rsidP="000F60E8">
      <w:r>
        <w:t xml:space="preserve">Metro-bound commuting increased from 38,725 to 41,184 between the 2006 and 2011 censuses. This data is based on changes in commuting between Local Government Areas (LGAs), as they are the only geography available for place of usual residence and place of work for the 2006 and 2011 data sets. While a minor phenomenon from a metropolitan workforce perspective, in 2011 it represented 7.5% of the regional resident workforce in Victoria, and 13% for the LGAs within a 150km radius of the city </w:t>
      </w:r>
      <w:r>
        <w:rPr>
          <w:noProof/>
        </w:rPr>
        <w:t>(Australian Bureau of Statistics 2006a, 2011a)</w:t>
      </w:r>
      <w:r>
        <w:t>.</w:t>
      </w:r>
    </w:p>
    <w:p w14:paraId="2BC18131" w14:textId="77777777" w:rsidR="00A833AB" w:rsidRPr="00AA6D2F" w:rsidRDefault="00A833AB" w:rsidP="000F60E8">
      <w:r>
        <w:t>Table 1 indicates a marked spatial pattern in the change in commuting destinations, as there was a 28.7% increase in those travelling to Inner Melbourne LGAs and an 18% decrease to Outer Melbourne LGAs</w:t>
      </w:r>
      <w:r>
        <w:rPr>
          <w:rStyle w:val="FootnoteReference"/>
        </w:rPr>
        <w:footnoteReference w:id="1"/>
      </w:r>
      <w:r>
        <w:t xml:space="preserve">. However, the significant changes in the undefined place of work categories between 2006 and 2011 add a degree of uncertainty to this analysis, which is due to </w:t>
      </w:r>
      <w:r w:rsidRPr="00572266">
        <w:t>changes in the coding of incomplete responses</w:t>
      </w:r>
      <w:r>
        <w:t xml:space="preserve"> to the place of work question </w:t>
      </w:r>
      <w:r>
        <w:rPr>
          <w:noProof/>
        </w:rPr>
        <w:t>(Australian Bureau of Statistics 2012)</w:t>
      </w:r>
      <w:r>
        <w:t>. These large increases in undefined places of work mean that metro-bound commuting in 2011 is likely to be understated. The City of Melton is not included as a regional place of residence, as it has transitioned into a metropolitan growth area:</w:t>
      </w:r>
      <w:r w:rsidRPr="000C4D79">
        <w:t xml:space="preserve"> the population increased by more than 30,000 between censuses and </w:t>
      </w:r>
      <w:r>
        <w:t xml:space="preserve">in 2011 </w:t>
      </w:r>
      <w:r w:rsidRPr="000C4D79">
        <w:t>69% of the Melton workforce commutes to Melbourne for work</w:t>
      </w:r>
      <w:r>
        <w:t xml:space="preserve"> </w:t>
      </w:r>
      <w:r>
        <w:rPr>
          <w:noProof/>
        </w:rPr>
        <w:t>(Australian Bureau of Statistics 2006a, 2011a)</w:t>
      </w:r>
      <w:r w:rsidRPr="000C4D79">
        <w:t>: it has become a residential satellite</w:t>
      </w:r>
      <w:r>
        <w:t xml:space="preserve">. </w:t>
      </w:r>
    </w:p>
    <w:p w14:paraId="3985EE1F" w14:textId="77777777" w:rsidR="00A833AB" w:rsidRDefault="00A833AB" w:rsidP="000F60E8">
      <w:pPr>
        <w:pStyle w:val="Caption"/>
      </w:pPr>
      <w:r>
        <w:t xml:space="preserve">Table </w:t>
      </w:r>
      <w:fldSimple w:instr=" SEQ Table \* ARABIC ">
        <w:r>
          <w:rPr>
            <w:noProof/>
          </w:rPr>
          <w:t>1</w:t>
        </w:r>
      </w:fldSimple>
      <w:r>
        <w:t>: Metro-bound commuters, Place of Work, Victoria 2006-2011</w:t>
      </w:r>
    </w:p>
    <w:p w14:paraId="620CF360" w14:textId="77777777" w:rsidR="00A833AB" w:rsidRPr="007F48CB" w:rsidRDefault="00A833AB" w:rsidP="000F60E8">
      <w:pPr>
        <w:pStyle w:val="TableSource"/>
        <w:jc w:val="center"/>
      </w:pPr>
      <w:r>
        <w:t xml:space="preserve">Source: Based on LGAs, data sourced from </w:t>
      </w:r>
      <w:r>
        <w:rPr>
          <w:noProof/>
        </w:rPr>
        <w:t>Australian Bureau of Statistics (2006a, 2011a)</w:t>
      </w:r>
      <w:r>
        <w:t>.</w:t>
      </w:r>
    </w:p>
    <w:tbl>
      <w:tblPr>
        <w:tblW w:w="5000" w:type="pct"/>
        <w:tblLook w:val="04A0" w:firstRow="1" w:lastRow="0" w:firstColumn="1" w:lastColumn="0" w:noHBand="0" w:noVBand="1"/>
      </w:tblPr>
      <w:tblGrid>
        <w:gridCol w:w="1217"/>
        <w:gridCol w:w="1217"/>
        <w:gridCol w:w="1217"/>
        <w:gridCol w:w="1216"/>
        <w:gridCol w:w="1216"/>
        <w:gridCol w:w="1216"/>
        <w:gridCol w:w="1217"/>
      </w:tblGrid>
      <w:tr w:rsidR="00A833AB" w:rsidRPr="0023021E" w14:paraId="302463A4" w14:textId="77777777" w:rsidTr="000F60E8">
        <w:trPr>
          <w:trHeight w:val="673"/>
        </w:trPr>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19B18" w14:textId="77777777" w:rsidR="00A833AB" w:rsidRPr="0023021E" w:rsidRDefault="00A833AB" w:rsidP="000F60E8">
            <w:pPr>
              <w:pStyle w:val="TableFont"/>
              <w:spacing w:before="0"/>
            </w:pPr>
          </w:p>
        </w:tc>
        <w:tc>
          <w:tcPr>
            <w:tcW w:w="714" w:type="pct"/>
            <w:tcBorders>
              <w:top w:val="single" w:sz="4" w:space="0" w:color="auto"/>
              <w:left w:val="single" w:sz="4" w:space="0" w:color="auto"/>
              <w:bottom w:val="single" w:sz="4" w:space="0" w:color="auto"/>
            </w:tcBorders>
            <w:shd w:val="clear" w:color="auto" w:fill="auto"/>
            <w:vAlign w:val="center"/>
            <w:hideMark/>
          </w:tcPr>
          <w:p w14:paraId="5B07ACCD" w14:textId="77777777" w:rsidR="00A833AB" w:rsidRPr="0023021E" w:rsidRDefault="00A833AB" w:rsidP="000F60E8">
            <w:pPr>
              <w:pStyle w:val="TableFont"/>
              <w:spacing w:before="0"/>
              <w:rPr>
                <w:b/>
                <w:bCs/>
              </w:rPr>
            </w:pPr>
            <w:r w:rsidRPr="0023021E">
              <w:rPr>
                <w:b/>
                <w:bCs/>
              </w:rPr>
              <w:t xml:space="preserve">Inner Melbourne </w:t>
            </w:r>
          </w:p>
        </w:tc>
        <w:tc>
          <w:tcPr>
            <w:tcW w:w="714" w:type="pct"/>
            <w:tcBorders>
              <w:top w:val="single" w:sz="4" w:space="0" w:color="auto"/>
              <w:bottom w:val="single" w:sz="4" w:space="0" w:color="auto"/>
            </w:tcBorders>
            <w:shd w:val="clear" w:color="auto" w:fill="auto"/>
            <w:vAlign w:val="center"/>
            <w:hideMark/>
          </w:tcPr>
          <w:p w14:paraId="507D2072" w14:textId="77777777" w:rsidR="00A833AB" w:rsidRDefault="00A833AB" w:rsidP="000F60E8">
            <w:pPr>
              <w:pStyle w:val="TableFont"/>
              <w:spacing w:before="0"/>
              <w:rPr>
                <w:b/>
                <w:bCs/>
              </w:rPr>
            </w:pPr>
            <w:r>
              <w:rPr>
                <w:b/>
                <w:bCs/>
              </w:rPr>
              <w:t>Middle</w:t>
            </w:r>
          </w:p>
          <w:p w14:paraId="6B52856F" w14:textId="77777777" w:rsidR="00A833AB" w:rsidRPr="0023021E" w:rsidRDefault="00A833AB" w:rsidP="000F60E8">
            <w:pPr>
              <w:pStyle w:val="TableFont"/>
              <w:spacing w:before="0"/>
              <w:rPr>
                <w:b/>
                <w:bCs/>
              </w:rPr>
            </w:pPr>
            <w:r w:rsidRPr="0023021E">
              <w:rPr>
                <w:b/>
                <w:bCs/>
              </w:rPr>
              <w:t xml:space="preserve">Melbourne </w:t>
            </w:r>
          </w:p>
        </w:tc>
        <w:tc>
          <w:tcPr>
            <w:tcW w:w="714" w:type="pct"/>
            <w:tcBorders>
              <w:top w:val="single" w:sz="4" w:space="0" w:color="auto"/>
              <w:bottom w:val="single" w:sz="4" w:space="0" w:color="auto"/>
            </w:tcBorders>
            <w:shd w:val="clear" w:color="auto" w:fill="auto"/>
            <w:vAlign w:val="center"/>
            <w:hideMark/>
          </w:tcPr>
          <w:p w14:paraId="57D5F33A" w14:textId="77777777" w:rsidR="00A833AB" w:rsidRPr="0023021E" w:rsidRDefault="00A833AB" w:rsidP="000F60E8">
            <w:pPr>
              <w:pStyle w:val="TableFont"/>
              <w:spacing w:before="0"/>
              <w:rPr>
                <w:b/>
                <w:bCs/>
              </w:rPr>
            </w:pPr>
            <w:r w:rsidRPr="0023021E">
              <w:rPr>
                <w:b/>
                <w:bCs/>
              </w:rPr>
              <w:t xml:space="preserve">Outer Melbourne </w:t>
            </w:r>
          </w:p>
        </w:tc>
        <w:tc>
          <w:tcPr>
            <w:tcW w:w="714" w:type="pct"/>
            <w:tcBorders>
              <w:top w:val="single" w:sz="4" w:space="0" w:color="auto"/>
              <w:bottom w:val="single" w:sz="4" w:space="0" w:color="auto"/>
            </w:tcBorders>
            <w:shd w:val="clear" w:color="auto" w:fill="auto"/>
            <w:vAlign w:val="center"/>
            <w:hideMark/>
          </w:tcPr>
          <w:p w14:paraId="45E0D44F" w14:textId="77777777" w:rsidR="00A833AB" w:rsidRPr="0023021E" w:rsidRDefault="00A833AB" w:rsidP="000F60E8">
            <w:pPr>
              <w:pStyle w:val="TableFont"/>
              <w:spacing w:before="0"/>
              <w:rPr>
                <w:b/>
                <w:bCs/>
              </w:rPr>
            </w:pPr>
            <w:r w:rsidRPr="0023021E">
              <w:rPr>
                <w:b/>
                <w:bCs/>
              </w:rPr>
              <w:t>Total Melbourne</w:t>
            </w:r>
          </w:p>
        </w:tc>
        <w:tc>
          <w:tcPr>
            <w:tcW w:w="714" w:type="pct"/>
            <w:tcBorders>
              <w:top w:val="single" w:sz="4" w:space="0" w:color="auto"/>
              <w:bottom w:val="single" w:sz="4" w:space="0" w:color="auto"/>
            </w:tcBorders>
            <w:shd w:val="clear" w:color="auto" w:fill="auto"/>
            <w:vAlign w:val="center"/>
            <w:hideMark/>
          </w:tcPr>
          <w:p w14:paraId="5D3DA52D" w14:textId="77777777" w:rsidR="00A833AB" w:rsidRPr="0023021E" w:rsidRDefault="00A833AB" w:rsidP="000F60E8">
            <w:pPr>
              <w:pStyle w:val="TableFont"/>
              <w:spacing w:before="0"/>
              <w:rPr>
                <w:b/>
                <w:bCs/>
              </w:rPr>
            </w:pPr>
            <w:r w:rsidRPr="0023021E">
              <w:rPr>
                <w:b/>
                <w:bCs/>
              </w:rPr>
              <w:t xml:space="preserve">Regional </w:t>
            </w:r>
          </w:p>
        </w:tc>
        <w:tc>
          <w:tcPr>
            <w:tcW w:w="714" w:type="pct"/>
            <w:tcBorders>
              <w:top w:val="single" w:sz="4" w:space="0" w:color="auto"/>
              <w:bottom w:val="single" w:sz="4" w:space="0" w:color="auto"/>
              <w:right w:val="single" w:sz="4" w:space="0" w:color="auto"/>
            </w:tcBorders>
            <w:shd w:val="clear" w:color="auto" w:fill="auto"/>
            <w:vAlign w:val="center"/>
            <w:hideMark/>
          </w:tcPr>
          <w:p w14:paraId="20F69E52" w14:textId="77777777" w:rsidR="00A833AB" w:rsidRPr="0023021E" w:rsidRDefault="00A833AB" w:rsidP="000F60E8">
            <w:pPr>
              <w:pStyle w:val="TableFont"/>
              <w:spacing w:before="0"/>
              <w:rPr>
                <w:b/>
                <w:bCs/>
              </w:rPr>
            </w:pPr>
            <w:r w:rsidRPr="0023021E">
              <w:rPr>
                <w:b/>
                <w:bCs/>
              </w:rPr>
              <w:t>%Metro Bound Commuters</w:t>
            </w:r>
          </w:p>
        </w:tc>
      </w:tr>
      <w:tr w:rsidR="00A833AB" w:rsidRPr="0023021E" w14:paraId="31EF94FE" w14:textId="77777777" w:rsidTr="000F60E8">
        <w:trPr>
          <w:trHeight w:val="454"/>
        </w:trPr>
        <w:tc>
          <w:tcPr>
            <w:tcW w:w="714" w:type="pct"/>
            <w:tcBorders>
              <w:top w:val="single" w:sz="4" w:space="0" w:color="auto"/>
              <w:left w:val="single" w:sz="4" w:space="0" w:color="auto"/>
              <w:right w:val="single" w:sz="4" w:space="0" w:color="auto"/>
            </w:tcBorders>
            <w:shd w:val="clear" w:color="auto" w:fill="auto"/>
            <w:noWrap/>
            <w:vAlign w:val="center"/>
            <w:hideMark/>
          </w:tcPr>
          <w:p w14:paraId="7F0F58BA" w14:textId="77777777" w:rsidR="00A833AB" w:rsidRPr="0023021E" w:rsidRDefault="00A833AB" w:rsidP="000F60E8">
            <w:pPr>
              <w:pStyle w:val="TableFont"/>
              <w:spacing w:before="0"/>
            </w:pPr>
            <w:r>
              <w:t>2</w:t>
            </w:r>
            <w:r w:rsidRPr="0023021E">
              <w:t>006</w:t>
            </w:r>
          </w:p>
        </w:tc>
        <w:tc>
          <w:tcPr>
            <w:tcW w:w="714" w:type="pct"/>
            <w:tcBorders>
              <w:top w:val="single" w:sz="4" w:space="0" w:color="auto"/>
              <w:left w:val="single" w:sz="4" w:space="0" w:color="auto"/>
            </w:tcBorders>
            <w:shd w:val="clear" w:color="auto" w:fill="auto"/>
            <w:noWrap/>
            <w:vAlign w:val="center"/>
            <w:hideMark/>
          </w:tcPr>
          <w:p w14:paraId="0ACBC2B9" w14:textId="77777777" w:rsidR="00A833AB" w:rsidRPr="0023021E" w:rsidRDefault="00A833AB" w:rsidP="000F60E8">
            <w:pPr>
              <w:pStyle w:val="TableFont"/>
              <w:spacing w:before="0"/>
            </w:pPr>
            <w:r w:rsidRPr="0023021E">
              <w:t>11,991</w:t>
            </w:r>
          </w:p>
        </w:tc>
        <w:tc>
          <w:tcPr>
            <w:tcW w:w="714" w:type="pct"/>
            <w:tcBorders>
              <w:top w:val="single" w:sz="4" w:space="0" w:color="auto"/>
            </w:tcBorders>
            <w:shd w:val="clear" w:color="auto" w:fill="auto"/>
            <w:noWrap/>
            <w:vAlign w:val="center"/>
            <w:hideMark/>
          </w:tcPr>
          <w:p w14:paraId="45F9DD18" w14:textId="77777777" w:rsidR="00A833AB" w:rsidRPr="0023021E" w:rsidRDefault="00A833AB" w:rsidP="000F60E8">
            <w:pPr>
              <w:pStyle w:val="TableFont"/>
              <w:spacing w:before="0"/>
            </w:pPr>
            <w:r w:rsidRPr="0023021E">
              <w:t>14,338</w:t>
            </w:r>
          </w:p>
        </w:tc>
        <w:tc>
          <w:tcPr>
            <w:tcW w:w="714" w:type="pct"/>
            <w:tcBorders>
              <w:top w:val="single" w:sz="4" w:space="0" w:color="auto"/>
            </w:tcBorders>
            <w:shd w:val="clear" w:color="auto" w:fill="auto"/>
            <w:noWrap/>
            <w:vAlign w:val="center"/>
            <w:hideMark/>
          </w:tcPr>
          <w:p w14:paraId="1DA3A9CD" w14:textId="77777777" w:rsidR="00A833AB" w:rsidRPr="0023021E" w:rsidRDefault="00A833AB" w:rsidP="000F60E8">
            <w:pPr>
              <w:pStyle w:val="TableFont"/>
              <w:spacing w:before="0"/>
            </w:pPr>
            <w:r w:rsidRPr="0023021E">
              <w:t>12,396</w:t>
            </w:r>
          </w:p>
        </w:tc>
        <w:tc>
          <w:tcPr>
            <w:tcW w:w="714" w:type="pct"/>
            <w:tcBorders>
              <w:top w:val="single" w:sz="4" w:space="0" w:color="auto"/>
            </w:tcBorders>
            <w:shd w:val="clear" w:color="auto" w:fill="auto"/>
            <w:noWrap/>
            <w:vAlign w:val="center"/>
            <w:hideMark/>
          </w:tcPr>
          <w:p w14:paraId="2AB5ED46" w14:textId="77777777" w:rsidR="00A833AB" w:rsidRPr="0023021E" w:rsidRDefault="00A833AB" w:rsidP="000F60E8">
            <w:pPr>
              <w:pStyle w:val="TableFont"/>
              <w:spacing w:before="0"/>
            </w:pPr>
            <w:r w:rsidRPr="0023021E">
              <w:t>38,725</w:t>
            </w:r>
          </w:p>
        </w:tc>
        <w:tc>
          <w:tcPr>
            <w:tcW w:w="714" w:type="pct"/>
            <w:tcBorders>
              <w:top w:val="single" w:sz="4" w:space="0" w:color="auto"/>
            </w:tcBorders>
            <w:shd w:val="clear" w:color="auto" w:fill="auto"/>
            <w:noWrap/>
            <w:vAlign w:val="center"/>
            <w:hideMark/>
          </w:tcPr>
          <w:p w14:paraId="205C5B11" w14:textId="77777777" w:rsidR="00A833AB" w:rsidRPr="0023021E" w:rsidRDefault="00A833AB" w:rsidP="000F60E8">
            <w:pPr>
              <w:pStyle w:val="TableFont"/>
              <w:spacing w:before="0"/>
            </w:pPr>
            <w:r w:rsidRPr="0023021E">
              <w:t>478,398</w:t>
            </w:r>
          </w:p>
        </w:tc>
        <w:tc>
          <w:tcPr>
            <w:tcW w:w="714" w:type="pct"/>
            <w:tcBorders>
              <w:top w:val="single" w:sz="4" w:space="0" w:color="auto"/>
              <w:right w:val="single" w:sz="4" w:space="0" w:color="auto"/>
            </w:tcBorders>
            <w:shd w:val="clear" w:color="auto" w:fill="auto"/>
            <w:noWrap/>
            <w:vAlign w:val="center"/>
            <w:hideMark/>
          </w:tcPr>
          <w:p w14:paraId="121E5D57" w14:textId="77777777" w:rsidR="00A833AB" w:rsidRPr="0023021E" w:rsidRDefault="00A833AB" w:rsidP="000F60E8">
            <w:pPr>
              <w:pStyle w:val="TableFont"/>
              <w:spacing w:before="0"/>
            </w:pPr>
            <w:r w:rsidRPr="0023021E">
              <w:t>7.49%</w:t>
            </w:r>
          </w:p>
        </w:tc>
      </w:tr>
      <w:tr w:rsidR="00A833AB" w:rsidRPr="0023021E" w14:paraId="3C22DC68" w14:textId="77777777" w:rsidTr="000F60E8">
        <w:trPr>
          <w:trHeight w:val="454"/>
        </w:trPr>
        <w:tc>
          <w:tcPr>
            <w:tcW w:w="714" w:type="pct"/>
            <w:tcBorders>
              <w:left w:val="single" w:sz="4" w:space="0" w:color="auto"/>
              <w:right w:val="single" w:sz="4" w:space="0" w:color="auto"/>
            </w:tcBorders>
            <w:shd w:val="clear" w:color="auto" w:fill="auto"/>
            <w:vAlign w:val="center"/>
            <w:hideMark/>
          </w:tcPr>
          <w:p w14:paraId="4F33AB90" w14:textId="77777777" w:rsidR="00A833AB" w:rsidRPr="0023021E" w:rsidRDefault="00A833AB" w:rsidP="000F60E8">
            <w:pPr>
              <w:pStyle w:val="TableFont"/>
              <w:spacing w:before="0"/>
              <w:rPr>
                <w:bCs/>
              </w:rPr>
            </w:pPr>
            <w:r>
              <w:rPr>
                <w:bCs/>
              </w:rPr>
              <w:t>2</w:t>
            </w:r>
            <w:r w:rsidRPr="0023021E">
              <w:rPr>
                <w:bCs/>
              </w:rPr>
              <w:t>011</w:t>
            </w:r>
          </w:p>
        </w:tc>
        <w:tc>
          <w:tcPr>
            <w:tcW w:w="714" w:type="pct"/>
            <w:tcBorders>
              <w:left w:val="single" w:sz="4" w:space="0" w:color="auto"/>
            </w:tcBorders>
            <w:shd w:val="clear" w:color="auto" w:fill="auto"/>
            <w:noWrap/>
            <w:vAlign w:val="center"/>
            <w:hideMark/>
          </w:tcPr>
          <w:p w14:paraId="0C49A49C" w14:textId="77777777" w:rsidR="00A833AB" w:rsidRPr="0023021E" w:rsidRDefault="00A833AB" w:rsidP="000F60E8">
            <w:pPr>
              <w:pStyle w:val="TableFont"/>
              <w:spacing w:before="0"/>
            </w:pPr>
            <w:r w:rsidRPr="0023021E">
              <w:t>15,436</w:t>
            </w:r>
          </w:p>
        </w:tc>
        <w:tc>
          <w:tcPr>
            <w:tcW w:w="714" w:type="pct"/>
            <w:shd w:val="clear" w:color="auto" w:fill="auto"/>
            <w:noWrap/>
            <w:vAlign w:val="center"/>
            <w:hideMark/>
          </w:tcPr>
          <w:p w14:paraId="003C9A5D" w14:textId="77777777" w:rsidR="00A833AB" w:rsidRPr="0023021E" w:rsidRDefault="00A833AB" w:rsidP="000F60E8">
            <w:pPr>
              <w:pStyle w:val="TableFont"/>
              <w:spacing w:before="0"/>
            </w:pPr>
            <w:r w:rsidRPr="0023021E">
              <w:t>15,609</w:t>
            </w:r>
          </w:p>
        </w:tc>
        <w:tc>
          <w:tcPr>
            <w:tcW w:w="714" w:type="pct"/>
            <w:shd w:val="clear" w:color="auto" w:fill="auto"/>
            <w:noWrap/>
            <w:vAlign w:val="center"/>
            <w:hideMark/>
          </w:tcPr>
          <w:p w14:paraId="2FFAA346" w14:textId="77777777" w:rsidR="00A833AB" w:rsidRPr="0023021E" w:rsidRDefault="00A833AB" w:rsidP="000F60E8">
            <w:pPr>
              <w:pStyle w:val="TableFont"/>
              <w:spacing w:before="0"/>
            </w:pPr>
            <w:r w:rsidRPr="0023021E">
              <w:t>10,139</w:t>
            </w:r>
          </w:p>
        </w:tc>
        <w:tc>
          <w:tcPr>
            <w:tcW w:w="714" w:type="pct"/>
            <w:shd w:val="clear" w:color="auto" w:fill="auto"/>
            <w:noWrap/>
            <w:vAlign w:val="center"/>
            <w:hideMark/>
          </w:tcPr>
          <w:p w14:paraId="3D5684D4" w14:textId="77777777" w:rsidR="00A833AB" w:rsidRPr="0023021E" w:rsidRDefault="00A833AB" w:rsidP="000F60E8">
            <w:pPr>
              <w:pStyle w:val="TableFont"/>
              <w:spacing w:before="0"/>
            </w:pPr>
            <w:r w:rsidRPr="0023021E">
              <w:t>41,184</w:t>
            </w:r>
          </w:p>
        </w:tc>
        <w:tc>
          <w:tcPr>
            <w:tcW w:w="714" w:type="pct"/>
            <w:shd w:val="clear" w:color="auto" w:fill="auto"/>
            <w:noWrap/>
            <w:vAlign w:val="center"/>
            <w:hideMark/>
          </w:tcPr>
          <w:p w14:paraId="3B329D6C" w14:textId="77777777" w:rsidR="00A833AB" w:rsidRPr="0023021E" w:rsidRDefault="00A833AB" w:rsidP="000F60E8">
            <w:pPr>
              <w:pStyle w:val="TableFont"/>
              <w:spacing w:before="0"/>
            </w:pPr>
            <w:r w:rsidRPr="0023021E">
              <w:t>483,310</w:t>
            </w:r>
          </w:p>
        </w:tc>
        <w:tc>
          <w:tcPr>
            <w:tcW w:w="714" w:type="pct"/>
            <w:tcBorders>
              <w:right w:val="single" w:sz="4" w:space="0" w:color="auto"/>
            </w:tcBorders>
            <w:shd w:val="clear" w:color="auto" w:fill="auto"/>
            <w:noWrap/>
            <w:vAlign w:val="center"/>
            <w:hideMark/>
          </w:tcPr>
          <w:p w14:paraId="1FCDFAFF" w14:textId="77777777" w:rsidR="00A833AB" w:rsidRPr="0023021E" w:rsidRDefault="00A833AB" w:rsidP="000F60E8">
            <w:pPr>
              <w:pStyle w:val="TableFont"/>
              <w:spacing w:before="0"/>
            </w:pPr>
            <w:r w:rsidRPr="0023021E">
              <w:t>7.85%</w:t>
            </w:r>
          </w:p>
        </w:tc>
      </w:tr>
      <w:tr w:rsidR="00A833AB" w:rsidRPr="0023021E" w14:paraId="7C176D86" w14:textId="77777777" w:rsidTr="000F60E8">
        <w:trPr>
          <w:trHeight w:val="454"/>
        </w:trPr>
        <w:tc>
          <w:tcPr>
            <w:tcW w:w="714" w:type="pct"/>
            <w:tcBorders>
              <w:left w:val="single" w:sz="4" w:space="0" w:color="auto"/>
              <w:bottom w:val="single" w:sz="4" w:space="0" w:color="auto"/>
              <w:right w:val="single" w:sz="4" w:space="0" w:color="auto"/>
            </w:tcBorders>
            <w:shd w:val="clear" w:color="auto" w:fill="auto"/>
            <w:noWrap/>
            <w:vAlign w:val="center"/>
            <w:hideMark/>
          </w:tcPr>
          <w:p w14:paraId="206E5E78" w14:textId="77777777" w:rsidR="00A833AB" w:rsidRPr="0023021E" w:rsidRDefault="00A833AB" w:rsidP="000F60E8">
            <w:pPr>
              <w:pStyle w:val="TableFont"/>
              <w:spacing w:before="0"/>
            </w:pPr>
            <w:r w:rsidRPr="0023021E">
              <w:t>%Growth</w:t>
            </w:r>
          </w:p>
        </w:tc>
        <w:tc>
          <w:tcPr>
            <w:tcW w:w="714" w:type="pct"/>
            <w:tcBorders>
              <w:left w:val="single" w:sz="4" w:space="0" w:color="auto"/>
              <w:bottom w:val="single" w:sz="4" w:space="0" w:color="auto"/>
            </w:tcBorders>
            <w:shd w:val="clear" w:color="auto" w:fill="auto"/>
            <w:noWrap/>
            <w:vAlign w:val="center"/>
            <w:hideMark/>
          </w:tcPr>
          <w:p w14:paraId="452AEF85" w14:textId="77777777" w:rsidR="00A833AB" w:rsidRPr="0023021E" w:rsidRDefault="00A833AB" w:rsidP="000F60E8">
            <w:pPr>
              <w:pStyle w:val="TableFont"/>
              <w:spacing w:before="0"/>
            </w:pPr>
            <w:r w:rsidRPr="0023021E">
              <w:t>28.7%</w:t>
            </w:r>
          </w:p>
        </w:tc>
        <w:tc>
          <w:tcPr>
            <w:tcW w:w="714" w:type="pct"/>
            <w:tcBorders>
              <w:bottom w:val="single" w:sz="4" w:space="0" w:color="auto"/>
            </w:tcBorders>
            <w:shd w:val="clear" w:color="auto" w:fill="auto"/>
            <w:noWrap/>
            <w:vAlign w:val="center"/>
            <w:hideMark/>
          </w:tcPr>
          <w:p w14:paraId="1B339790" w14:textId="77777777" w:rsidR="00A833AB" w:rsidRPr="0023021E" w:rsidRDefault="00A833AB" w:rsidP="000F60E8">
            <w:pPr>
              <w:pStyle w:val="TableFont"/>
              <w:spacing w:before="0"/>
            </w:pPr>
            <w:r w:rsidRPr="0023021E">
              <w:t>8.9%</w:t>
            </w:r>
          </w:p>
        </w:tc>
        <w:tc>
          <w:tcPr>
            <w:tcW w:w="714" w:type="pct"/>
            <w:tcBorders>
              <w:bottom w:val="single" w:sz="4" w:space="0" w:color="auto"/>
            </w:tcBorders>
            <w:shd w:val="clear" w:color="auto" w:fill="auto"/>
            <w:noWrap/>
            <w:vAlign w:val="center"/>
            <w:hideMark/>
          </w:tcPr>
          <w:p w14:paraId="254A256A" w14:textId="77777777" w:rsidR="00A833AB" w:rsidRPr="0023021E" w:rsidRDefault="00A833AB" w:rsidP="000F60E8">
            <w:pPr>
              <w:pStyle w:val="TableFont"/>
              <w:spacing w:before="0"/>
            </w:pPr>
            <w:r w:rsidRPr="0023021E">
              <w:t>-18.2%</w:t>
            </w:r>
          </w:p>
        </w:tc>
        <w:tc>
          <w:tcPr>
            <w:tcW w:w="714" w:type="pct"/>
            <w:tcBorders>
              <w:bottom w:val="single" w:sz="4" w:space="0" w:color="auto"/>
            </w:tcBorders>
            <w:shd w:val="clear" w:color="auto" w:fill="auto"/>
            <w:noWrap/>
            <w:vAlign w:val="center"/>
            <w:hideMark/>
          </w:tcPr>
          <w:p w14:paraId="288A0C88" w14:textId="77777777" w:rsidR="00A833AB" w:rsidRPr="0023021E" w:rsidRDefault="00A833AB" w:rsidP="000F60E8">
            <w:pPr>
              <w:pStyle w:val="TableFont"/>
              <w:spacing w:before="0"/>
            </w:pPr>
            <w:r w:rsidRPr="0023021E">
              <w:t>6.3%</w:t>
            </w:r>
          </w:p>
        </w:tc>
        <w:tc>
          <w:tcPr>
            <w:tcW w:w="714" w:type="pct"/>
            <w:tcBorders>
              <w:bottom w:val="single" w:sz="4" w:space="0" w:color="auto"/>
            </w:tcBorders>
            <w:shd w:val="clear" w:color="auto" w:fill="auto"/>
            <w:noWrap/>
            <w:vAlign w:val="center"/>
            <w:hideMark/>
          </w:tcPr>
          <w:p w14:paraId="530F79A6" w14:textId="77777777" w:rsidR="00A833AB" w:rsidRPr="0023021E" w:rsidRDefault="00A833AB" w:rsidP="000F60E8">
            <w:pPr>
              <w:pStyle w:val="TableFont"/>
              <w:spacing w:before="0"/>
            </w:pPr>
            <w:r w:rsidRPr="0023021E">
              <w:t>1.0%</w:t>
            </w:r>
          </w:p>
        </w:tc>
        <w:tc>
          <w:tcPr>
            <w:tcW w:w="714" w:type="pct"/>
            <w:tcBorders>
              <w:bottom w:val="single" w:sz="4" w:space="0" w:color="auto"/>
              <w:right w:val="single" w:sz="4" w:space="0" w:color="auto"/>
            </w:tcBorders>
            <w:shd w:val="clear" w:color="auto" w:fill="auto"/>
            <w:noWrap/>
            <w:vAlign w:val="center"/>
            <w:hideMark/>
          </w:tcPr>
          <w:p w14:paraId="13BAB0A5" w14:textId="77777777" w:rsidR="00A833AB" w:rsidRPr="0023021E" w:rsidRDefault="00A833AB" w:rsidP="000F60E8">
            <w:pPr>
              <w:pStyle w:val="TableFont"/>
              <w:spacing w:before="0"/>
            </w:pPr>
          </w:p>
        </w:tc>
      </w:tr>
    </w:tbl>
    <w:p w14:paraId="29D1A7BD" w14:textId="77777777" w:rsidR="00A833AB" w:rsidRPr="00C972D4" w:rsidRDefault="00A833AB" w:rsidP="000F60E8">
      <w:r>
        <w:t xml:space="preserve">This change from shallow to deep commuting indicates a transition in metro-bound commuting, from the ‘shallow’ commuting to outer suburban jobs identified as a factor in exurbanism in the 1990s </w:t>
      </w:r>
      <w:r>
        <w:rPr>
          <w:noProof/>
        </w:rPr>
        <w:t>(Burnley &amp; Murphy 1995)</w:t>
      </w:r>
      <w:r>
        <w:t xml:space="preserve"> to the ‘deeper’ commuting to inner city </w:t>
      </w:r>
      <w:r>
        <w:lastRenderedPageBreak/>
        <w:t xml:space="preserve">jobs.  Associated with this is a transition in the industry sectors that people are travelling to work in, as shown in Figure 1. This analysis of place of work and industry sectors supports the contention that changes in metro-bound commuting reflect the reformation of city economies and the distribution of employment.  The largest increases are for deep commuting to employment in </w:t>
      </w:r>
      <w:r>
        <w:rPr>
          <w:i/>
        </w:rPr>
        <w:t>Public administration and safety, Professional, scientific and technical services</w:t>
      </w:r>
      <w:r>
        <w:t xml:space="preserve"> and </w:t>
      </w:r>
      <w:r>
        <w:rPr>
          <w:i/>
        </w:rPr>
        <w:t>Financial and insurance services</w:t>
      </w:r>
      <w:r>
        <w:t xml:space="preserve">: sectors associated with the ‘cultural-cognitive’ economy, particularly as there has been a corresponding rise in deep commuting </w:t>
      </w:r>
      <w:r>
        <w:rPr>
          <w:i/>
        </w:rPr>
        <w:t>Managers</w:t>
      </w:r>
      <w:r>
        <w:t xml:space="preserve"> and </w:t>
      </w:r>
      <w:r>
        <w:rPr>
          <w:i/>
        </w:rPr>
        <w:t>Professionals</w:t>
      </w:r>
      <w:r>
        <w:t xml:space="preserve"> as categorised in the ANZSIC codes</w:t>
      </w:r>
      <w:r>
        <w:rPr>
          <w:i/>
        </w:rPr>
        <w:t xml:space="preserve"> </w:t>
      </w:r>
      <w:r>
        <w:rPr>
          <w:noProof/>
        </w:rPr>
        <w:t>(Australian Bureau of Statistics 2006a; 2011a, data not shown)</w:t>
      </w:r>
      <w:r>
        <w:t>.</w:t>
      </w:r>
      <w:r>
        <w:rPr>
          <w:i/>
        </w:rPr>
        <w:t xml:space="preserve"> </w:t>
      </w:r>
      <w:r>
        <w:t xml:space="preserve">When the Inner and Middle destinations are combined there are also increases in metro-bound commuting in the </w:t>
      </w:r>
      <w:r>
        <w:rPr>
          <w:i/>
        </w:rPr>
        <w:t>C</w:t>
      </w:r>
      <w:r w:rsidRPr="00997D9E">
        <w:rPr>
          <w:i/>
        </w:rPr>
        <w:t>onstruction</w:t>
      </w:r>
      <w:r>
        <w:t xml:space="preserve">, </w:t>
      </w:r>
      <w:r>
        <w:rPr>
          <w:i/>
        </w:rPr>
        <w:t>Health care and social assistance</w:t>
      </w:r>
      <w:r>
        <w:t xml:space="preserve"> and </w:t>
      </w:r>
      <w:r>
        <w:rPr>
          <w:i/>
        </w:rPr>
        <w:t>Education and training</w:t>
      </w:r>
      <w:r>
        <w:t xml:space="preserve">, sectors that have seen significant employment growth in recent decades </w:t>
      </w:r>
      <w:r>
        <w:rPr>
          <w:noProof/>
        </w:rPr>
        <w:t>(Bureau of Infrastructure Transport and Regional Economics 2015, p. 57)</w:t>
      </w:r>
      <w:r>
        <w:t>.</w:t>
      </w:r>
    </w:p>
    <w:p w14:paraId="4BE8E228" w14:textId="77777777" w:rsidR="00A833AB" w:rsidRDefault="00A833AB" w:rsidP="000F60E8">
      <w:pPr>
        <w:keepNext/>
      </w:pPr>
      <w:r>
        <w:rPr>
          <w:noProof/>
          <w:lang w:val="en-US"/>
        </w:rPr>
        <w:drawing>
          <wp:inline distT="0" distB="0" distL="0" distR="0" wp14:anchorId="7C1BBDA4" wp14:editId="448B9466">
            <wp:extent cx="5600700" cy="399203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38EA47" w14:textId="77777777" w:rsidR="00A833AB" w:rsidRDefault="00A833AB" w:rsidP="000F60E8">
      <w:pPr>
        <w:pStyle w:val="Caption"/>
      </w:pPr>
      <w:r>
        <w:t xml:space="preserve">Figure </w:t>
      </w:r>
      <w:fldSimple w:instr=" SEQ Figure \* ARABIC ">
        <w:r>
          <w:rPr>
            <w:noProof/>
          </w:rPr>
          <w:t>1</w:t>
        </w:r>
      </w:fldSimple>
      <w:r>
        <w:t>: Change in metro-bound commuting by ANZSIC 1 industry divisions, Victorian metro-bound commuters 2006-2011</w:t>
      </w:r>
    </w:p>
    <w:p w14:paraId="62808626" w14:textId="77777777" w:rsidR="00A833AB" w:rsidRPr="00A923C8" w:rsidRDefault="00A833AB" w:rsidP="000F60E8">
      <w:pPr>
        <w:pStyle w:val="TableSource"/>
        <w:jc w:val="center"/>
      </w:pPr>
      <w:r>
        <w:t xml:space="preserve">Source: Customised dataset from </w:t>
      </w:r>
      <w:r>
        <w:rPr>
          <w:noProof/>
        </w:rPr>
        <w:t>(data not shown, Australian Bureau of Statistics 2006a; Australian Bureau of Statistics 2011a)</w:t>
      </w:r>
      <w:r>
        <w:t>.</w:t>
      </w:r>
    </w:p>
    <w:p w14:paraId="040164FB" w14:textId="77777777" w:rsidR="00424D55" w:rsidRDefault="00424D55" w:rsidP="00424D55">
      <w:r>
        <w:t xml:space="preserve">There were declines in shallow commuting in most industry sectors, but particularly </w:t>
      </w:r>
      <w:proofErr w:type="gramStart"/>
      <w:r>
        <w:rPr>
          <w:i/>
        </w:rPr>
        <w:t>Manufacturing</w:t>
      </w:r>
      <w:proofErr w:type="gramEnd"/>
      <w:r>
        <w:rPr>
          <w:i/>
        </w:rPr>
        <w:t xml:space="preserve"> </w:t>
      </w:r>
      <w:r>
        <w:t xml:space="preserve">and the associated industries of </w:t>
      </w:r>
      <w:r>
        <w:rPr>
          <w:i/>
        </w:rPr>
        <w:t xml:space="preserve">Wholesale trade </w:t>
      </w:r>
      <w:r>
        <w:t xml:space="preserve">and </w:t>
      </w:r>
      <w:r>
        <w:rPr>
          <w:i/>
        </w:rPr>
        <w:t>Transport, postal and warehousin</w:t>
      </w:r>
      <w:r w:rsidRPr="00C91C7B">
        <w:rPr>
          <w:i/>
        </w:rPr>
        <w:t>g</w:t>
      </w:r>
      <w:r>
        <w:rPr>
          <w:i/>
        </w:rPr>
        <w:t xml:space="preserve"> </w:t>
      </w:r>
      <w:r>
        <w:rPr>
          <w:noProof/>
        </w:rPr>
        <w:t>(Australian Bureau of Statistics 2006a, 2011a)</w:t>
      </w:r>
      <w:r>
        <w:t xml:space="preserve">. These declines align with overall declines in these sectors in the Outer Melbourne suburbs, with similar trends in </w:t>
      </w:r>
      <w:r>
        <w:rPr>
          <w:i/>
        </w:rPr>
        <w:t>Public administration and safety</w:t>
      </w:r>
      <w:r>
        <w:t xml:space="preserve">. Shallow commuting to </w:t>
      </w:r>
      <w:r>
        <w:rPr>
          <w:i/>
        </w:rPr>
        <w:t>Health care and social assistance</w:t>
      </w:r>
      <w:r>
        <w:t xml:space="preserve"> and </w:t>
      </w:r>
      <w:r>
        <w:rPr>
          <w:i/>
        </w:rPr>
        <w:t xml:space="preserve">Education and training </w:t>
      </w:r>
      <w:r>
        <w:t xml:space="preserve">employment declined even as overall employment increased, but as employment in these sectors grew in regional Victoria the reduction in shallow commuting may be due to the availability of substitutes in more convenient locations.  The growth of Inner and Middle Melbourne commuting in these sectors has grown while Outer Melbourne commuting has declined may be due to employment hierarchies being directed towards the city centre, as well as these workers being priced out of housing markets in the Inner and </w:t>
      </w:r>
      <w:r>
        <w:lastRenderedPageBreak/>
        <w:t xml:space="preserve">Middle suburbs and choosing to metro-bound commute. Substitutes for ‘on-the-ground’ employment in health and education are dispersed, but as careers become more specialised or senior within organisations, places of work tend towards the city centre and there are fewer regional substitutes. These changes in the types of employment are also evident in changes in the occupations of metro-bound commuters. There has been a significant rise in the number of deep commuting </w:t>
      </w:r>
      <w:r>
        <w:rPr>
          <w:i/>
        </w:rPr>
        <w:t>Managers</w:t>
      </w:r>
      <w:r>
        <w:t>,</w:t>
      </w:r>
      <w:r>
        <w:rPr>
          <w:i/>
        </w:rPr>
        <w:t xml:space="preserve"> Professionals </w:t>
      </w:r>
      <w:r w:rsidRPr="00A923C8">
        <w:t>and</w:t>
      </w:r>
      <w:r>
        <w:rPr>
          <w:i/>
        </w:rPr>
        <w:t xml:space="preserve"> Clerical and administration workers, </w:t>
      </w:r>
      <w:r>
        <w:t xml:space="preserve">while shallow commuting </w:t>
      </w:r>
      <w:r>
        <w:rPr>
          <w:i/>
        </w:rPr>
        <w:t>Machinery operators and drivers</w:t>
      </w:r>
      <w:r>
        <w:t xml:space="preserve"> and </w:t>
      </w:r>
      <w:r>
        <w:rPr>
          <w:i/>
        </w:rPr>
        <w:t xml:space="preserve">Labourers </w:t>
      </w:r>
      <w:r>
        <w:t xml:space="preserve">have declined </w:t>
      </w:r>
      <w:r>
        <w:rPr>
          <w:noProof/>
        </w:rPr>
        <w:t>(Australian Bureau of Statistics 2006b, 2011b)</w:t>
      </w:r>
      <w:r>
        <w:t xml:space="preserve">. </w:t>
      </w:r>
    </w:p>
    <w:p w14:paraId="77A75045" w14:textId="77777777" w:rsidR="00A833AB" w:rsidRDefault="00A833AB" w:rsidP="000F60E8">
      <w:pPr>
        <w:rPr>
          <w:lang w:val="en-US"/>
        </w:rPr>
      </w:pPr>
      <w:r>
        <w:rPr>
          <w:lang w:val="en-US"/>
        </w:rPr>
        <w:t xml:space="preserve">Deep commuting is also associated with higher rates of pay, as would be expected given the employment characteristics discussed above. </w:t>
      </w:r>
      <w:r>
        <w:rPr>
          <w:lang w:val="en-US"/>
        </w:rPr>
        <w:fldChar w:fldCharType="begin"/>
      </w:r>
      <w:r>
        <w:rPr>
          <w:lang w:val="en-US"/>
        </w:rPr>
        <w:instrText xml:space="preserve"> REF _Ref359997504 \h </w:instrText>
      </w:r>
      <w:r>
        <w:rPr>
          <w:lang w:val="en-US"/>
        </w:rPr>
      </w:r>
      <w:r>
        <w:rPr>
          <w:lang w:val="en-US"/>
        </w:rPr>
        <w:fldChar w:fldCharType="separate"/>
      </w:r>
      <w:r>
        <w:t xml:space="preserve">Figure </w:t>
      </w:r>
      <w:r>
        <w:rPr>
          <w:noProof/>
        </w:rPr>
        <w:t>2</w:t>
      </w:r>
      <w:r>
        <w:rPr>
          <w:lang w:val="en-US"/>
        </w:rPr>
        <w:fldChar w:fldCharType="end"/>
      </w:r>
      <w:r>
        <w:rPr>
          <w:lang w:val="en-US"/>
        </w:rPr>
        <w:t xml:space="preserve"> depicts Victorians’ annual income and place of work from the 2011 Census, with regional employment included for comparison. The skew towards higher income employment as the area category consolidates around Melbourne’s CBD is stark: the percentage of deep commuters earning $104,000 or more is approximately five times greater than the regional workforce.  To put this in context, approximately 20% of the workers who recorded an income of $104,000 or more and resided in the City of Greater Geelong worked in Inner Melbourne, and more than 40% of these residents of the Macedon Ranges Shire did so. </w:t>
      </w:r>
      <w:r>
        <w:t xml:space="preserve">As well as the concentration of highly paid jobs in the inner city, this can be seen as a result of the correlation between commuting distances and income </w:t>
      </w:r>
      <w:r>
        <w:rPr>
          <w:lang w:val="en-US"/>
        </w:rPr>
        <w:t>noted previously.</w:t>
      </w:r>
    </w:p>
    <w:p w14:paraId="68BF598E" w14:textId="77777777" w:rsidR="00A833AB" w:rsidRDefault="00A833AB" w:rsidP="000F60E8">
      <w:pPr>
        <w:rPr>
          <w:lang w:val="en-US"/>
        </w:rPr>
      </w:pPr>
      <w:r>
        <w:rPr>
          <w:lang w:val="en-US"/>
        </w:rPr>
        <w:t xml:space="preserve">Additional census data indicates that deep commuters are more highly educated, with 40% having a bachelor degree or higher in 2011, compared to 19% for middle and shallow commuters, and 25% for regional places of work. Another distinction is that more than 30% of deep commuters travel by train for at least some of their journey to </w:t>
      </w:r>
      <w:proofErr w:type="gramStart"/>
      <w:r>
        <w:rPr>
          <w:lang w:val="en-US"/>
        </w:rPr>
        <w:t>work,</w:t>
      </w:r>
      <w:proofErr w:type="gramEnd"/>
      <w:r>
        <w:rPr>
          <w:lang w:val="en-US"/>
        </w:rPr>
        <w:t xml:space="preserve"> compared to less than 4% of shallow and middle commuters. Deep commuters are also more likely to have shifted their place of residence in the 5 years prior to the 2011 census: 48% were in the same place as 5 years previously, compared to 52% of middle commuters, 55% of shallow commuters, and 60% of regional workers </w:t>
      </w:r>
      <w:r>
        <w:rPr>
          <w:noProof/>
          <w:lang w:val="en-US"/>
        </w:rPr>
        <w:t>(Australian Bureau of Statistics 2006a, 2011a)</w:t>
      </w:r>
      <w:r>
        <w:rPr>
          <w:lang w:val="en-US"/>
        </w:rPr>
        <w:t xml:space="preserve">.  </w:t>
      </w:r>
    </w:p>
    <w:p w14:paraId="0FDB8B68" w14:textId="77777777" w:rsidR="00A833AB" w:rsidRDefault="00A833AB" w:rsidP="000F60E8">
      <w:pPr>
        <w:keepNext/>
      </w:pPr>
      <w:r>
        <w:rPr>
          <w:noProof/>
          <w:lang w:val="en-US"/>
        </w:rPr>
        <w:drawing>
          <wp:inline distT="0" distB="0" distL="0" distR="0" wp14:anchorId="7C9A2377" wp14:editId="404F7B93">
            <wp:extent cx="5486400" cy="315849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7FE10E" w14:textId="77777777" w:rsidR="00A833AB" w:rsidRPr="00ED3BB7" w:rsidRDefault="00A833AB" w:rsidP="000F60E8">
      <w:pPr>
        <w:pStyle w:val="Caption"/>
      </w:pPr>
      <w:bookmarkStart w:id="1" w:name="_Ref359997504"/>
      <w:bookmarkStart w:id="2" w:name="_Ref360530004"/>
      <w:r>
        <w:t xml:space="preserve">Figure </w:t>
      </w:r>
      <w:fldSimple w:instr=" SEQ Figure \* ARABIC ">
        <w:r>
          <w:rPr>
            <w:noProof/>
          </w:rPr>
          <w:t>2</w:t>
        </w:r>
      </w:fldSimple>
      <w:bookmarkEnd w:id="1"/>
      <w:r>
        <w:t xml:space="preserve">: </w:t>
      </w:r>
      <w:r w:rsidRPr="00941C0B">
        <w:t>Regional resident work</w:t>
      </w:r>
      <w:r>
        <w:t>force,</w:t>
      </w:r>
      <w:r w:rsidRPr="00941C0B">
        <w:t xml:space="preserve"> </w:t>
      </w:r>
      <w:r>
        <w:t>annual</w:t>
      </w:r>
      <w:r w:rsidRPr="00941C0B">
        <w:t xml:space="preserve"> income by place of work – 2011</w:t>
      </w:r>
      <w:bookmarkEnd w:id="2"/>
    </w:p>
    <w:p w14:paraId="68E9D2D7" w14:textId="77777777" w:rsidR="00A833AB" w:rsidRDefault="00A833AB" w:rsidP="000F60E8">
      <w:pPr>
        <w:pStyle w:val="TableSource"/>
      </w:pPr>
      <w:r w:rsidRPr="00340123">
        <w:t xml:space="preserve">Source: </w:t>
      </w:r>
      <w:r>
        <w:rPr>
          <w:noProof/>
        </w:rPr>
        <w:t>(Australian Bureau of Statistics 2011a)</w:t>
      </w:r>
    </w:p>
    <w:p w14:paraId="6D4A6C93" w14:textId="77777777" w:rsidR="00A833AB" w:rsidRPr="00997D9E" w:rsidRDefault="00A833AB" w:rsidP="000F60E8">
      <w:r>
        <w:t xml:space="preserve">The census data indicates that there has been a reduction in the shallow commuting to the industry sectors that were relocating to the outer suburbs in the early 90s </w:t>
      </w:r>
      <w:r>
        <w:rPr>
          <w:noProof/>
        </w:rPr>
        <w:t>(as per Burnley &amp; Murphy 1995; Forrest 1996;  and Watkins 2009)</w:t>
      </w:r>
      <w:r>
        <w:t xml:space="preserve">. It also indicates an increase in deep commuting to employment redolent of Scott’s cognitive cultural economy.  This growth in deep commuting indicates that there </w:t>
      </w:r>
      <w:proofErr w:type="gramStart"/>
      <w:r>
        <w:t>is</w:t>
      </w:r>
      <w:proofErr w:type="gramEnd"/>
      <w:r>
        <w:t xml:space="preserve"> an increasing number of highly paid and well-educated residents of regional cities and towns within the Melbourne commutershed.  The comparatively high rates of train travel and of shifting places of residence by these commuters suggest that their shift to regional Victoria has been facilitated by improvements in rail services.  This summary of data from the 2006 and 2011 censuses indicates that there are shifts occurring in metro-bound commuting within Victoria. These shifts can be seen as connecting regional communities to the prospering central business district of Melbourne, which provides the basis for considering whether these metro-bound commuters may lead to stronger regional economies and employment opportunities.  </w:t>
      </w:r>
    </w:p>
    <w:p w14:paraId="5B3447E0" w14:textId="77777777" w:rsidR="00A833AB" w:rsidRPr="00A923C8" w:rsidRDefault="00A833AB" w:rsidP="000F60E8">
      <w:pPr>
        <w:pStyle w:val="Heading2"/>
      </w:pPr>
      <w:r>
        <w:t>What does commuting mean for regional development?</w:t>
      </w:r>
    </w:p>
    <w:p w14:paraId="7FB63B9B" w14:textId="77777777" w:rsidR="00A833AB" w:rsidRPr="00064B35" w:rsidRDefault="00A833AB" w:rsidP="000F60E8">
      <w:pPr>
        <w:rPr>
          <w:noProof/>
        </w:rPr>
      </w:pPr>
      <w:r>
        <w:rPr>
          <w:lang w:val="en-US"/>
        </w:rPr>
        <w:t xml:space="preserve">The propensity for regional economic growth is what distinguishes metro-bound commuting from suburban commuting, particularly for regional transport proposals.  </w:t>
      </w:r>
      <w:r w:rsidR="00026282">
        <w:rPr>
          <w:lang w:val="en-US"/>
        </w:rPr>
        <w:t xml:space="preserve">In 2014 </w:t>
      </w:r>
      <w:r>
        <w:rPr>
          <w:lang w:val="en-US"/>
        </w:rPr>
        <w:t xml:space="preserve">Mike Baird, </w:t>
      </w:r>
      <w:r w:rsidR="00026282">
        <w:rPr>
          <w:lang w:val="en-US"/>
        </w:rPr>
        <w:t xml:space="preserve">then </w:t>
      </w:r>
      <w:r>
        <w:rPr>
          <w:lang w:val="en-US"/>
        </w:rPr>
        <w:t xml:space="preserve">Treasurer of New South Wales, supported improvements to the Wollongong-Sydney train line as </w:t>
      </w:r>
      <w:r>
        <w:t>“</w:t>
      </w:r>
      <w:r w:rsidRPr="000F700A">
        <w:t>getting that commute to an hour is ambitious but an</w:t>
      </w:r>
      <w:r>
        <w:t xml:space="preserve"> incredibly worthwhile pursuit ..</w:t>
      </w:r>
      <w:r w:rsidRPr="000F700A">
        <w:t xml:space="preserve">. If you can get a commute down to an hour </w:t>
      </w:r>
      <w:r>
        <w:t>there is a huge economic impact”</w:t>
      </w:r>
      <w:r w:rsidRPr="000F700A">
        <w:t xml:space="preserve"> </w:t>
      </w:r>
      <w:r>
        <w:rPr>
          <w:noProof/>
        </w:rPr>
        <w:t xml:space="preserve">(cited in Meyrick, p. 34). The relationship between metro-bound commuting and regional employment was a primary consideration in the Regional Fast Rail project, completed in 2006. Steve Bracks, </w:t>
      </w:r>
      <w:r w:rsidR="006509E0">
        <w:rPr>
          <w:noProof/>
        </w:rPr>
        <w:t xml:space="preserve">then Victorian </w:t>
      </w:r>
      <w:r>
        <w:rPr>
          <w:noProof/>
        </w:rPr>
        <w:t>Premier, noted that part of the justification for the project was that “</w:t>
      </w:r>
      <w:r w:rsidRPr="00A75283">
        <w:rPr>
          <w:noProof/>
        </w:rPr>
        <w:t>fast rail connections mean population growth and commuters bring their city income back and spend it in the regions, they buy houses and white goods, and they create regional jobs</w:t>
      </w:r>
      <w:r>
        <w:rPr>
          <w:noProof/>
        </w:rPr>
        <w:t xml:space="preserve">” (pers comm 2016). </w:t>
      </w:r>
      <w:r>
        <w:rPr>
          <w:lang w:val="en-US"/>
        </w:rPr>
        <w:t xml:space="preserve">The Victorian Government continues to pursue a greater dispersal of population to the regional cities and towns around Melbourne, as proposed by Plan Melbourne </w:t>
      </w:r>
      <w:r>
        <w:rPr>
          <w:noProof/>
          <w:lang w:val="en-US"/>
        </w:rPr>
        <w:t>(Department of Transport Planning and Local Infrastructure 2014)</w:t>
      </w:r>
      <w:r>
        <w:rPr>
          <w:lang w:val="en-US"/>
        </w:rPr>
        <w:t xml:space="preserve">, and supported by ongoing investment in regional rail services by the State Government </w:t>
      </w:r>
      <w:r>
        <w:rPr>
          <w:noProof/>
          <w:lang w:val="en-US"/>
        </w:rPr>
        <w:t>(Department of Economic Development Jobs Transport and Resources 2016, 2017)</w:t>
      </w:r>
      <w:r>
        <w:rPr>
          <w:lang w:val="en-US"/>
        </w:rPr>
        <w:t xml:space="preserve">. </w:t>
      </w:r>
      <w:r>
        <w:rPr>
          <w:noProof/>
        </w:rPr>
        <w:t>Without regional development outcomes, then metro-bound commuting is essentially extending urban sprawl and suburbanising regional commuties,</w:t>
      </w:r>
      <w:r>
        <w:rPr>
          <w:lang w:val="en-US"/>
        </w:rPr>
        <w:t xml:space="preserve"> as </w:t>
      </w:r>
      <w:r>
        <w:rPr>
          <w:noProof/>
          <w:lang w:val="en-US"/>
        </w:rPr>
        <w:t>Davison (2016)</w:t>
      </w:r>
      <w:r>
        <w:rPr>
          <w:lang w:val="en-US"/>
        </w:rPr>
        <w:t xml:space="preserve"> observed in a recent speech:</w:t>
      </w:r>
    </w:p>
    <w:p w14:paraId="0D19A458" w14:textId="77777777" w:rsidR="00A833AB" w:rsidRDefault="00A833AB" w:rsidP="000F60E8">
      <w:pPr>
        <w:ind w:left="720"/>
        <w:rPr>
          <w:lang w:val="en-US"/>
        </w:rPr>
      </w:pPr>
      <w:r w:rsidRPr="00C721C2">
        <w:rPr>
          <w:lang w:val="en-US"/>
        </w:rPr>
        <w:t xml:space="preserve">I can’t altogether see why a government should provide high-speed regional rail connections so that office-workers can commute from </w:t>
      </w:r>
      <w:proofErr w:type="spellStart"/>
      <w:r w:rsidRPr="00C721C2">
        <w:rPr>
          <w:lang w:val="en-US"/>
        </w:rPr>
        <w:t>Castlemaine</w:t>
      </w:r>
      <w:proofErr w:type="spellEnd"/>
      <w:r w:rsidRPr="00C721C2">
        <w:rPr>
          <w:lang w:val="en-US"/>
        </w:rPr>
        <w:t xml:space="preserve"> (‘</w:t>
      </w:r>
      <w:proofErr w:type="spellStart"/>
      <w:r w:rsidRPr="00C721C2">
        <w:rPr>
          <w:lang w:val="en-US"/>
        </w:rPr>
        <w:t>Northcote</w:t>
      </w:r>
      <w:proofErr w:type="spellEnd"/>
      <w:r w:rsidRPr="00C721C2">
        <w:rPr>
          <w:lang w:val="en-US"/>
        </w:rPr>
        <w:t xml:space="preserve"> North’) but frowns on the creation of a new suburb beyond the current growth boundary eve</w:t>
      </w:r>
      <w:r>
        <w:rPr>
          <w:lang w:val="en-US"/>
        </w:rPr>
        <w:t>n</w:t>
      </w:r>
      <w:r w:rsidRPr="00C721C2">
        <w:rPr>
          <w:lang w:val="en-US"/>
        </w:rPr>
        <w:t xml:space="preserve"> if it is well integrated with transport, employment, and other urban services.  </w:t>
      </w:r>
      <w:proofErr w:type="spellStart"/>
      <w:r w:rsidRPr="00C721C2">
        <w:rPr>
          <w:lang w:val="en-US"/>
        </w:rPr>
        <w:t>Kyneton</w:t>
      </w:r>
      <w:proofErr w:type="spellEnd"/>
      <w:r w:rsidRPr="00C721C2">
        <w:rPr>
          <w:lang w:val="en-US"/>
        </w:rPr>
        <w:t xml:space="preserve"> is a country town, and therefore virtuous; </w:t>
      </w:r>
      <w:proofErr w:type="spellStart"/>
      <w:r w:rsidRPr="00C721C2">
        <w:rPr>
          <w:lang w:val="en-US"/>
        </w:rPr>
        <w:t>Tarneit</w:t>
      </w:r>
      <w:proofErr w:type="spellEnd"/>
      <w:r w:rsidRPr="00C721C2">
        <w:rPr>
          <w:lang w:val="en-US"/>
        </w:rPr>
        <w:t xml:space="preserve"> is a suburb and therefore a symptom of a fatal disease, sprawl. </w:t>
      </w:r>
    </w:p>
    <w:p w14:paraId="2BC28156" w14:textId="77777777" w:rsidR="00A833AB" w:rsidRDefault="00A833AB" w:rsidP="000F60E8">
      <w:r>
        <w:rPr>
          <w:lang w:val="en-US"/>
        </w:rPr>
        <w:t xml:space="preserve">There is a fundamental difference between country towns and </w:t>
      </w:r>
      <w:proofErr w:type="spellStart"/>
      <w:r>
        <w:rPr>
          <w:lang w:val="en-US"/>
        </w:rPr>
        <w:t>Tarneit</w:t>
      </w:r>
      <w:proofErr w:type="spellEnd"/>
      <w:r>
        <w:rPr>
          <w:lang w:val="en-US"/>
        </w:rPr>
        <w:t xml:space="preserve">. </w:t>
      </w:r>
      <w:proofErr w:type="spellStart"/>
      <w:r>
        <w:rPr>
          <w:lang w:val="en-US"/>
        </w:rPr>
        <w:t>Tarneit</w:t>
      </w:r>
      <w:proofErr w:type="spellEnd"/>
      <w:r>
        <w:rPr>
          <w:lang w:val="en-US"/>
        </w:rPr>
        <w:t xml:space="preserve"> is a </w:t>
      </w:r>
      <w:proofErr w:type="gramStart"/>
      <w:r>
        <w:rPr>
          <w:lang w:val="en-US"/>
        </w:rPr>
        <w:t>greenfield</w:t>
      </w:r>
      <w:proofErr w:type="gramEnd"/>
      <w:r>
        <w:rPr>
          <w:lang w:val="en-US"/>
        </w:rPr>
        <w:t xml:space="preserve"> development, whereas the country towns are home to long-standing communities that are changing due to metropolitan migrants. It is important to consider that these changes come with costs. In Castlemaine, research from almost a decade ago pointed to house prices having increased to the extent that </w:t>
      </w:r>
      <w:r w:rsidR="006509E0">
        <w:rPr>
          <w:lang w:val="en-US"/>
        </w:rPr>
        <w:t xml:space="preserve">many </w:t>
      </w:r>
      <w:r>
        <w:rPr>
          <w:lang w:val="en-US"/>
        </w:rPr>
        <w:t>local</w:t>
      </w:r>
      <w:r w:rsidR="006509E0">
        <w:rPr>
          <w:lang w:val="en-US"/>
        </w:rPr>
        <w:t>ly employed resident</w:t>
      </w:r>
      <w:r>
        <w:rPr>
          <w:lang w:val="en-US"/>
        </w:rPr>
        <w:t xml:space="preserve">s can no longer afford them </w:t>
      </w:r>
      <w:r>
        <w:rPr>
          <w:noProof/>
          <w:lang w:val="en-US"/>
        </w:rPr>
        <w:t>(Costello 2009)</w:t>
      </w:r>
      <w:r w:rsidRPr="009C2971">
        <w:rPr>
          <w:lang w:val="en-US"/>
        </w:rPr>
        <w:t>.</w:t>
      </w:r>
      <w:r>
        <w:rPr>
          <w:lang w:val="en-US"/>
        </w:rPr>
        <w:t xml:space="preserve"> There is also division within the town, as the Council CEO recently observed “(</w:t>
      </w:r>
      <w:proofErr w:type="gramStart"/>
      <w:r>
        <w:rPr>
          <w:lang w:val="en-US"/>
        </w:rPr>
        <w:t>m)</w:t>
      </w:r>
      <w:r w:rsidRPr="009C2971">
        <w:rPr>
          <w:lang w:val="en-US"/>
        </w:rPr>
        <w:t>any</w:t>
      </w:r>
      <w:proofErr w:type="gramEnd"/>
      <w:r w:rsidRPr="009C2971">
        <w:rPr>
          <w:lang w:val="en-US"/>
        </w:rPr>
        <w:t xml:space="preserve"> people who moved to the shire did that because they loved the lifestyle that was on offer in all that that means, and they </w:t>
      </w:r>
      <w:r>
        <w:rPr>
          <w:lang w:val="en-US"/>
        </w:rPr>
        <w:t xml:space="preserve">really don't want it to change. </w:t>
      </w:r>
      <w:r w:rsidRPr="009C2971">
        <w:rPr>
          <w:lang w:val="en-US"/>
        </w:rPr>
        <w:t>There are also many people in the community who want to see more of the opportunities and the business investment</w:t>
      </w:r>
      <w:r>
        <w:rPr>
          <w:lang w:val="en-US"/>
        </w:rPr>
        <w:t xml:space="preserve">” </w:t>
      </w:r>
      <w:r>
        <w:rPr>
          <w:noProof/>
        </w:rPr>
        <w:t>(cited in Corsetti 2016)</w:t>
      </w:r>
      <w:r w:rsidRPr="00180803">
        <w:t xml:space="preserve">.  </w:t>
      </w:r>
      <w:r>
        <w:t>At face value, Castlemaine is a thriving regional town, but how much of these improved fortunes are reflected in better circumstances for the long-term residents, or are higher income migrants displacing them, which points to the importance of regional employment creation as a result of commuting growth.</w:t>
      </w:r>
    </w:p>
    <w:p w14:paraId="5FE89103" w14:textId="77777777" w:rsidR="00A833AB" w:rsidRDefault="00A833AB" w:rsidP="000F60E8">
      <w:pPr>
        <w:rPr>
          <w:lang w:val="en-US"/>
        </w:rPr>
      </w:pPr>
      <w:r>
        <w:rPr>
          <w:lang w:val="en-US"/>
        </w:rPr>
        <w:t xml:space="preserve">Previous studies have linked growth in metro-bound commuting and employment in regional cities and towns, based on correlations between changes in the commuting population and employment, as </w:t>
      </w:r>
      <w:r w:rsidRPr="00064B35">
        <w:t xml:space="preserve"> “(</w:t>
      </w:r>
      <w:proofErr w:type="gramStart"/>
      <w:r w:rsidRPr="00064B35">
        <w:t>f)</w:t>
      </w:r>
      <w:r w:rsidRPr="00064B35">
        <w:rPr>
          <w:lang w:val="en-US"/>
        </w:rPr>
        <w:t>or</w:t>
      </w:r>
      <w:proofErr w:type="gramEnd"/>
      <w:r w:rsidRPr="00064B35">
        <w:rPr>
          <w:lang w:val="en-US"/>
        </w:rPr>
        <w:t xml:space="preserve"> each of these flows of labour there is a reverse flow of wages and salaries, which may be an important part of the economic base for many urban </w:t>
      </w:r>
      <w:proofErr w:type="spellStart"/>
      <w:r w:rsidRPr="00064B35">
        <w:rPr>
          <w:lang w:val="en-US"/>
        </w:rPr>
        <w:t>centres</w:t>
      </w:r>
      <w:proofErr w:type="spellEnd"/>
      <w:r w:rsidRPr="00064B35">
        <w:rPr>
          <w:lang w:val="en-US"/>
        </w:rPr>
        <w:t xml:space="preserve"> in the city-region”</w:t>
      </w:r>
      <w:r>
        <w:rPr>
          <w:lang w:val="en-US"/>
        </w:rPr>
        <w:t xml:space="preserve"> </w:t>
      </w:r>
      <w:r>
        <w:rPr>
          <w:noProof/>
        </w:rPr>
        <w:t>(Parr 2014, p. 1935)</w:t>
      </w:r>
      <w:r>
        <w:rPr>
          <w:lang w:val="en-US"/>
        </w:rPr>
        <w:t xml:space="preserve">. In Sweden, a 10% increase in commuting to larger cities </w:t>
      </w:r>
      <w:r>
        <w:t xml:space="preserve">was found to correlate with a 1.59% to 2.92% increase in rural towns’ retail and service employment </w:t>
      </w:r>
      <w:r>
        <w:rPr>
          <w:noProof/>
        </w:rPr>
        <w:t>(Lavesson 2015, p. 34)</w:t>
      </w:r>
      <w:r>
        <w:t xml:space="preserve">. Based on a study of commuting and rural population and economic growth in Canada, </w:t>
      </w:r>
      <w:r>
        <w:rPr>
          <w:noProof/>
        </w:rPr>
        <w:t>Partridge, Ali and Olfert (2010, p. 322)</w:t>
      </w:r>
      <w:r>
        <w:t xml:space="preserve"> found a “</w:t>
      </w:r>
      <w:r w:rsidRPr="00FC2E80">
        <w:rPr>
          <w:lang w:val="en-US"/>
        </w:rPr>
        <w:t>strong positive relationship between initial 1991 out-commuting rates and local job growth over the ensuing 15-year period</w:t>
      </w:r>
      <w:r>
        <w:rPr>
          <w:lang w:val="en-US"/>
        </w:rPr>
        <w:t>”. Therefore, the increase in highly paid deep commuters should coincide with additional non-</w:t>
      </w:r>
      <w:proofErr w:type="spellStart"/>
      <w:r>
        <w:rPr>
          <w:lang w:val="en-US"/>
        </w:rPr>
        <w:t>tradeable</w:t>
      </w:r>
      <w:proofErr w:type="spellEnd"/>
      <w:r>
        <w:rPr>
          <w:lang w:val="en-US"/>
        </w:rPr>
        <w:t xml:space="preserve"> employment in regional areas: retail trade, personal services and some elements of the hospitality sector. This effect is tempered by evidence that out-commuters are less likely to shop locally, and people with higher incomes are likely to demand more niche products only available in larger cities </w:t>
      </w:r>
      <w:r>
        <w:rPr>
          <w:noProof/>
        </w:rPr>
        <w:t>(Boehm &amp; Pond 1976; Ingene &amp; Eden 1981, pp. 540-5; Papadopoulos 1980; Shields &amp; Deller 1998; Van Leeuwen &amp; Rietveld 2011)</w:t>
      </w:r>
      <w:r w:rsidRPr="00B60820">
        <w:rPr>
          <w:lang w:val="en-US"/>
        </w:rPr>
        <w:t xml:space="preserve">.  </w:t>
      </w:r>
      <w:r>
        <w:rPr>
          <w:lang w:val="en-US"/>
        </w:rPr>
        <w:t xml:space="preserve"> However, it is questionable whether growth in retail and non-tradable services employment reduce the disparity between metropolitan and regional economies, or provide incomes to compete with metropolitan workers in regional real estate markets.</w:t>
      </w:r>
    </w:p>
    <w:p w14:paraId="781018F2" w14:textId="77777777" w:rsidR="00A833AB" w:rsidRDefault="00A833AB" w:rsidP="000F60E8">
      <w:pPr>
        <w:rPr>
          <w:lang w:val="en-US"/>
        </w:rPr>
      </w:pPr>
      <w:r>
        <w:t>The studies of out-commuting and regional employment growth cited above can be seen as answering questions of ‘</w:t>
      </w:r>
      <w:r w:rsidRPr="00BA3307">
        <w:t>do they create employment</w:t>
      </w:r>
      <w:r>
        <w:t xml:space="preserve">?’ rather than asking how can greater economic benefits be attained. </w:t>
      </w:r>
      <w:r>
        <w:rPr>
          <w:noProof/>
        </w:rPr>
        <w:t>Lavesson (2015, p. 21)</w:t>
      </w:r>
      <w:r>
        <w:t xml:space="preserve"> tested for and found no evidence of a reduction in employment in non-retail industries as a result of the increase in commuters crowding out other industries, indicating that the creation of more substantial employment is limited. </w:t>
      </w:r>
      <w:r>
        <w:rPr>
          <w:noProof/>
        </w:rPr>
        <w:t>O'Connor, K, Stimson and Daly (2002, p. 115)</w:t>
      </w:r>
      <w:r w:rsidRPr="00266FAB">
        <w:t xml:space="preserve"> </w:t>
      </w:r>
      <w:r>
        <w:t xml:space="preserve">concur, finding </w:t>
      </w:r>
      <w:r w:rsidRPr="00266FAB">
        <w:t>that</w:t>
      </w:r>
      <w:r>
        <w:t xml:space="preserve"> out-commuters</w:t>
      </w:r>
      <w:r w:rsidRPr="00266FAB">
        <w:t xml:space="preserve"> “add to the population, but do not change the geography of employment or econ</w:t>
      </w:r>
      <w:r>
        <w:t xml:space="preserve">omic activity all that much”.  However, when metro-bound commuters relocate to regional areas they are likely to provide a new skills and experiences, and increase human and social capital </w:t>
      </w:r>
      <w:r>
        <w:rPr>
          <w:noProof/>
          <w:lang w:val="en-US"/>
        </w:rPr>
        <w:t>(Luck, Black &amp; Race 2010, p. 14)</w:t>
      </w:r>
      <w:r>
        <w:rPr>
          <w:lang w:val="en-US"/>
        </w:rPr>
        <w:t xml:space="preserve">, which may </w:t>
      </w:r>
      <w:r>
        <w:t xml:space="preserve">provide a pool of labour to support regional relocation of businesses and government agencies to the regional cities, particularly given the attributes of deep commuters discussed above.  There may also be opportunities for entrepreneurship, which can be a response to commuting as </w:t>
      </w:r>
      <w:r>
        <w:rPr>
          <w:noProof/>
        </w:rPr>
        <w:t>Herslund (2012, p. 252)</w:t>
      </w:r>
      <w:r>
        <w:t xml:space="preserve"> observed, </w:t>
      </w:r>
      <w:r>
        <w:rPr>
          <w:lang w:val="en-US"/>
        </w:rPr>
        <w:t>“(</w:t>
      </w:r>
      <w:proofErr w:type="spellStart"/>
      <w:r>
        <w:rPr>
          <w:lang w:val="en-US"/>
        </w:rPr>
        <w:t>i</w:t>
      </w:r>
      <w:proofErr w:type="spellEnd"/>
      <w:r>
        <w:rPr>
          <w:lang w:val="en-US"/>
        </w:rPr>
        <w:t>)</w:t>
      </w:r>
      <w:r w:rsidRPr="00266FAB">
        <w:rPr>
          <w:lang w:val="en-US"/>
        </w:rPr>
        <w:t>t was not their intention to start businesses, but most respondents found the long commuting time to the city prevented them fro</w:t>
      </w:r>
      <w:r>
        <w:rPr>
          <w:lang w:val="en-US"/>
        </w:rPr>
        <w:t xml:space="preserve">m enjoying the rural amenities”.   </w:t>
      </w:r>
    </w:p>
    <w:p w14:paraId="1C99FB98" w14:textId="77777777" w:rsidR="00A833AB" w:rsidRDefault="00A833AB" w:rsidP="000F60E8">
      <w:pPr>
        <w:rPr>
          <w:rFonts w:ascii="Helvetica" w:hAnsi="Helvetica" w:cs="Helvetica"/>
          <w:color w:val="141413"/>
          <w:szCs w:val="20"/>
          <w:lang w:val="en-US"/>
        </w:rPr>
      </w:pPr>
      <w:r>
        <w:rPr>
          <w:lang w:val="en-US"/>
        </w:rPr>
        <w:t xml:space="preserve">This introduces another important aspect of longer commuting to consider, that many people find it unsustainable and detrimental to their health, and that people underestimate the costs of spending so much time travelling to and from work </w:t>
      </w:r>
      <w:r>
        <w:rPr>
          <w:noProof/>
          <w:lang w:val="en-US"/>
        </w:rPr>
        <w:t>(Stutzer &amp; Frey 2008)</w:t>
      </w:r>
      <w:r>
        <w:rPr>
          <w:lang w:val="en-US"/>
        </w:rPr>
        <w:t xml:space="preserve">.  Studies also suggest that most people will only persist with long distance commutes for no more than 5 years </w:t>
      </w:r>
      <w:r>
        <w:rPr>
          <w:noProof/>
          <w:lang w:val="en-US"/>
        </w:rPr>
        <w:t>(Bureau of Infrastructure Transport and Regional Economics 2016; Sandow &amp; Westin 2010)</w:t>
      </w:r>
      <w:r>
        <w:rPr>
          <w:lang w:val="en-US"/>
        </w:rPr>
        <w:t>.  If metro-bound commuting is temporary and inadequately rewarded, then there is an opportunity to attract them to regional work or business creation.  It is also likely that metro-bound commuters will accept local work at reduced rates of pay, as “</w:t>
      </w:r>
      <w:r>
        <w:rPr>
          <w:rFonts w:ascii="Helvetica" w:hAnsi="Helvetica" w:cs="Helvetica"/>
          <w:color w:val="141413"/>
          <w:szCs w:val="20"/>
          <w:lang w:val="en-US"/>
        </w:rPr>
        <w:t xml:space="preserve">people are willing to forgo a larger share of their previous wage when they can reduce their commuting distance compared to what they would demand if they had to commute further” </w:t>
      </w:r>
      <w:r>
        <w:rPr>
          <w:rFonts w:ascii="Helvetica" w:hAnsi="Helvetica" w:cs="Helvetica"/>
          <w:noProof/>
          <w:color w:val="141413"/>
          <w:szCs w:val="20"/>
          <w:lang w:val="en-US"/>
        </w:rPr>
        <w:t>(Dauth &amp; Haller 2016, p. 23)</w:t>
      </w:r>
      <w:r>
        <w:rPr>
          <w:rFonts w:ascii="Helvetica" w:hAnsi="Helvetica" w:cs="Helvetica"/>
          <w:color w:val="141413"/>
          <w:szCs w:val="20"/>
          <w:lang w:val="en-US"/>
        </w:rPr>
        <w:t>.  This makes it seem likely that if appropriate work opportunities were offered in regional areas, even at lower rates of pay, then metro-bound commuters would provide a ready labour market for them and add capabilities and diversity to regional labour resources.</w:t>
      </w:r>
    </w:p>
    <w:p w14:paraId="5A55BD79" w14:textId="77777777" w:rsidR="00A833AB" w:rsidRDefault="00A833AB" w:rsidP="000F60E8">
      <w:pPr>
        <w:rPr>
          <w:rFonts w:ascii="Helvetica" w:hAnsi="Helvetica" w:cs="Helvetica"/>
          <w:color w:val="141413"/>
          <w:szCs w:val="20"/>
          <w:lang w:val="en-US"/>
        </w:rPr>
      </w:pPr>
      <w:r>
        <w:rPr>
          <w:rFonts w:ascii="Helvetica" w:hAnsi="Helvetica" w:cs="Helvetica"/>
          <w:color w:val="141413"/>
          <w:szCs w:val="20"/>
          <w:lang w:val="en-US"/>
        </w:rPr>
        <w:t xml:space="preserve">However, this should not suggest that the generation of regional employment in the roles and industries – that is the cognitive-cultural economy - at the </w:t>
      </w:r>
      <w:proofErr w:type="spellStart"/>
      <w:r>
        <w:rPr>
          <w:rFonts w:ascii="Helvetica" w:hAnsi="Helvetica" w:cs="Helvetica"/>
          <w:color w:val="141413"/>
          <w:szCs w:val="20"/>
          <w:lang w:val="en-US"/>
        </w:rPr>
        <w:t>centre</w:t>
      </w:r>
      <w:proofErr w:type="spellEnd"/>
      <w:r>
        <w:rPr>
          <w:rFonts w:ascii="Helvetica" w:hAnsi="Helvetica" w:cs="Helvetica"/>
          <w:color w:val="141413"/>
          <w:szCs w:val="20"/>
          <w:lang w:val="en-US"/>
        </w:rPr>
        <w:t xml:space="preserve"> of deep commuting growth is not without challenges. These industries are primarily located in central business districts because of strong agglomeration benefits, which includes knowledge spillovers, thick labour markets, connection to producer’s services and the significantly larger metropolitan markets </w:t>
      </w:r>
      <w:r>
        <w:rPr>
          <w:rFonts w:ascii="Helvetica" w:hAnsi="Helvetica" w:cs="Helvetica"/>
          <w:noProof/>
          <w:color w:val="141413"/>
          <w:szCs w:val="20"/>
          <w:lang w:val="en-US"/>
        </w:rPr>
        <w:t>(Dicken 2011; Scott 2006)</w:t>
      </w:r>
      <w:r>
        <w:rPr>
          <w:rFonts w:ascii="Helvetica" w:hAnsi="Helvetica" w:cs="Helvetica"/>
          <w:color w:val="141413"/>
          <w:szCs w:val="20"/>
          <w:lang w:val="en-US"/>
        </w:rPr>
        <w:t>. There is also a path dependency in the concentration of activity in major cities due to “</w:t>
      </w:r>
      <w:r w:rsidRPr="00E805E6">
        <w:rPr>
          <w:lang w:val="en-US"/>
        </w:rPr>
        <w:t>capital deepening and agglomeration enhancement in the favored core areas and capital depreciation and dereliction in the less favored regions of origin, or in the poorer urban neighborhoods</w:t>
      </w:r>
      <w:r>
        <w:rPr>
          <w:lang w:val="en-US"/>
        </w:rPr>
        <w:t xml:space="preserve">” </w:t>
      </w:r>
      <w:r>
        <w:rPr>
          <w:rFonts w:hint="eastAsia"/>
          <w:noProof/>
          <w:lang w:val="en-US"/>
        </w:rPr>
        <w:t>(Barca, McCann &amp; Rodríguez</w:t>
      </w:r>
      <w:r>
        <w:rPr>
          <w:rFonts w:hint="eastAsia"/>
          <w:noProof/>
          <w:lang w:val="en-US"/>
        </w:rPr>
        <w:t>‐</w:t>
      </w:r>
      <w:r>
        <w:rPr>
          <w:rFonts w:hint="eastAsia"/>
          <w:noProof/>
          <w:lang w:val="en-US"/>
        </w:rPr>
        <w:t>Pose 2012, p. 142)</w:t>
      </w:r>
      <w:r w:rsidRPr="00E805E6">
        <w:rPr>
          <w:lang w:val="en-US"/>
        </w:rPr>
        <w:t>.</w:t>
      </w:r>
      <w:r>
        <w:rPr>
          <w:lang w:val="en-US"/>
        </w:rPr>
        <w:t xml:space="preserve"> </w:t>
      </w:r>
      <w:r>
        <w:rPr>
          <w:rFonts w:ascii="Helvetica" w:hAnsi="Helvetica" w:cs="Helvetica"/>
          <w:color w:val="141413"/>
          <w:szCs w:val="20"/>
          <w:lang w:val="en-US"/>
        </w:rPr>
        <w:t xml:space="preserve">Regardless of these obstacles, some regional, or second-tier cities have been successful in developing cognitive-cultural industries, such as Cleveland’s Health-Tech corridor, Dundee has developed bio-tech and games industries connected to its universities and the concentration of research and development activities in Eindhoven </w:t>
      </w:r>
      <w:r>
        <w:rPr>
          <w:rFonts w:ascii="Helvetica" w:hAnsi="Helvetica" w:cs="Helvetica"/>
          <w:noProof/>
          <w:color w:val="141413"/>
          <w:szCs w:val="20"/>
          <w:lang w:val="en-US"/>
        </w:rPr>
        <w:t>(Almeida Correia &amp; Denham 2016)</w:t>
      </w:r>
      <w:r>
        <w:rPr>
          <w:rFonts w:ascii="Helvetica" w:hAnsi="Helvetica" w:cs="Helvetica"/>
          <w:color w:val="141413"/>
          <w:szCs w:val="20"/>
          <w:lang w:val="en-US"/>
        </w:rPr>
        <w:t xml:space="preserve">. </w:t>
      </w:r>
      <w:r>
        <w:rPr>
          <w:lang w:val="en-US"/>
        </w:rPr>
        <w:t xml:space="preserve">On </w:t>
      </w:r>
      <w:r>
        <w:rPr>
          <w:rFonts w:ascii="Helvetica" w:hAnsi="Helvetica" w:cs="Helvetica"/>
          <w:color w:val="141413"/>
          <w:szCs w:val="20"/>
          <w:lang w:val="en-US"/>
        </w:rPr>
        <w:t xml:space="preserve">a smaller scale, new business formation in regional south-east England was influenced by the place of the residence of the director, indicating that some had previously commuted to work elsewhere </w:t>
      </w:r>
      <w:r>
        <w:rPr>
          <w:rFonts w:ascii="Helvetica" w:hAnsi="Helvetica" w:cs="Helvetica"/>
          <w:noProof/>
          <w:color w:val="141413"/>
          <w:szCs w:val="20"/>
          <w:lang w:val="en-US"/>
        </w:rPr>
        <w:t>(Keeble &amp; Nachum 2002)</w:t>
      </w:r>
      <w:r>
        <w:rPr>
          <w:rFonts w:ascii="Helvetica" w:hAnsi="Helvetica" w:cs="Helvetica"/>
          <w:color w:val="141413"/>
          <w:szCs w:val="20"/>
          <w:lang w:val="en-US"/>
        </w:rPr>
        <w:t xml:space="preserve"> and in a study of migration to rural Scotland links job creation was apparent, but local residents were not necessarily adequately trained to fulfil the positions </w:t>
      </w:r>
      <w:r>
        <w:rPr>
          <w:rFonts w:ascii="Helvetica" w:hAnsi="Helvetica" w:cs="Helvetica"/>
          <w:noProof/>
          <w:color w:val="141413"/>
          <w:szCs w:val="20"/>
          <w:lang w:val="en-US"/>
        </w:rPr>
        <w:t>(Stockdale, Findlay &amp; Short 2000)</w:t>
      </w:r>
      <w:r>
        <w:rPr>
          <w:rFonts w:ascii="Helvetica" w:hAnsi="Helvetica" w:cs="Helvetica"/>
          <w:color w:val="141413"/>
          <w:szCs w:val="20"/>
          <w:lang w:val="en-US"/>
        </w:rPr>
        <w:t xml:space="preserve">. </w:t>
      </w:r>
    </w:p>
    <w:p w14:paraId="2652C132" w14:textId="77777777" w:rsidR="00A833AB" w:rsidRPr="00055019" w:rsidRDefault="00A833AB" w:rsidP="000F60E8">
      <w:pPr>
        <w:rPr>
          <w:rFonts w:ascii="Helvetica" w:hAnsi="Helvetica" w:cs="Helvetica"/>
          <w:color w:val="141413"/>
          <w:szCs w:val="20"/>
          <w:lang w:val="en-US"/>
        </w:rPr>
      </w:pPr>
      <w:r>
        <w:rPr>
          <w:rFonts w:ascii="Helvetica" w:hAnsi="Helvetica" w:cs="Helvetica"/>
          <w:color w:val="141413"/>
          <w:szCs w:val="20"/>
          <w:lang w:val="en-US"/>
        </w:rPr>
        <w:t xml:space="preserve">To date, the studies of regional development as a result of metro-bound commuting are related to the additional incomes being expended in regional areas, creating additional employment as a result of this consumption. The position taken in this paper is that if the benefits are confined to retail employment and similar industries, then the increase in metro-bound commuting is unlikely to address the diverging metropolitan and regional economies.  It is the human capital of the deep commuters, associated with the likelihood that it will be a temporary state that indicates that greater benefits may be attained.  This can be seen as metro-bound commuters are a latent resource that could be used to support industry relocation and the creation of new businesses in regional areas.  This argument indicates that there is a need to develop a greater understanding of metro-bound commuters and their households, to ascertain their impact on regional communities, their interest in local employment opportunities and entrepreneurship, as well as their post-commuting intentions.  </w:t>
      </w:r>
    </w:p>
    <w:p w14:paraId="4FCA66C4" w14:textId="77777777" w:rsidR="00A833AB" w:rsidRDefault="00A833AB" w:rsidP="000F60E8">
      <w:pPr>
        <w:pStyle w:val="Heading2"/>
      </w:pPr>
      <w:r>
        <w:t>Conclusion</w:t>
      </w:r>
    </w:p>
    <w:p w14:paraId="22D5519C" w14:textId="77777777" w:rsidR="00A833AB" w:rsidRDefault="00A833AB" w:rsidP="000F60E8">
      <w:r>
        <w:t xml:space="preserve">Metro-bound commuting has been occurring at significant levels in Victoria for at least 25 years, as people are attracted to cheaper real estate and country lifestyles while retaining the financial and career benefits of city employment. However, changes in metro-bound commuting in recent years reflect the changes in employment and economic structure of Melbourne. As employment has concentrated in the city centre, and particularly highly paid employment, deep commuting to professional and managerial work has increased, while the shallow commuting to outer suburban manufacturing jobs has waned.  This shift towards deep commuting may lead to a direct employment benefit in regional areas, due to their higher incomes and expectations of higher levels of regional consumption. However, the argument is that the employment in retail and similar sectors is not enough to justify the facilitation of metro-bound commuting through infrastructure development, nor will it address the diverging fortunes of metropolitan areas and their hinterlands.  Further research is required in order to develop a greater understanding of deep commuters in particular, who may provide further economic development benefits through their education levels and employment history. </w:t>
      </w:r>
    </w:p>
    <w:p w14:paraId="6CA8906E" w14:textId="77777777" w:rsidR="00A833AB" w:rsidRPr="00E87C1F" w:rsidRDefault="00A833AB" w:rsidP="000F60E8">
      <w:pPr>
        <w:pStyle w:val="Heading2"/>
      </w:pPr>
      <w:r>
        <w:t>References</w:t>
      </w:r>
    </w:p>
    <w:p w14:paraId="19B9C619" w14:textId="77777777" w:rsidR="00A833AB" w:rsidRPr="00CF3BA6" w:rsidRDefault="00A833AB" w:rsidP="000F60E8">
      <w:pPr>
        <w:pStyle w:val="EndNoteBibliography"/>
        <w:spacing w:after="0"/>
        <w:ind w:left="720" w:hanging="720"/>
        <w:rPr>
          <w:noProof/>
        </w:rPr>
      </w:pPr>
      <w:r w:rsidRPr="00CF3BA6">
        <w:rPr>
          <w:noProof/>
        </w:rPr>
        <w:t xml:space="preserve">2016, </w:t>
      </w:r>
      <w:r w:rsidRPr="00CF3BA6">
        <w:rPr>
          <w:i/>
          <w:noProof/>
        </w:rPr>
        <w:t xml:space="preserve">Winning from Second: What Geelong can learn from Interntional Second Cities </w:t>
      </w:r>
      <w:r w:rsidRPr="00CF3BA6">
        <w:rPr>
          <w:noProof/>
        </w:rPr>
        <w:t>Almeida Correia, J &amp; Denham, T, Committee for Geelong.</w:t>
      </w:r>
    </w:p>
    <w:p w14:paraId="06F1638F" w14:textId="77777777" w:rsidR="00A833AB" w:rsidRPr="00CF3BA6" w:rsidRDefault="00A833AB" w:rsidP="000F60E8">
      <w:pPr>
        <w:pStyle w:val="EndNoteBibliography"/>
        <w:spacing w:after="0"/>
        <w:ind w:left="720" w:hanging="720"/>
        <w:rPr>
          <w:noProof/>
        </w:rPr>
      </w:pPr>
      <w:r w:rsidRPr="00CF3BA6">
        <w:rPr>
          <w:noProof/>
        </w:rPr>
        <w:t>A</w:t>
      </w:r>
      <w:r w:rsidR="005D0AD3">
        <w:rPr>
          <w:noProof/>
        </w:rPr>
        <w:t xml:space="preserve">ustralian </w:t>
      </w:r>
      <w:r w:rsidRPr="00CF3BA6">
        <w:rPr>
          <w:noProof/>
        </w:rPr>
        <w:t>B</w:t>
      </w:r>
      <w:r w:rsidR="005D0AD3">
        <w:rPr>
          <w:noProof/>
        </w:rPr>
        <w:t>ureau of</w:t>
      </w:r>
      <w:r w:rsidRPr="00CF3BA6">
        <w:rPr>
          <w:noProof/>
        </w:rPr>
        <w:t xml:space="preserve"> Statistics 2006a, </w:t>
      </w:r>
      <w:r w:rsidRPr="00CF3BA6">
        <w:rPr>
          <w:i/>
          <w:noProof/>
        </w:rPr>
        <w:t>Census of Population and Housing</w:t>
      </w:r>
      <w:r w:rsidRPr="00CF3BA6">
        <w:rPr>
          <w:noProof/>
        </w:rPr>
        <w:t>, Australian Bureau of Statistics, Commonwealth of Australia.</w:t>
      </w:r>
    </w:p>
    <w:p w14:paraId="75851A72" w14:textId="77777777" w:rsidR="00A833AB" w:rsidRPr="00CF3BA6" w:rsidRDefault="00A833AB" w:rsidP="000F60E8">
      <w:pPr>
        <w:pStyle w:val="EndNoteBibliography"/>
        <w:spacing w:after="0"/>
        <w:ind w:left="720" w:hanging="720"/>
        <w:rPr>
          <w:noProof/>
        </w:rPr>
      </w:pPr>
      <w:r w:rsidRPr="00CF3BA6">
        <w:rPr>
          <w:noProof/>
        </w:rPr>
        <w:t xml:space="preserve">---- 2006b, </w:t>
      </w:r>
      <w:r w:rsidRPr="00CF3BA6">
        <w:rPr>
          <w:i/>
          <w:noProof/>
        </w:rPr>
        <w:t>Place of Work by LGA (POWP)</w:t>
      </w:r>
      <w:r w:rsidRPr="00CF3BA6">
        <w:rPr>
          <w:noProof/>
        </w:rPr>
        <w:t>, ABS, TableBuilder Pro, 17/9/2015, &lt;</w:t>
      </w:r>
      <w:r w:rsidRPr="00A833AB">
        <w:rPr>
          <w:rFonts w:cstheme="minorBidi"/>
          <w:noProof/>
          <w:lang w:val="en-AU"/>
        </w:rPr>
        <w:t>https://www.censusdata.abs.gov.au/webapi/jsf/login.xhtml</w:t>
      </w:r>
      <w:r w:rsidRPr="00CF3BA6">
        <w:rPr>
          <w:noProof/>
        </w:rPr>
        <w:t>&gt;.</w:t>
      </w:r>
    </w:p>
    <w:p w14:paraId="0E547BC8" w14:textId="77777777" w:rsidR="00A833AB" w:rsidRPr="00CF3BA6" w:rsidRDefault="005D0AD3" w:rsidP="000F60E8">
      <w:pPr>
        <w:pStyle w:val="EndNoteBibliography"/>
        <w:spacing w:after="0"/>
        <w:ind w:left="720" w:hanging="720"/>
        <w:rPr>
          <w:noProof/>
        </w:rPr>
      </w:pPr>
      <w:r w:rsidRPr="00CF3BA6">
        <w:rPr>
          <w:noProof/>
        </w:rPr>
        <w:t xml:space="preserve">---- </w:t>
      </w:r>
      <w:r w:rsidR="00A833AB" w:rsidRPr="00CF3BA6">
        <w:rPr>
          <w:noProof/>
        </w:rPr>
        <w:t xml:space="preserve">2011a, </w:t>
      </w:r>
      <w:r w:rsidR="00A833AB" w:rsidRPr="00CF3BA6">
        <w:rPr>
          <w:i/>
          <w:noProof/>
        </w:rPr>
        <w:t>Census of Population and Housing</w:t>
      </w:r>
      <w:r w:rsidR="00A833AB" w:rsidRPr="00CF3BA6">
        <w:rPr>
          <w:noProof/>
        </w:rPr>
        <w:t>, Commonwealth of Australia.</w:t>
      </w:r>
    </w:p>
    <w:p w14:paraId="5A1D5E94" w14:textId="77777777" w:rsidR="00A833AB" w:rsidRPr="00CF3BA6" w:rsidRDefault="00A833AB" w:rsidP="000F60E8">
      <w:pPr>
        <w:pStyle w:val="EndNoteBibliography"/>
        <w:spacing w:after="0"/>
        <w:ind w:left="720" w:hanging="720"/>
        <w:rPr>
          <w:noProof/>
        </w:rPr>
      </w:pPr>
      <w:r w:rsidRPr="00CF3BA6">
        <w:rPr>
          <w:noProof/>
        </w:rPr>
        <w:t xml:space="preserve">---- 2011b, </w:t>
      </w:r>
      <w:r w:rsidRPr="00CF3BA6">
        <w:rPr>
          <w:i/>
          <w:noProof/>
        </w:rPr>
        <w:t>Place of Work by LGA (POWP)</w:t>
      </w:r>
      <w:r w:rsidRPr="00CF3BA6">
        <w:rPr>
          <w:noProof/>
        </w:rPr>
        <w:t>, ABS, TableBuilder Pro, 17/9/2015, &lt;</w:t>
      </w:r>
      <w:r w:rsidRPr="00A833AB">
        <w:rPr>
          <w:rFonts w:cstheme="minorBidi"/>
          <w:noProof/>
          <w:lang w:val="en-AU"/>
        </w:rPr>
        <w:t>https://www.censusdata.abs.gov.au/webapi/jsf/login.xhtml</w:t>
      </w:r>
      <w:r w:rsidRPr="00CF3BA6">
        <w:rPr>
          <w:noProof/>
        </w:rPr>
        <w:t>&gt;.</w:t>
      </w:r>
    </w:p>
    <w:p w14:paraId="33C23313" w14:textId="77777777" w:rsidR="00A833AB" w:rsidRPr="00CF3BA6" w:rsidRDefault="00A833AB" w:rsidP="000F60E8">
      <w:pPr>
        <w:pStyle w:val="EndNoteBibliography"/>
        <w:spacing w:after="0"/>
        <w:ind w:left="720" w:hanging="720"/>
        <w:rPr>
          <w:noProof/>
        </w:rPr>
      </w:pPr>
      <w:r w:rsidRPr="00CF3BA6">
        <w:rPr>
          <w:noProof/>
        </w:rPr>
        <w:t xml:space="preserve">---- 2012, </w:t>
      </w:r>
      <w:r w:rsidRPr="00CF3BA6">
        <w:rPr>
          <w:i/>
          <w:noProof/>
        </w:rPr>
        <w:t>Statements - Place of Work</w:t>
      </w:r>
      <w:r w:rsidRPr="00CF3BA6">
        <w:rPr>
          <w:noProof/>
        </w:rPr>
        <w:t>, Commonwealth of Australia, viewed 2 January 2016 &lt;</w:t>
      </w:r>
      <w:r w:rsidRPr="00A833AB">
        <w:rPr>
          <w:rFonts w:cstheme="minorBidi"/>
          <w:noProof/>
          <w:lang w:val="en-AU"/>
        </w:rPr>
        <w:t>http://www.abs.gov.au/websitedbs/censushome.nsf/home/statementspersonpowp?opendocument&amp;navpos=430</w:t>
      </w:r>
      <w:r w:rsidRPr="00CF3BA6">
        <w:rPr>
          <w:noProof/>
        </w:rPr>
        <w:t>&gt;.</w:t>
      </w:r>
    </w:p>
    <w:p w14:paraId="3C2E3B8A" w14:textId="77777777" w:rsidR="00A833AB" w:rsidRPr="00CF3BA6" w:rsidRDefault="00A833AB" w:rsidP="000F60E8">
      <w:pPr>
        <w:pStyle w:val="EndNoteBibliography"/>
        <w:spacing w:after="0"/>
        <w:ind w:left="720" w:hanging="720"/>
        <w:rPr>
          <w:noProof/>
        </w:rPr>
      </w:pPr>
      <w:r w:rsidRPr="00CF3BA6">
        <w:rPr>
          <w:rFonts w:hint="eastAsia"/>
          <w:noProof/>
        </w:rPr>
        <w:t>Badcock, B 2000, 'The imprint of the post</w:t>
      </w:r>
      <w:r w:rsidRPr="00CF3BA6">
        <w:rPr>
          <w:rFonts w:hint="eastAsia"/>
          <w:noProof/>
        </w:rPr>
        <w:t>‐</w:t>
      </w:r>
      <w:r w:rsidRPr="00CF3BA6">
        <w:rPr>
          <w:rFonts w:hint="eastAsia"/>
          <w:noProof/>
        </w:rPr>
        <w:t xml:space="preserve">fordist transition on Australian cities', </w:t>
      </w:r>
      <w:r w:rsidRPr="00CF3BA6">
        <w:rPr>
          <w:rFonts w:hint="eastAsia"/>
          <w:i/>
          <w:noProof/>
        </w:rPr>
        <w:t>Globalizing Cities: A New Spatial Order?</w:t>
      </w:r>
      <w:r w:rsidRPr="00CF3BA6">
        <w:rPr>
          <w:rFonts w:hint="eastAsia"/>
          <w:noProof/>
        </w:rPr>
        <w:t>, pp. 211-27.</w:t>
      </w:r>
    </w:p>
    <w:p w14:paraId="54AEFC97" w14:textId="77777777" w:rsidR="00A833AB" w:rsidRPr="00CF3BA6" w:rsidRDefault="00A833AB" w:rsidP="000F60E8">
      <w:pPr>
        <w:pStyle w:val="EndNoteBibliography"/>
        <w:spacing w:after="0"/>
        <w:ind w:left="720" w:hanging="720"/>
        <w:rPr>
          <w:noProof/>
        </w:rPr>
      </w:pPr>
      <w:r w:rsidRPr="00CF3BA6">
        <w:rPr>
          <w:rFonts w:hint="eastAsia"/>
          <w:noProof/>
        </w:rPr>
        <w:t>Barca, F, McCann, P &amp; Rodríguez</w:t>
      </w:r>
      <w:r w:rsidRPr="00CF3BA6">
        <w:rPr>
          <w:rFonts w:hint="eastAsia"/>
          <w:noProof/>
        </w:rPr>
        <w:t>‐</w:t>
      </w:r>
      <w:r w:rsidRPr="00CF3BA6">
        <w:rPr>
          <w:rFonts w:hint="eastAsia"/>
          <w:noProof/>
        </w:rPr>
        <w:t>Pose, A 2012, 'The case for regional development intervention: place</w:t>
      </w:r>
      <w:r w:rsidRPr="00CF3BA6">
        <w:rPr>
          <w:rFonts w:hint="eastAsia"/>
          <w:noProof/>
        </w:rPr>
        <w:t>‐</w:t>
      </w:r>
      <w:r w:rsidRPr="00CF3BA6">
        <w:rPr>
          <w:rFonts w:hint="eastAsia"/>
          <w:noProof/>
        </w:rPr>
        <w:t>based versus place</w:t>
      </w:r>
      <w:r w:rsidRPr="00CF3BA6">
        <w:rPr>
          <w:rFonts w:hint="eastAsia"/>
          <w:noProof/>
        </w:rPr>
        <w:t>‐</w:t>
      </w:r>
      <w:r w:rsidRPr="00CF3BA6">
        <w:rPr>
          <w:rFonts w:hint="eastAsia"/>
          <w:noProof/>
        </w:rPr>
        <w:t xml:space="preserve">neutral approaches', </w:t>
      </w:r>
      <w:r w:rsidRPr="00CF3BA6">
        <w:rPr>
          <w:rFonts w:hint="eastAsia"/>
          <w:i/>
          <w:noProof/>
        </w:rPr>
        <w:t>Journal of Regional Science</w:t>
      </w:r>
      <w:r w:rsidRPr="00CF3BA6">
        <w:rPr>
          <w:rFonts w:hint="eastAsia"/>
          <w:noProof/>
        </w:rPr>
        <w:t>, vol. 52, no. 1, pp. 134-52.</w:t>
      </w:r>
    </w:p>
    <w:p w14:paraId="581D166E" w14:textId="77777777" w:rsidR="00A833AB" w:rsidRPr="00CF3BA6" w:rsidRDefault="00A833AB" w:rsidP="000F60E8">
      <w:pPr>
        <w:pStyle w:val="EndNoteBibliography"/>
        <w:spacing w:after="0"/>
        <w:ind w:left="720" w:hanging="720"/>
        <w:rPr>
          <w:noProof/>
        </w:rPr>
      </w:pPr>
      <w:r w:rsidRPr="00CF3BA6">
        <w:rPr>
          <w:rFonts w:hint="eastAsia"/>
          <w:noProof/>
        </w:rPr>
        <w:t>Beer, A 2012, 'The Economic Geography of Australia and Its Analysis: From Industrial to Post</w:t>
      </w:r>
      <w:r w:rsidRPr="00CF3BA6">
        <w:rPr>
          <w:rFonts w:hint="eastAsia"/>
          <w:noProof/>
        </w:rPr>
        <w:t>‐</w:t>
      </w:r>
      <w:r w:rsidRPr="00CF3BA6">
        <w:rPr>
          <w:rFonts w:hint="eastAsia"/>
          <w:noProof/>
        </w:rPr>
        <w:t xml:space="preserve">Industrial Regions', </w:t>
      </w:r>
      <w:r w:rsidRPr="00CF3BA6">
        <w:rPr>
          <w:rFonts w:hint="eastAsia"/>
          <w:i/>
          <w:noProof/>
        </w:rPr>
        <w:t>Geographical Research</w:t>
      </w:r>
      <w:r w:rsidRPr="00CF3BA6">
        <w:rPr>
          <w:rFonts w:hint="eastAsia"/>
          <w:noProof/>
        </w:rPr>
        <w:t>, v</w:t>
      </w:r>
      <w:r w:rsidRPr="00CF3BA6">
        <w:rPr>
          <w:noProof/>
        </w:rPr>
        <w:t>ol. 50, no. 3, pp. 269-81.</w:t>
      </w:r>
    </w:p>
    <w:p w14:paraId="6EF2512D" w14:textId="77777777" w:rsidR="00A833AB" w:rsidRPr="00CF3BA6" w:rsidRDefault="00A833AB" w:rsidP="000F60E8">
      <w:pPr>
        <w:pStyle w:val="EndNoteBibliography"/>
        <w:spacing w:after="0"/>
        <w:ind w:left="720" w:hanging="720"/>
        <w:rPr>
          <w:noProof/>
        </w:rPr>
      </w:pPr>
      <w:r w:rsidRPr="00CF3BA6">
        <w:rPr>
          <w:noProof/>
        </w:rPr>
        <w:t>Bill, A, Mitchell, W &amp; Watts, MJ 2006, 'Examining the relationship between commuting patterns, employment growth and unemployment in the NSW Greater Metropolitan Region'.</w:t>
      </w:r>
    </w:p>
    <w:p w14:paraId="612115AB" w14:textId="77777777" w:rsidR="00A833AB" w:rsidRPr="00CF3BA6" w:rsidRDefault="00A833AB" w:rsidP="000F60E8">
      <w:pPr>
        <w:pStyle w:val="EndNoteBibliography"/>
        <w:spacing w:after="0"/>
        <w:ind w:left="720" w:hanging="720"/>
        <w:rPr>
          <w:noProof/>
        </w:rPr>
      </w:pPr>
      <w:r w:rsidRPr="00CF3BA6">
        <w:rPr>
          <w:noProof/>
        </w:rPr>
        <w:t xml:space="preserve">Boehm, WT &amp; Pond, MT 1976, 'Job location, retail purchasing patterns, and local economic development', </w:t>
      </w:r>
      <w:r w:rsidRPr="00CF3BA6">
        <w:rPr>
          <w:i/>
          <w:noProof/>
        </w:rPr>
        <w:t>Growth and Change</w:t>
      </w:r>
      <w:r w:rsidRPr="00CF3BA6">
        <w:rPr>
          <w:noProof/>
        </w:rPr>
        <w:t>, vol. 7, no. 1, pp. 7-12.</w:t>
      </w:r>
    </w:p>
    <w:p w14:paraId="4D4937BB" w14:textId="77777777" w:rsidR="00A833AB" w:rsidRPr="00CF3BA6" w:rsidRDefault="005D0AD3" w:rsidP="000F60E8">
      <w:pPr>
        <w:pStyle w:val="EndNoteBibliography"/>
        <w:spacing w:after="0"/>
        <w:ind w:left="720" w:hanging="720"/>
        <w:rPr>
          <w:noProof/>
        </w:rPr>
      </w:pPr>
      <w:r w:rsidRPr="005D0AD3">
        <w:rPr>
          <w:noProof/>
        </w:rPr>
        <w:t>Bureau of Infrastructure Transport and Regional Economics</w:t>
      </w:r>
      <w:r>
        <w:rPr>
          <w:rFonts w:ascii="Helvetica" w:hAnsi="Helvetica" w:cs="Helvetica"/>
          <w:sz w:val="24"/>
        </w:rPr>
        <w:t xml:space="preserve"> </w:t>
      </w:r>
      <w:r>
        <w:rPr>
          <w:noProof/>
        </w:rPr>
        <w:t>2011</w:t>
      </w:r>
      <w:r w:rsidR="00A833AB" w:rsidRPr="00CF3BA6">
        <w:rPr>
          <w:noProof/>
        </w:rPr>
        <w:t xml:space="preserve">, </w:t>
      </w:r>
      <w:r w:rsidR="00A833AB" w:rsidRPr="00CF3BA6">
        <w:rPr>
          <w:i/>
          <w:noProof/>
        </w:rPr>
        <w:t>Population growth, jobs growth and commuting flows in Melbourne</w:t>
      </w:r>
      <w:r w:rsidR="00A833AB" w:rsidRPr="00CF3BA6">
        <w:rPr>
          <w:noProof/>
        </w:rPr>
        <w:t>, Bureau of Infrastructure Transport and Regional Economics, vol. Report 125.</w:t>
      </w:r>
    </w:p>
    <w:p w14:paraId="0CEBEF62" w14:textId="77777777" w:rsidR="00A833AB" w:rsidRPr="00CF3BA6" w:rsidRDefault="005D0AD3" w:rsidP="000F60E8">
      <w:pPr>
        <w:pStyle w:val="EndNoteBibliography"/>
        <w:spacing w:after="0"/>
        <w:ind w:left="720" w:hanging="720"/>
        <w:rPr>
          <w:noProof/>
        </w:rPr>
      </w:pPr>
      <w:r w:rsidRPr="00CF3BA6">
        <w:rPr>
          <w:noProof/>
        </w:rPr>
        <w:t xml:space="preserve">---- </w:t>
      </w:r>
      <w:r w:rsidR="00A833AB" w:rsidRPr="00CF3BA6">
        <w:rPr>
          <w:noProof/>
        </w:rPr>
        <w:t xml:space="preserve"> 2015, </w:t>
      </w:r>
      <w:r w:rsidR="00A833AB" w:rsidRPr="00CF3BA6">
        <w:rPr>
          <w:i/>
          <w:noProof/>
        </w:rPr>
        <w:t>Changes in Australia’s industry structure: cities and regions, 2006–2011</w:t>
      </w:r>
      <w:r>
        <w:rPr>
          <w:noProof/>
        </w:rPr>
        <w:t>.</w:t>
      </w:r>
    </w:p>
    <w:p w14:paraId="524B2C09" w14:textId="77777777" w:rsidR="00A833AB" w:rsidRPr="00CF3BA6" w:rsidRDefault="00A833AB" w:rsidP="000F60E8">
      <w:pPr>
        <w:pStyle w:val="EndNoteBibliography"/>
        <w:spacing w:after="0"/>
        <w:ind w:left="720" w:hanging="720"/>
        <w:rPr>
          <w:noProof/>
        </w:rPr>
      </w:pPr>
      <w:r w:rsidRPr="00CF3BA6">
        <w:rPr>
          <w:noProof/>
        </w:rPr>
        <w:t xml:space="preserve">Department of Infrastructure and Regional Development 2016, </w:t>
      </w:r>
      <w:r w:rsidRPr="00CF3BA6">
        <w:rPr>
          <w:i/>
          <w:noProof/>
        </w:rPr>
        <w:t>Lengthy Commutes In Australia</w:t>
      </w:r>
      <w:r w:rsidR="005D0AD3">
        <w:rPr>
          <w:noProof/>
        </w:rPr>
        <w:t xml:space="preserve">, </w:t>
      </w:r>
      <w:r w:rsidRPr="00CF3BA6">
        <w:rPr>
          <w:noProof/>
        </w:rPr>
        <w:t>Australian Government.</w:t>
      </w:r>
    </w:p>
    <w:p w14:paraId="28E54045" w14:textId="77777777" w:rsidR="00A833AB" w:rsidRPr="00CF3BA6" w:rsidRDefault="00A833AB" w:rsidP="000F60E8">
      <w:pPr>
        <w:pStyle w:val="EndNoteBibliography"/>
        <w:spacing w:after="0"/>
        <w:ind w:left="720" w:hanging="720"/>
        <w:rPr>
          <w:noProof/>
        </w:rPr>
      </w:pPr>
      <w:r w:rsidRPr="00CF3BA6">
        <w:rPr>
          <w:noProof/>
        </w:rPr>
        <w:t xml:space="preserve">Burnley, I &amp; Murphy, P 1995, 'Exurban development in Australia and the United States: through a glass darkly', </w:t>
      </w:r>
      <w:r w:rsidRPr="00CF3BA6">
        <w:rPr>
          <w:i/>
          <w:noProof/>
        </w:rPr>
        <w:t>Journal of Planning Education and Research</w:t>
      </w:r>
      <w:r w:rsidRPr="00CF3BA6">
        <w:rPr>
          <w:noProof/>
        </w:rPr>
        <w:t>, vol. 14, no. 4, pp. 245-54.</w:t>
      </w:r>
    </w:p>
    <w:p w14:paraId="7DDF593A" w14:textId="77777777" w:rsidR="00A833AB" w:rsidRPr="00CF3BA6" w:rsidRDefault="00A833AB" w:rsidP="000F60E8">
      <w:pPr>
        <w:pStyle w:val="EndNoteBibliography"/>
        <w:spacing w:after="0"/>
        <w:ind w:left="720" w:hanging="720"/>
        <w:rPr>
          <w:noProof/>
        </w:rPr>
      </w:pPr>
      <w:r w:rsidRPr="00CF3BA6">
        <w:rPr>
          <w:noProof/>
        </w:rPr>
        <w:t xml:space="preserve">Burnley, I, Murphy, P &amp; Jenner, A 1997, 'Selecting suburbia: residential relocation to outer Sydney', </w:t>
      </w:r>
      <w:r w:rsidRPr="00CF3BA6">
        <w:rPr>
          <w:i/>
          <w:noProof/>
        </w:rPr>
        <w:t>Urban Studies</w:t>
      </w:r>
      <w:r w:rsidRPr="00CF3BA6">
        <w:rPr>
          <w:noProof/>
        </w:rPr>
        <w:t>, vol. 34, no. 7, pp. 1109-27.</w:t>
      </w:r>
    </w:p>
    <w:p w14:paraId="7C6EEED1" w14:textId="77777777" w:rsidR="00A833AB" w:rsidRPr="00CF3BA6" w:rsidRDefault="00A833AB" w:rsidP="000F60E8">
      <w:pPr>
        <w:pStyle w:val="EndNoteBibliography"/>
        <w:spacing w:after="0"/>
        <w:ind w:left="720" w:hanging="720"/>
        <w:rPr>
          <w:noProof/>
        </w:rPr>
      </w:pPr>
      <w:r w:rsidRPr="00CF3BA6">
        <w:rPr>
          <w:noProof/>
        </w:rPr>
        <w:t>Butt, A 2011, 'The country town and the city network: the expanding commuter field of Melbourne'.</w:t>
      </w:r>
    </w:p>
    <w:p w14:paraId="46CCC5BB" w14:textId="77777777" w:rsidR="00A833AB" w:rsidRPr="00CF3BA6" w:rsidRDefault="00A833AB" w:rsidP="000F60E8">
      <w:pPr>
        <w:pStyle w:val="EndNoteBibliography"/>
        <w:spacing w:after="0"/>
        <w:ind w:left="720" w:hanging="720"/>
        <w:rPr>
          <w:noProof/>
        </w:rPr>
      </w:pPr>
      <w:r w:rsidRPr="00CF3BA6">
        <w:rPr>
          <w:noProof/>
        </w:rPr>
        <w:t xml:space="preserve">Chen, C-L &amp; Hall, P 2011, 'The impacts of high-speed trains on British economic geography: a study of the UK’s InterCity 125/225 and its effects', </w:t>
      </w:r>
      <w:r w:rsidRPr="00CF3BA6">
        <w:rPr>
          <w:i/>
          <w:noProof/>
        </w:rPr>
        <w:t>Journal of Transport Geography</w:t>
      </w:r>
      <w:r w:rsidRPr="00CF3BA6">
        <w:rPr>
          <w:noProof/>
        </w:rPr>
        <w:t>, vol. 19, no. 4, pp. 689-704.</w:t>
      </w:r>
    </w:p>
    <w:p w14:paraId="38CA6FE0" w14:textId="77777777" w:rsidR="00A833AB" w:rsidRPr="00CF3BA6" w:rsidRDefault="00A833AB" w:rsidP="000F60E8">
      <w:pPr>
        <w:pStyle w:val="EndNoteBibliography"/>
        <w:spacing w:after="0"/>
        <w:ind w:left="720" w:hanging="720"/>
        <w:rPr>
          <w:noProof/>
        </w:rPr>
      </w:pPr>
      <w:r w:rsidRPr="00CF3BA6">
        <w:rPr>
          <w:noProof/>
        </w:rPr>
        <w:t xml:space="preserve">---- 2013, 'Using High Speed Two to Irrigate the Regions', </w:t>
      </w:r>
      <w:r w:rsidRPr="00CF3BA6">
        <w:rPr>
          <w:i/>
          <w:noProof/>
        </w:rPr>
        <w:t>Built environment</w:t>
      </w:r>
      <w:r w:rsidRPr="00CF3BA6">
        <w:rPr>
          <w:noProof/>
        </w:rPr>
        <w:t>, vol. 39, no. 3, pp. 355-68.</w:t>
      </w:r>
    </w:p>
    <w:p w14:paraId="4932AF27" w14:textId="77777777" w:rsidR="00A833AB" w:rsidRPr="00CF3BA6" w:rsidRDefault="00A833AB" w:rsidP="000F60E8">
      <w:pPr>
        <w:pStyle w:val="EndNoteBibliography"/>
        <w:spacing w:after="0"/>
        <w:ind w:left="720" w:hanging="720"/>
        <w:rPr>
          <w:noProof/>
        </w:rPr>
      </w:pPr>
      <w:r w:rsidRPr="00CF3BA6">
        <w:rPr>
          <w:noProof/>
        </w:rPr>
        <w:t xml:space="preserve">---- 2015, '20 High-speed trains and spatial-economic impacts: a British–French comparison on two scales: intra-and inter-regional', </w:t>
      </w:r>
      <w:r w:rsidRPr="00CF3BA6">
        <w:rPr>
          <w:i/>
          <w:noProof/>
        </w:rPr>
        <w:t>International Handbook on Transport and Development</w:t>
      </w:r>
      <w:r w:rsidRPr="00CF3BA6">
        <w:rPr>
          <w:noProof/>
        </w:rPr>
        <w:t>, p. 301.</w:t>
      </w:r>
    </w:p>
    <w:p w14:paraId="38764FA6" w14:textId="77777777" w:rsidR="00A833AB" w:rsidRPr="00CF3BA6" w:rsidRDefault="00A833AB" w:rsidP="000F60E8">
      <w:pPr>
        <w:pStyle w:val="EndNoteBibliography"/>
        <w:spacing w:after="0"/>
        <w:ind w:left="720" w:hanging="720"/>
        <w:rPr>
          <w:noProof/>
        </w:rPr>
      </w:pPr>
      <w:r w:rsidRPr="00CF3BA6">
        <w:rPr>
          <w:noProof/>
        </w:rPr>
        <w:t xml:space="preserve">Corsetti, S 2016, </w:t>
      </w:r>
      <w:r w:rsidRPr="00CF3BA6">
        <w:rPr>
          <w:i/>
          <w:noProof/>
        </w:rPr>
        <w:t>Locals in Castlemaine fight to preserve community from pizza chain</w:t>
      </w:r>
      <w:r w:rsidRPr="00CF3BA6">
        <w:rPr>
          <w:noProof/>
        </w:rPr>
        <w:t xml:space="preserve">, ABC Radio National, 28 July 2016, Radio </w:t>
      </w:r>
    </w:p>
    <w:p w14:paraId="2DDA5D09" w14:textId="77777777" w:rsidR="00A833AB" w:rsidRPr="00CF3BA6" w:rsidRDefault="00A833AB" w:rsidP="000F60E8">
      <w:pPr>
        <w:pStyle w:val="EndNoteBibliography"/>
        <w:spacing w:after="0"/>
        <w:ind w:left="720" w:hanging="720"/>
        <w:rPr>
          <w:noProof/>
        </w:rPr>
      </w:pPr>
      <w:r w:rsidRPr="00CF3BA6">
        <w:rPr>
          <w:rFonts w:hint="eastAsia"/>
          <w:noProof/>
        </w:rPr>
        <w:t>Costello, L 2007, 'Going bush: the implications of urban</w:t>
      </w:r>
      <w:r w:rsidRPr="00CF3BA6">
        <w:rPr>
          <w:rFonts w:hint="eastAsia"/>
          <w:noProof/>
        </w:rPr>
        <w:t>‐</w:t>
      </w:r>
      <w:r w:rsidRPr="00CF3BA6">
        <w:rPr>
          <w:rFonts w:hint="eastAsia"/>
          <w:noProof/>
        </w:rPr>
        <w:t xml:space="preserve">rural migration', </w:t>
      </w:r>
      <w:r w:rsidRPr="00CF3BA6">
        <w:rPr>
          <w:rFonts w:hint="eastAsia"/>
          <w:i/>
          <w:noProof/>
        </w:rPr>
        <w:t xml:space="preserve">Geographical </w:t>
      </w:r>
      <w:r w:rsidRPr="00CF3BA6">
        <w:rPr>
          <w:i/>
          <w:noProof/>
        </w:rPr>
        <w:t>Research</w:t>
      </w:r>
      <w:r w:rsidRPr="00CF3BA6">
        <w:rPr>
          <w:noProof/>
        </w:rPr>
        <w:t>, vol. 45, no. 1, pp. 85-94.</w:t>
      </w:r>
    </w:p>
    <w:p w14:paraId="2D2FF1EB" w14:textId="77777777" w:rsidR="00A833AB" w:rsidRPr="00CF3BA6" w:rsidRDefault="00A833AB" w:rsidP="000F60E8">
      <w:pPr>
        <w:pStyle w:val="EndNoteBibliography"/>
        <w:spacing w:after="0"/>
        <w:ind w:left="720" w:hanging="720"/>
        <w:rPr>
          <w:noProof/>
        </w:rPr>
      </w:pPr>
      <w:r w:rsidRPr="00CF3BA6">
        <w:rPr>
          <w:noProof/>
        </w:rPr>
        <w:t xml:space="preserve">---- 2009, 'Urban–Rural Migration: housing availability and affordability', </w:t>
      </w:r>
      <w:r w:rsidRPr="00CF3BA6">
        <w:rPr>
          <w:i/>
          <w:noProof/>
        </w:rPr>
        <w:t>Australian Geographer</w:t>
      </w:r>
      <w:r w:rsidRPr="00CF3BA6">
        <w:rPr>
          <w:noProof/>
        </w:rPr>
        <w:t>, vol. 40, no. 2, pp. 219-33.</w:t>
      </w:r>
    </w:p>
    <w:p w14:paraId="2360A16F" w14:textId="77777777" w:rsidR="00A833AB" w:rsidRPr="00CF3BA6" w:rsidRDefault="00A833AB" w:rsidP="000F60E8">
      <w:pPr>
        <w:pStyle w:val="EndNoteBibliography"/>
        <w:spacing w:after="0"/>
        <w:ind w:left="720" w:hanging="720"/>
        <w:rPr>
          <w:noProof/>
        </w:rPr>
      </w:pPr>
      <w:r w:rsidRPr="00CF3BA6">
        <w:rPr>
          <w:noProof/>
        </w:rPr>
        <w:t xml:space="preserve">Dauth, W &amp; Haller, P 2016, </w:t>
      </w:r>
      <w:r w:rsidRPr="00CF3BA6">
        <w:rPr>
          <w:i/>
          <w:noProof/>
        </w:rPr>
        <w:t>The valuation of changes in commuting distances: An analysis using georeferenced data</w:t>
      </w:r>
      <w:r w:rsidRPr="00CF3BA6">
        <w:rPr>
          <w:noProof/>
        </w:rPr>
        <w:t>, Institut für Arbeitsmarkt-und Berufsforschung (IAB), Nürnberg [Institute for Employment Research, Nuremberg, Germany].</w:t>
      </w:r>
    </w:p>
    <w:p w14:paraId="4D1DE9BA" w14:textId="77777777" w:rsidR="00A833AB" w:rsidRPr="00CF3BA6" w:rsidRDefault="00A833AB" w:rsidP="000F60E8">
      <w:pPr>
        <w:pStyle w:val="EndNoteBibliography"/>
        <w:spacing w:after="0"/>
        <w:ind w:left="720" w:hanging="720"/>
        <w:rPr>
          <w:noProof/>
        </w:rPr>
      </w:pPr>
      <w:r w:rsidRPr="00CF3BA6">
        <w:rPr>
          <w:noProof/>
        </w:rPr>
        <w:t xml:space="preserve">Davison, G 2016, </w:t>
      </w:r>
      <w:r w:rsidRPr="00CF3BA6">
        <w:rPr>
          <w:i/>
          <w:noProof/>
        </w:rPr>
        <w:t>Launch of Planning Melbourne: Lessons for a Sustainable City</w:t>
      </w:r>
      <w:r w:rsidRPr="00CF3BA6">
        <w:rPr>
          <w:noProof/>
        </w:rPr>
        <w:t>, Melbourne.</w:t>
      </w:r>
    </w:p>
    <w:p w14:paraId="0F9C6C93" w14:textId="77777777" w:rsidR="00A833AB" w:rsidRPr="00CF3BA6" w:rsidRDefault="00A833AB" w:rsidP="000F60E8">
      <w:pPr>
        <w:pStyle w:val="EndNoteBibliography"/>
        <w:spacing w:after="0"/>
        <w:ind w:left="720" w:hanging="720"/>
        <w:rPr>
          <w:noProof/>
        </w:rPr>
      </w:pPr>
      <w:r w:rsidRPr="00CF3BA6">
        <w:rPr>
          <w:noProof/>
        </w:rPr>
        <w:t>De Silva, H, Johnson, L &amp; Wade, K 2011, 'Long distance commuters in Australia: A socio-economic and demographic profile', paper presented to Staff Papers, Paper given to the 34th Australasian Transport Research Forum.</w:t>
      </w:r>
    </w:p>
    <w:p w14:paraId="7EFDFB5F" w14:textId="77777777" w:rsidR="00A833AB" w:rsidRPr="00CF3BA6" w:rsidRDefault="00A833AB" w:rsidP="000F60E8">
      <w:pPr>
        <w:pStyle w:val="EndNoteBibliography"/>
        <w:spacing w:after="0"/>
        <w:ind w:left="720" w:hanging="720"/>
        <w:rPr>
          <w:noProof/>
        </w:rPr>
      </w:pPr>
      <w:r w:rsidRPr="00CF3BA6">
        <w:rPr>
          <w:noProof/>
        </w:rPr>
        <w:t xml:space="preserve">Delany, B 2016, 'Neoliberalism through a dreamcatcher: five signs your town has gentrified', </w:t>
      </w:r>
      <w:r w:rsidRPr="00CF3BA6">
        <w:rPr>
          <w:i/>
          <w:noProof/>
        </w:rPr>
        <w:t>The Gaurdian</w:t>
      </w:r>
      <w:r w:rsidRPr="00CF3BA6">
        <w:rPr>
          <w:noProof/>
        </w:rPr>
        <w:t>, 24 October 2016.</w:t>
      </w:r>
    </w:p>
    <w:p w14:paraId="70A15FA6" w14:textId="77777777" w:rsidR="00A833AB" w:rsidRPr="00CF3BA6" w:rsidRDefault="00A833AB" w:rsidP="000F60E8">
      <w:pPr>
        <w:pStyle w:val="EndNoteBibliography"/>
        <w:spacing w:after="0"/>
        <w:ind w:left="720" w:hanging="720"/>
        <w:rPr>
          <w:noProof/>
        </w:rPr>
      </w:pPr>
      <w:r w:rsidRPr="00CF3BA6">
        <w:rPr>
          <w:noProof/>
        </w:rPr>
        <w:t xml:space="preserve">Department of Economic Development Jobs Transport and Resources 2016, </w:t>
      </w:r>
      <w:r w:rsidRPr="00CF3BA6">
        <w:rPr>
          <w:i/>
          <w:noProof/>
        </w:rPr>
        <w:t>Connecting Regional Victoria: Victoria's Regional Network Development Plan</w:t>
      </w:r>
      <w:r w:rsidRPr="00CF3BA6">
        <w:rPr>
          <w:noProof/>
        </w:rPr>
        <w:t>, Department of Economic Development Jobs Transport and Resources, State of Victoria.</w:t>
      </w:r>
    </w:p>
    <w:p w14:paraId="79DF521F" w14:textId="77777777" w:rsidR="00A833AB" w:rsidRPr="00CF3BA6" w:rsidRDefault="00A833AB" w:rsidP="000F60E8">
      <w:pPr>
        <w:pStyle w:val="EndNoteBibliography"/>
        <w:spacing w:after="0"/>
        <w:ind w:left="720" w:hanging="720"/>
        <w:rPr>
          <w:noProof/>
        </w:rPr>
      </w:pPr>
      <w:r w:rsidRPr="00CF3BA6">
        <w:rPr>
          <w:noProof/>
        </w:rPr>
        <w:t xml:space="preserve">---- 2017, </w:t>
      </w:r>
      <w:r w:rsidRPr="00CF3BA6">
        <w:rPr>
          <w:i/>
          <w:noProof/>
        </w:rPr>
        <w:t xml:space="preserve">Regional Rail Revival  </w:t>
      </w:r>
      <w:r w:rsidRPr="00CF3BA6">
        <w:rPr>
          <w:noProof/>
        </w:rPr>
        <w:t>State of Victoria, &lt;</w:t>
      </w:r>
      <w:r w:rsidRPr="00A833AB">
        <w:rPr>
          <w:rFonts w:cstheme="minorBidi"/>
          <w:noProof/>
          <w:lang w:val="en-AU"/>
        </w:rPr>
        <w:t>http://economicdevelopment.vic.gov.au/transport/rail-and-roads/public-transport/regional-rail-revival</w:t>
      </w:r>
      <w:r w:rsidRPr="00CF3BA6">
        <w:rPr>
          <w:noProof/>
        </w:rPr>
        <w:t>&gt;.</w:t>
      </w:r>
    </w:p>
    <w:p w14:paraId="075E61FB" w14:textId="77777777" w:rsidR="00A833AB" w:rsidRPr="00CF3BA6" w:rsidRDefault="005D0AD3" w:rsidP="000F60E8">
      <w:pPr>
        <w:pStyle w:val="EndNoteBibliography"/>
        <w:spacing w:after="0"/>
        <w:ind w:left="720" w:hanging="720"/>
        <w:rPr>
          <w:noProof/>
        </w:rPr>
      </w:pPr>
      <w:r>
        <w:rPr>
          <w:noProof/>
        </w:rPr>
        <w:t xml:space="preserve">Department of </w:t>
      </w:r>
      <w:r w:rsidRPr="005D0AD3">
        <w:rPr>
          <w:noProof/>
          <w:lang w:val="en-AU"/>
        </w:rPr>
        <w:t>Planning, Transport and Local Infrastructure</w:t>
      </w:r>
      <w:r>
        <w:rPr>
          <w:noProof/>
          <w:lang w:val="en-AU"/>
        </w:rPr>
        <w:t>,</w:t>
      </w:r>
      <w:r w:rsidR="00A833AB" w:rsidRPr="00CF3BA6">
        <w:rPr>
          <w:noProof/>
        </w:rPr>
        <w:t xml:space="preserve"> 2014, </w:t>
      </w:r>
      <w:r w:rsidR="00A833AB" w:rsidRPr="00CF3BA6">
        <w:rPr>
          <w:i/>
          <w:noProof/>
        </w:rPr>
        <w:t>Plan Melbourne</w:t>
      </w:r>
      <w:r w:rsidR="00A833AB" w:rsidRPr="00CF3BA6">
        <w:rPr>
          <w:noProof/>
        </w:rPr>
        <w:t xml:space="preserve">, Department of Transport Planning and Local Infrastructure, State of Victoria </w:t>
      </w:r>
    </w:p>
    <w:p w14:paraId="4AE19141" w14:textId="77777777" w:rsidR="00A833AB" w:rsidRPr="00CF3BA6" w:rsidRDefault="00A833AB" w:rsidP="000F60E8">
      <w:pPr>
        <w:pStyle w:val="EndNoteBibliography"/>
        <w:spacing w:after="0"/>
        <w:ind w:left="720" w:hanging="720"/>
        <w:rPr>
          <w:noProof/>
        </w:rPr>
      </w:pPr>
      <w:r w:rsidRPr="00CF3BA6">
        <w:rPr>
          <w:noProof/>
        </w:rPr>
        <w:t xml:space="preserve">Dicken, P 2011, </w:t>
      </w:r>
      <w:r w:rsidRPr="00CF3BA6">
        <w:rPr>
          <w:i/>
          <w:noProof/>
        </w:rPr>
        <w:t>Global Shift: Mapping the Changing Contours of the World Economy</w:t>
      </w:r>
      <w:r w:rsidRPr="00CF3BA6">
        <w:rPr>
          <w:noProof/>
        </w:rPr>
        <w:t>, Guilford Press.</w:t>
      </w:r>
    </w:p>
    <w:p w14:paraId="4A8E57DC" w14:textId="77777777" w:rsidR="00A833AB" w:rsidRPr="00CF3BA6" w:rsidRDefault="00A833AB" w:rsidP="000F60E8">
      <w:pPr>
        <w:pStyle w:val="EndNoteBibliography"/>
        <w:spacing w:after="0"/>
        <w:ind w:left="720" w:hanging="720"/>
        <w:rPr>
          <w:noProof/>
        </w:rPr>
      </w:pPr>
      <w:r w:rsidRPr="00CF3BA6">
        <w:rPr>
          <w:noProof/>
        </w:rPr>
        <w:t xml:space="preserve">Dobbin, M 2009, 'Castlemaine becomes Northcote North as tree-changers leave gentrified Melbourne', </w:t>
      </w:r>
      <w:r w:rsidRPr="00CF3BA6">
        <w:rPr>
          <w:i/>
          <w:noProof/>
        </w:rPr>
        <w:t>The Age</w:t>
      </w:r>
      <w:r w:rsidRPr="00CF3BA6">
        <w:rPr>
          <w:noProof/>
        </w:rPr>
        <w:t>, May 30, 2009.</w:t>
      </w:r>
    </w:p>
    <w:p w14:paraId="51CD6651" w14:textId="77777777" w:rsidR="00A833AB" w:rsidRPr="00CF3BA6" w:rsidRDefault="00A833AB" w:rsidP="000F60E8">
      <w:pPr>
        <w:pStyle w:val="EndNoteBibliography"/>
        <w:spacing w:after="0"/>
        <w:ind w:left="720" w:hanging="720"/>
        <w:rPr>
          <w:noProof/>
        </w:rPr>
      </w:pPr>
      <w:r w:rsidRPr="00CF3BA6">
        <w:rPr>
          <w:noProof/>
        </w:rPr>
        <w:t xml:space="preserve">Flood, M &amp; Barbato, C 2005, </w:t>
      </w:r>
      <w:r w:rsidRPr="00CF3BA6">
        <w:rPr>
          <w:i/>
          <w:noProof/>
        </w:rPr>
        <w:t>Off to Work-Commuting in Australia</w:t>
      </w:r>
      <w:r w:rsidRPr="00CF3BA6">
        <w:rPr>
          <w:noProof/>
        </w:rPr>
        <w:t>, Canberra.</w:t>
      </w:r>
    </w:p>
    <w:p w14:paraId="4FDB11A2" w14:textId="77777777" w:rsidR="00A833AB" w:rsidRPr="00CF3BA6" w:rsidRDefault="00A833AB" w:rsidP="000F60E8">
      <w:pPr>
        <w:pStyle w:val="EndNoteBibliography"/>
        <w:spacing w:after="0"/>
        <w:ind w:left="720" w:hanging="720"/>
        <w:rPr>
          <w:noProof/>
        </w:rPr>
      </w:pPr>
      <w:r w:rsidRPr="00CF3BA6">
        <w:rPr>
          <w:noProof/>
        </w:rPr>
        <w:t xml:space="preserve">Forrest, J 1996, 'Place of Residence, Place of Work: The spatial clustering of the journey to work in Sydney', </w:t>
      </w:r>
      <w:r w:rsidRPr="00CF3BA6">
        <w:rPr>
          <w:i/>
          <w:noProof/>
        </w:rPr>
        <w:t>Australian planner</w:t>
      </w:r>
      <w:r w:rsidRPr="00CF3BA6">
        <w:rPr>
          <w:noProof/>
        </w:rPr>
        <w:t>, vol. 33, no. 3, pp. 132-5.</w:t>
      </w:r>
    </w:p>
    <w:p w14:paraId="22405662" w14:textId="77777777" w:rsidR="00A833AB" w:rsidRPr="00CF3BA6" w:rsidRDefault="00A833AB" w:rsidP="000F60E8">
      <w:pPr>
        <w:pStyle w:val="EndNoteBibliography"/>
        <w:spacing w:after="0"/>
        <w:ind w:left="720" w:hanging="720"/>
        <w:rPr>
          <w:noProof/>
        </w:rPr>
      </w:pPr>
      <w:r w:rsidRPr="00CF3BA6">
        <w:rPr>
          <w:noProof/>
        </w:rPr>
        <w:t xml:space="preserve">Globalization and World Cities Research Network 2016, </w:t>
      </w:r>
      <w:r w:rsidRPr="005D0AD3">
        <w:rPr>
          <w:noProof/>
        </w:rPr>
        <w:t>The World According to GaWC 2016</w:t>
      </w:r>
      <w:r w:rsidRPr="00CF3BA6">
        <w:rPr>
          <w:noProof/>
        </w:rPr>
        <w:t>, &lt;</w:t>
      </w:r>
      <w:r w:rsidRPr="00A833AB">
        <w:rPr>
          <w:rFonts w:cstheme="minorBidi"/>
          <w:noProof/>
          <w:lang w:val="en-AU"/>
        </w:rPr>
        <w:t>http://www.lboro.ac.uk/gawc/world2016t.html</w:t>
      </w:r>
      <w:r w:rsidRPr="00CF3BA6">
        <w:rPr>
          <w:noProof/>
        </w:rPr>
        <w:t>&gt;.</w:t>
      </w:r>
    </w:p>
    <w:p w14:paraId="193EC1F9" w14:textId="77777777" w:rsidR="00A833AB" w:rsidRPr="00CF3BA6" w:rsidRDefault="00A833AB" w:rsidP="000F60E8">
      <w:pPr>
        <w:pStyle w:val="EndNoteBibliography"/>
        <w:spacing w:after="0"/>
        <w:ind w:left="720" w:hanging="720"/>
        <w:rPr>
          <w:noProof/>
        </w:rPr>
      </w:pPr>
      <w:r w:rsidRPr="00CF3BA6">
        <w:rPr>
          <w:noProof/>
        </w:rPr>
        <w:t xml:space="preserve">Halbert, L 2006, 'The polycentric city region that never was: the Paris agglomeration, Bassin Parisien and spatial planning strategies in France', </w:t>
      </w:r>
      <w:r w:rsidRPr="00CF3BA6">
        <w:rPr>
          <w:i/>
          <w:noProof/>
        </w:rPr>
        <w:t>Built environment</w:t>
      </w:r>
      <w:r w:rsidRPr="00CF3BA6">
        <w:rPr>
          <w:noProof/>
        </w:rPr>
        <w:t>, vol. 32, no. 2, pp. 184-93.</w:t>
      </w:r>
    </w:p>
    <w:p w14:paraId="17A4352B" w14:textId="77777777" w:rsidR="00A833AB" w:rsidRPr="00CF3BA6" w:rsidRDefault="00A833AB" w:rsidP="000F60E8">
      <w:pPr>
        <w:pStyle w:val="EndNoteBibliography"/>
        <w:spacing w:after="0"/>
        <w:ind w:left="720" w:hanging="720"/>
        <w:rPr>
          <w:noProof/>
        </w:rPr>
      </w:pPr>
      <w:r w:rsidRPr="00CF3BA6">
        <w:rPr>
          <w:noProof/>
        </w:rPr>
        <w:t xml:space="preserve">Herslund, L 2012, 'The rural creative class: counterurbanisation and entrepreneurship in the Danish countryside', </w:t>
      </w:r>
      <w:r w:rsidRPr="00CF3BA6">
        <w:rPr>
          <w:i/>
          <w:noProof/>
        </w:rPr>
        <w:t>Sociologia Ruralis</w:t>
      </w:r>
      <w:r w:rsidRPr="00CF3BA6">
        <w:rPr>
          <w:noProof/>
        </w:rPr>
        <w:t>, vol. 52, no. 2, pp. 235-55.</w:t>
      </w:r>
    </w:p>
    <w:p w14:paraId="11985F95" w14:textId="77777777" w:rsidR="00A833AB" w:rsidRPr="00CF3BA6" w:rsidRDefault="00A833AB" w:rsidP="000F60E8">
      <w:pPr>
        <w:pStyle w:val="EndNoteBibliography"/>
        <w:spacing w:after="0"/>
        <w:ind w:left="720" w:hanging="720"/>
        <w:rPr>
          <w:noProof/>
        </w:rPr>
      </w:pPr>
      <w:r w:rsidRPr="00CF3BA6">
        <w:rPr>
          <w:noProof/>
        </w:rPr>
        <w:t xml:space="preserve">Horner, A 1999, 'The Tiger stirring: aspects of commuting in the Republic of Ireland 1981–1996', </w:t>
      </w:r>
      <w:r w:rsidRPr="00CF3BA6">
        <w:rPr>
          <w:i/>
          <w:noProof/>
        </w:rPr>
        <w:t>Irish Geography</w:t>
      </w:r>
      <w:r w:rsidRPr="00CF3BA6">
        <w:rPr>
          <w:noProof/>
        </w:rPr>
        <w:t>, vol. 32, no. 2, pp. 99-111.</w:t>
      </w:r>
    </w:p>
    <w:p w14:paraId="1D978A02" w14:textId="77777777" w:rsidR="00A833AB" w:rsidRPr="00CF3BA6" w:rsidRDefault="00A833AB" w:rsidP="000F60E8">
      <w:pPr>
        <w:pStyle w:val="EndNoteBibliography"/>
        <w:spacing w:after="0"/>
        <w:ind w:left="720" w:hanging="720"/>
        <w:rPr>
          <w:noProof/>
        </w:rPr>
      </w:pPr>
      <w:r w:rsidRPr="00CF3BA6">
        <w:rPr>
          <w:noProof/>
        </w:rPr>
        <w:t xml:space="preserve">Hu, L &amp; He, SY 2016, 'Association between telecommuting and household travel in the Chicago Metropolitan Area', </w:t>
      </w:r>
      <w:r w:rsidRPr="00CF3BA6">
        <w:rPr>
          <w:i/>
          <w:noProof/>
        </w:rPr>
        <w:t>Journal of Urban Planning and Development</w:t>
      </w:r>
      <w:r w:rsidRPr="00CF3BA6">
        <w:rPr>
          <w:noProof/>
        </w:rPr>
        <w:t>, p. 04016005.</w:t>
      </w:r>
    </w:p>
    <w:p w14:paraId="59962F04" w14:textId="77777777" w:rsidR="00A833AB" w:rsidRPr="00CF3BA6" w:rsidRDefault="00A833AB" w:rsidP="000F60E8">
      <w:pPr>
        <w:pStyle w:val="EndNoteBibliography"/>
        <w:spacing w:after="0"/>
        <w:ind w:left="720" w:hanging="720"/>
        <w:rPr>
          <w:noProof/>
        </w:rPr>
      </w:pPr>
      <w:r w:rsidRPr="00CF3BA6">
        <w:rPr>
          <w:noProof/>
        </w:rPr>
        <w:t xml:space="preserve">Ingene, CA &amp; Eden, S 1981, 'Determinants of retail sales in SMSAs', </w:t>
      </w:r>
      <w:r w:rsidRPr="00CF3BA6">
        <w:rPr>
          <w:i/>
          <w:noProof/>
        </w:rPr>
        <w:t>Regional Science and Urban Economics</w:t>
      </w:r>
      <w:r w:rsidRPr="00CF3BA6">
        <w:rPr>
          <w:noProof/>
        </w:rPr>
        <w:t>, vol. 11, no. 4, pp. 529-47.</w:t>
      </w:r>
    </w:p>
    <w:p w14:paraId="71968072" w14:textId="77777777" w:rsidR="00A833AB" w:rsidRPr="00CF3BA6" w:rsidRDefault="00A833AB" w:rsidP="000F60E8">
      <w:pPr>
        <w:pStyle w:val="EndNoteBibliography"/>
        <w:spacing w:after="0"/>
        <w:ind w:left="720" w:hanging="720"/>
        <w:rPr>
          <w:noProof/>
        </w:rPr>
      </w:pPr>
      <w:r w:rsidRPr="00CF3BA6">
        <w:rPr>
          <w:noProof/>
        </w:rPr>
        <w:t xml:space="preserve">Keeble, D &amp; Nachum, L 2002, 'Why do business service firms cluster? Small consultancies, clustering and decentralization in London and southern England', </w:t>
      </w:r>
      <w:r w:rsidRPr="00CF3BA6">
        <w:rPr>
          <w:i/>
          <w:noProof/>
        </w:rPr>
        <w:t>Transactions of the institute of British geographers</w:t>
      </w:r>
      <w:r w:rsidRPr="00CF3BA6">
        <w:rPr>
          <w:noProof/>
        </w:rPr>
        <w:t>, vol. 27, no. 1, pp. 67-90.</w:t>
      </w:r>
    </w:p>
    <w:p w14:paraId="35CA8702" w14:textId="77777777" w:rsidR="00A833AB" w:rsidRPr="00CF3BA6" w:rsidRDefault="00A833AB" w:rsidP="000F60E8">
      <w:pPr>
        <w:pStyle w:val="EndNoteBibliography"/>
        <w:spacing w:after="0"/>
        <w:ind w:left="720" w:hanging="720"/>
        <w:rPr>
          <w:noProof/>
        </w:rPr>
      </w:pPr>
      <w:r w:rsidRPr="00CF3BA6">
        <w:rPr>
          <w:noProof/>
        </w:rPr>
        <w:t xml:space="preserve">Kelly, J-F, Donegan, P, Chisholm, C, Oberklaid, M 2014, </w:t>
      </w:r>
      <w:r w:rsidRPr="00CF3BA6">
        <w:rPr>
          <w:i/>
          <w:noProof/>
        </w:rPr>
        <w:t>Mapping Australia’s Economy: Cities as engines of prosperity</w:t>
      </w:r>
      <w:r w:rsidRPr="00CF3BA6">
        <w:rPr>
          <w:noProof/>
        </w:rPr>
        <w:t>, Grattan institute.</w:t>
      </w:r>
    </w:p>
    <w:p w14:paraId="35AA194A" w14:textId="77777777" w:rsidR="00A833AB" w:rsidRPr="00CF3BA6" w:rsidRDefault="00A833AB" w:rsidP="000F60E8">
      <w:pPr>
        <w:pStyle w:val="EndNoteBibliography"/>
        <w:spacing w:after="0"/>
        <w:ind w:left="720" w:hanging="720"/>
        <w:rPr>
          <w:noProof/>
        </w:rPr>
      </w:pPr>
      <w:r w:rsidRPr="00CF3BA6">
        <w:rPr>
          <w:noProof/>
        </w:rPr>
        <w:t xml:space="preserve">Lavesson, N 2015, </w:t>
      </w:r>
      <w:r w:rsidRPr="00CF3BA6">
        <w:rPr>
          <w:i/>
          <w:noProof/>
        </w:rPr>
        <w:t>When and how does commuting to cities influence rural employment growth?</w:t>
      </w:r>
      <w:r w:rsidRPr="00CF3BA6">
        <w:rPr>
          <w:noProof/>
        </w:rPr>
        <w:t>, Lund University, CIRCLE-Center for Innovation, Research and Competences in the Learning Economy.</w:t>
      </w:r>
    </w:p>
    <w:p w14:paraId="5999033F" w14:textId="77777777" w:rsidR="00A833AB" w:rsidRPr="00CF3BA6" w:rsidRDefault="00A833AB" w:rsidP="000F60E8">
      <w:pPr>
        <w:pStyle w:val="EndNoteBibliography"/>
        <w:spacing w:after="0"/>
        <w:ind w:left="720" w:hanging="720"/>
        <w:rPr>
          <w:noProof/>
        </w:rPr>
      </w:pPr>
      <w:r w:rsidRPr="00CF3BA6">
        <w:rPr>
          <w:noProof/>
        </w:rPr>
        <w:t xml:space="preserve">Lucas, C 2016, 'Rise of the super-commuter to Victoria's regions brings benefits - and problems', </w:t>
      </w:r>
      <w:r w:rsidRPr="00CF3BA6">
        <w:rPr>
          <w:i/>
          <w:noProof/>
        </w:rPr>
        <w:t>The Age</w:t>
      </w:r>
      <w:r w:rsidRPr="00CF3BA6">
        <w:rPr>
          <w:noProof/>
        </w:rPr>
        <w:t>, 28 July 2016, pp. 6-7.</w:t>
      </w:r>
    </w:p>
    <w:p w14:paraId="5E1E8025" w14:textId="77777777" w:rsidR="00A833AB" w:rsidRPr="00CF3BA6" w:rsidRDefault="00A833AB" w:rsidP="000F60E8">
      <w:pPr>
        <w:pStyle w:val="EndNoteBibliography"/>
        <w:spacing w:after="0"/>
        <w:ind w:left="720" w:hanging="720"/>
        <w:rPr>
          <w:noProof/>
        </w:rPr>
      </w:pPr>
      <w:r w:rsidRPr="00CF3BA6">
        <w:rPr>
          <w:noProof/>
        </w:rPr>
        <w:t xml:space="preserve">Luck, GW, Black, R &amp; Race, D 2010, </w:t>
      </w:r>
      <w:r w:rsidRPr="00CF3BA6">
        <w:rPr>
          <w:i/>
          <w:noProof/>
        </w:rPr>
        <w:t>Demographic Change in Australia's Rural Landscapes: Implications for Society and the Environment</w:t>
      </w:r>
      <w:r w:rsidRPr="00CF3BA6">
        <w:rPr>
          <w:noProof/>
        </w:rPr>
        <w:t>, vol. 12, Springer Science &amp; Business Media.</w:t>
      </w:r>
    </w:p>
    <w:p w14:paraId="5326F9BC" w14:textId="77777777" w:rsidR="00A833AB" w:rsidRPr="00CF3BA6" w:rsidRDefault="00A833AB" w:rsidP="000F60E8">
      <w:pPr>
        <w:pStyle w:val="EndNoteBibliography"/>
        <w:spacing w:after="0"/>
        <w:ind w:left="720" w:hanging="720"/>
        <w:rPr>
          <w:noProof/>
        </w:rPr>
      </w:pPr>
      <w:r w:rsidRPr="00CF3BA6">
        <w:rPr>
          <w:noProof/>
        </w:rPr>
        <w:t xml:space="preserve">Manning, A 2003, 'The real thin theory: monopsony in modern labour markets', </w:t>
      </w:r>
      <w:r w:rsidRPr="00CF3BA6">
        <w:rPr>
          <w:i/>
          <w:noProof/>
        </w:rPr>
        <w:t>Labour Economics</w:t>
      </w:r>
      <w:r w:rsidRPr="00CF3BA6">
        <w:rPr>
          <w:noProof/>
        </w:rPr>
        <w:t>, vol. 10, no. 2, pp. 105-31.</w:t>
      </w:r>
    </w:p>
    <w:p w14:paraId="19478986" w14:textId="77777777" w:rsidR="00A833AB" w:rsidRPr="00CF3BA6" w:rsidRDefault="00A833AB" w:rsidP="000F60E8">
      <w:pPr>
        <w:pStyle w:val="EndNoteBibliography"/>
        <w:spacing w:after="0"/>
        <w:ind w:left="720" w:hanging="720"/>
        <w:rPr>
          <w:noProof/>
        </w:rPr>
      </w:pPr>
      <w:r w:rsidRPr="00CF3BA6">
        <w:rPr>
          <w:noProof/>
        </w:rPr>
        <w:t xml:space="preserve">Maude, A 2004, 'Regional development processes and policies in Australia: a review of research 1990–2002', </w:t>
      </w:r>
      <w:r w:rsidRPr="00CF3BA6">
        <w:rPr>
          <w:i/>
          <w:noProof/>
        </w:rPr>
        <w:t>European Planning Studies</w:t>
      </w:r>
      <w:r w:rsidRPr="00CF3BA6">
        <w:rPr>
          <w:noProof/>
        </w:rPr>
        <w:t>, vol. 12, no. 1, pp. 3-26.</w:t>
      </w:r>
    </w:p>
    <w:p w14:paraId="6873A68E" w14:textId="77777777" w:rsidR="00A833AB" w:rsidRPr="00CF3BA6" w:rsidRDefault="00A833AB" w:rsidP="000F60E8">
      <w:pPr>
        <w:pStyle w:val="EndNoteBibliography"/>
        <w:spacing w:after="0"/>
        <w:ind w:left="720" w:hanging="720"/>
        <w:rPr>
          <w:noProof/>
        </w:rPr>
      </w:pPr>
      <w:r w:rsidRPr="00CF3BA6">
        <w:rPr>
          <w:noProof/>
        </w:rPr>
        <w:t xml:space="preserve">McKenzie, F 1996, </w:t>
      </w:r>
      <w:r w:rsidRPr="00CF3BA6">
        <w:rPr>
          <w:i/>
          <w:noProof/>
        </w:rPr>
        <w:t>Beyond the Suburbs: Population change in the major exurban regions of Australia</w:t>
      </w:r>
      <w:r w:rsidRPr="00CF3BA6">
        <w:rPr>
          <w:noProof/>
        </w:rPr>
        <w:t>, Australian Government Publishing Service.</w:t>
      </w:r>
    </w:p>
    <w:p w14:paraId="37C97D5D" w14:textId="77777777" w:rsidR="00A833AB" w:rsidRPr="00CF3BA6" w:rsidRDefault="00A833AB" w:rsidP="000F60E8">
      <w:pPr>
        <w:pStyle w:val="EndNoteBibliography"/>
        <w:spacing w:after="0"/>
        <w:ind w:left="720" w:hanging="720"/>
        <w:rPr>
          <w:noProof/>
        </w:rPr>
      </w:pPr>
      <w:r w:rsidRPr="00CF3BA6">
        <w:rPr>
          <w:noProof/>
        </w:rPr>
        <w:t xml:space="preserve">Morris-Marr, L 2016, 'From Geelong to Bendigo, more Victorians are turning to commuting', </w:t>
      </w:r>
      <w:r w:rsidRPr="00CF3BA6">
        <w:rPr>
          <w:i/>
          <w:noProof/>
        </w:rPr>
        <w:t>Herald-Sun</w:t>
      </w:r>
      <w:r w:rsidRPr="00CF3BA6">
        <w:rPr>
          <w:noProof/>
        </w:rPr>
        <w:t>.</w:t>
      </w:r>
    </w:p>
    <w:p w14:paraId="47DB2237" w14:textId="77777777" w:rsidR="00A833AB" w:rsidRPr="00CF3BA6" w:rsidRDefault="00A833AB" w:rsidP="000F60E8">
      <w:pPr>
        <w:pStyle w:val="EndNoteBibliography"/>
        <w:spacing w:after="0"/>
        <w:ind w:left="720" w:hanging="720"/>
        <w:rPr>
          <w:noProof/>
        </w:rPr>
      </w:pPr>
      <w:r w:rsidRPr="00CF3BA6">
        <w:rPr>
          <w:noProof/>
        </w:rPr>
        <w:t xml:space="preserve">O'Connor, K, Stimson, RJ &amp; Daly, M 2002, </w:t>
      </w:r>
      <w:r w:rsidRPr="00CF3BA6">
        <w:rPr>
          <w:i/>
          <w:noProof/>
        </w:rPr>
        <w:t>Australia's changing economic geography: a society dividing</w:t>
      </w:r>
      <w:r w:rsidRPr="00CF3BA6">
        <w:rPr>
          <w:noProof/>
        </w:rPr>
        <w:t>, Oxford University Press.</w:t>
      </w:r>
    </w:p>
    <w:p w14:paraId="3CBC721F" w14:textId="77777777" w:rsidR="00A833AB" w:rsidRPr="00CF3BA6" w:rsidRDefault="00A833AB" w:rsidP="000F60E8">
      <w:pPr>
        <w:pStyle w:val="EndNoteBibliography"/>
        <w:spacing w:after="0"/>
        <w:ind w:left="720" w:hanging="720"/>
        <w:rPr>
          <w:noProof/>
        </w:rPr>
      </w:pPr>
      <w:r w:rsidRPr="00CF3BA6">
        <w:rPr>
          <w:noProof/>
        </w:rPr>
        <w:t xml:space="preserve">O'Connor, KB, Stimson, RJ &amp; Taylor, SP 1998, 'Convergence and divergence in the Australian space economy', </w:t>
      </w:r>
      <w:r w:rsidRPr="00CF3BA6">
        <w:rPr>
          <w:i/>
          <w:noProof/>
        </w:rPr>
        <w:t>Australian geographical studies</w:t>
      </w:r>
      <w:r w:rsidRPr="00CF3BA6">
        <w:rPr>
          <w:noProof/>
        </w:rPr>
        <w:t>, vol. 36, no. 2, pp. 205-22.</w:t>
      </w:r>
    </w:p>
    <w:p w14:paraId="2472D672" w14:textId="77777777" w:rsidR="00A833AB" w:rsidRPr="00CF3BA6" w:rsidRDefault="00A833AB" w:rsidP="000F60E8">
      <w:pPr>
        <w:pStyle w:val="EndNoteBibliography"/>
        <w:spacing w:after="0"/>
        <w:ind w:left="720" w:hanging="720"/>
        <w:rPr>
          <w:noProof/>
        </w:rPr>
      </w:pPr>
      <w:r w:rsidRPr="00CF3BA6">
        <w:rPr>
          <w:noProof/>
        </w:rPr>
        <w:t xml:space="preserve">O'Neill, P &amp; McGuirk, P 2002, 'Prosperity along Australia's eastern seaboard: Sydney and the geopolitics of urban and economic change', </w:t>
      </w:r>
      <w:r w:rsidRPr="00CF3BA6">
        <w:rPr>
          <w:i/>
          <w:noProof/>
        </w:rPr>
        <w:t>Australian Geographer</w:t>
      </w:r>
      <w:r w:rsidRPr="00CF3BA6">
        <w:rPr>
          <w:noProof/>
        </w:rPr>
        <w:t>, vol. 33, no. 3, pp. 241-61.</w:t>
      </w:r>
    </w:p>
    <w:p w14:paraId="64999C51" w14:textId="77777777" w:rsidR="00A833AB" w:rsidRPr="00CF3BA6" w:rsidRDefault="00A833AB" w:rsidP="000F60E8">
      <w:pPr>
        <w:pStyle w:val="EndNoteBibliography"/>
        <w:spacing w:after="0"/>
        <w:ind w:left="720" w:hanging="720"/>
        <w:rPr>
          <w:noProof/>
        </w:rPr>
      </w:pPr>
      <w:r w:rsidRPr="00CF3BA6">
        <w:rPr>
          <w:noProof/>
        </w:rPr>
        <w:t xml:space="preserve">Pacione, M 2005, </w:t>
      </w:r>
      <w:r w:rsidRPr="00CF3BA6">
        <w:rPr>
          <w:i/>
          <w:noProof/>
        </w:rPr>
        <w:t>Urban geography: A global perspective</w:t>
      </w:r>
      <w:r w:rsidRPr="00CF3BA6">
        <w:rPr>
          <w:noProof/>
        </w:rPr>
        <w:t>, Psychology Press.</w:t>
      </w:r>
    </w:p>
    <w:p w14:paraId="740EC583" w14:textId="77777777" w:rsidR="00A833AB" w:rsidRPr="00CF3BA6" w:rsidRDefault="00A833AB" w:rsidP="000F60E8">
      <w:pPr>
        <w:pStyle w:val="EndNoteBibliography"/>
        <w:spacing w:after="0"/>
        <w:ind w:left="720" w:hanging="720"/>
        <w:rPr>
          <w:noProof/>
        </w:rPr>
      </w:pPr>
      <w:r w:rsidRPr="00CF3BA6">
        <w:rPr>
          <w:noProof/>
        </w:rPr>
        <w:t xml:space="preserve">Papadopoulos, NG 1980, 'Consumer outshopping research-Review and extension', </w:t>
      </w:r>
      <w:r w:rsidRPr="00CF3BA6">
        <w:rPr>
          <w:i/>
          <w:noProof/>
        </w:rPr>
        <w:t>Journal of Retailing</w:t>
      </w:r>
      <w:r w:rsidRPr="00CF3BA6">
        <w:rPr>
          <w:noProof/>
        </w:rPr>
        <w:t>, vol. 56, no. 4, pp. 41-58.</w:t>
      </w:r>
    </w:p>
    <w:p w14:paraId="75BC169E" w14:textId="77777777" w:rsidR="00A833AB" w:rsidRPr="00CF3BA6" w:rsidRDefault="00A833AB" w:rsidP="000F60E8">
      <w:pPr>
        <w:pStyle w:val="EndNoteBibliography"/>
        <w:spacing w:after="0"/>
        <w:ind w:left="720" w:hanging="720"/>
        <w:rPr>
          <w:noProof/>
        </w:rPr>
      </w:pPr>
      <w:r w:rsidRPr="00CF3BA6">
        <w:rPr>
          <w:noProof/>
        </w:rPr>
        <w:t xml:space="preserve">Parr, JB 2014, 'The regional economy, spatial structure and regional urban systems', </w:t>
      </w:r>
      <w:r w:rsidRPr="00CF3BA6">
        <w:rPr>
          <w:i/>
          <w:noProof/>
        </w:rPr>
        <w:t>Regional Studies</w:t>
      </w:r>
      <w:r w:rsidRPr="00CF3BA6">
        <w:rPr>
          <w:noProof/>
        </w:rPr>
        <w:t>, vol. 48, no. 12, pp. 1926-38.</w:t>
      </w:r>
    </w:p>
    <w:p w14:paraId="4BBC981E" w14:textId="77777777" w:rsidR="00A833AB" w:rsidRPr="00CF3BA6" w:rsidRDefault="00A833AB" w:rsidP="000F60E8">
      <w:pPr>
        <w:pStyle w:val="EndNoteBibliography"/>
        <w:spacing w:after="0"/>
        <w:ind w:left="720" w:hanging="720"/>
        <w:rPr>
          <w:noProof/>
        </w:rPr>
      </w:pPr>
      <w:r w:rsidRPr="00CF3BA6">
        <w:rPr>
          <w:rFonts w:hint="eastAsia"/>
          <w:noProof/>
        </w:rPr>
        <w:t>Partridge, MD, Ali, K &amp; Olfert, M 2010, 'Rural</w:t>
      </w:r>
      <w:r w:rsidRPr="00CF3BA6">
        <w:rPr>
          <w:rFonts w:hint="eastAsia"/>
          <w:noProof/>
        </w:rPr>
        <w:t>‐</w:t>
      </w:r>
      <w:r w:rsidRPr="00CF3BA6">
        <w:rPr>
          <w:rFonts w:hint="eastAsia"/>
          <w:noProof/>
        </w:rPr>
        <w:t>to</w:t>
      </w:r>
      <w:r w:rsidRPr="00CF3BA6">
        <w:rPr>
          <w:rFonts w:hint="eastAsia"/>
          <w:noProof/>
        </w:rPr>
        <w:t>‐</w:t>
      </w:r>
      <w:r w:rsidRPr="00CF3BA6">
        <w:rPr>
          <w:rFonts w:hint="eastAsia"/>
          <w:noProof/>
        </w:rPr>
        <w:t xml:space="preserve">Urban Commuting: Three Degrees of Integration', </w:t>
      </w:r>
      <w:r w:rsidRPr="00CF3BA6">
        <w:rPr>
          <w:rFonts w:hint="eastAsia"/>
          <w:i/>
          <w:noProof/>
        </w:rPr>
        <w:t>Growth and Change</w:t>
      </w:r>
      <w:r w:rsidRPr="00CF3BA6">
        <w:rPr>
          <w:rFonts w:hint="eastAsia"/>
          <w:noProof/>
        </w:rPr>
        <w:t>, vol. 41, no. 2, pp. 303-35.</w:t>
      </w:r>
    </w:p>
    <w:p w14:paraId="1D24A652" w14:textId="77777777" w:rsidR="00A833AB" w:rsidRPr="00CF3BA6" w:rsidRDefault="00A833AB" w:rsidP="000F60E8">
      <w:pPr>
        <w:pStyle w:val="EndNoteBibliography"/>
        <w:spacing w:after="0"/>
        <w:ind w:left="720" w:hanging="720"/>
        <w:rPr>
          <w:noProof/>
        </w:rPr>
      </w:pPr>
      <w:r w:rsidRPr="00CF3BA6">
        <w:rPr>
          <w:noProof/>
        </w:rPr>
        <w:t xml:space="preserve">Power, E 2016, 'Melbourne Investors Hijack Bendigo Property Market Report Finds ', </w:t>
      </w:r>
      <w:r w:rsidRPr="00CF3BA6">
        <w:rPr>
          <w:i/>
          <w:noProof/>
        </w:rPr>
        <w:t>The Age</w:t>
      </w:r>
      <w:r w:rsidRPr="00CF3BA6">
        <w:rPr>
          <w:noProof/>
        </w:rPr>
        <w:t>, May 6, 2016.</w:t>
      </w:r>
    </w:p>
    <w:p w14:paraId="220D4F17" w14:textId="77777777" w:rsidR="00A833AB" w:rsidRPr="00CF3BA6" w:rsidRDefault="00A833AB" w:rsidP="000F60E8">
      <w:pPr>
        <w:pStyle w:val="EndNoteBibliography"/>
        <w:spacing w:after="0"/>
        <w:ind w:left="720" w:hanging="720"/>
        <w:rPr>
          <w:noProof/>
        </w:rPr>
      </w:pPr>
      <w:r w:rsidRPr="00CF3BA6">
        <w:rPr>
          <w:rFonts w:hint="eastAsia"/>
          <w:noProof/>
        </w:rPr>
        <w:t>Renkow, M &amp; Hoover, D 2000, 'Commuting, Migration, and Rural</w:t>
      </w:r>
      <w:r w:rsidRPr="00CF3BA6">
        <w:rPr>
          <w:rFonts w:hint="eastAsia"/>
          <w:noProof/>
        </w:rPr>
        <w:t>‐</w:t>
      </w:r>
      <w:r w:rsidRPr="00CF3BA6">
        <w:rPr>
          <w:rFonts w:hint="eastAsia"/>
          <w:noProof/>
        </w:rPr>
        <w:t xml:space="preserve">Urban Population Dynamics', </w:t>
      </w:r>
      <w:r w:rsidRPr="00CF3BA6">
        <w:rPr>
          <w:rFonts w:hint="eastAsia"/>
          <w:i/>
          <w:noProof/>
        </w:rPr>
        <w:t>Journal of Regional Science</w:t>
      </w:r>
      <w:r w:rsidRPr="00CF3BA6">
        <w:rPr>
          <w:rFonts w:hint="eastAsia"/>
          <w:noProof/>
        </w:rPr>
        <w:t>, vol. 40, no. 2, pp. 261-87.</w:t>
      </w:r>
    </w:p>
    <w:p w14:paraId="739FDAC7" w14:textId="77777777" w:rsidR="00A833AB" w:rsidRPr="00CF3BA6" w:rsidRDefault="00A833AB" w:rsidP="000F60E8">
      <w:pPr>
        <w:pStyle w:val="EndNoteBibliography"/>
        <w:spacing w:after="0"/>
        <w:ind w:left="720" w:hanging="720"/>
        <w:rPr>
          <w:noProof/>
        </w:rPr>
      </w:pPr>
      <w:r w:rsidRPr="00CF3BA6">
        <w:rPr>
          <w:noProof/>
        </w:rPr>
        <w:t xml:space="preserve">Robb, K 2016, 'Geelong property prices remain steady as housing becomes backbone of economy', </w:t>
      </w:r>
      <w:r w:rsidRPr="00CF3BA6">
        <w:rPr>
          <w:i/>
          <w:noProof/>
        </w:rPr>
        <w:t>The Age</w:t>
      </w:r>
      <w:r w:rsidRPr="00CF3BA6">
        <w:rPr>
          <w:noProof/>
        </w:rPr>
        <w:t>, 26 May 2016.</w:t>
      </w:r>
    </w:p>
    <w:p w14:paraId="5698F1B0" w14:textId="77777777" w:rsidR="00A833AB" w:rsidRPr="00CF3BA6" w:rsidRDefault="00A833AB" w:rsidP="000F60E8">
      <w:pPr>
        <w:pStyle w:val="EndNoteBibliography"/>
        <w:spacing w:after="0"/>
        <w:ind w:left="720" w:hanging="720"/>
        <w:rPr>
          <w:noProof/>
        </w:rPr>
      </w:pPr>
      <w:r w:rsidRPr="00CF3BA6">
        <w:rPr>
          <w:noProof/>
        </w:rPr>
        <w:t xml:space="preserve">Sandow, E &amp; Westin, K 2010, 'The persevering commuter–Duration of long-distance commuting', </w:t>
      </w:r>
      <w:r w:rsidRPr="00CF3BA6">
        <w:rPr>
          <w:i/>
          <w:noProof/>
        </w:rPr>
        <w:t>Transportation Research Part A: Policy and Practice</w:t>
      </w:r>
      <w:r w:rsidRPr="00CF3BA6">
        <w:rPr>
          <w:noProof/>
        </w:rPr>
        <w:t>, vol. 44, no. 6, pp. 433-45.</w:t>
      </w:r>
    </w:p>
    <w:p w14:paraId="447CCE45" w14:textId="77777777" w:rsidR="00A833AB" w:rsidRPr="00CF3BA6" w:rsidRDefault="00A833AB" w:rsidP="000F60E8">
      <w:pPr>
        <w:pStyle w:val="EndNoteBibliography"/>
        <w:spacing w:after="0"/>
        <w:ind w:left="720" w:hanging="720"/>
        <w:rPr>
          <w:noProof/>
        </w:rPr>
      </w:pPr>
      <w:r w:rsidRPr="00CF3BA6">
        <w:rPr>
          <w:noProof/>
        </w:rPr>
        <w:t xml:space="preserve">Scott, AJ 2006, 'Geography and economy: three lectures', </w:t>
      </w:r>
      <w:r w:rsidRPr="00CF3BA6">
        <w:rPr>
          <w:i/>
          <w:noProof/>
        </w:rPr>
        <w:t>OUP Catalogue</w:t>
      </w:r>
      <w:r w:rsidRPr="00CF3BA6">
        <w:rPr>
          <w:noProof/>
        </w:rPr>
        <w:t>.</w:t>
      </w:r>
    </w:p>
    <w:p w14:paraId="03020509" w14:textId="77777777" w:rsidR="00A833AB" w:rsidRPr="00CF3BA6" w:rsidRDefault="00A833AB" w:rsidP="000F60E8">
      <w:pPr>
        <w:pStyle w:val="EndNoteBibliography"/>
        <w:spacing w:after="0"/>
        <w:ind w:left="720" w:hanging="720"/>
        <w:rPr>
          <w:noProof/>
        </w:rPr>
      </w:pPr>
      <w:r w:rsidRPr="00CF3BA6">
        <w:rPr>
          <w:noProof/>
        </w:rPr>
        <w:t xml:space="preserve">---- 2008, </w:t>
      </w:r>
      <w:r w:rsidRPr="00CF3BA6">
        <w:rPr>
          <w:i/>
          <w:noProof/>
        </w:rPr>
        <w:t>Social Economy of the Metropolis: Cognitive-Cultural Capitalism and the Global Resurgence of Cities: Cognitive-Cultural Capitalism and the Global Resurgence of Cities</w:t>
      </w:r>
      <w:r w:rsidRPr="00CF3BA6">
        <w:rPr>
          <w:noProof/>
        </w:rPr>
        <w:t>, Oxford University Press.</w:t>
      </w:r>
    </w:p>
    <w:p w14:paraId="7F87E72F" w14:textId="77777777" w:rsidR="00A833AB" w:rsidRPr="00CF3BA6" w:rsidRDefault="00A833AB" w:rsidP="000F60E8">
      <w:pPr>
        <w:pStyle w:val="EndNoteBibliography"/>
        <w:spacing w:after="0"/>
        <w:ind w:left="720" w:hanging="720"/>
        <w:rPr>
          <w:noProof/>
        </w:rPr>
      </w:pPr>
      <w:r w:rsidRPr="00CF3BA6">
        <w:rPr>
          <w:noProof/>
        </w:rPr>
        <w:t xml:space="preserve">SGS Economics and Planning 2017, </w:t>
      </w:r>
      <w:r w:rsidRPr="00CF3BA6">
        <w:rPr>
          <w:i/>
          <w:noProof/>
        </w:rPr>
        <w:t>GDP by Major Capital City 2015-2016</w:t>
      </w:r>
      <w:r w:rsidRPr="00CF3BA6">
        <w:rPr>
          <w:noProof/>
        </w:rPr>
        <w:t>, Melbourne.</w:t>
      </w:r>
    </w:p>
    <w:p w14:paraId="1BBCE9C5" w14:textId="77777777" w:rsidR="00A833AB" w:rsidRPr="00CF3BA6" w:rsidRDefault="00A833AB" w:rsidP="000F60E8">
      <w:pPr>
        <w:pStyle w:val="EndNoteBibliography"/>
        <w:spacing w:after="0"/>
        <w:ind w:left="720" w:hanging="720"/>
        <w:rPr>
          <w:noProof/>
        </w:rPr>
      </w:pPr>
      <w:r w:rsidRPr="00CF3BA6">
        <w:rPr>
          <w:noProof/>
        </w:rPr>
        <w:t xml:space="preserve">Shen, Q 2000, 'Spatial and social dimensions of commuting', </w:t>
      </w:r>
      <w:r w:rsidRPr="00CF3BA6">
        <w:rPr>
          <w:i/>
          <w:noProof/>
        </w:rPr>
        <w:t>Journal of the American Planning Association</w:t>
      </w:r>
      <w:r w:rsidRPr="00CF3BA6">
        <w:rPr>
          <w:noProof/>
        </w:rPr>
        <w:t>, vol. 66, no. 1, pp. 68-82.</w:t>
      </w:r>
    </w:p>
    <w:p w14:paraId="3960E024" w14:textId="77777777" w:rsidR="00A833AB" w:rsidRPr="00CF3BA6" w:rsidRDefault="00A833AB" w:rsidP="000F60E8">
      <w:pPr>
        <w:pStyle w:val="EndNoteBibliography"/>
        <w:spacing w:after="0"/>
        <w:ind w:left="720" w:hanging="720"/>
        <w:rPr>
          <w:noProof/>
        </w:rPr>
      </w:pPr>
      <w:r w:rsidRPr="00CF3BA6">
        <w:rPr>
          <w:noProof/>
        </w:rPr>
        <w:t xml:space="preserve">Shields, M &amp; Deller, SC 1998, 'Commuting's effect on local retail market performance', </w:t>
      </w:r>
      <w:r w:rsidRPr="00CF3BA6">
        <w:rPr>
          <w:i/>
          <w:noProof/>
        </w:rPr>
        <w:t>The Review of Regional Studies</w:t>
      </w:r>
      <w:r w:rsidRPr="00CF3BA6">
        <w:rPr>
          <w:noProof/>
        </w:rPr>
        <w:t>, vol. 28, no. 2, pp. 71-90.</w:t>
      </w:r>
    </w:p>
    <w:p w14:paraId="54839A0C" w14:textId="77777777" w:rsidR="00A833AB" w:rsidRPr="00CF3BA6" w:rsidRDefault="00A833AB" w:rsidP="000F60E8">
      <w:pPr>
        <w:pStyle w:val="EndNoteBibliography"/>
        <w:spacing w:after="0"/>
        <w:ind w:left="720" w:hanging="720"/>
        <w:rPr>
          <w:noProof/>
        </w:rPr>
      </w:pPr>
      <w:r w:rsidRPr="00CF3BA6">
        <w:rPr>
          <w:noProof/>
        </w:rPr>
        <w:t>Soja, E 2000, 'Postmetropolis: Critical studies of cities and regions'.</w:t>
      </w:r>
    </w:p>
    <w:p w14:paraId="57B99773" w14:textId="77777777" w:rsidR="00A833AB" w:rsidRPr="00CF3BA6" w:rsidRDefault="00A833AB" w:rsidP="000F60E8">
      <w:pPr>
        <w:pStyle w:val="EndNoteBibliography"/>
        <w:spacing w:after="0"/>
        <w:ind w:left="720" w:hanging="720"/>
        <w:rPr>
          <w:noProof/>
        </w:rPr>
      </w:pPr>
      <w:r w:rsidRPr="00CF3BA6">
        <w:rPr>
          <w:noProof/>
        </w:rPr>
        <w:t xml:space="preserve">Stockdale, A, Findlay, A &amp; Short, D 2000, 'The repopulation of rural Scotland: opportunity and threat', </w:t>
      </w:r>
      <w:r w:rsidRPr="00CF3BA6">
        <w:rPr>
          <w:i/>
          <w:noProof/>
        </w:rPr>
        <w:t>Journal of Rural Studies</w:t>
      </w:r>
      <w:r w:rsidRPr="00CF3BA6">
        <w:rPr>
          <w:noProof/>
        </w:rPr>
        <w:t>, vol. 16, no. 2, pp. 243-57.</w:t>
      </w:r>
    </w:p>
    <w:p w14:paraId="05F3EF7F" w14:textId="77777777" w:rsidR="00A833AB" w:rsidRPr="00CF3BA6" w:rsidRDefault="00A833AB" w:rsidP="000F60E8">
      <w:pPr>
        <w:pStyle w:val="EndNoteBibliography"/>
        <w:spacing w:after="0"/>
        <w:ind w:left="720" w:hanging="720"/>
        <w:rPr>
          <w:noProof/>
        </w:rPr>
      </w:pPr>
      <w:r w:rsidRPr="00CF3BA6">
        <w:rPr>
          <w:noProof/>
        </w:rPr>
        <w:t xml:space="preserve">Stutzer, A &amp; Frey, BS 2008, 'Stress that doesn't pay: The commuting paradox', </w:t>
      </w:r>
      <w:r w:rsidRPr="00CF3BA6">
        <w:rPr>
          <w:i/>
          <w:noProof/>
        </w:rPr>
        <w:t>The Scandinavian Journal of Economics</w:t>
      </w:r>
      <w:r w:rsidRPr="00CF3BA6">
        <w:rPr>
          <w:noProof/>
        </w:rPr>
        <w:t>, vol. 110, no. 2, pp. 339-66.</w:t>
      </w:r>
    </w:p>
    <w:p w14:paraId="7A379102" w14:textId="77777777" w:rsidR="00A833AB" w:rsidRPr="00CF3BA6" w:rsidRDefault="00A833AB" w:rsidP="000F60E8">
      <w:pPr>
        <w:pStyle w:val="EndNoteBibliography"/>
        <w:spacing w:after="0"/>
        <w:ind w:left="720" w:hanging="720"/>
        <w:rPr>
          <w:noProof/>
        </w:rPr>
      </w:pPr>
      <w:r w:rsidRPr="00CF3BA6">
        <w:rPr>
          <w:noProof/>
        </w:rPr>
        <w:t xml:space="preserve">Taylor, L 2011, 'No boundaries: Exurbia and the study of contemporary urban dispersion', </w:t>
      </w:r>
      <w:r w:rsidRPr="00CF3BA6">
        <w:rPr>
          <w:i/>
          <w:noProof/>
        </w:rPr>
        <w:t>GeoJournal</w:t>
      </w:r>
      <w:r w:rsidRPr="00CF3BA6">
        <w:rPr>
          <w:noProof/>
        </w:rPr>
        <w:t>, vol. 76, no. 4, pp. 323-39.</w:t>
      </w:r>
    </w:p>
    <w:p w14:paraId="40C2EA92" w14:textId="77777777" w:rsidR="00A833AB" w:rsidRPr="00CF3BA6" w:rsidRDefault="00A833AB" w:rsidP="000F60E8">
      <w:pPr>
        <w:pStyle w:val="EndNoteBibliography"/>
        <w:spacing w:after="0"/>
        <w:ind w:left="720" w:hanging="720"/>
        <w:rPr>
          <w:noProof/>
        </w:rPr>
      </w:pPr>
      <w:r w:rsidRPr="00CF3BA6">
        <w:rPr>
          <w:noProof/>
        </w:rPr>
        <w:t xml:space="preserve">Van Leeuwen, ES &amp; Rietveld, P 2011, 'Spatial consumer behaviour in small and medium-sized towns', </w:t>
      </w:r>
      <w:r w:rsidRPr="00CF3BA6">
        <w:rPr>
          <w:i/>
          <w:noProof/>
        </w:rPr>
        <w:t>Regional Studies</w:t>
      </w:r>
      <w:r w:rsidRPr="00CF3BA6">
        <w:rPr>
          <w:noProof/>
        </w:rPr>
        <w:t>, vol. 45, no. 8, pp. 1107-19.</w:t>
      </w:r>
    </w:p>
    <w:p w14:paraId="10ADABCC" w14:textId="77777777" w:rsidR="00A833AB" w:rsidRPr="00CF3BA6" w:rsidRDefault="00A833AB" w:rsidP="000F60E8">
      <w:pPr>
        <w:pStyle w:val="EndNoteBibliography"/>
        <w:spacing w:after="0"/>
        <w:ind w:left="720" w:hanging="720"/>
        <w:rPr>
          <w:noProof/>
        </w:rPr>
      </w:pPr>
      <w:r w:rsidRPr="00CF3BA6">
        <w:rPr>
          <w:noProof/>
        </w:rPr>
        <w:t xml:space="preserve">VicRoads 2017, </w:t>
      </w:r>
      <w:r w:rsidRPr="00CF3BA6">
        <w:rPr>
          <w:i/>
          <w:noProof/>
        </w:rPr>
        <w:t>Traffic Volume and Performance</w:t>
      </w:r>
      <w:r w:rsidRPr="00CF3BA6">
        <w:rPr>
          <w:noProof/>
        </w:rPr>
        <w:t>, &lt;</w:t>
      </w:r>
      <w:r w:rsidRPr="00A833AB">
        <w:rPr>
          <w:rFonts w:cstheme="minorBidi"/>
          <w:noProof/>
          <w:lang w:val="en-AU"/>
        </w:rPr>
        <w:t>https://www.vicroads.vic.gov.au/traffic-and-road-use/road-network-and-performance/road-use-and-performance</w:t>
      </w:r>
      <w:r w:rsidRPr="00CF3BA6">
        <w:rPr>
          <w:noProof/>
        </w:rPr>
        <w:t>&gt;.</w:t>
      </w:r>
    </w:p>
    <w:p w14:paraId="71A472E5" w14:textId="77777777" w:rsidR="00A833AB" w:rsidRPr="00CF3BA6" w:rsidRDefault="00A833AB" w:rsidP="000F60E8">
      <w:pPr>
        <w:pStyle w:val="EndNoteBibliography"/>
        <w:spacing w:after="0"/>
        <w:ind w:left="720" w:hanging="720"/>
        <w:rPr>
          <w:noProof/>
        </w:rPr>
      </w:pPr>
      <w:r w:rsidRPr="00CF3BA6">
        <w:rPr>
          <w:noProof/>
        </w:rPr>
        <w:t xml:space="preserve">Victorian Population Policy Taskforce 2016, </w:t>
      </w:r>
      <w:r w:rsidRPr="00CF3BA6">
        <w:rPr>
          <w:i/>
          <w:noProof/>
        </w:rPr>
        <w:t>About the Victorian Population Policy Taskforce</w:t>
      </w:r>
      <w:r w:rsidRPr="00CF3BA6">
        <w:rPr>
          <w:noProof/>
        </w:rPr>
        <w:t>, &lt;</w:t>
      </w:r>
      <w:r w:rsidRPr="00A833AB">
        <w:rPr>
          <w:rFonts w:cstheme="minorBidi"/>
          <w:noProof/>
          <w:lang w:val="en-AU"/>
        </w:rPr>
        <w:t>http://vicpopulation.com.au/about/</w:t>
      </w:r>
      <w:r w:rsidRPr="00CF3BA6">
        <w:rPr>
          <w:noProof/>
        </w:rPr>
        <w:t>&gt;.</w:t>
      </w:r>
    </w:p>
    <w:p w14:paraId="4CD8A776" w14:textId="77777777" w:rsidR="00A833AB" w:rsidRPr="00CF3BA6" w:rsidRDefault="00A833AB" w:rsidP="000F60E8">
      <w:pPr>
        <w:pStyle w:val="EndNoteBibliography"/>
        <w:spacing w:after="0"/>
        <w:ind w:left="720" w:hanging="720"/>
        <w:rPr>
          <w:noProof/>
        </w:rPr>
      </w:pPr>
      <w:r w:rsidRPr="00CF3BA6">
        <w:rPr>
          <w:noProof/>
        </w:rPr>
        <w:t xml:space="preserve">Public Transport Victoria 2016, </w:t>
      </w:r>
      <w:r w:rsidRPr="00CF3BA6">
        <w:rPr>
          <w:i/>
          <w:noProof/>
        </w:rPr>
        <w:t>Annual Report 2015-2016</w:t>
      </w:r>
      <w:r w:rsidRPr="00CF3BA6">
        <w:rPr>
          <w:noProof/>
        </w:rPr>
        <w:t>, VLine.</w:t>
      </w:r>
    </w:p>
    <w:p w14:paraId="2E9D45D7" w14:textId="77777777" w:rsidR="00A833AB" w:rsidRPr="00CF3BA6" w:rsidRDefault="00A833AB" w:rsidP="000F60E8">
      <w:pPr>
        <w:pStyle w:val="EndNoteBibliography"/>
        <w:spacing w:after="0"/>
        <w:ind w:left="720" w:hanging="720"/>
        <w:rPr>
          <w:noProof/>
        </w:rPr>
      </w:pPr>
      <w:r w:rsidRPr="00CF3BA6">
        <w:rPr>
          <w:noProof/>
        </w:rPr>
        <w:t xml:space="preserve">---- 2017, </w:t>
      </w:r>
      <w:r w:rsidRPr="00CF3BA6">
        <w:rPr>
          <w:i/>
          <w:noProof/>
        </w:rPr>
        <w:t xml:space="preserve">Performace and Capacity </w:t>
      </w:r>
      <w:r w:rsidRPr="00CF3BA6">
        <w:rPr>
          <w:noProof/>
        </w:rPr>
        <w:t>Public Transport Victoria, viewed 12 June 2017 &lt;</w:t>
      </w:r>
      <w:r w:rsidRPr="00A833AB">
        <w:rPr>
          <w:rFonts w:cstheme="minorBidi"/>
          <w:noProof/>
          <w:lang w:val="en-AU"/>
        </w:rPr>
        <w:t>https://www.vline.com.au/About-V-Line/Performance</w:t>
      </w:r>
      <w:r w:rsidRPr="00CF3BA6">
        <w:rPr>
          <w:noProof/>
        </w:rPr>
        <w:t>&gt;.</w:t>
      </w:r>
    </w:p>
    <w:p w14:paraId="628D1921" w14:textId="77777777" w:rsidR="00A833AB" w:rsidRPr="00CF3BA6" w:rsidRDefault="00A833AB" w:rsidP="000F60E8">
      <w:pPr>
        <w:pStyle w:val="EndNoteBibliography"/>
        <w:spacing w:after="0"/>
        <w:ind w:left="720" w:hanging="720"/>
        <w:rPr>
          <w:noProof/>
        </w:rPr>
      </w:pPr>
      <w:r w:rsidRPr="00CF3BA6">
        <w:rPr>
          <w:noProof/>
        </w:rPr>
        <w:t xml:space="preserve">Wang, Q &amp; Hu, H 2017, 'Rise of Interjurisdictional Commuters and Their Mode Choice: Evidence from the Chicago Metropolitan Area', </w:t>
      </w:r>
      <w:r w:rsidRPr="00CF3BA6">
        <w:rPr>
          <w:i/>
          <w:noProof/>
        </w:rPr>
        <w:t>Journal of Urban Planning and Development</w:t>
      </w:r>
      <w:r w:rsidRPr="00CF3BA6">
        <w:rPr>
          <w:noProof/>
        </w:rPr>
        <w:t>, p. 05017004.</w:t>
      </w:r>
    </w:p>
    <w:p w14:paraId="5A09E087" w14:textId="77777777" w:rsidR="00A833AB" w:rsidRPr="00CF3BA6" w:rsidRDefault="00A833AB" w:rsidP="000F60E8">
      <w:pPr>
        <w:pStyle w:val="EndNoteBibliography"/>
        <w:spacing w:after="0"/>
        <w:ind w:left="720" w:hanging="720"/>
        <w:rPr>
          <w:noProof/>
        </w:rPr>
      </w:pPr>
      <w:r w:rsidRPr="00CF3BA6">
        <w:rPr>
          <w:noProof/>
        </w:rPr>
        <w:t xml:space="preserve">Watkins, AR 2009, 'The dynamics of urban economies: Melbourne 1971 to 2006', </w:t>
      </w:r>
      <w:r w:rsidRPr="00CF3BA6">
        <w:rPr>
          <w:i/>
          <w:noProof/>
        </w:rPr>
        <w:t>Urban Studies</w:t>
      </w:r>
      <w:r w:rsidRPr="00CF3BA6">
        <w:rPr>
          <w:noProof/>
        </w:rPr>
        <w:t>, vol. 46, no. 8, pp. 1553-76.</w:t>
      </w:r>
    </w:p>
    <w:p w14:paraId="47F77734" w14:textId="77777777" w:rsidR="00A833AB" w:rsidRPr="00CF3BA6" w:rsidRDefault="00A833AB" w:rsidP="000F60E8">
      <w:pPr>
        <w:pStyle w:val="EndNoteBibliography"/>
        <w:spacing w:after="0"/>
        <w:ind w:left="720" w:hanging="720"/>
        <w:rPr>
          <w:noProof/>
        </w:rPr>
      </w:pPr>
      <w:r w:rsidRPr="00CF3BA6">
        <w:rPr>
          <w:noProof/>
        </w:rPr>
        <w:t>Watts, M 2005, 'The commuting behaviour of NSW workers'.</w:t>
      </w:r>
    </w:p>
    <w:p w14:paraId="7BA4EFC3" w14:textId="77777777" w:rsidR="00A833AB" w:rsidRPr="00CF3BA6" w:rsidRDefault="00A833AB" w:rsidP="000F60E8">
      <w:pPr>
        <w:pStyle w:val="EndNoteBibliography"/>
        <w:ind w:left="720" w:hanging="720"/>
        <w:rPr>
          <w:noProof/>
        </w:rPr>
      </w:pPr>
      <w:r w:rsidRPr="00CF3BA6">
        <w:rPr>
          <w:noProof/>
        </w:rPr>
        <w:t xml:space="preserve">Zhou, C 2016, 'Victoria’s popular green change areas are catching up to Melbourne house prices', </w:t>
      </w:r>
      <w:r w:rsidRPr="00CF3BA6">
        <w:rPr>
          <w:i/>
          <w:noProof/>
        </w:rPr>
        <w:t>The Age</w:t>
      </w:r>
      <w:r w:rsidRPr="00CF3BA6">
        <w:rPr>
          <w:noProof/>
        </w:rPr>
        <w:t>, 4 Dec 2016.</w:t>
      </w:r>
    </w:p>
    <w:p w14:paraId="018EFEEF" w14:textId="77777777" w:rsidR="00A833AB" w:rsidRPr="00266FAB" w:rsidRDefault="00A833AB" w:rsidP="000F60E8">
      <w:pPr>
        <w:pStyle w:val="Heading2"/>
        <w:rPr>
          <w:rFonts w:cs="Arial"/>
          <w:sz w:val="20"/>
          <w:szCs w:val="20"/>
        </w:rPr>
      </w:pPr>
    </w:p>
    <w:p w14:paraId="65D6CA4C" w14:textId="77777777" w:rsidR="00AF4758" w:rsidRDefault="00AF4758"/>
    <w:sectPr w:rsidR="00AF4758" w:rsidSect="000F60E8">
      <w:headerReference w:type="default" r:id="rId1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C9225" w14:textId="77777777" w:rsidR="000F60E8" w:rsidRDefault="000F60E8" w:rsidP="00A833AB">
      <w:pPr>
        <w:spacing w:before="0" w:after="0"/>
      </w:pPr>
      <w:r>
        <w:separator/>
      </w:r>
    </w:p>
  </w:endnote>
  <w:endnote w:type="continuationSeparator" w:id="0">
    <w:p w14:paraId="6EA01F91" w14:textId="77777777" w:rsidR="000F60E8" w:rsidRDefault="000F60E8" w:rsidP="00A833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wift Com Light">
    <w:altName w:val="Times New Roman"/>
    <w:charset w:val="00"/>
    <w:family w:val="auto"/>
    <w:pitch w:val="variable"/>
    <w:sig w:usb0="00000001" w:usb1="5000204A" w:usb2="00000000" w:usb3="00000000" w:csb0="000001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6A076" w14:textId="77777777" w:rsidR="00C124BB" w:rsidRDefault="00C124BB" w:rsidP="00266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989C1" w14:textId="77777777" w:rsidR="00C124BB" w:rsidRDefault="00C124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67C8F" w14:textId="77777777" w:rsidR="00C124BB" w:rsidRDefault="00C124BB" w:rsidP="002668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5B98">
      <w:rPr>
        <w:rStyle w:val="PageNumber"/>
        <w:noProof/>
      </w:rPr>
      <w:t>1</w:t>
    </w:r>
    <w:r>
      <w:rPr>
        <w:rStyle w:val="PageNumber"/>
      </w:rPr>
      <w:fldChar w:fldCharType="end"/>
    </w:r>
  </w:p>
  <w:p w14:paraId="714A8112" w14:textId="77777777" w:rsidR="00C124BB" w:rsidRDefault="00C124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B715F" w14:textId="77777777" w:rsidR="000F60E8" w:rsidRDefault="000F60E8" w:rsidP="00A833AB">
      <w:pPr>
        <w:spacing w:before="0" w:after="0"/>
      </w:pPr>
      <w:r>
        <w:separator/>
      </w:r>
    </w:p>
  </w:footnote>
  <w:footnote w:type="continuationSeparator" w:id="0">
    <w:p w14:paraId="0361F4B4" w14:textId="77777777" w:rsidR="000F60E8" w:rsidRDefault="000F60E8" w:rsidP="00A833AB">
      <w:pPr>
        <w:spacing w:before="0" w:after="0"/>
      </w:pPr>
      <w:r>
        <w:continuationSeparator/>
      </w:r>
    </w:p>
  </w:footnote>
  <w:footnote w:id="1">
    <w:p w14:paraId="487A45E4" w14:textId="77777777" w:rsidR="000F60E8" w:rsidRPr="008D5C4C" w:rsidRDefault="000F60E8" w:rsidP="000F60E8">
      <w:pPr>
        <w:pStyle w:val="FootnoteText"/>
        <w:rPr>
          <w:lang w:val="en-US"/>
        </w:rPr>
      </w:pPr>
      <w:r w:rsidRPr="00FA19CA">
        <w:rPr>
          <w:rStyle w:val="FootnoteReference"/>
          <w:rFonts w:ascii="Arial" w:hAnsi="Arial" w:cs="Arial"/>
        </w:rPr>
        <w:footnoteRef/>
      </w:r>
      <w:r>
        <w:t xml:space="preserve"> </w:t>
      </w:r>
      <w:r w:rsidRPr="00FA19CA">
        <w:rPr>
          <w:rFonts w:ascii="Arial" w:eastAsiaTheme="minorEastAsia" w:hAnsi="Arial" w:cs="Arial"/>
          <w:sz w:val="18"/>
        </w:rPr>
        <w:t xml:space="preserve">Regional places of residence: LGAs not included in the Melbourne definitions, with City of Melton also </w:t>
      </w:r>
      <w:r>
        <w:rPr>
          <w:rFonts w:ascii="Arial" w:eastAsiaTheme="minorEastAsia" w:hAnsi="Arial" w:cs="Arial"/>
          <w:sz w:val="18"/>
        </w:rPr>
        <w:t>e</w:t>
      </w:r>
      <w:r w:rsidRPr="00FA19CA">
        <w:rPr>
          <w:rFonts w:ascii="Arial" w:eastAsiaTheme="minorEastAsia" w:hAnsi="Arial" w:cs="Arial"/>
          <w:sz w:val="18"/>
        </w:rPr>
        <w:t>xcluded.</w:t>
      </w:r>
      <w:r>
        <w:rPr>
          <w:rFonts w:ascii="Arial" w:eastAsiaTheme="minorEastAsia" w:hAnsi="Arial" w:cs="Arial"/>
          <w:sz w:val="18"/>
        </w:rPr>
        <w:t xml:space="preserve">  </w:t>
      </w:r>
      <w:r w:rsidRPr="00FA19CA">
        <w:rPr>
          <w:rFonts w:ascii="Arial" w:eastAsiaTheme="minorEastAsia" w:hAnsi="Arial" w:cs="Arial"/>
          <w:sz w:val="18"/>
        </w:rPr>
        <w:t xml:space="preserve"> Inner Melbourne: City of Melbourne, City of Port Phillip, City of Yarra</w:t>
      </w:r>
      <w:r>
        <w:t xml:space="preserve">. </w:t>
      </w:r>
      <w:r w:rsidRPr="00FA19CA">
        <w:rPr>
          <w:rFonts w:ascii="Arial" w:eastAsiaTheme="minorEastAsia" w:hAnsi="Arial" w:cs="Arial"/>
          <w:sz w:val="18"/>
        </w:rPr>
        <w:t>Outer</w:t>
      </w:r>
      <w:r>
        <w:rPr>
          <w:rFonts w:ascii="Arial" w:eastAsiaTheme="minorEastAsia" w:hAnsi="Arial" w:cs="Arial"/>
          <w:sz w:val="18"/>
        </w:rPr>
        <w:t xml:space="preserve"> G</w:t>
      </w:r>
      <w:r w:rsidRPr="00FA19CA">
        <w:rPr>
          <w:rFonts w:ascii="Arial" w:eastAsiaTheme="minorEastAsia" w:hAnsi="Arial" w:cs="Arial"/>
          <w:sz w:val="18"/>
        </w:rPr>
        <w:t xml:space="preserve"> Melbourne: </w:t>
      </w:r>
      <w:r w:rsidRPr="00756689">
        <w:rPr>
          <w:rFonts w:ascii="Arial" w:eastAsiaTheme="minorEastAsia" w:hAnsi="Arial" w:cs="Arial"/>
          <w:sz w:val="18"/>
        </w:rPr>
        <w:t>Cardinia, Casey, Hume, Mornington Peninsula, Nillumbik, Whittlesea, Yarra Ranges LGAs</w:t>
      </w:r>
      <w:r>
        <w:rPr>
          <w:rFonts w:ascii="Arial" w:eastAsiaTheme="minorEastAsia" w:hAnsi="Arial" w:cs="Arial"/>
          <w:sz w:val="18"/>
        </w:rPr>
        <w:t xml:space="preserve">. Middle Melbourne: </w:t>
      </w:r>
      <w:r w:rsidRPr="00FA19CA">
        <w:rPr>
          <w:rFonts w:ascii="Arial" w:eastAsiaTheme="minorEastAsia" w:hAnsi="Arial" w:cs="Arial"/>
          <w:sz w:val="18"/>
        </w:rPr>
        <w:t>The 19 LGAs between Inner and Outer Melbourne</w:t>
      </w:r>
      <w:r>
        <w:rPr>
          <w:rFonts w:ascii="Arial" w:eastAsiaTheme="minorEastAsia" w:hAnsi="Arial" w:cs="Arial"/>
          <w:sz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B253F" w14:textId="77777777" w:rsidR="00AE5B98" w:rsidRPr="00AC034E" w:rsidRDefault="00AE5B98" w:rsidP="00AE5B98">
    <w:pPr>
      <w:pStyle w:val="Header"/>
      <w:rPr>
        <w:rFonts w:cs="Arial"/>
      </w:rPr>
    </w:pPr>
    <w:r w:rsidRPr="00AC034E">
      <w:rPr>
        <w:rFonts w:cs="Arial"/>
      </w:rPr>
      <w:t>SOAC 2017</w:t>
    </w:r>
  </w:p>
  <w:p w14:paraId="294D8607" w14:textId="77777777" w:rsidR="00AE5B98" w:rsidRDefault="00AE5B9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496A"/>
    <w:multiLevelType w:val="hybridMultilevel"/>
    <w:tmpl w:val="6CF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833AB"/>
    <w:rsid w:val="00026282"/>
    <w:rsid w:val="000F60E8"/>
    <w:rsid w:val="002F3FA5"/>
    <w:rsid w:val="003B427D"/>
    <w:rsid w:val="00424D55"/>
    <w:rsid w:val="005D0AD3"/>
    <w:rsid w:val="006509E0"/>
    <w:rsid w:val="00866B9A"/>
    <w:rsid w:val="009B1F5F"/>
    <w:rsid w:val="00A833AB"/>
    <w:rsid w:val="00AE5B98"/>
    <w:rsid w:val="00AF4758"/>
    <w:rsid w:val="00B365B3"/>
    <w:rsid w:val="00B94920"/>
    <w:rsid w:val="00BD707F"/>
    <w:rsid w:val="00C124BB"/>
    <w:rsid w:val="00C534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8612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AB"/>
    <w:pPr>
      <w:spacing w:before="240" w:after="240"/>
    </w:pPr>
    <w:rPr>
      <w:rFonts w:ascii="Arial" w:hAnsi="Arial"/>
      <w:sz w:val="20"/>
    </w:rPr>
  </w:style>
  <w:style w:type="paragraph" w:styleId="Heading1">
    <w:name w:val="heading 1"/>
    <w:basedOn w:val="Normal"/>
    <w:next w:val="Normal"/>
    <w:link w:val="Heading1Char"/>
    <w:uiPriority w:val="9"/>
    <w:qFormat/>
    <w:rsid w:val="00A833A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833AB"/>
    <w:pPr>
      <w:keepNext/>
      <w:keepLines/>
      <w:spacing w:before="200"/>
      <w:outlineLvl w:val="1"/>
    </w:pPr>
    <w:rPr>
      <w:rFonts w:eastAsiaTheme="majorEastAsia" w:cstheme="majorBidi"/>
      <w:b/>
      <w:bCs/>
      <w:sz w:val="22"/>
      <w:szCs w:val="26"/>
    </w:rPr>
  </w:style>
  <w:style w:type="paragraph" w:styleId="Heading3">
    <w:name w:val="heading 3"/>
    <w:basedOn w:val="Heading2"/>
    <w:next w:val="Normal"/>
    <w:link w:val="Heading3Char"/>
    <w:uiPriority w:val="9"/>
    <w:unhideWhenUsed/>
    <w:qFormat/>
    <w:rsid w:val="00A833AB"/>
    <w:pPr>
      <w:outlineLvl w:val="2"/>
    </w:pPr>
    <w:rPr>
      <w:rFonts w:asciiTheme="majorHAnsi" w:hAnsiTheme="majorHAnsi"/>
      <w:bCs w:val="0"/>
      <w:i/>
    </w:rPr>
  </w:style>
  <w:style w:type="paragraph" w:styleId="Heading4">
    <w:name w:val="heading 4"/>
    <w:basedOn w:val="Heading3"/>
    <w:next w:val="Normal"/>
    <w:link w:val="Heading4Char"/>
    <w:uiPriority w:val="9"/>
    <w:unhideWhenUsed/>
    <w:qFormat/>
    <w:rsid w:val="00A833AB"/>
    <w:pPr>
      <w:outlineLvl w:val="3"/>
    </w:pPr>
    <w:rPr>
      <w:bCs/>
      <w:i w:val="0"/>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3A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833AB"/>
    <w:rPr>
      <w:rFonts w:ascii="Arial" w:eastAsiaTheme="majorEastAsia" w:hAnsi="Arial" w:cstheme="majorBidi"/>
      <w:b/>
      <w:bCs/>
      <w:sz w:val="22"/>
      <w:szCs w:val="26"/>
    </w:rPr>
  </w:style>
  <w:style w:type="character" w:customStyle="1" w:styleId="Heading3Char">
    <w:name w:val="Heading 3 Char"/>
    <w:basedOn w:val="DefaultParagraphFont"/>
    <w:link w:val="Heading3"/>
    <w:uiPriority w:val="9"/>
    <w:rsid w:val="00A833AB"/>
    <w:rPr>
      <w:rFonts w:asciiTheme="majorHAnsi" w:eastAsiaTheme="majorEastAsia" w:hAnsiTheme="majorHAnsi" w:cstheme="majorBidi"/>
      <w:b/>
      <w:i/>
      <w:sz w:val="22"/>
      <w:szCs w:val="26"/>
    </w:rPr>
  </w:style>
  <w:style w:type="character" w:customStyle="1" w:styleId="Heading4Char">
    <w:name w:val="Heading 4 Char"/>
    <w:basedOn w:val="DefaultParagraphFont"/>
    <w:link w:val="Heading4"/>
    <w:uiPriority w:val="9"/>
    <w:rsid w:val="00A833AB"/>
    <w:rPr>
      <w:rFonts w:asciiTheme="majorHAnsi" w:eastAsiaTheme="majorEastAsia" w:hAnsiTheme="majorHAnsi" w:cstheme="majorBidi"/>
      <w:b/>
      <w:bCs/>
      <w:iCs/>
      <w:sz w:val="20"/>
      <w:szCs w:val="26"/>
    </w:rPr>
  </w:style>
  <w:style w:type="paragraph" w:styleId="BalloonText">
    <w:name w:val="Balloon Text"/>
    <w:basedOn w:val="Normal"/>
    <w:link w:val="BalloonTextChar"/>
    <w:uiPriority w:val="99"/>
    <w:semiHidden/>
    <w:unhideWhenUsed/>
    <w:rsid w:val="00A833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33AB"/>
    <w:rPr>
      <w:rFonts w:ascii="Lucida Grande" w:hAnsi="Lucida Grande" w:cs="Lucida Grande"/>
      <w:sz w:val="18"/>
      <w:szCs w:val="18"/>
    </w:rPr>
  </w:style>
  <w:style w:type="paragraph" w:customStyle="1" w:styleId="EndNoteBibliographyTitle">
    <w:name w:val="EndNote Bibliography Title"/>
    <w:basedOn w:val="Normal"/>
    <w:rsid w:val="00A833AB"/>
    <w:pPr>
      <w:jc w:val="center"/>
    </w:pPr>
    <w:rPr>
      <w:rFonts w:cs="Arial"/>
      <w:lang w:val="en-US"/>
    </w:rPr>
  </w:style>
  <w:style w:type="paragraph" w:customStyle="1" w:styleId="EndNoteBibliography">
    <w:name w:val="EndNote Bibliography"/>
    <w:basedOn w:val="Normal"/>
    <w:rsid w:val="00A833AB"/>
    <w:rPr>
      <w:rFonts w:cs="Arial"/>
      <w:lang w:val="en-US"/>
    </w:rPr>
  </w:style>
  <w:style w:type="paragraph" w:styleId="CommentText">
    <w:name w:val="annotation text"/>
    <w:basedOn w:val="Normal"/>
    <w:link w:val="CommentTextChar"/>
    <w:uiPriority w:val="99"/>
    <w:unhideWhenUsed/>
    <w:rsid w:val="00A833AB"/>
    <w:rPr>
      <w:sz w:val="24"/>
    </w:rPr>
  </w:style>
  <w:style w:type="character" w:customStyle="1" w:styleId="CommentTextChar">
    <w:name w:val="Comment Text Char"/>
    <w:basedOn w:val="DefaultParagraphFont"/>
    <w:link w:val="CommentText"/>
    <w:uiPriority w:val="99"/>
    <w:rsid w:val="00A833AB"/>
    <w:rPr>
      <w:rFonts w:ascii="Arial" w:hAnsi="Arial"/>
    </w:rPr>
  </w:style>
  <w:style w:type="table" w:styleId="TableGrid">
    <w:name w:val="Table Grid"/>
    <w:basedOn w:val="TableNormal"/>
    <w:uiPriority w:val="59"/>
    <w:rsid w:val="00A83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33AB"/>
    <w:rPr>
      <w:sz w:val="18"/>
      <w:szCs w:val="18"/>
    </w:rPr>
  </w:style>
  <w:style w:type="character" w:styleId="Hyperlink">
    <w:name w:val="Hyperlink"/>
    <w:basedOn w:val="DefaultParagraphFont"/>
    <w:uiPriority w:val="99"/>
    <w:unhideWhenUsed/>
    <w:rsid w:val="00A833AB"/>
    <w:rPr>
      <w:color w:val="0000FF" w:themeColor="hyperlink"/>
      <w:u w:val="single"/>
    </w:rPr>
  </w:style>
  <w:style w:type="paragraph" w:styleId="Caption">
    <w:name w:val="caption"/>
    <w:basedOn w:val="Normal"/>
    <w:next w:val="Normal"/>
    <w:uiPriority w:val="35"/>
    <w:unhideWhenUsed/>
    <w:qFormat/>
    <w:rsid w:val="00A833AB"/>
    <w:pPr>
      <w:spacing w:before="200" w:after="0"/>
      <w:jc w:val="center"/>
    </w:pPr>
    <w:rPr>
      <w:rFonts w:eastAsiaTheme="minorHAnsi"/>
      <w:b/>
      <w:bCs/>
      <w:szCs w:val="20"/>
    </w:rPr>
  </w:style>
  <w:style w:type="character" w:styleId="Emphasis">
    <w:name w:val="Emphasis"/>
    <w:uiPriority w:val="20"/>
    <w:qFormat/>
    <w:rsid w:val="00A833AB"/>
    <w:rPr>
      <w:b/>
      <w:i/>
      <w:spacing w:val="10"/>
    </w:rPr>
  </w:style>
  <w:style w:type="paragraph" w:styleId="FootnoteText">
    <w:name w:val="footnote text"/>
    <w:basedOn w:val="Normal"/>
    <w:link w:val="FootnoteTextChar"/>
    <w:uiPriority w:val="99"/>
    <w:unhideWhenUsed/>
    <w:rsid w:val="00A833AB"/>
    <w:pPr>
      <w:spacing w:before="200" w:after="0"/>
      <w:jc w:val="both"/>
    </w:pPr>
    <w:rPr>
      <w:rFonts w:ascii="Swift Com Light" w:eastAsiaTheme="minorHAnsi" w:hAnsi="Swift Com Light"/>
      <w:szCs w:val="20"/>
    </w:rPr>
  </w:style>
  <w:style w:type="character" w:customStyle="1" w:styleId="FootnoteTextChar">
    <w:name w:val="Footnote Text Char"/>
    <w:basedOn w:val="DefaultParagraphFont"/>
    <w:link w:val="FootnoteText"/>
    <w:uiPriority w:val="99"/>
    <w:rsid w:val="00A833AB"/>
    <w:rPr>
      <w:rFonts w:ascii="Swift Com Light" w:eastAsiaTheme="minorHAnsi" w:hAnsi="Swift Com Light"/>
      <w:sz w:val="20"/>
      <w:szCs w:val="20"/>
    </w:rPr>
  </w:style>
  <w:style w:type="paragraph" w:customStyle="1" w:styleId="TableFont">
    <w:name w:val="Table Font"/>
    <w:basedOn w:val="Normal"/>
    <w:qFormat/>
    <w:rsid w:val="00A833AB"/>
    <w:pPr>
      <w:spacing w:before="200" w:after="0"/>
      <w:jc w:val="center"/>
    </w:pPr>
    <w:rPr>
      <w:rFonts w:cs="Arial"/>
      <w:sz w:val="18"/>
      <w:szCs w:val="20"/>
    </w:rPr>
  </w:style>
  <w:style w:type="character" w:styleId="SubtleEmphasis">
    <w:name w:val="Subtle Emphasis"/>
    <w:basedOn w:val="DefaultParagraphFont"/>
    <w:uiPriority w:val="19"/>
    <w:qFormat/>
    <w:rsid w:val="00A833AB"/>
    <w:rPr>
      <w:i/>
      <w:iCs/>
      <w:color w:val="808080" w:themeColor="text1" w:themeTint="7F"/>
    </w:rPr>
  </w:style>
  <w:style w:type="character" w:styleId="FootnoteReference">
    <w:name w:val="footnote reference"/>
    <w:basedOn w:val="DefaultParagraphFont"/>
    <w:uiPriority w:val="99"/>
    <w:unhideWhenUsed/>
    <w:rsid w:val="00A833AB"/>
    <w:rPr>
      <w:vertAlign w:val="superscript"/>
    </w:rPr>
  </w:style>
  <w:style w:type="paragraph" w:customStyle="1" w:styleId="TableSource">
    <w:name w:val="TableSource"/>
    <w:basedOn w:val="Caption"/>
    <w:next w:val="Normal"/>
    <w:qFormat/>
    <w:rsid w:val="00A833AB"/>
    <w:pPr>
      <w:spacing w:after="360"/>
      <w:jc w:val="left"/>
    </w:pPr>
    <w:rPr>
      <w:b w:val="0"/>
    </w:rPr>
  </w:style>
  <w:style w:type="paragraph" w:customStyle="1" w:styleId="Source">
    <w:name w:val="Source"/>
    <w:basedOn w:val="Normal"/>
    <w:next w:val="Normal"/>
    <w:qFormat/>
    <w:rsid w:val="00A833AB"/>
    <w:pPr>
      <w:spacing w:before="0" w:after="360"/>
      <w:ind w:left="720"/>
    </w:pPr>
    <w:rPr>
      <w:rFonts w:ascii="Times New Roman" w:hAnsi="Times New Roman"/>
    </w:rPr>
  </w:style>
  <w:style w:type="paragraph" w:styleId="BodyText">
    <w:name w:val="Body Text"/>
    <w:basedOn w:val="Normal"/>
    <w:link w:val="BodyTextChar"/>
    <w:uiPriority w:val="99"/>
    <w:unhideWhenUsed/>
    <w:rsid w:val="00A833AB"/>
    <w:pPr>
      <w:spacing w:after="120"/>
    </w:pPr>
    <w:rPr>
      <w:rFonts w:ascii="Times New Roman" w:hAnsi="Times New Roman"/>
      <w:sz w:val="24"/>
    </w:rPr>
  </w:style>
  <w:style w:type="character" w:customStyle="1" w:styleId="BodyTextChar">
    <w:name w:val="Body Text Char"/>
    <w:basedOn w:val="DefaultParagraphFont"/>
    <w:link w:val="BodyText"/>
    <w:uiPriority w:val="99"/>
    <w:rsid w:val="00A833A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833AB"/>
    <w:rPr>
      <w:b/>
      <w:bCs/>
      <w:sz w:val="20"/>
      <w:szCs w:val="20"/>
    </w:rPr>
  </w:style>
  <w:style w:type="character" w:customStyle="1" w:styleId="CommentSubjectChar">
    <w:name w:val="Comment Subject Char"/>
    <w:basedOn w:val="CommentTextChar"/>
    <w:link w:val="CommentSubject"/>
    <w:uiPriority w:val="99"/>
    <w:semiHidden/>
    <w:rsid w:val="00A833AB"/>
    <w:rPr>
      <w:rFonts w:ascii="Arial" w:hAnsi="Arial"/>
      <w:b/>
      <w:bCs/>
      <w:sz w:val="20"/>
      <w:szCs w:val="20"/>
    </w:rPr>
  </w:style>
  <w:style w:type="paragraph" w:styleId="Revision">
    <w:name w:val="Revision"/>
    <w:hidden/>
    <w:uiPriority w:val="99"/>
    <w:semiHidden/>
    <w:rsid w:val="00A833AB"/>
    <w:rPr>
      <w:rFonts w:ascii="Arial" w:hAnsi="Arial"/>
      <w:sz w:val="20"/>
    </w:rPr>
  </w:style>
  <w:style w:type="paragraph" w:styleId="ListParagraph">
    <w:name w:val="List Paragraph"/>
    <w:basedOn w:val="Normal"/>
    <w:uiPriority w:val="34"/>
    <w:qFormat/>
    <w:rsid w:val="00A833AB"/>
    <w:pPr>
      <w:ind w:left="720"/>
      <w:contextualSpacing/>
    </w:pPr>
  </w:style>
  <w:style w:type="paragraph" w:styleId="Footer">
    <w:name w:val="footer"/>
    <w:basedOn w:val="Normal"/>
    <w:link w:val="FooterChar"/>
    <w:uiPriority w:val="99"/>
    <w:unhideWhenUsed/>
    <w:rsid w:val="00C124BB"/>
    <w:pPr>
      <w:tabs>
        <w:tab w:val="center" w:pos="4320"/>
        <w:tab w:val="right" w:pos="8640"/>
      </w:tabs>
      <w:spacing w:before="0" w:after="0"/>
    </w:pPr>
  </w:style>
  <w:style w:type="character" w:customStyle="1" w:styleId="FooterChar">
    <w:name w:val="Footer Char"/>
    <w:basedOn w:val="DefaultParagraphFont"/>
    <w:link w:val="Footer"/>
    <w:uiPriority w:val="99"/>
    <w:rsid w:val="00C124BB"/>
    <w:rPr>
      <w:rFonts w:ascii="Arial" w:hAnsi="Arial"/>
      <w:sz w:val="20"/>
    </w:rPr>
  </w:style>
  <w:style w:type="character" w:styleId="PageNumber">
    <w:name w:val="page number"/>
    <w:basedOn w:val="DefaultParagraphFont"/>
    <w:uiPriority w:val="99"/>
    <w:semiHidden/>
    <w:unhideWhenUsed/>
    <w:rsid w:val="00C124BB"/>
  </w:style>
  <w:style w:type="paragraph" w:styleId="Header">
    <w:name w:val="header"/>
    <w:basedOn w:val="Normal"/>
    <w:link w:val="HeaderChar"/>
    <w:uiPriority w:val="99"/>
    <w:unhideWhenUsed/>
    <w:rsid w:val="00AE5B98"/>
    <w:pPr>
      <w:tabs>
        <w:tab w:val="center" w:pos="4320"/>
        <w:tab w:val="right" w:pos="8640"/>
      </w:tabs>
      <w:spacing w:before="0" w:after="0"/>
    </w:pPr>
  </w:style>
  <w:style w:type="character" w:customStyle="1" w:styleId="HeaderChar">
    <w:name w:val="Header Char"/>
    <w:basedOn w:val="DefaultParagraphFont"/>
    <w:link w:val="Header"/>
    <w:uiPriority w:val="99"/>
    <w:rsid w:val="00AE5B98"/>
    <w:rPr>
      <w:rFonts w:ascii="Arial" w:hAnsi="Arial"/>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AB"/>
    <w:pPr>
      <w:spacing w:before="240" w:after="240"/>
    </w:pPr>
    <w:rPr>
      <w:rFonts w:ascii="Arial" w:hAnsi="Arial"/>
      <w:sz w:val="20"/>
    </w:rPr>
  </w:style>
  <w:style w:type="paragraph" w:styleId="Heading1">
    <w:name w:val="heading 1"/>
    <w:basedOn w:val="Normal"/>
    <w:next w:val="Normal"/>
    <w:link w:val="Heading1Char"/>
    <w:uiPriority w:val="9"/>
    <w:qFormat/>
    <w:rsid w:val="00A833A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833AB"/>
    <w:pPr>
      <w:keepNext/>
      <w:keepLines/>
      <w:spacing w:before="200"/>
      <w:outlineLvl w:val="1"/>
    </w:pPr>
    <w:rPr>
      <w:rFonts w:eastAsiaTheme="majorEastAsia" w:cstheme="majorBidi"/>
      <w:b/>
      <w:bCs/>
      <w:sz w:val="22"/>
      <w:szCs w:val="26"/>
    </w:rPr>
  </w:style>
  <w:style w:type="paragraph" w:styleId="Heading3">
    <w:name w:val="heading 3"/>
    <w:basedOn w:val="Heading2"/>
    <w:next w:val="Normal"/>
    <w:link w:val="Heading3Char"/>
    <w:uiPriority w:val="9"/>
    <w:unhideWhenUsed/>
    <w:qFormat/>
    <w:rsid w:val="00A833AB"/>
    <w:pPr>
      <w:outlineLvl w:val="2"/>
    </w:pPr>
    <w:rPr>
      <w:rFonts w:asciiTheme="majorHAnsi" w:hAnsiTheme="majorHAnsi"/>
      <w:bCs w:val="0"/>
      <w:i/>
    </w:rPr>
  </w:style>
  <w:style w:type="paragraph" w:styleId="Heading4">
    <w:name w:val="heading 4"/>
    <w:basedOn w:val="Heading3"/>
    <w:next w:val="Normal"/>
    <w:link w:val="Heading4Char"/>
    <w:uiPriority w:val="9"/>
    <w:unhideWhenUsed/>
    <w:qFormat/>
    <w:rsid w:val="00A833AB"/>
    <w:pPr>
      <w:outlineLvl w:val="3"/>
    </w:pPr>
    <w:rPr>
      <w:bCs/>
      <w:i w:val="0"/>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3A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833AB"/>
    <w:rPr>
      <w:rFonts w:ascii="Arial" w:eastAsiaTheme="majorEastAsia" w:hAnsi="Arial" w:cstheme="majorBidi"/>
      <w:b/>
      <w:bCs/>
      <w:sz w:val="22"/>
      <w:szCs w:val="26"/>
    </w:rPr>
  </w:style>
  <w:style w:type="character" w:customStyle="1" w:styleId="Heading3Char">
    <w:name w:val="Heading 3 Char"/>
    <w:basedOn w:val="DefaultParagraphFont"/>
    <w:link w:val="Heading3"/>
    <w:uiPriority w:val="9"/>
    <w:rsid w:val="00A833AB"/>
    <w:rPr>
      <w:rFonts w:asciiTheme="majorHAnsi" w:eastAsiaTheme="majorEastAsia" w:hAnsiTheme="majorHAnsi" w:cstheme="majorBidi"/>
      <w:b/>
      <w:i/>
      <w:sz w:val="22"/>
      <w:szCs w:val="26"/>
    </w:rPr>
  </w:style>
  <w:style w:type="character" w:customStyle="1" w:styleId="Heading4Char">
    <w:name w:val="Heading 4 Char"/>
    <w:basedOn w:val="DefaultParagraphFont"/>
    <w:link w:val="Heading4"/>
    <w:uiPriority w:val="9"/>
    <w:rsid w:val="00A833AB"/>
    <w:rPr>
      <w:rFonts w:asciiTheme="majorHAnsi" w:eastAsiaTheme="majorEastAsia" w:hAnsiTheme="majorHAnsi" w:cstheme="majorBidi"/>
      <w:b/>
      <w:bCs/>
      <w:iCs/>
      <w:sz w:val="20"/>
      <w:szCs w:val="26"/>
    </w:rPr>
  </w:style>
  <w:style w:type="paragraph" w:styleId="BalloonText">
    <w:name w:val="Balloon Text"/>
    <w:basedOn w:val="Normal"/>
    <w:link w:val="BalloonTextChar"/>
    <w:uiPriority w:val="99"/>
    <w:semiHidden/>
    <w:unhideWhenUsed/>
    <w:rsid w:val="00A833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33AB"/>
    <w:rPr>
      <w:rFonts w:ascii="Lucida Grande" w:hAnsi="Lucida Grande" w:cs="Lucida Grande"/>
      <w:sz w:val="18"/>
      <w:szCs w:val="18"/>
    </w:rPr>
  </w:style>
  <w:style w:type="paragraph" w:customStyle="1" w:styleId="EndNoteBibliographyTitle">
    <w:name w:val="EndNote Bibliography Title"/>
    <w:basedOn w:val="Normal"/>
    <w:rsid w:val="00A833AB"/>
    <w:pPr>
      <w:jc w:val="center"/>
    </w:pPr>
    <w:rPr>
      <w:rFonts w:cs="Arial"/>
      <w:lang w:val="en-US"/>
    </w:rPr>
  </w:style>
  <w:style w:type="paragraph" w:customStyle="1" w:styleId="EndNoteBibliography">
    <w:name w:val="EndNote Bibliography"/>
    <w:basedOn w:val="Normal"/>
    <w:rsid w:val="00A833AB"/>
    <w:rPr>
      <w:rFonts w:cs="Arial"/>
      <w:lang w:val="en-US"/>
    </w:rPr>
  </w:style>
  <w:style w:type="paragraph" w:styleId="CommentText">
    <w:name w:val="annotation text"/>
    <w:basedOn w:val="Normal"/>
    <w:link w:val="CommentTextChar"/>
    <w:uiPriority w:val="99"/>
    <w:unhideWhenUsed/>
    <w:rsid w:val="00A833AB"/>
    <w:rPr>
      <w:sz w:val="24"/>
    </w:rPr>
  </w:style>
  <w:style w:type="character" w:customStyle="1" w:styleId="CommentTextChar">
    <w:name w:val="Comment Text Char"/>
    <w:basedOn w:val="DefaultParagraphFont"/>
    <w:link w:val="CommentText"/>
    <w:uiPriority w:val="99"/>
    <w:rsid w:val="00A833AB"/>
    <w:rPr>
      <w:rFonts w:ascii="Arial" w:hAnsi="Arial"/>
    </w:rPr>
  </w:style>
  <w:style w:type="table" w:styleId="TableGrid">
    <w:name w:val="Table Grid"/>
    <w:basedOn w:val="TableNormal"/>
    <w:uiPriority w:val="59"/>
    <w:rsid w:val="00A83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33AB"/>
    <w:rPr>
      <w:sz w:val="18"/>
      <w:szCs w:val="18"/>
    </w:rPr>
  </w:style>
  <w:style w:type="character" w:styleId="Hyperlink">
    <w:name w:val="Hyperlink"/>
    <w:basedOn w:val="DefaultParagraphFont"/>
    <w:uiPriority w:val="99"/>
    <w:unhideWhenUsed/>
    <w:rsid w:val="00A833AB"/>
    <w:rPr>
      <w:color w:val="0000FF" w:themeColor="hyperlink"/>
      <w:u w:val="single"/>
    </w:rPr>
  </w:style>
  <w:style w:type="paragraph" w:styleId="Caption">
    <w:name w:val="caption"/>
    <w:basedOn w:val="Normal"/>
    <w:next w:val="Normal"/>
    <w:uiPriority w:val="35"/>
    <w:unhideWhenUsed/>
    <w:qFormat/>
    <w:rsid w:val="00A833AB"/>
    <w:pPr>
      <w:spacing w:before="200" w:after="0"/>
      <w:jc w:val="center"/>
    </w:pPr>
    <w:rPr>
      <w:rFonts w:eastAsiaTheme="minorHAnsi"/>
      <w:b/>
      <w:bCs/>
      <w:szCs w:val="20"/>
    </w:rPr>
  </w:style>
  <w:style w:type="character" w:styleId="Emphasis">
    <w:name w:val="Emphasis"/>
    <w:uiPriority w:val="20"/>
    <w:qFormat/>
    <w:rsid w:val="00A833AB"/>
    <w:rPr>
      <w:b/>
      <w:i/>
      <w:spacing w:val="10"/>
    </w:rPr>
  </w:style>
  <w:style w:type="paragraph" w:styleId="FootnoteText">
    <w:name w:val="footnote text"/>
    <w:basedOn w:val="Normal"/>
    <w:link w:val="FootnoteTextChar"/>
    <w:uiPriority w:val="99"/>
    <w:unhideWhenUsed/>
    <w:rsid w:val="00A833AB"/>
    <w:pPr>
      <w:spacing w:before="200" w:after="0"/>
      <w:jc w:val="both"/>
    </w:pPr>
    <w:rPr>
      <w:rFonts w:ascii="Swift Com Light" w:eastAsiaTheme="minorHAnsi" w:hAnsi="Swift Com Light"/>
      <w:szCs w:val="20"/>
    </w:rPr>
  </w:style>
  <w:style w:type="character" w:customStyle="1" w:styleId="FootnoteTextChar">
    <w:name w:val="Footnote Text Char"/>
    <w:basedOn w:val="DefaultParagraphFont"/>
    <w:link w:val="FootnoteText"/>
    <w:uiPriority w:val="99"/>
    <w:rsid w:val="00A833AB"/>
    <w:rPr>
      <w:rFonts w:ascii="Swift Com Light" w:eastAsiaTheme="minorHAnsi" w:hAnsi="Swift Com Light"/>
      <w:sz w:val="20"/>
      <w:szCs w:val="20"/>
    </w:rPr>
  </w:style>
  <w:style w:type="paragraph" w:customStyle="1" w:styleId="TableFont">
    <w:name w:val="Table Font"/>
    <w:basedOn w:val="Normal"/>
    <w:qFormat/>
    <w:rsid w:val="00A833AB"/>
    <w:pPr>
      <w:spacing w:before="200" w:after="0"/>
      <w:jc w:val="center"/>
    </w:pPr>
    <w:rPr>
      <w:rFonts w:cs="Arial"/>
      <w:sz w:val="18"/>
      <w:szCs w:val="20"/>
    </w:rPr>
  </w:style>
  <w:style w:type="character" w:styleId="SubtleEmphasis">
    <w:name w:val="Subtle Emphasis"/>
    <w:basedOn w:val="DefaultParagraphFont"/>
    <w:uiPriority w:val="19"/>
    <w:qFormat/>
    <w:rsid w:val="00A833AB"/>
    <w:rPr>
      <w:i/>
      <w:iCs/>
      <w:color w:val="808080" w:themeColor="text1" w:themeTint="7F"/>
    </w:rPr>
  </w:style>
  <w:style w:type="character" w:styleId="FootnoteReference">
    <w:name w:val="footnote reference"/>
    <w:basedOn w:val="DefaultParagraphFont"/>
    <w:uiPriority w:val="99"/>
    <w:unhideWhenUsed/>
    <w:rsid w:val="00A833AB"/>
    <w:rPr>
      <w:vertAlign w:val="superscript"/>
    </w:rPr>
  </w:style>
  <w:style w:type="paragraph" w:customStyle="1" w:styleId="TableSource">
    <w:name w:val="TableSource"/>
    <w:basedOn w:val="Caption"/>
    <w:next w:val="Normal"/>
    <w:qFormat/>
    <w:rsid w:val="00A833AB"/>
    <w:pPr>
      <w:spacing w:after="360"/>
      <w:jc w:val="left"/>
    </w:pPr>
    <w:rPr>
      <w:b w:val="0"/>
    </w:rPr>
  </w:style>
  <w:style w:type="paragraph" w:customStyle="1" w:styleId="Source">
    <w:name w:val="Source"/>
    <w:basedOn w:val="Normal"/>
    <w:next w:val="Normal"/>
    <w:qFormat/>
    <w:rsid w:val="00A833AB"/>
    <w:pPr>
      <w:spacing w:before="0" w:after="360"/>
      <w:ind w:left="720"/>
    </w:pPr>
    <w:rPr>
      <w:rFonts w:ascii="Times New Roman" w:hAnsi="Times New Roman"/>
    </w:rPr>
  </w:style>
  <w:style w:type="paragraph" w:styleId="BodyText">
    <w:name w:val="Body Text"/>
    <w:basedOn w:val="Normal"/>
    <w:link w:val="BodyTextChar"/>
    <w:uiPriority w:val="99"/>
    <w:unhideWhenUsed/>
    <w:rsid w:val="00A833AB"/>
    <w:pPr>
      <w:spacing w:after="120"/>
    </w:pPr>
    <w:rPr>
      <w:rFonts w:ascii="Times New Roman" w:hAnsi="Times New Roman"/>
      <w:sz w:val="24"/>
    </w:rPr>
  </w:style>
  <w:style w:type="character" w:customStyle="1" w:styleId="BodyTextChar">
    <w:name w:val="Body Text Char"/>
    <w:basedOn w:val="DefaultParagraphFont"/>
    <w:link w:val="BodyText"/>
    <w:uiPriority w:val="99"/>
    <w:rsid w:val="00A833A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833AB"/>
    <w:rPr>
      <w:b/>
      <w:bCs/>
      <w:sz w:val="20"/>
      <w:szCs w:val="20"/>
    </w:rPr>
  </w:style>
  <w:style w:type="character" w:customStyle="1" w:styleId="CommentSubjectChar">
    <w:name w:val="Comment Subject Char"/>
    <w:basedOn w:val="CommentTextChar"/>
    <w:link w:val="CommentSubject"/>
    <w:uiPriority w:val="99"/>
    <w:semiHidden/>
    <w:rsid w:val="00A833AB"/>
    <w:rPr>
      <w:rFonts w:ascii="Arial" w:hAnsi="Arial"/>
      <w:b/>
      <w:bCs/>
      <w:sz w:val="20"/>
      <w:szCs w:val="20"/>
    </w:rPr>
  </w:style>
  <w:style w:type="paragraph" w:styleId="Revision">
    <w:name w:val="Revision"/>
    <w:hidden/>
    <w:uiPriority w:val="99"/>
    <w:semiHidden/>
    <w:rsid w:val="00A833AB"/>
    <w:rPr>
      <w:rFonts w:ascii="Arial" w:hAnsi="Arial"/>
      <w:sz w:val="20"/>
    </w:rPr>
  </w:style>
  <w:style w:type="paragraph" w:styleId="ListParagraph">
    <w:name w:val="List Paragraph"/>
    <w:basedOn w:val="Normal"/>
    <w:uiPriority w:val="34"/>
    <w:qFormat/>
    <w:rsid w:val="00A833AB"/>
    <w:pPr>
      <w:ind w:left="720"/>
      <w:contextualSpacing/>
    </w:pPr>
  </w:style>
  <w:style w:type="paragraph" w:styleId="Footer">
    <w:name w:val="footer"/>
    <w:basedOn w:val="Normal"/>
    <w:link w:val="FooterChar"/>
    <w:uiPriority w:val="99"/>
    <w:unhideWhenUsed/>
    <w:rsid w:val="00C124BB"/>
    <w:pPr>
      <w:tabs>
        <w:tab w:val="center" w:pos="4320"/>
        <w:tab w:val="right" w:pos="8640"/>
      </w:tabs>
      <w:spacing w:before="0" w:after="0"/>
    </w:pPr>
  </w:style>
  <w:style w:type="character" w:customStyle="1" w:styleId="FooterChar">
    <w:name w:val="Footer Char"/>
    <w:basedOn w:val="DefaultParagraphFont"/>
    <w:link w:val="Footer"/>
    <w:uiPriority w:val="99"/>
    <w:rsid w:val="00C124BB"/>
    <w:rPr>
      <w:rFonts w:ascii="Arial" w:hAnsi="Arial"/>
      <w:sz w:val="20"/>
    </w:rPr>
  </w:style>
  <w:style w:type="character" w:styleId="PageNumber">
    <w:name w:val="page number"/>
    <w:basedOn w:val="DefaultParagraphFont"/>
    <w:uiPriority w:val="99"/>
    <w:semiHidden/>
    <w:unhideWhenUsed/>
    <w:rsid w:val="00C124BB"/>
  </w:style>
  <w:style w:type="paragraph" w:styleId="Header">
    <w:name w:val="header"/>
    <w:basedOn w:val="Normal"/>
    <w:link w:val="HeaderChar"/>
    <w:uiPriority w:val="99"/>
    <w:unhideWhenUsed/>
    <w:rsid w:val="00AE5B98"/>
    <w:pPr>
      <w:tabs>
        <w:tab w:val="center" w:pos="4320"/>
        <w:tab w:val="right" w:pos="8640"/>
      </w:tabs>
      <w:spacing w:before="0" w:after="0"/>
    </w:pPr>
  </w:style>
  <w:style w:type="character" w:customStyle="1" w:styleId="HeaderChar">
    <w:name w:val="Header Char"/>
    <w:basedOn w:val="DefaultParagraphFont"/>
    <w:link w:val="Header"/>
    <w:uiPriority w:val="99"/>
    <w:rsid w:val="00AE5B9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Todd:Google%20Drive:Conferences:SOAC%202017:Data:Detailed%20IMO%20Work%20Data%20201706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Todd:Google%20Drive:Conferences:SOAC%202017:Data:Commuter%20Data%20201706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4426946631671"/>
          <c:y val="0.0393684552317558"/>
          <c:w val="0.855563039559814"/>
          <c:h val="0.524047475044275"/>
        </c:manualLayout>
      </c:layout>
      <c:barChart>
        <c:barDir val="col"/>
        <c:grouping val="clustered"/>
        <c:varyColors val="0"/>
        <c:ser>
          <c:idx val="0"/>
          <c:order val="0"/>
          <c:tx>
            <c:strRef>
              <c:f>'ANZSIC TABLE'!$B$10</c:f>
              <c:strCache>
                <c:ptCount val="1"/>
                <c:pt idx="0">
                  <c:v>Inner Melb PoW</c:v>
                </c:pt>
              </c:strCache>
            </c:strRef>
          </c:tx>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TABLE'!$B$11:$B$29</c:f>
            </c:numRef>
          </c:val>
        </c:ser>
        <c:ser>
          <c:idx val="1"/>
          <c:order val="1"/>
          <c:tx>
            <c:strRef>
              <c:f>'ANZSIC TABLE'!$C$10</c:f>
              <c:strCache>
                <c:ptCount val="1"/>
                <c:pt idx="0">
                  <c:v>Mid Melbourne PoW</c:v>
                </c:pt>
              </c:strCache>
            </c:strRef>
          </c:tx>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TABLE'!$C$11:$C$29</c:f>
            </c:numRef>
          </c:val>
        </c:ser>
        <c:ser>
          <c:idx val="2"/>
          <c:order val="2"/>
          <c:tx>
            <c:strRef>
              <c:f>'ANZSIC TABLE'!$D$10</c:f>
              <c:strCache>
                <c:ptCount val="1"/>
                <c:pt idx="0">
                  <c:v>Outer Melbourne PoW</c:v>
                </c:pt>
              </c:strCache>
            </c:strRef>
          </c:tx>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TABLE'!$D$11:$D$29</c:f>
            </c:numRef>
          </c:val>
        </c:ser>
        <c:ser>
          <c:idx val="3"/>
          <c:order val="3"/>
          <c:tx>
            <c:strRef>
              <c:f>'ANZSIC TABLE'!$E$10</c:f>
              <c:strCache>
                <c:ptCount val="1"/>
                <c:pt idx="0">
                  <c:v>Inner Metro PoW</c:v>
                </c:pt>
              </c:strCache>
            </c:strRef>
          </c:tx>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TABLE'!$E$11:$E$29</c:f>
            </c:numRef>
          </c:val>
        </c:ser>
        <c:ser>
          <c:idx val="4"/>
          <c:order val="4"/>
          <c:tx>
            <c:strRef>
              <c:f>'ANZSIC TABLE'!$F$10</c:f>
              <c:strCache>
                <c:ptCount val="1"/>
                <c:pt idx="0">
                  <c:v>Middle Metro PoW</c:v>
                </c:pt>
              </c:strCache>
            </c:strRef>
          </c:tx>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TABLE'!$F$11:$F$29</c:f>
            </c:numRef>
          </c:val>
        </c:ser>
        <c:ser>
          <c:idx val="5"/>
          <c:order val="5"/>
          <c:tx>
            <c:strRef>
              <c:f>'ANZSIC TABLE'!$G$10</c:f>
              <c:strCache>
                <c:ptCount val="1"/>
                <c:pt idx="0">
                  <c:v>Outer Metro LGAs</c:v>
                </c:pt>
              </c:strCache>
            </c:strRef>
          </c:tx>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TABLE'!$G$11:$G$29</c:f>
            </c:numRef>
          </c:val>
        </c:ser>
        <c:ser>
          <c:idx val="6"/>
          <c:order val="6"/>
          <c:tx>
            <c:strRef>
              <c:f>'ANZSIC TABLE'!$H$10</c:f>
              <c:strCache>
                <c:ptCount val="1"/>
                <c:pt idx="0">
                  <c:v>Inner Metro PoW</c:v>
                </c:pt>
              </c:strCache>
            </c:strRef>
          </c:tx>
          <c:spPr>
            <a:solidFill>
              <a:schemeClr val="tx1"/>
            </a:solidFill>
          </c:spPr>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TABLE'!$H$11:$H$29</c:f>
              <c:numCache>
                <c:formatCode>General</c:formatCode>
                <c:ptCount val="19"/>
                <c:pt idx="0">
                  <c:v>28.0</c:v>
                </c:pt>
                <c:pt idx="1">
                  <c:v>56.0</c:v>
                </c:pt>
                <c:pt idx="2">
                  <c:v>7.0</c:v>
                </c:pt>
                <c:pt idx="3">
                  <c:v>103.0</c:v>
                </c:pt>
                <c:pt idx="4">
                  <c:v>262.0</c:v>
                </c:pt>
                <c:pt idx="5">
                  <c:v>74.0</c:v>
                </c:pt>
                <c:pt idx="6">
                  <c:v>67.0</c:v>
                </c:pt>
                <c:pt idx="7">
                  <c:v>70.0</c:v>
                </c:pt>
                <c:pt idx="8">
                  <c:v>107.0</c:v>
                </c:pt>
                <c:pt idx="9">
                  <c:v>123.0</c:v>
                </c:pt>
                <c:pt idx="10">
                  <c:v>328.0</c:v>
                </c:pt>
                <c:pt idx="11">
                  <c:v>68.0</c:v>
                </c:pt>
                <c:pt idx="12">
                  <c:v>576.0</c:v>
                </c:pt>
                <c:pt idx="13">
                  <c:v>141.0</c:v>
                </c:pt>
                <c:pt idx="14">
                  <c:v>694.0</c:v>
                </c:pt>
                <c:pt idx="15">
                  <c:v>203.0</c:v>
                </c:pt>
                <c:pt idx="16">
                  <c:v>330.0</c:v>
                </c:pt>
                <c:pt idx="17">
                  <c:v>128.0</c:v>
                </c:pt>
                <c:pt idx="18">
                  <c:v>66.0</c:v>
                </c:pt>
              </c:numCache>
            </c:numRef>
          </c:val>
        </c:ser>
        <c:ser>
          <c:idx val="7"/>
          <c:order val="7"/>
          <c:tx>
            <c:strRef>
              <c:f>'ANZSIC TABLE'!$I$10</c:f>
              <c:strCache>
                <c:ptCount val="1"/>
                <c:pt idx="0">
                  <c:v>Middle Metro PoW</c:v>
                </c:pt>
              </c:strCache>
            </c:strRef>
          </c:tx>
          <c:spPr>
            <a:solidFill>
              <a:schemeClr val="bg1">
                <a:lumMod val="50000"/>
              </a:schemeClr>
            </a:solidFill>
          </c:spPr>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TABLE'!$I$11:$I$29</c:f>
              <c:numCache>
                <c:formatCode>General</c:formatCode>
                <c:ptCount val="19"/>
                <c:pt idx="0">
                  <c:v>2.0</c:v>
                </c:pt>
                <c:pt idx="1">
                  <c:v>1.0</c:v>
                </c:pt>
                <c:pt idx="2">
                  <c:v>-73.0</c:v>
                </c:pt>
                <c:pt idx="3">
                  <c:v>77.0</c:v>
                </c:pt>
                <c:pt idx="4">
                  <c:v>366.0</c:v>
                </c:pt>
                <c:pt idx="5">
                  <c:v>25.0</c:v>
                </c:pt>
                <c:pt idx="6">
                  <c:v>28.0</c:v>
                </c:pt>
                <c:pt idx="7">
                  <c:v>-37.0</c:v>
                </c:pt>
                <c:pt idx="8">
                  <c:v>131.0</c:v>
                </c:pt>
                <c:pt idx="9">
                  <c:v>-23.0</c:v>
                </c:pt>
                <c:pt idx="10">
                  <c:v>12.0</c:v>
                </c:pt>
                <c:pt idx="11">
                  <c:v>4.0</c:v>
                </c:pt>
                <c:pt idx="12">
                  <c:v>34.0</c:v>
                </c:pt>
                <c:pt idx="13">
                  <c:v>20.0</c:v>
                </c:pt>
                <c:pt idx="14">
                  <c:v>127.0</c:v>
                </c:pt>
                <c:pt idx="15">
                  <c:v>200.0</c:v>
                </c:pt>
                <c:pt idx="16">
                  <c:v>322.0</c:v>
                </c:pt>
                <c:pt idx="17">
                  <c:v>19.0</c:v>
                </c:pt>
                <c:pt idx="18">
                  <c:v>80.0</c:v>
                </c:pt>
              </c:numCache>
            </c:numRef>
          </c:val>
        </c:ser>
        <c:ser>
          <c:idx val="8"/>
          <c:order val="8"/>
          <c:tx>
            <c:strRef>
              <c:f>'ANZSIC TABLE'!$J$10</c:f>
              <c:strCache>
                <c:ptCount val="1"/>
                <c:pt idx="0">
                  <c:v>Outer Metro LGAs</c:v>
                </c:pt>
              </c:strCache>
            </c:strRef>
          </c:tx>
          <c:spPr>
            <a:pattFill prst="pct20">
              <a:fgClr>
                <a:prstClr val="black"/>
              </a:fgClr>
              <a:bgClr>
                <a:prstClr val="white"/>
              </a:bgClr>
            </a:pattFill>
            <a:ln>
              <a:solidFill>
                <a:schemeClr val="tx1"/>
              </a:solidFill>
            </a:ln>
          </c:spPr>
          <c:invertIfNegative val="0"/>
          <c:cat>
            <c:strRef>
              <c:f>'ANZSIC TABLE'!$A$11:$A$29</c:f>
              <c:strCache>
                <c:ptCount val="19"/>
                <c:pt idx="0">
                  <c:v>Ag, F'stry and Fish</c:v>
                </c:pt>
                <c:pt idx="1">
                  <c:v>Mining</c:v>
                </c:pt>
                <c:pt idx="2">
                  <c:v>Manufacturing</c:v>
                </c:pt>
                <c:pt idx="3">
                  <c:v>Elec, Gas, Water and Waste Services</c:v>
                </c:pt>
                <c:pt idx="4">
                  <c:v>Construction</c:v>
                </c:pt>
                <c:pt idx="5">
                  <c:v>Wholesale Trade</c:v>
                </c:pt>
                <c:pt idx="6">
                  <c:v>Retail Trade</c:v>
                </c:pt>
                <c:pt idx="7">
                  <c:v>Accom and Food Services</c:v>
                </c:pt>
                <c:pt idx="8">
                  <c:v>T'port, Postal and W'housing</c:v>
                </c:pt>
                <c:pt idx="9">
                  <c:v>Info, Media and T'comms</c:v>
                </c:pt>
                <c:pt idx="10">
                  <c:v>Fin and Ins Services</c:v>
                </c:pt>
                <c:pt idx="11">
                  <c:v>Rental, Hiring and Real Estate Services</c:v>
                </c:pt>
                <c:pt idx="12">
                  <c:v>Prof, Sci and TechServices</c:v>
                </c:pt>
                <c:pt idx="13">
                  <c:v>Admin and Support Services</c:v>
                </c:pt>
                <c:pt idx="14">
                  <c:v>Public Admin and Safety</c:v>
                </c:pt>
                <c:pt idx="15">
                  <c:v>Ed and Tr'ning</c:v>
                </c:pt>
                <c:pt idx="16">
                  <c:v>Hlth Care and Social Assistance</c:v>
                </c:pt>
                <c:pt idx="17">
                  <c:v>Arts and Rec Services</c:v>
                </c:pt>
                <c:pt idx="18">
                  <c:v>Other Services</c:v>
                </c:pt>
              </c:strCache>
            </c:strRef>
          </c:cat>
          <c:val>
            <c:numRef>
              <c:f>'ANZSIC TABLE'!$J$11:$J$29</c:f>
              <c:numCache>
                <c:formatCode>General</c:formatCode>
                <c:ptCount val="19"/>
                <c:pt idx="0">
                  <c:v>-99.0</c:v>
                </c:pt>
                <c:pt idx="1">
                  <c:v>-8.0</c:v>
                </c:pt>
                <c:pt idx="2">
                  <c:v>-651.0</c:v>
                </c:pt>
                <c:pt idx="3">
                  <c:v>56.0</c:v>
                </c:pt>
                <c:pt idx="4">
                  <c:v>2.0</c:v>
                </c:pt>
                <c:pt idx="5">
                  <c:v>-264.0</c:v>
                </c:pt>
                <c:pt idx="6">
                  <c:v>-185.0</c:v>
                </c:pt>
                <c:pt idx="7">
                  <c:v>-91.0</c:v>
                </c:pt>
                <c:pt idx="8">
                  <c:v>-252.0</c:v>
                </c:pt>
                <c:pt idx="9">
                  <c:v>-32.0</c:v>
                </c:pt>
                <c:pt idx="10">
                  <c:v>-12.0</c:v>
                </c:pt>
                <c:pt idx="11">
                  <c:v>-29.0</c:v>
                </c:pt>
                <c:pt idx="12">
                  <c:v>23.0</c:v>
                </c:pt>
                <c:pt idx="13">
                  <c:v>-49.0</c:v>
                </c:pt>
                <c:pt idx="14">
                  <c:v>-219.0</c:v>
                </c:pt>
                <c:pt idx="15">
                  <c:v>-305.0</c:v>
                </c:pt>
                <c:pt idx="16">
                  <c:v>-89.0</c:v>
                </c:pt>
                <c:pt idx="17">
                  <c:v>-25.0</c:v>
                </c:pt>
                <c:pt idx="18">
                  <c:v>-3.0</c:v>
                </c:pt>
              </c:numCache>
            </c:numRef>
          </c:val>
        </c:ser>
        <c:dLbls>
          <c:showLegendKey val="0"/>
          <c:showVal val="0"/>
          <c:showCatName val="0"/>
          <c:showSerName val="0"/>
          <c:showPercent val="0"/>
          <c:showBubbleSize val="0"/>
        </c:dLbls>
        <c:gapWidth val="150"/>
        <c:axId val="2107869560"/>
        <c:axId val="-2094325896"/>
      </c:barChart>
      <c:catAx>
        <c:axId val="2107869560"/>
        <c:scaling>
          <c:orientation val="minMax"/>
        </c:scaling>
        <c:delete val="0"/>
        <c:axPos val="b"/>
        <c:majorGridlines/>
        <c:majorTickMark val="out"/>
        <c:minorTickMark val="none"/>
        <c:tickLblPos val="low"/>
        <c:txPr>
          <a:bodyPr/>
          <a:lstStyle/>
          <a:p>
            <a:pPr algn="l">
              <a:defRPr sz="900"/>
            </a:pPr>
            <a:endParaRPr lang="en-US"/>
          </a:p>
        </c:txPr>
        <c:crossAx val="-2094325896"/>
        <c:crosses val="autoZero"/>
        <c:auto val="0"/>
        <c:lblAlgn val="ctr"/>
        <c:lblOffset val="100"/>
        <c:noMultiLvlLbl val="0"/>
      </c:catAx>
      <c:valAx>
        <c:axId val="-2094325896"/>
        <c:scaling>
          <c:orientation val="minMax"/>
        </c:scaling>
        <c:delete val="0"/>
        <c:axPos val="l"/>
        <c:majorGridlines/>
        <c:numFmt formatCode="General" sourceLinked="1"/>
        <c:majorTickMark val="out"/>
        <c:minorTickMark val="none"/>
        <c:tickLblPos val="nextTo"/>
        <c:crossAx val="2107869560"/>
        <c:crosses val="autoZero"/>
        <c:crossBetween val="between"/>
      </c:valAx>
    </c:plotArea>
    <c:legend>
      <c:legendPos val="b"/>
      <c:layout>
        <c:manualLayout>
          <c:xMode val="edge"/>
          <c:yMode val="edge"/>
          <c:x val="0.163275840519935"/>
          <c:y val="0.939708789185316"/>
          <c:w val="0.664378024175549"/>
          <c:h val="0.0571095372543911"/>
        </c:manualLayout>
      </c:layout>
      <c:overlay val="0"/>
      <c:txPr>
        <a:bodyPr/>
        <a:lstStyle/>
        <a:p>
          <a:pPr>
            <a:defRPr sz="900"/>
          </a:pPr>
          <a:endParaRPr lang="en-US"/>
        </a:p>
      </c:txPr>
    </c:legend>
    <c:plotVisOnly val="1"/>
    <c:dispBlanksAs val="gap"/>
    <c:showDLblsOverMax val="0"/>
  </c:chart>
  <c:spPr>
    <a:ln>
      <a:noFill/>
    </a:ln>
  </c:spPr>
  <c:txPr>
    <a:bodyPr/>
    <a:lstStyle/>
    <a:p>
      <a:pPr>
        <a:defRPr sz="1000">
          <a:latin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Inc!$D$35</c:f>
              <c:strCache>
                <c:ptCount val="1"/>
                <c:pt idx="0">
                  <c:v>Inner Melbourne</c:v>
                </c:pt>
              </c:strCache>
            </c:strRef>
          </c:tx>
          <c:spPr>
            <a:ln w="19050" cmpd="sng">
              <a:solidFill>
                <a:schemeClr val="tx1">
                  <a:lumMod val="95000"/>
                  <a:lumOff val="5000"/>
                </a:schemeClr>
              </a:solidFill>
            </a:ln>
          </c:spPr>
          <c:marker>
            <c:symbol val="none"/>
          </c:marker>
          <c:cat>
            <c:strRef>
              <c:f>Inc!$C$36:$C$47</c:f>
              <c:strCache>
                <c:ptCount val="12"/>
                <c:pt idx="0">
                  <c:v>Negative income</c:v>
                </c:pt>
                <c:pt idx="1">
                  <c:v>Nil income</c:v>
                </c:pt>
                <c:pt idx="2">
                  <c:v>$1-$10,399</c:v>
                </c:pt>
                <c:pt idx="3">
                  <c:v>$10,400-$15,599</c:v>
                </c:pt>
                <c:pt idx="4">
                  <c:v>$15,600-$20,799</c:v>
                </c:pt>
                <c:pt idx="5">
                  <c:v>$20,800-$31,199</c:v>
                </c:pt>
                <c:pt idx="6">
                  <c:v>$31,200-$41,599</c:v>
                </c:pt>
                <c:pt idx="7">
                  <c:v>$41,600-$51,999</c:v>
                </c:pt>
                <c:pt idx="8">
                  <c:v>$52,000-$64,999</c:v>
                </c:pt>
                <c:pt idx="9">
                  <c:v>$65,000-$77,999</c:v>
                </c:pt>
                <c:pt idx="10">
                  <c:v>$78,000-$103,999</c:v>
                </c:pt>
                <c:pt idx="11">
                  <c:v>$104,000 or more</c:v>
                </c:pt>
              </c:strCache>
            </c:strRef>
          </c:cat>
          <c:val>
            <c:numRef>
              <c:f>Inc!$D$36:$D$47</c:f>
              <c:numCache>
                <c:formatCode>0.00%</c:formatCode>
                <c:ptCount val="12"/>
                <c:pt idx="0">
                  <c:v>0.00084202344711445</c:v>
                </c:pt>
                <c:pt idx="1">
                  <c:v>0.00395103309799857</c:v>
                </c:pt>
                <c:pt idx="2">
                  <c:v>0.0154155061856338</c:v>
                </c:pt>
                <c:pt idx="3">
                  <c:v>0.0175529503206166</c:v>
                </c:pt>
                <c:pt idx="4">
                  <c:v>0.0222812358313362</c:v>
                </c:pt>
                <c:pt idx="5">
                  <c:v>0.0540190426841117</c:v>
                </c:pt>
                <c:pt idx="6">
                  <c:v>0.0905499060820001</c:v>
                </c:pt>
                <c:pt idx="7">
                  <c:v>0.107325603989896</c:v>
                </c:pt>
                <c:pt idx="8">
                  <c:v>0.139257723945851</c:v>
                </c:pt>
                <c:pt idx="9">
                  <c:v>0.128505732236544</c:v>
                </c:pt>
                <c:pt idx="10">
                  <c:v>0.183042943195803</c:v>
                </c:pt>
                <c:pt idx="11">
                  <c:v>0.226439536239394</c:v>
                </c:pt>
              </c:numCache>
            </c:numRef>
          </c:val>
          <c:smooth val="0"/>
        </c:ser>
        <c:ser>
          <c:idx val="1"/>
          <c:order val="1"/>
          <c:tx>
            <c:strRef>
              <c:f>Inc!$E$35</c:f>
              <c:strCache>
                <c:ptCount val="1"/>
                <c:pt idx="0">
                  <c:v>Mid Melbourne</c:v>
                </c:pt>
              </c:strCache>
            </c:strRef>
          </c:tx>
          <c:spPr>
            <a:ln w="19050" cmpd="sng">
              <a:solidFill>
                <a:schemeClr val="tx1">
                  <a:lumMod val="95000"/>
                  <a:lumOff val="5000"/>
                </a:schemeClr>
              </a:solidFill>
              <a:prstDash val="lgDash"/>
            </a:ln>
          </c:spPr>
          <c:marker>
            <c:symbol val="none"/>
          </c:marker>
          <c:cat>
            <c:strRef>
              <c:f>Inc!$C$36:$C$47</c:f>
              <c:strCache>
                <c:ptCount val="12"/>
                <c:pt idx="0">
                  <c:v>Negative income</c:v>
                </c:pt>
                <c:pt idx="1">
                  <c:v>Nil income</c:v>
                </c:pt>
                <c:pt idx="2">
                  <c:v>$1-$10,399</c:v>
                </c:pt>
                <c:pt idx="3">
                  <c:v>$10,400-$15,599</c:v>
                </c:pt>
                <c:pt idx="4">
                  <c:v>$15,600-$20,799</c:v>
                </c:pt>
                <c:pt idx="5">
                  <c:v>$20,800-$31,199</c:v>
                </c:pt>
                <c:pt idx="6">
                  <c:v>$31,200-$41,599</c:v>
                </c:pt>
                <c:pt idx="7">
                  <c:v>$41,600-$51,999</c:v>
                </c:pt>
                <c:pt idx="8">
                  <c:v>$52,000-$64,999</c:v>
                </c:pt>
                <c:pt idx="9">
                  <c:v>$65,000-$77,999</c:v>
                </c:pt>
                <c:pt idx="10">
                  <c:v>$78,000-$103,999</c:v>
                </c:pt>
                <c:pt idx="11">
                  <c:v>$104,000 or more</c:v>
                </c:pt>
              </c:strCache>
            </c:strRef>
          </c:cat>
          <c:val>
            <c:numRef>
              <c:f>Inc!$E$36:$E$47</c:f>
              <c:numCache>
                <c:formatCode>0.00%</c:formatCode>
                <c:ptCount val="12"/>
                <c:pt idx="0">
                  <c:v>0.00140881147540984</c:v>
                </c:pt>
                <c:pt idx="1">
                  <c:v>0.00537909836065574</c:v>
                </c:pt>
                <c:pt idx="2">
                  <c:v>0.0236296106557377</c:v>
                </c:pt>
                <c:pt idx="3">
                  <c:v>0.0287525614754098</c:v>
                </c:pt>
                <c:pt idx="4">
                  <c:v>0.0356685450819672</c:v>
                </c:pt>
                <c:pt idx="5">
                  <c:v>0.0819672131147541</c:v>
                </c:pt>
                <c:pt idx="6">
                  <c:v>0.128457991803279</c:v>
                </c:pt>
                <c:pt idx="7">
                  <c:v>0.136846823770492</c:v>
                </c:pt>
                <c:pt idx="8">
                  <c:v>0.171106557377049</c:v>
                </c:pt>
                <c:pt idx="9">
                  <c:v>0.123527151639344</c:v>
                </c:pt>
                <c:pt idx="10">
                  <c:v>0.143506659836066</c:v>
                </c:pt>
                <c:pt idx="11">
                  <c:v>0.105532786885246</c:v>
                </c:pt>
              </c:numCache>
            </c:numRef>
          </c:val>
          <c:smooth val="0"/>
        </c:ser>
        <c:ser>
          <c:idx val="2"/>
          <c:order val="2"/>
          <c:tx>
            <c:strRef>
              <c:f>Inc!$F$35</c:f>
              <c:strCache>
                <c:ptCount val="1"/>
                <c:pt idx="0">
                  <c:v>Outer Melbourne</c:v>
                </c:pt>
              </c:strCache>
            </c:strRef>
          </c:tx>
          <c:spPr>
            <a:ln w="19050" cmpd="sng">
              <a:solidFill>
                <a:schemeClr val="tx1"/>
              </a:solidFill>
              <a:prstDash val="sysDot"/>
            </a:ln>
          </c:spPr>
          <c:marker>
            <c:symbol val="none"/>
          </c:marker>
          <c:cat>
            <c:strRef>
              <c:f>Inc!$C$36:$C$47</c:f>
              <c:strCache>
                <c:ptCount val="12"/>
                <c:pt idx="0">
                  <c:v>Negative income</c:v>
                </c:pt>
                <c:pt idx="1">
                  <c:v>Nil income</c:v>
                </c:pt>
                <c:pt idx="2">
                  <c:v>$1-$10,399</c:v>
                </c:pt>
                <c:pt idx="3">
                  <c:v>$10,400-$15,599</c:v>
                </c:pt>
                <c:pt idx="4">
                  <c:v>$15,600-$20,799</c:v>
                </c:pt>
                <c:pt idx="5">
                  <c:v>$20,800-$31,199</c:v>
                </c:pt>
                <c:pt idx="6">
                  <c:v>$31,200-$41,599</c:v>
                </c:pt>
                <c:pt idx="7">
                  <c:v>$41,600-$51,999</c:v>
                </c:pt>
                <c:pt idx="8">
                  <c:v>$52,000-$64,999</c:v>
                </c:pt>
                <c:pt idx="9">
                  <c:v>$65,000-$77,999</c:v>
                </c:pt>
                <c:pt idx="10">
                  <c:v>$78,000-$103,999</c:v>
                </c:pt>
                <c:pt idx="11">
                  <c:v>$104,000 or more</c:v>
                </c:pt>
              </c:strCache>
            </c:strRef>
          </c:cat>
          <c:val>
            <c:numRef>
              <c:f>Inc!$F$36:$F$47</c:f>
              <c:numCache>
                <c:formatCode>0.00%</c:formatCode>
                <c:ptCount val="12"/>
                <c:pt idx="0">
                  <c:v>0.00197199763360284</c:v>
                </c:pt>
                <c:pt idx="1">
                  <c:v>0.0042397949122461</c:v>
                </c:pt>
                <c:pt idx="2">
                  <c:v>0.0281995661605206</c:v>
                </c:pt>
                <c:pt idx="3">
                  <c:v>0.029185564977322</c:v>
                </c:pt>
                <c:pt idx="4">
                  <c:v>0.0424965490041412</c:v>
                </c:pt>
                <c:pt idx="5">
                  <c:v>0.109248668901597</c:v>
                </c:pt>
                <c:pt idx="6">
                  <c:v>0.155787813054624</c:v>
                </c:pt>
                <c:pt idx="7">
                  <c:v>0.148097022283573</c:v>
                </c:pt>
                <c:pt idx="8">
                  <c:v>0.151548018142378</c:v>
                </c:pt>
                <c:pt idx="9">
                  <c:v>0.11141786629856</c:v>
                </c:pt>
                <c:pt idx="10">
                  <c:v>0.118517057779531</c:v>
                </c:pt>
                <c:pt idx="11">
                  <c:v>0.0855846972983632</c:v>
                </c:pt>
              </c:numCache>
            </c:numRef>
          </c:val>
          <c:smooth val="0"/>
        </c:ser>
        <c:ser>
          <c:idx val="3"/>
          <c:order val="3"/>
          <c:tx>
            <c:strRef>
              <c:f>Inc!$G$35</c:f>
              <c:strCache>
                <c:ptCount val="1"/>
                <c:pt idx="0">
                  <c:v>Regional</c:v>
                </c:pt>
              </c:strCache>
            </c:strRef>
          </c:tx>
          <c:spPr>
            <a:ln w="19050" cmpd="sng">
              <a:solidFill>
                <a:schemeClr val="tx1">
                  <a:lumMod val="95000"/>
                  <a:lumOff val="5000"/>
                </a:schemeClr>
              </a:solidFill>
              <a:prstDash val="lgDashDotDot"/>
            </a:ln>
          </c:spPr>
          <c:marker>
            <c:symbol val="none"/>
          </c:marker>
          <c:cat>
            <c:strRef>
              <c:f>Inc!$C$36:$C$47</c:f>
              <c:strCache>
                <c:ptCount val="12"/>
                <c:pt idx="0">
                  <c:v>Negative income</c:v>
                </c:pt>
                <c:pt idx="1">
                  <c:v>Nil income</c:v>
                </c:pt>
                <c:pt idx="2">
                  <c:v>$1-$10,399</c:v>
                </c:pt>
                <c:pt idx="3">
                  <c:v>$10,400-$15,599</c:v>
                </c:pt>
                <c:pt idx="4">
                  <c:v>$15,600-$20,799</c:v>
                </c:pt>
                <c:pt idx="5">
                  <c:v>$20,800-$31,199</c:v>
                </c:pt>
                <c:pt idx="6">
                  <c:v>$31,200-$41,599</c:v>
                </c:pt>
                <c:pt idx="7">
                  <c:v>$41,600-$51,999</c:v>
                </c:pt>
                <c:pt idx="8">
                  <c:v>$52,000-$64,999</c:v>
                </c:pt>
                <c:pt idx="9">
                  <c:v>$65,000-$77,999</c:v>
                </c:pt>
                <c:pt idx="10">
                  <c:v>$78,000-$103,999</c:v>
                </c:pt>
                <c:pt idx="11">
                  <c:v>$104,000 or more</c:v>
                </c:pt>
              </c:strCache>
            </c:strRef>
          </c:cat>
          <c:val>
            <c:numRef>
              <c:f>Inc!$G$36:$G$47</c:f>
              <c:numCache>
                <c:formatCode>0.00%</c:formatCode>
                <c:ptCount val="12"/>
                <c:pt idx="0">
                  <c:v>0.00392299670600698</c:v>
                </c:pt>
                <c:pt idx="1">
                  <c:v>0.00816877162200189</c:v>
                </c:pt>
                <c:pt idx="2">
                  <c:v>0.0670219985764653</c:v>
                </c:pt>
                <c:pt idx="3">
                  <c:v>0.0532232300994819</c:v>
                </c:pt>
                <c:pt idx="4">
                  <c:v>0.0725713008789499</c:v>
                </c:pt>
                <c:pt idx="5">
                  <c:v>0.156154304537103</c:v>
                </c:pt>
                <c:pt idx="6">
                  <c:v>0.178107360998461</c:v>
                </c:pt>
                <c:pt idx="7">
                  <c:v>0.133603280750832</c:v>
                </c:pt>
                <c:pt idx="8">
                  <c:v>0.118968599473623</c:v>
                </c:pt>
                <c:pt idx="9">
                  <c:v>0.0730782281959181</c:v>
                </c:pt>
                <c:pt idx="10">
                  <c:v>0.0740775991922268</c:v>
                </c:pt>
                <c:pt idx="11">
                  <c:v>0.0462959131312797</c:v>
                </c:pt>
              </c:numCache>
            </c:numRef>
          </c:val>
          <c:smooth val="0"/>
        </c:ser>
        <c:dLbls>
          <c:showLegendKey val="0"/>
          <c:showVal val="0"/>
          <c:showCatName val="0"/>
          <c:showSerName val="0"/>
          <c:showPercent val="0"/>
          <c:showBubbleSize val="0"/>
        </c:dLbls>
        <c:marker val="1"/>
        <c:smooth val="0"/>
        <c:axId val="-2125043096"/>
        <c:axId val="-2125182152"/>
      </c:lineChart>
      <c:catAx>
        <c:axId val="-2125043096"/>
        <c:scaling>
          <c:orientation val="minMax"/>
        </c:scaling>
        <c:delete val="0"/>
        <c:axPos val="b"/>
        <c:majorTickMark val="out"/>
        <c:minorTickMark val="none"/>
        <c:tickLblPos val="nextTo"/>
        <c:crossAx val="-2125182152"/>
        <c:crosses val="autoZero"/>
        <c:auto val="1"/>
        <c:lblAlgn val="ctr"/>
        <c:lblOffset val="100"/>
        <c:noMultiLvlLbl val="0"/>
      </c:catAx>
      <c:valAx>
        <c:axId val="-2125182152"/>
        <c:scaling>
          <c:orientation val="minMax"/>
        </c:scaling>
        <c:delete val="0"/>
        <c:axPos val="l"/>
        <c:majorGridlines/>
        <c:numFmt formatCode="0.00%" sourceLinked="1"/>
        <c:majorTickMark val="out"/>
        <c:minorTickMark val="none"/>
        <c:tickLblPos val="nextTo"/>
        <c:crossAx val="-2125043096"/>
        <c:crosses val="autoZero"/>
        <c:crossBetween val="between"/>
      </c:valAx>
    </c:plotArea>
    <c:legend>
      <c:legendPos val="b"/>
      <c:overlay val="0"/>
    </c:legend>
    <c:plotVisOnly val="1"/>
    <c:dispBlanksAs val="gap"/>
    <c:showDLblsOverMax val="0"/>
  </c:chart>
  <c:spPr>
    <a:ln>
      <a:noFill/>
    </a:ln>
  </c:spPr>
  <c:txPr>
    <a:bodyPr/>
    <a:lstStyle/>
    <a:p>
      <a:pPr>
        <a:defRPr sz="900">
          <a:latin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6712</Words>
  <Characters>38264</Characters>
  <Application>Microsoft Macintosh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44887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Denham</dc:creator>
  <cp:lastModifiedBy>Lesley K  Woods</cp:lastModifiedBy>
  <cp:revision>4</cp:revision>
  <dcterms:created xsi:type="dcterms:W3CDTF">2017-07-25T04:50:00Z</dcterms:created>
  <dcterms:modified xsi:type="dcterms:W3CDTF">2018-04-24T04:50:00Z</dcterms:modified>
</cp:coreProperties>
</file>