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37A6" w14:textId="77777777" w:rsidR="00784722" w:rsidRDefault="00784722" w:rsidP="00F44B0E">
      <w:pPr>
        <w:pBdr>
          <w:bottom w:val="single" w:sz="4" w:space="1" w:color="BFBFBF" w:themeColor="background1" w:themeShade="BF"/>
        </w:pBdr>
      </w:pPr>
      <w:r>
        <w:rPr>
          <w:noProof/>
        </w:rPr>
        <w:drawing>
          <wp:inline distT="0" distB="0" distL="0" distR="0" wp14:anchorId="2352D302" wp14:editId="3B75B5BD">
            <wp:extent cx="1718945" cy="597535"/>
            <wp:effectExtent l="0" t="0" r="8255" b="12065"/>
            <wp:docPr id="3" name="Picture 24" descr="Research ACMA. Evidence that informs." title="Research 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8945" cy="59753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xmlns:asvg="http://schemas.microsoft.com/office/drawing/2016/SVG/main" xmlns:arto="http://schemas.microsoft.com/office/word/2006/arto">
                          <a:solidFill>
                            <a:srgbClr val="FFFFFF"/>
                          </a:solidFill>
                        </a14:hiddenFill>
                      </a:ext>
                    </a:extLst>
                  </pic:spPr>
                </pic:pic>
              </a:graphicData>
            </a:graphic>
          </wp:inline>
        </w:drawing>
      </w:r>
    </w:p>
    <w:p w14:paraId="405AC9C0" w14:textId="2C389BE9" w:rsidR="00F06E14" w:rsidRPr="00A51D1A" w:rsidRDefault="00B47623" w:rsidP="00A51D1A">
      <w:pPr>
        <w:pStyle w:val="Reporttitle"/>
      </w:pPr>
      <w:r>
        <w:t>N</w:t>
      </w:r>
      <w:r w:rsidR="00F44E1D">
        <w:t xml:space="preserve">atural language processing technologies in government </w:t>
      </w:r>
    </w:p>
    <w:p w14:paraId="219BC653" w14:textId="6D278532" w:rsidR="0030687B" w:rsidRDefault="00F44E1D" w:rsidP="00D849C9">
      <w:pPr>
        <w:pStyle w:val="Reportdate"/>
        <w:spacing w:after="200"/>
        <w:rPr>
          <w:caps w:val="0"/>
          <w:spacing w:val="-28"/>
          <w:sz w:val="53"/>
        </w:rPr>
      </w:pPr>
      <w:r>
        <w:rPr>
          <w:caps w:val="0"/>
          <w:spacing w:val="-28"/>
          <w:sz w:val="53"/>
        </w:rPr>
        <w:t xml:space="preserve">Occasional paper </w:t>
      </w:r>
    </w:p>
    <w:p w14:paraId="2A0D979A" w14:textId="7E9C2E19" w:rsidR="00784722" w:rsidRDefault="000C2DFC" w:rsidP="00EC2B68">
      <w:pPr>
        <w:pStyle w:val="Reportdate"/>
        <w:spacing w:after="720"/>
      </w:pPr>
      <w:r>
        <w:t>JUNE</w:t>
      </w:r>
      <w:r w:rsidR="00E84A1B">
        <w:t xml:space="preserve"> </w:t>
      </w:r>
      <w:r w:rsidR="00BD4421">
        <w:t>20</w:t>
      </w:r>
      <w:r w:rsidR="0002275E">
        <w:t>2</w:t>
      </w:r>
      <w:r w:rsidR="00F44B0E">
        <w:t>1</w:t>
      </w:r>
    </w:p>
    <w:p w14:paraId="667DA903" w14:textId="77777777" w:rsidR="00784722" w:rsidRPr="00784722" w:rsidRDefault="00784722" w:rsidP="00EC2B68">
      <w:pPr>
        <w:pStyle w:val="Reportdate"/>
        <w:spacing w:after="720"/>
        <w:sectPr w:rsidR="00784722" w:rsidRPr="00784722" w:rsidSect="005E250B">
          <w:headerReference w:type="default" r:id="rId9"/>
          <w:footerReference w:type="default" r:id="rId10"/>
          <w:headerReference w:type="first" r:id="rId11"/>
          <w:pgSz w:w="11906" w:h="16838" w:code="9"/>
          <w:pgMar w:top="3924" w:right="992" w:bottom="1440" w:left="1134" w:header="709" w:footer="454" w:gutter="0"/>
          <w:cols w:space="708"/>
          <w:docGrid w:linePitch="360"/>
        </w:sectPr>
      </w:pPr>
    </w:p>
    <w:p w14:paraId="7DC9CF86" w14:textId="77777777" w:rsidR="0005011A" w:rsidRPr="00F44F3A" w:rsidRDefault="0005011A" w:rsidP="00FC07B9">
      <w:pPr>
        <w:pStyle w:val="ACMACorporateAddressHeader"/>
      </w:pPr>
      <w:r w:rsidRPr="00F44F3A">
        <w:lastRenderedPageBreak/>
        <w:t>Canberra</w:t>
      </w:r>
    </w:p>
    <w:p w14:paraId="422B360D" w14:textId="77777777" w:rsidR="0005011A" w:rsidRPr="00FC07B9" w:rsidRDefault="0005011A" w:rsidP="00FC07B9">
      <w:pPr>
        <w:pStyle w:val="ACMACorporateAddresses"/>
      </w:pPr>
      <w:r w:rsidRPr="00FC07B9">
        <w:t xml:space="preserve">Red Building </w:t>
      </w:r>
      <w:r w:rsidRPr="00FC07B9">
        <w:br/>
        <w:t>Benjamin Offices</w:t>
      </w:r>
      <w:r w:rsidRPr="00FC07B9">
        <w:br/>
        <w:t xml:space="preserve">Chan Street </w:t>
      </w:r>
      <w:r w:rsidRPr="00FC07B9">
        <w:br/>
        <w:t>Belconnen ACT</w:t>
      </w:r>
    </w:p>
    <w:p w14:paraId="0EC559A2" w14:textId="77777777" w:rsidR="0005011A" w:rsidRPr="00FC07B9" w:rsidRDefault="0005011A" w:rsidP="00FC07B9">
      <w:pPr>
        <w:pStyle w:val="ACMACorporateAddresses"/>
      </w:pPr>
      <w:r w:rsidRPr="00FC07B9">
        <w:t>PO Box 78</w:t>
      </w:r>
      <w:r w:rsidRPr="00FC07B9">
        <w:br/>
        <w:t>Belconnen ACT 2616</w:t>
      </w:r>
    </w:p>
    <w:p w14:paraId="440C4536" w14:textId="77777777" w:rsidR="00FE1823" w:rsidRPr="00FC07B9" w:rsidRDefault="0005011A" w:rsidP="00FC07B9">
      <w:pPr>
        <w:pStyle w:val="ACMACorporateAddresses"/>
      </w:pPr>
      <w:r w:rsidRPr="00FC07B9">
        <w:t>T</w:t>
      </w:r>
      <w:r w:rsidR="00537604" w:rsidRPr="00FC07B9">
        <w:tab/>
      </w:r>
      <w:r w:rsidRPr="00FC07B9">
        <w:t>+61 2 6219 5555</w:t>
      </w:r>
      <w:r w:rsidRPr="00FC07B9">
        <w:br/>
        <w:t>F</w:t>
      </w:r>
      <w:r w:rsidR="00537604" w:rsidRPr="00FC07B9">
        <w:tab/>
      </w:r>
      <w:r w:rsidRPr="00FC07B9">
        <w:t>+61 2 6219 5353</w:t>
      </w:r>
    </w:p>
    <w:p w14:paraId="25C80CA6" w14:textId="77777777" w:rsidR="0005011A" w:rsidRPr="00F44F3A" w:rsidRDefault="0005011A" w:rsidP="00FC07B9">
      <w:pPr>
        <w:pStyle w:val="ACMACorporateAddressHeader"/>
      </w:pPr>
      <w:r w:rsidRPr="00F44F3A">
        <w:t>Melbourne</w:t>
      </w:r>
    </w:p>
    <w:p w14:paraId="069A0297" w14:textId="77777777" w:rsidR="0005011A" w:rsidRPr="00F44F3A" w:rsidRDefault="0005011A" w:rsidP="00FC07B9">
      <w:pPr>
        <w:pStyle w:val="ACMACorporateAddresses"/>
      </w:pPr>
      <w:r w:rsidRPr="00F44F3A">
        <w:t xml:space="preserve">Level 32 </w:t>
      </w:r>
      <w:r w:rsidRPr="00F44F3A">
        <w:br/>
        <w:t>Melbourne Central Tower</w:t>
      </w:r>
      <w:r w:rsidRPr="00F44F3A">
        <w:br/>
        <w:t xml:space="preserve">360 Elizabeth Street </w:t>
      </w:r>
      <w:r w:rsidR="008C10F4" w:rsidRPr="00F44F3A">
        <w:br/>
      </w:r>
      <w:r w:rsidRPr="00F44F3A">
        <w:t>Melbourne VIC</w:t>
      </w:r>
    </w:p>
    <w:p w14:paraId="5D621CDE" w14:textId="77777777" w:rsidR="0005011A" w:rsidRPr="00F44F3A" w:rsidRDefault="0005011A" w:rsidP="00FC07B9">
      <w:pPr>
        <w:pStyle w:val="ACMACorporateAddresses"/>
      </w:pPr>
      <w:r w:rsidRPr="00F44F3A">
        <w:t>PO Box 13112</w:t>
      </w:r>
      <w:r w:rsidRPr="00F44F3A">
        <w:br/>
        <w:t xml:space="preserve">Law Courts </w:t>
      </w:r>
      <w:r w:rsidRPr="00F44F3A">
        <w:br/>
        <w:t>Melbourne VIC 8010</w:t>
      </w:r>
    </w:p>
    <w:p w14:paraId="17FA4B77" w14:textId="77777777" w:rsidR="0005011A" w:rsidRPr="00F44F3A" w:rsidRDefault="0005011A" w:rsidP="00FC07B9">
      <w:pPr>
        <w:pStyle w:val="ACMACorporateAddresses"/>
      </w:pPr>
      <w:r w:rsidRPr="00F44F3A">
        <w:t>T</w:t>
      </w:r>
      <w:r w:rsidR="00140318" w:rsidRPr="00F44F3A">
        <w:tab/>
      </w:r>
      <w:r w:rsidRPr="00F44F3A">
        <w:t>+61 3 9963 6800</w:t>
      </w:r>
      <w:r w:rsidRPr="00F44F3A">
        <w:br/>
        <w:t>F</w:t>
      </w:r>
      <w:r w:rsidR="00140318" w:rsidRPr="00F44F3A">
        <w:tab/>
      </w:r>
      <w:r w:rsidRPr="00F44F3A">
        <w:t>+61 3 9963 6899</w:t>
      </w:r>
    </w:p>
    <w:p w14:paraId="782DCD66" w14:textId="091C717E" w:rsidR="0005011A" w:rsidRPr="00F44F3A" w:rsidRDefault="0005011A" w:rsidP="000C2DFC">
      <w:pPr>
        <w:pStyle w:val="ACMACorporateAddressHeader"/>
        <w:tabs>
          <w:tab w:val="left" w:pos="3630"/>
        </w:tabs>
      </w:pPr>
      <w:r w:rsidRPr="00F44F3A">
        <w:t>Sydney</w:t>
      </w:r>
      <w:r w:rsidR="000C2DFC">
        <w:tab/>
      </w:r>
    </w:p>
    <w:p w14:paraId="102DB29A" w14:textId="77777777" w:rsidR="0005011A" w:rsidRPr="00F44F3A" w:rsidRDefault="0005011A" w:rsidP="00FC07B9">
      <w:pPr>
        <w:pStyle w:val="ACMACorporateAddresses"/>
      </w:pPr>
      <w:r w:rsidRPr="00F44F3A">
        <w:t xml:space="preserve">Level 5 </w:t>
      </w:r>
      <w:r w:rsidRPr="00F44F3A">
        <w:br/>
        <w:t>The Bay Centre</w:t>
      </w:r>
      <w:r w:rsidRPr="00F44F3A">
        <w:br/>
        <w:t xml:space="preserve">65 Pirrama Road </w:t>
      </w:r>
      <w:r w:rsidRPr="00F44F3A">
        <w:br/>
        <w:t>Pyrmont NSW</w:t>
      </w:r>
    </w:p>
    <w:p w14:paraId="44296AD4" w14:textId="77777777" w:rsidR="0005011A" w:rsidRPr="00F44F3A" w:rsidRDefault="0005011A" w:rsidP="00FC07B9">
      <w:pPr>
        <w:pStyle w:val="ACMACorporateAddresses"/>
      </w:pPr>
      <w:r w:rsidRPr="00F44F3A">
        <w:t>PO Box Q500</w:t>
      </w:r>
      <w:r w:rsidRPr="00F44F3A">
        <w:br/>
        <w:t xml:space="preserve">Queen Victoria Building </w:t>
      </w:r>
      <w:r w:rsidRPr="00F44F3A">
        <w:br/>
        <w:t>NSW 1230</w:t>
      </w:r>
    </w:p>
    <w:p w14:paraId="03F4194A" w14:textId="77777777" w:rsidR="0005011A" w:rsidRPr="00F44F3A" w:rsidRDefault="0005011A" w:rsidP="00FC07B9">
      <w:pPr>
        <w:pStyle w:val="ACMACorporateAddresses"/>
      </w:pPr>
      <w:r w:rsidRPr="00F44F3A">
        <w:t>T</w:t>
      </w:r>
      <w:r w:rsidR="00140318" w:rsidRPr="00F44F3A">
        <w:tab/>
      </w:r>
      <w:r w:rsidRPr="00F44F3A">
        <w:t>+61 2 9334 7700</w:t>
      </w:r>
      <w:r w:rsidR="00140318" w:rsidRPr="00F44F3A">
        <w:t xml:space="preserve"> or</w:t>
      </w:r>
      <w:r w:rsidRPr="00F44F3A">
        <w:t xml:space="preserve"> 1800 226 667</w:t>
      </w:r>
      <w:r w:rsidRPr="00F44F3A">
        <w:br/>
        <w:t>F</w:t>
      </w:r>
      <w:r w:rsidR="00140318" w:rsidRPr="00F44F3A">
        <w:tab/>
      </w:r>
      <w:r w:rsidRPr="00F44F3A">
        <w:t>+61 2 9334 7799</w:t>
      </w:r>
    </w:p>
    <w:p w14:paraId="467AF04B" w14:textId="77777777" w:rsidR="00140318" w:rsidRPr="006D46E5" w:rsidRDefault="00140318" w:rsidP="00FC07B9">
      <w:pPr>
        <w:pStyle w:val="ACMACopyrightHeader"/>
      </w:pPr>
      <w:r w:rsidRPr="00140318">
        <w:t>Copyright notice</w:t>
      </w:r>
    </w:p>
    <w:p w14:paraId="756140DD" w14:textId="77777777" w:rsidR="00140318" w:rsidRPr="006D46E5" w:rsidRDefault="00623FF9" w:rsidP="00623FF9">
      <w:pPr>
        <w:pStyle w:val="ACMACClogo"/>
      </w:pPr>
      <w:r>
        <w:rPr>
          <w:noProof/>
        </w:rPr>
        <w:drawing>
          <wp:inline distT="0" distB="0" distL="0" distR="0" wp14:anchorId="2DC9EE7A" wp14:editId="54CE3B8B">
            <wp:extent cx="838200" cy="295275"/>
            <wp:effectExtent l="0" t="0" r="0" b="0"/>
            <wp:docPr id="1" name="Picture 1" title="Creative Commons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2F025366" w14:textId="77777777" w:rsidR="00AA2DE5" w:rsidRDefault="00A94EFE" w:rsidP="00AA2DE5">
      <w:pPr>
        <w:pStyle w:val="ACMACorporateAddresses"/>
        <w:rPr>
          <w:rStyle w:val="Hyperlink"/>
        </w:rPr>
      </w:pPr>
      <w:hyperlink r:id="rId14" w:history="1">
        <w:r w:rsidR="00AA2DE5">
          <w:rPr>
            <w:rStyle w:val="Hyperlink"/>
          </w:rPr>
          <w:t>https://creativecommons.org/licenses/by/4.0/</w:t>
        </w:r>
      </w:hyperlink>
    </w:p>
    <w:p w14:paraId="0746464D" w14:textId="77777777" w:rsidR="00AA2DE5" w:rsidRDefault="00AA2DE5" w:rsidP="00AA2DE5">
      <w:pPr>
        <w:pStyle w:val="ACMACorporateAddresses"/>
      </w:pPr>
      <w:r>
        <w:t xml:space="preserve">With the exception of coats of arms, logos, emblems, images, other third-party material or devices protected by a trademark, this content is made available under the terms of the Creative Commons Attribution 4.0 International (CC BY 4.0) licence. </w:t>
      </w:r>
    </w:p>
    <w:p w14:paraId="2E03AE13" w14:textId="77777777" w:rsidR="00AA2DE5" w:rsidRDefault="00AA2DE5" w:rsidP="00AA2DE5">
      <w:pPr>
        <w:pStyle w:val="ACMACorporateAddresses"/>
      </w:pPr>
      <w:r>
        <w:t>We request attribution as © Commonwealth of Australia (Australian Communications and Media Authority) 20</w:t>
      </w:r>
      <w:r w:rsidR="0053036B">
        <w:t>2</w:t>
      </w:r>
      <w:r w:rsidR="00F44B0E">
        <w:t>1</w:t>
      </w:r>
      <w:r>
        <w:t>.</w:t>
      </w:r>
    </w:p>
    <w:p w14:paraId="5E39C7EC" w14:textId="77777777" w:rsidR="00AA2DE5" w:rsidRDefault="00AA2DE5" w:rsidP="00AA2DE5">
      <w:pPr>
        <w:pStyle w:val="ACMACorporateAddresses"/>
      </w:pPr>
      <w:r>
        <w:t>All other rights are reserved.</w:t>
      </w:r>
    </w:p>
    <w:p w14:paraId="69B78B56" w14:textId="77777777" w:rsidR="00AA2DE5" w:rsidRDefault="00AA2DE5" w:rsidP="00AA2DE5">
      <w:pPr>
        <w:pStyle w:val="ACMACorporateAddresses"/>
      </w:pPr>
      <w: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416963F1" w14:textId="77777777" w:rsidR="00AA2DE5" w:rsidRDefault="00AA2DE5" w:rsidP="00AA2DE5">
      <w:pPr>
        <w:pStyle w:val="ACMACorporateAddresses"/>
      </w:pPr>
      <w:r>
        <w:t>Written enquiries may be sent to:</w:t>
      </w:r>
    </w:p>
    <w:p w14:paraId="032BFE81" w14:textId="77777777" w:rsidR="00AA2DE5" w:rsidRDefault="00AA2DE5" w:rsidP="00AA2DE5">
      <w:pPr>
        <w:pStyle w:val="ACMACorporateAddresses"/>
        <w:rPr>
          <w:rStyle w:val="Hyperlink"/>
        </w:rPr>
      </w:pPr>
      <w:r>
        <w:t xml:space="preserve">Manager, Editorial </w:t>
      </w:r>
      <w:r w:rsidR="000245E5">
        <w:t>Services</w:t>
      </w:r>
      <w:r>
        <w:br/>
        <w:t>PO Box 13112</w:t>
      </w:r>
      <w:r>
        <w:br/>
        <w:t>Law Courts</w:t>
      </w:r>
      <w:r>
        <w:br/>
        <w:t>Melbourne VIC 8010</w:t>
      </w:r>
      <w:r>
        <w:br/>
        <w:t xml:space="preserve">Email: </w:t>
      </w:r>
      <w:hyperlink r:id="rId15" w:history="1">
        <w:r>
          <w:rPr>
            <w:rStyle w:val="Hyperlink"/>
          </w:rPr>
          <w:t>info@acma.gov.au</w:t>
        </w:r>
      </w:hyperlink>
    </w:p>
    <w:p w14:paraId="49CF4832" w14:textId="77777777" w:rsidR="00D16FE3" w:rsidRDefault="00D16FE3" w:rsidP="00D16FE3">
      <w:pPr>
        <w:pStyle w:val="ACMACorporateAddresses"/>
        <w:rPr>
          <w:rStyle w:val="Hyperlink"/>
        </w:rPr>
      </w:pPr>
    </w:p>
    <w:p w14:paraId="30117BE3" w14:textId="77777777" w:rsidR="00D16FE3" w:rsidRPr="00D16FE3" w:rsidRDefault="00D16FE3" w:rsidP="00D16FE3">
      <w:pPr>
        <w:pStyle w:val="ACMACorporateAddresses"/>
        <w:sectPr w:rsidR="00D16FE3" w:rsidRPr="00D16FE3">
          <w:headerReference w:type="even" r:id="rId16"/>
          <w:headerReference w:type="default" r:id="rId17"/>
          <w:footerReference w:type="even" r:id="rId18"/>
          <w:footerReference w:type="default" r:id="rId19"/>
          <w:pgSz w:w="11906" w:h="16838" w:code="9"/>
          <w:pgMar w:top="3924" w:right="1797" w:bottom="697" w:left="1134" w:header="709" w:footer="119" w:gutter="0"/>
          <w:cols w:space="708"/>
          <w:docGrid w:linePitch="360"/>
        </w:sectPr>
      </w:pPr>
    </w:p>
    <w:p w14:paraId="57231385" w14:textId="6FCD9E7F" w:rsidR="00A94EFE" w:rsidRDefault="009B24A5">
      <w:pPr>
        <w:pStyle w:val="TOC1"/>
        <w:rPr>
          <w:rFonts w:asciiTheme="minorHAnsi" w:eastAsiaTheme="minorEastAsia" w:hAnsiTheme="minorHAnsi" w:cstheme="minorBidi"/>
          <w:b w:val="0"/>
          <w:spacing w:val="0"/>
          <w:sz w:val="22"/>
          <w:szCs w:val="22"/>
        </w:rPr>
      </w:pPr>
      <w:r>
        <w:rPr>
          <w:rFonts w:cs="Arial"/>
        </w:rPr>
        <w:lastRenderedPageBreak/>
        <w:fldChar w:fldCharType="begin"/>
      </w:r>
      <w:r>
        <w:rPr>
          <w:rFonts w:cs="Arial"/>
        </w:rPr>
        <w:instrText xml:space="preserve"> TOC \o "1-3" \t "Exec summary heading,1" </w:instrText>
      </w:r>
      <w:r>
        <w:rPr>
          <w:rFonts w:cs="Arial"/>
        </w:rPr>
        <w:fldChar w:fldCharType="separate"/>
      </w:r>
      <w:r w:rsidR="00A94EFE">
        <w:t>Executive summary</w:t>
      </w:r>
      <w:r w:rsidR="00A94EFE">
        <w:tab/>
      </w:r>
      <w:r w:rsidR="00A94EFE">
        <w:fldChar w:fldCharType="begin"/>
      </w:r>
      <w:r w:rsidR="00A94EFE">
        <w:instrText xml:space="preserve"> PAGEREF _Toc73683717 \h </w:instrText>
      </w:r>
      <w:r w:rsidR="00A94EFE">
        <w:fldChar w:fldCharType="separate"/>
      </w:r>
      <w:r w:rsidR="00A94EFE">
        <w:t>1</w:t>
      </w:r>
      <w:r w:rsidR="00A94EFE">
        <w:fldChar w:fldCharType="end"/>
      </w:r>
    </w:p>
    <w:p w14:paraId="77B0CC60" w14:textId="15D4C4C6" w:rsidR="00A94EFE" w:rsidRDefault="00A94EFE">
      <w:pPr>
        <w:pStyle w:val="TOC2"/>
        <w:rPr>
          <w:rFonts w:asciiTheme="minorHAnsi" w:eastAsiaTheme="minorEastAsia" w:hAnsiTheme="minorHAnsi" w:cstheme="minorBidi"/>
          <w:spacing w:val="0"/>
          <w:sz w:val="22"/>
          <w:szCs w:val="22"/>
        </w:rPr>
      </w:pPr>
      <w:r>
        <w:t>Key points</w:t>
      </w:r>
      <w:r>
        <w:tab/>
      </w:r>
      <w:r>
        <w:fldChar w:fldCharType="begin"/>
      </w:r>
      <w:r>
        <w:instrText xml:space="preserve"> PAGEREF _Toc73683718 \h </w:instrText>
      </w:r>
      <w:r>
        <w:fldChar w:fldCharType="separate"/>
      </w:r>
      <w:r>
        <w:t>1</w:t>
      </w:r>
      <w:r>
        <w:fldChar w:fldCharType="end"/>
      </w:r>
    </w:p>
    <w:p w14:paraId="549D70C4" w14:textId="125D9AD1" w:rsidR="00A94EFE" w:rsidRDefault="00A94EFE">
      <w:pPr>
        <w:pStyle w:val="TOC1"/>
        <w:rPr>
          <w:rFonts w:asciiTheme="minorHAnsi" w:eastAsiaTheme="minorEastAsia" w:hAnsiTheme="minorHAnsi" w:cstheme="minorBidi"/>
          <w:b w:val="0"/>
          <w:spacing w:val="0"/>
          <w:sz w:val="22"/>
          <w:szCs w:val="22"/>
        </w:rPr>
      </w:pPr>
      <w:r>
        <w:t>About the research</w:t>
      </w:r>
      <w:r>
        <w:tab/>
      </w:r>
      <w:r>
        <w:fldChar w:fldCharType="begin"/>
      </w:r>
      <w:r>
        <w:instrText xml:space="preserve"> PAGEREF _Toc73683719 \h </w:instrText>
      </w:r>
      <w:r>
        <w:fldChar w:fldCharType="separate"/>
      </w:r>
      <w:r>
        <w:t>3</w:t>
      </w:r>
      <w:r>
        <w:fldChar w:fldCharType="end"/>
      </w:r>
    </w:p>
    <w:p w14:paraId="36FBECA4" w14:textId="6E83691D" w:rsidR="00A94EFE" w:rsidRDefault="00A94EFE">
      <w:pPr>
        <w:pStyle w:val="TOC2"/>
        <w:rPr>
          <w:rFonts w:asciiTheme="minorHAnsi" w:eastAsiaTheme="minorEastAsia" w:hAnsiTheme="minorHAnsi" w:cstheme="minorBidi"/>
          <w:spacing w:val="0"/>
          <w:sz w:val="22"/>
          <w:szCs w:val="22"/>
        </w:rPr>
      </w:pPr>
      <w:r w:rsidRPr="00061BAC">
        <w:t>researchacma</w:t>
      </w:r>
      <w:r>
        <w:tab/>
      </w:r>
      <w:r>
        <w:fldChar w:fldCharType="begin"/>
      </w:r>
      <w:r>
        <w:instrText xml:space="preserve"> PAGEREF _Toc73683720 \h </w:instrText>
      </w:r>
      <w:r>
        <w:fldChar w:fldCharType="separate"/>
      </w:r>
      <w:r>
        <w:t>3</w:t>
      </w:r>
      <w:r>
        <w:fldChar w:fldCharType="end"/>
      </w:r>
    </w:p>
    <w:p w14:paraId="79B21675" w14:textId="442F10E3" w:rsidR="00A94EFE" w:rsidRDefault="00A94EFE">
      <w:pPr>
        <w:pStyle w:val="TOC1"/>
        <w:rPr>
          <w:rFonts w:asciiTheme="minorHAnsi" w:eastAsiaTheme="minorEastAsia" w:hAnsiTheme="minorHAnsi" w:cstheme="minorBidi"/>
          <w:b w:val="0"/>
          <w:spacing w:val="0"/>
          <w:sz w:val="22"/>
          <w:szCs w:val="22"/>
        </w:rPr>
      </w:pPr>
      <w:r>
        <w:t>Introduction</w:t>
      </w:r>
      <w:r>
        <w:tab/>
      </w:r>
      <w:r>
        <w:fldChar w:fldCharType="begin"/>
      </w:r>
      <w:r>
        <w:instrText xml:space="preserve"> PAGEREF _Toc73683721 \h </w:instrText>
      </w:r>
      <w:r>
        <w:fldChar w:fldCharType="separate"/>
      </w:r>
      <w:r>
        <w:t>4</w:t>
      </w:r>
      <w:r>
        <w:fldChar w:fldCharType="end"/>
      </w:r>
    </w:p>
    <w:p w14:paraId="40148043" w14:textId="146DD1D9" w:rsidR="00A94EFE" w:rsidRDefault="00A94EFE">
      <w:pPr>
        <w:pStyle w:val="TOC2"/>
        <w:rPr>
          <w:rFonts w:asciiTheme="minorHAnsi" w:eastAsiaTheme="minorEastAsia" w:hAnsiTheme="minorHAnsi" w:cstheme="minorBidi"/>
          <w:spacing w:val="0"/>
          <w:sz w:val="22"/>
          <w:szCs w:val="22"/>
        </w:rPr>
      </w:pPr>
      <w:r>
        <w:t>Technology overview</w:t>
      </w:r>
      <w:r>
        <w:tab/>
      </w:r>
      <w:r>
        <w:fldChar w:fldCharType="begin"/>
      </w:r>
      <w:r>
        <w:instrText xml:space="preserve"> PAGEREF _Toc73683722 \h </w:instrText>
      </w:r>
      <w:r>
        <w:fldChar w:fldCharType="separate"/>
      </w:r>
      <w:r>
        <w:t>4</w:t>
      </w:r>
      <w:r>
        <w:fldChar w:fldCharType="end"/>
      </w:r>
    </w:p>
    <w:p w14:paraId="6D896A9F" w14:textId="584BA072" w:rsidR="00A94EFE" w:rsidRDefault="00A94EFE">
      <w:pPr>
        <w:pStyle w:val="TOC1"/>
        <w:rPr>
          <w:rFonts w:asciiTheme="minorHAnsi" w:eastAsiaTheme="minorEastAsia" w:hAnsiTheme="minorHAnsi" w:cstheme="minorBidi"/>
          <w:b w:val="0"/>
          <w:spacing w:val="0"/>
          <w:sz w:val="22"/>
          <w:szCs w:val="22"/>
        </w:rPr>
      </w:pPr>
      <w:r>
        <w:t>NLP use-cases for regulators</w:t>
      </w:r>
      <w:r>
        <w:tab/>
      </w:r>
      <w:r>
        <w:fldChar w:fldCharType="begin"/>
      </w:r>
      <w:r>
        <w:instrText xml:space="preserve"> PAGEREF _Toc73683723 \h </w:instrText>
      </w:r>
      <w:r>
        <w:fldChar w:fldCharType="separate"/>
      </w:r>
      <w:r>
        <w:t>7</w:t>
      </w:r>
      <w:r>
        <w:fldChar w:fldCharType="end"/>
      </w:r>
    </w:p>
    <w:p w14:paraId="4BCC3F43" w14:textId="5A3E7A98" w:rsidR="00A94EFE" w:rsidRDefault="00A94EFE">
      <w:pPr>
        <w:pStyle w:val="TOC2"/>
        <w:rPr>
          <w:rFonts w:asciiTheme="minorHAnsi" w:eastAsiaTheme="minorEastAsia" w:hAnsiTheme="minorHAnsi" w:cstheme="minorBidi"/>
          <w:spacing w:val="0"/>
          <w:sz w:val="22"/>
          <w:szCs w:val="22"/>
        </w:rPr>
      </w:pPr>
      <w:r>
        <w:t>Monitoring and issue identification</w:t>
      </w:r>
      <w:r>
        <w:tab/>
      </w:r>
      <w:r>
        <w:fldChar w:fldCharType="begin"/>
      </w:r>
      <w:r>
        <w:instrText xml:space="preserve"> PAGEREF _Toc73683724 \h </w:instrText>
      </w:r>
      <w:r>
        <w:fldChar w:fldCharType="separate"/>
      </w:r>
      <w:r>
        <w:t>9</w:t>
      </w:r>
      <w:r>
        <w:fldChar w:fldCharType="end"/>
      </w:r>
    </w:p>
    <w:p w14:paraId="75A3BD96" w14:textId="17685CF3" w:rsidR="00A94EFE" w:rsidRDefault="00A94EFE">
      <w:pPr>
        <w:pStyle w:val="TOC3"/>
        <w:rPr>
          <w:rFonts w:asciiTheme="minorHAnsi" w:eastAsiaTheme="minorEastAsia" w:hAnsiTheme="minorHAnsi" w:cstheme="minorBidi"/>
        </w:rPr>
      </w:pPr>
      <w:r>
        <w:t>Topic or theme discovery</w:t>
      </w:r>
      <w:r>
        <w:tab/>
      </w:r>
      <w:r>
        <w:fldChar w:fldCharType="begin"/>
      </w:r>
      <w:r>
        <w:instrText xml:space="preserve"> PAGEREF _Toc73683725 \h </w:instrText>
      </w:r>
      <w:r>
        <w:fldChar w:fldCharType="separate"/>
      </w:r>
      <w:r>
        <w:t>9</w:t>
      </w:r>
      <w:r>
        <w:fldChar w:fldCharType="end"/>
      </w:r>
    </w:p>
    <w:p w14:paraId="25AD11F0" w14:textId="1B043CC9" w:rsidR="00A94EFE" w:rsidRDefault="00A94EFE">
      <w:pPr>
        <w:pStyle w:val="TOC2"/>
        <w:rPr>
          <w:rFonts w:asciiTheme="minorHAnsi" w:eastAsiaTheme="minorEastAsia" w:hAnsiTheme="minorHAnsi" w:cstheme="minorBidi"/>
          <w:spacing w:val="0"/>
          <w:sz w:val="22"/>
          <w:szCs w:val="22"/>
        </w:rPr>
      </w:pPr>
      <w:r>
        <w:t>Regulatory design</w:t>
      </w:r>
      <w:r>
        <w:tab/>
      </w:r>
      <w:r>
        <w:fldChar w:fldCharType="begin"/>
      </w:r>
      <w:r>
        <w:instrText xml:space="preserve"> PAGEREF _Toc73683726 \h </w:instrText>
      </w:r>
      <w:r>
        <w:fldChar w:fldCharType="separate"/>
      </w:r>
      <w:r>
        <w:t>10</w:t>
      </w:r>
      <w:r>
        <w:fldChar w:fldCharType="end"/>
      </w:r>
    </w:p>
    <w:p w14:paraId="7B95F422" w14:textId="0D2F805B" w:rsidR="00A94EFE" w:rsidRDefault="00A94EFE">
      <w:pPr>
        <w:pStyle w:val="TOC3"/>
        <w:rPr>
          <w:rFonts w:asciiTheme="minorHAnsi" w:eastAsiaTheme="minorEastAsia" w:hAnsiTheme="minorHAnsi" w:cstheme="minorBidi"/>
        </w:rPr>
      </w:pPr>
      <w:r>
        <w:t>Text analysis and classification</w:t>
      </w:r>
      <w:r>
        <w:tab/>
      </w:r>
      <w:r>
        <w:fldChar w:fldCharType="begin"/>
      </w:r>
      <w:r>
        <w:instrText xml:space="preserve"> PAGEREF _Toc73683727 \h </w:instrText>
      </w:r>
      <w:r>
        <w:fldChar w:fldCharType="separate"/>
      </w:r>
      <w:r>
        <w:t>10</w:t>
      </w:r>
      <w:r>
        <w:fldChar w:fldCharType="end"/>
      </w:r>
    </w:p>
    <w:p w14:paraId="42C3B549" w14:textId="6FC7D206" w:rsidR="00A94EFE" w:rsidRDefault="00A94EFE">
      <w:pPr>
        <w:pStyle w:val="TOC3"/>
        <w:rPr>
          <w:rFonts w:asciiTheme="minorHAnsi" w:eastAsiaTheme="minorEastAsia" w:hAnsiTheme="minorHAnsi" w:cstheme="minorBidi"/>
        </w:rPr>
      </w:pPr>
      <w:r>
        <w:t>Summarising text</w:t>
      </w:r>
      <w:r>
        <w:tab/>
      </w:r>
      <w:r>
        <w:fldChar w:fldCharType="begin"/>
      </w:r>
      <w:r>
        <w:instrText xml:space="preserve"> PAGEREF _Toc73683728 \h </w:instrText>
      </w:r>
      <w:r>
        <w:fldChar w:fldCharType="separate"/>
      </w:r>
      <w:r>
        <w:t>10</w:t>
      </w:r>
      <w:r>
        <w:fldChar w:fldCharType="end"/>
      </w:r>
    </w:p>
    <w:p w14:paraId="690E91F3" w14:textId="34297F7C" w:rsidR="00A94EFE" w:rsidRDefault="00A94EFE">
      <w:pPr>
        <w:pStyle w:val="TOC2"/>
        <w:rPr>
          <w:rFonts w:asciiTheme="minorHAnsi" w:eastAsiaTheme="minorEastAsia" w:hAnsiTheme="minorHAnsi" w:cstheme="minorBidi"/>
          <w:spacing w:val="0"/>
          <w:sz w:val="22"/>
          <w:szCs w:val="22"/>
        </w:rPr>
      </w:pPr>
      <w:r>
        <w:t>Compliance and enforcement</w:t>
      </w:r>
      <w:r>
        <w:tab/>
      </w:r>
      <w:r>
        <w:fldChar w:fldCharType="begin"/>
      </w:r>
      <w:r>
        <w:instrText xml:space="preserve"> PAGEREF _Toc73683729 \h </w:instrText>
      </w:r>
      <w:r>
        <w:fldChar w:fldCharType="separate"/>
      </w:r>
      <w:r>
        <w:t>11</w:t>
      </w:r>
      <w:r>
        <w:fldChar w:fldCharType="end"/>
      </w:r>
    </w:p>
    <w:p w14:paraId="6F020EB6" w14:textId="3F8F3179" w:rsidR="00A94EFE" w:rsidRDefault="00A94EFE">
      <w:pPr>
        <w:pStyle w:val="TOC3"/>
        <w:rPr>
          <w:rFonts w:asciiTheme="minorHAnsi" w:eastAsiaTheme="minorEastAsia" w:hAnsiTheme="minorHAnsi" w:cstheme="minorBidi"/>
        </w:rPr>
      </w:pPr>
      <w:r>
        <w:t>Identifying indicators of non-compliance</w:t>
      </w:r>
      <w:r>
        <w:tab/>
      </w:r>
      <w:r>
        <w:fldChar w:fldCharType="begin"/>
      </w:r>
      <w:r>
        <w:instrText xml:space="preserve"> PAGEREF _Toc73683730 \h </w:instrText>
      </w:r>
      <w:r>
        <w:fldChar w:fldCharType="separate"/>
      </w:r>
      <w:r>
        <w:t>11</w:t>
      </w:r>
      <w:r>
        <w:fldChar w:fldCharType="end"/>
      </w:r>
    </w:p>
    <w:p w14:paraId="3CFB4A7D" w14:textId="459639C4" w:rsidR="00A94EFE" w:rsidRDefault="00A94EFE">
      <w:pPr>
        <w:pStyle w:val="TOC3"/>
        <w:rPr>
          <w:rFonts w:asciiTheme="minorHAnsi" w:eastAsiaTheme="minorEastAsia" w:hAnsiTheme="minorHAnsi" w:cstheme="minorBidi"/>
        </w:rPr>
      </w:pPr>
      <w:r>
        <w:t>Information extraction</w:t>
      </w:r>
      <w:r>
        <w:tab/>
      </w:r>
      <w:r>
        <w:fldChar w:fldCharType="begin"/>
      </w:r>
      <w:r>
        <w:instrText xml:space="preserve"> PAGEREF _Toc73683731 \h </w:instrText>
      </w:r>
      <w:r>
        <w:fldChar w:fldCharType="separate"/>
      </w:r>
      <w:r>
        <w:t>13</w:t>
      </w:r>
      <w:r>
        <w:fldChar w:fldCharType="end"/>
      </w:r>
    </w:p>
    <w:p w14:paraId="0F656652" w14:textId="2864810F" w:rsidR="00A94EFE" w:rsidRDefault="00A94EFE">
      <w:pPr>
        <w:pStyle w:val="TOC2"/>
        <w:rPr>
          <w:rFonts w:asciiTheme="minorHAnsi" w:eastAsiaTheme="minorEastAsia" w:hAnsiTheme="minorHAnsi" w:cstheme="minorBidi"/>
          <w:spacing w:val="0"/>
          <w:sz w:val="22"/>
          <w:szCs w:val="22"/>
        </w:rPr>
      </w:pPr>
      <w:r>
        <w:t>Guidance and advice</w:t>
      </w:r>
      <w:r>
        <w:tab/>
      </w:r>
      <w:r>
        <w:fldChar w:fldCharType="begin"/>
      </w:r>
      <w:r>
        <w:instrText xml:space="preserve"> PAGEREF _Toc73683732 \h </w:instrText>
      </w:r>
      <w:r>
        <w:fldChar w:fldCharType="separate"/>
      </w:r>
      <w:r>
        <w:t>13</w:t>
      </w:r>
      <w:r>
        <w:fldChar w:fldCharType="end"/>
      </w:r>
    </w:p>
    <w:p w14:paraId="40130126" w14:textId="22CD1AA8" w:rsidR="00A94EFE" w:rsidRDefault="00A94EFE">
      <w:pPr>
        <w:pStyle w:val="TOC3"/>
        <w:rPr>
          <w:rFonts w:asciiTheme="minorHAnsi" w:eastAsiaTheme="minorEastAsia" w:hAnsiTheme="minorHAnsi" w:cstheme="minorBidi"/>
        </w:rPr>
      </w:pPr>
      <w:r>
        <w:t>Chatbots/virtual assistants to answer stakeholder questions</w:t>
      </w:r>
      <w:r>
        <w:tab/>
      </w:r>
      <w:r>
        <w:fldChar w:fldCharType="begin"/>
      </w:r>
      <w:r>
        <w:instrText xml:space="preserve"> PAGEREF _Toc73683733 \h </w:instrText>
      </w:r>
      <w:r>
        <w:fldChar w:fldCharType="separate"/>
      </w:r>
      <w:r>
        <w:t>13</w:t>
      </w:r>
      <w:r>
        <w:fldChar w:fldCharType="end"/>
      </w:r>
    </w:p>
    <w:p w14:paraId="341FF2D6" w14:textId="32EE445B" w:rsidR="00A94EFE" w:rsidRDefault="00A94EFE">
      <w:pPr>
        <w:pStyle w:val="TOC2"/>
        <w:rPr>
          <w:rFonts w:asciiTheme="minorHAnsi" w:eastAsiaTheme="minorEastAsia" w:hAnsiTheme="minorHAnsi" w:cstheme="minorBidi"/>
          <w:spacing w:val="0"/>
          <w:sz w:val="22"/>
          <w:szCs w:val="22"/>
        </w:rPr>
      </w:pPr>
      <w:r w:rsidRPr="00A94EFE">
        <w:t>Australian Government chatbots</w:t>
      </w:r>
      <w:r>
        <w:tab/>
      </w:r>
      <w:r>
        <w:fldChar w:fldCharType="begin"/>
      </w:r>
      <w:r>
        <w:instrText xml:space="preserve"> PAGEREF _Toc73683734 \h </w:instrText>
      </w:r>
      <w:r>
        <w:fldChar w:fldCharType="separate"/>
      </w:r>
      <w:r>
        <w:t>14</w:t>
      </w:r>
      <w:r>
        <w:fldChar w:fldCharType="end"/>
      </w:r>
    </w:p>
    <w:p w14:paraId="48B3C206" w14:textId="7FF3855A" w:rsidR="00A94EFE" w:rsidRDefault="00A94EFE">
      <w:pPr>
        <w:pStyle w:val="TOC2"/>
        <w:rPr>
          <w:rFonts w:asciiTheme="minorHAnsi" w:eastAsiaTheme="minorEastAsia" w:hAnsiTheme="minorHAnsi" w:cstheme="minorBidi"/>
          <w:spacing w:val="0"/>
          <w:sz w:val="22"/>
          <w:szCs w:val="22"/>
        </w:rPr>
      </w:pPr>
      <w:r>
        <w:t>Regulatory review</w:t>
      </w:r>
      <w:r>
        <w:tab/>
      </w:r>
      <w:r>
        <w:fldChar w:fldCharType="begin"/>
      </w:r>
      <w:r>
        <w:instrText xml:space="preserve"> PAGEREF _Toc73683735 \h </w:instrText>
      </w:r>
      <w:r>
        <w:fldChar w:fldCharType="separate"/>
      </w:r>
      <w:r>
        <w:t>14</w:t>
      </w:r>
      <w:r>
        <w:fldChar w:fldCharType="end"/>
      </w:r>
    </w:p>
    <w:p w14:paraId="3327488E" w14:textId="6DB4C4E1" w:rsidR="00A94EFE" w:rsidRDefault="00A94EFE">
      <w:pPr>
        <w:pStyle w:val="TOC3"/>
        <w:rPr>
          <w:rFonts w:asciiTheme="minorHAnsi" w:eastAsiaTheme="minorEastAsia" w:hAnsiTheme="minorHAnsi" w:cstheme="minorBidi"/>
        </w:rPr>
      </w:pPr>
      <w:r>
        <w:t>Analysing regulations</w:t>
      </w:r>
      <w:r>
        <w:tab/>
      </w:r>
      <w:r>
        <w:fldChar w:fldCharType="begin"/>
      </w:r>
      <w:r>
        <w:instrText xml:space="preserve"> PAGEREF _Toc73683736 \h </w:instrText>
      </w:r>
      <w:r>
        <w:fldChar w:fldCharType="separate"/>
      </w:r>
      <w:r>
        <w:t>14</w:t>
      </w:r>
      <w:r>
        <w:fldChar w:fldCharType="end"/>
      </w:r>
    </w:p>
    <w:p w14:paraId="05174A67" w14:textId="2C23AA40" w:rsidR="00A94EFE" w:rsidRDefault="00A94EFE">
      <w:pPr>
        <w:pStyle w:val="TOC1"/>
        <w:rPr>
          <w:rFonts w:asciiTheme="minorHAnsi" w:eastAsiaTheme="minorEastAsia" w:hAnsiTheme="minorHAnsi" w:cstheme="minorBidi"/>
          <w:b w:val="0"/>
          <w:spacing w:val="0"/>
          <w:sz w:val="22"/>
          <w:szCs w:val="22"/>
        </w:rPr>
      </w:pPr>
      <w:r>
        <w:t>Challenges</w:t>
      </w:r>
      <w:r>
        <w:tab/>
      </w:r>
      <w:r>
        <w:fldChar w:fldCharType="begin"/>
      </w:r>
      <w:r>
        <w:instrText xml:space="preserve"> PAGEREF _Toc73683737 \h </w:instrText>
      </w:r>
      <w:r>
        <w:fldChar w:fldCharType="separate"/>
      </w:r>
      <w:r>
        <w:t>16</w:t>
      </w:r>
      <w:r>
        <w:fldChar w:fldCharType="end"/>
      </w:r>
    </w:p>
    <w:p w14:paraId="698E0A96" w14:textId="1B9C1975" w:rsidR="00A94EFE" w:rsidRDefault="00A94EFE">
      <w:pPr>
        <w:pStyle w:val="TOC1"/>
        <w:rPr>
          <w:rFonts w:asciiTheme="minorHAnsi" w:eastAsiaTheme="minorEastAsia" w:hAnsiTheme="minorHAnsi" w:cstheme="minorBidi"/>
          <w:b w:val="0"/>
          <w:spacing w:val="0"/>
          <w:sz w:val="22"/>
          <w:szCs w:val="22"/>
        </w:rPr>
      </w:pPr>
      <w:r>
        <w:t>The future of NLP in regulatory practice</w:t>
      </w:r>
      <w:r>
        <w:tab/>
      </w:r>
      <w:r>
        <w:fldChar w:fldCharType="begin"/>
      </w:r>
      <w:r>
        <w:instrText xml:space="preserve"> PAGEREF _Toc73683738 \h </w:instrText>
      </w:r>
      <w:r>
        <w:fldChar w:fldCharType="separate"/>
      </w:r>
      <w:r>
        <w:t>17</w:t>
      </w:r>
      <w:r>
        <w:fldChar w:fldCharType="end"/>
      </w:r>
    </w:p>
    <w:p w14:paraId="09390D0A" w14:textId="730B5171" w:rsidR="00A94EFE" w:rsidRDefault="00A94EFE">
      <w:pPr>
        <w:pStyle w:val="TOC2"/>
        <w:rPr>
          <w:rFonts w:asciiTheme="minorHAnsi" w:eastAsiaTheme="minorEastAsia" w:hAnsiTheme="minorHAnsi" w:cstheme="minorBidi"/>
          <w:spacing w:val="0"/>
          <w:sz w:val="22"/>
          <w:szCs w:val="22"/>
        </w:rPr>
      </w:pPr>
      <w:r>
        <w:t>Potential NLP use-cases in the ACMA</w:t>
      </w:r>
      <w:r>
        <w:tab/>
      </w:r>
      <w:r>
        <w:fldChar w:fldCharType="begin"/>
      </w:r>
      <w:r>
        <w:instrText xml:space="preserve"> PAGEREF _Toc73683739 \h </w:instrText>
      </w:r>
      <w:r>
        <w:fldChar w:fldCharType="separate"/>
      </w:r>
      <w:r>
        <w:t>17</w:t>
      </w:r>
      <w:r>
        <w:fldChar w:fldCharType="end"/>
      </w:r>
    </w:p>
    <w:p w14:paraId="6CB5E55D" w14:textId="3094C628" w:rsidR="00A94EFE" w:rsidRDefault="00A94EFE">
      <w:pPr>
        <w:pStyle w:val="TOC2"/>
        <w:rPr>
          <w:rFonts w:asciiTheme="minorHAnsi" w:eastAsiaTheme="minorEastAsia" w:hAnsiTheme="minorHAnsi" w:cstheme="minorBidi"/>
          <w:spacing w:val="0"/>
          <w:sz w:val="22"/>
          <w:szCs w:val="22"/>
        </w:rPr>
      </w:pPr>
      <w:r>
        <w:t>Next steps</w:t>
      </w:r>
      <w:r>
        <w:tab/>
      </w:r>
      <w:r>
        <w:fldChar w:fldCharType="begin"/>
      </w:r>
      <w:r>
        <w:instrText xml:space="preserve"> PAGEREF _Toc73683740 \h </w:instrText>
      </w:r>
      <w:r>
        <w:fldChar w:fldCharType="separate"/>
      </w:r>
      <w:r>
        <w:t>18</w:t>
      </w:r>
      <w:r>
        <w:fldChar w:fldCharType="end"/>
      </w:r>
    </w:p>
    <w:p w14:paraId="2183B154" w14:textId="192D0B7C" w:rsidR="004D56FF" w:rsidRPr="000D76E0" w:rsidRDefault="009B24A5">
      <w:pPr>
        <w:rPr>
          <w:rFonts w:cs="Arial"/>
        </w:rPr>
        <w:sectPr w:rsidR="004D56FF" w:rsidRPr="000D76E0" w:rsidSect="00C77380">
          <w:headerReference w:type="even" r:id="rId20"/>
          <w:headerReference w:type="default" r:id="rId21"/>
          <w:footerReference w:type="even" r:id="rId22"/>
          <w:footerReference w:type="default" r:id="rId23"/>
          <w:footerReference w:type="first" r:id="rId24"/>
          <w:pgSz w:w="11906" w:h="16838" w:code="9"/>
          <w:pgMar w:top="3646" w:right="3101" w:bottom="1134" w:left="1134" w:header="709" w:footer="119" w:gutter="0"/>
          <w:cols w:space="708"/>
          <w:titlePg/>
          <w:docGrid w:linePitch="360"/>
        </w:sectPr>
      </w:pPr>
      <w:r>
        <w:rPr>
          <w:rFonts w:cs="Arial"/>
          <w:noProof/>
          <w:spacing w:val="-14"/>
          <w:sz w:val="28"/>
        </w:rPr>
        <w:fldChar w:fldCharType="end"/>
      </w:r>
    </w:p>
    <w:p w14:paraId="5436998A" w14:textId="77777777" w:rsidR="009D6C71" w:rsidRPr="009174F3" w:rsidRDefault="009D6C71" w:rsidP="009174F3">
      <w:pPr>
        <w:pStyle w:val="Execsummaryheading"/>
      </w:pPr>
      <w:bookmarkStart w:id="0" w:name="_Toc73683717"/>
      <w:r w:rsidRPr="009174F3">
        <w:lastRenderedPageBreak/>
        <w:t>Executive summary</w:t>
      </w:r>
      <w:bookmarkEnd w:id="0"/>
    </w:p>
    <w:p w14:paraId="765F5B2C" w14:textId="56ABEF40" w:rsidR="00117B29" w:rsidRDefault="00E60F6F" w:rsidP="00E60F6F">
      <w:pPr>
        <w:pStyle w:val="Paragraph"/>
      </w:pPr>
      <w:bookmarkStart w:id="1" w:name="_Toc59622594"/>
      <w:r>
        <w:t>During 2020–21, the Australian Communications and Media Authority (ACMA) completed research exploring how emerging technologies could benefit regulatory decision-making</w:t>
      </w:r>
      <w:r w:rsidR="00117B29">
        <w:t xml:space="preserve">. This included </w:t>
      </w:r>
      <w:r>
        <w:t>what role, if any, emerging technologies may have for the sectors we regulate over the medium to long</w:t>
      </w:r>
      <w:r w:rsidR="00117B29">
        <w:t xml:space="preserve"> </w:t>
      </w:r>
      <w:r>
        <w:t xml:space="preserve">term. </w:t>
      </w:r>
    </w:p>
    <w:p w14:paraId="3D05037F" w14:textId="70187C24" w:rsidR="00E60F6F" w:rsidRDefault="00E60F6F" w:rsidP="00E60F6F">
      <w:pPr>
        <w:pStyle w:val="Paragraph"/>
      </w:pPr>
      <w:r>
        <w:t>This paper</w:t>
      </w:r>
      <w:r w:rsidRPr="0030687B">
        <w:t xml:space="preserve"> co</w:t>
      </w:r>
      <w:r>
        <w:t>nsiders</w:t>
      </w:r>
      <w:r w:rsidRPr="0030687B">
        <w:t xml:space="preserve"> technology applications that include ‘natural language processing’ (NLP)</w:t>
      </w:r>
      <w:r>
        <w:t xml:space="preserve"> as a central feature. NLP is a subset of artificial intelligence (AI) that analyses and processes text and speech. </w:t>
      </w:r>
    </w:p>
    <w:p w14:paraId="0463F1F0" w14:textId="0D9D5D0D" w:rsidR="00E60F6F" w:rsidRDefault="00E60F6F" w:rsidP="00E60F6F">
      <w:pPr>
        <w:pStyle w:val="Paragraph"/>
      </w:pPr>
      <w:r>
        <w:t>This paper explores the use of NLP</w:t>
      </w:r>
      <w:r w:rsidR="000C2DFC">
        <w:t>,</w:t>
      </w:r>
      <w:r>
        <w:t xml:space="preserve"> some of the main </w:t>
      </w:r>
      <w:r w:rsidR="002536B3">
        <w:t>use</w:t>
      </w:r>
      <w:r w:rsidR="001A0B31">
        <w:t>-</w:t>
      </w:r>
      <w:r>
        <w:t>case</w:t>
      </w:r>
      <w:r w:rsidR="002536B3">
        <w:t>s</w:t>
      </w:r>
      <w:r>
        <w:t xml:space="preserve"> from compliance, regulatory design and review processes, and monitoring and issue identification. The paper identifies the benefits and challenges of NLP and the areas where it is likely to offer the greatest benefit</w:t>
      </w:r>
      <w:r w:rsidR="00051CFC">
        <w:t xml:space="preserve"> – </w:t>
      </w:r>
      <w:r>
        <w:t>in particular</w:t>
      </w:r>
      <w:r w:rsidR="00051CFC">
        <w:t>,</w:t>
      </w:r>
      <w:r>
        <w:t xml:space="preserve"> where topics and risks need to be extracted from large amounts of data to inform regulatory activities. NLP provides further benefits by analysing regulatory instruments for outdated rules. However, NLP can raise challenges across several areas</w:t>
      </w:r>
      <w:r w:rsidR="00051CFC">
        <w:t>,</w:t>
      </w:r>
      <w:r>
        <w:t xml:space="preserve"> including data </w:t>
      </w:r>
      <w:r w:rsidR="004E3665">
        <w:t>handling</w:t>
      </w:r>
      <w:r>
        <w:t xml:space="preserve"> and training and development</w:t>
      </w:r>
      <w:r w:rsidR="00051CFC">
        <w:t>,</w:t>
      </w:r>
      <w:r>
        <w:t xml:space="preserve"> which need to be considered to ensure NLP applications perform as expected. </w:t>
      </w:r>
    </w:p>
    <w:p w14:paraId="4D0AEDE9" w14:textId="77777777" w:rsidR="008106E1" w:rsidRPr="001B4716" w:rsidRDefault="008106E1" w:rsidP="008106E1">
      <w:pPr>
        <w:pStyle w:val="Heading2"/>
        <w:rPr>
          <w:rStyle w:val="Emphasis"/>
          <w:i w:val="0"/>
          <w:iCs/>
        </w:rPr>
      </w:pPr>
      <w:bookmarkStart w:id="2" w:name="_Toc67489150"/>
      <w:bookmarkStart w:id="3" w:name="_Toc73683718"/>
      <w:r w:rsidRPr="001B4716">
        <w:rPr>
          <w:rStyle w:val="Emphasis"/>
          <w:i w:val="0"/>
          <w:iCs/>
        </w:rPr>
        <w:t>Key points</w:t>
      </w:r>
      <w:bookmarkEnd w:id="2"/>
      <w:bookmarkEnd w:id="3"/>
    </w:p>
    <w:tbl>
      <w:tblPr>
        <w:tblStyle w:val="TableGrid"/>
        <w:tblW w:w="7671" w:type="dxa"/>
        <w:jc w:val="center"/>
        <w:tblBorders>
          <w:top w:val="none" w:sz="0" w:space="0" w:color="auto"/>
          <w:left w:val="single" w:sz="4" w:space="0" w:color="FFFFFF" w:themeColor="background1"/>
          <w:bottom w:val="none" w:sz="0" w:space="0" w:color="auto"/>
          <w:right w:val="none" w:sz="0" w:space="0" w:color="auto"/>
          <w:insideH w:val="single" w:sz="4" w:space="0" w:color="FFFFFF" w:themeColor="background1"/>
          <w:insideV w:val="single" w:sz="4" w:space="0" w:color="FFFFFF" w:themeColor="background1"/>
        </w:tblBorders>
        <w:tblLayout w:type="fixed"/>
        <w:tblCellMar>
          <w:top w:w="85" w:type="dxa"/>
          <w:left w:w="85" w:type="dxa"/>
          <w:bottom w:w="85" w:type="dxa"/>
          <w:right w:w="85" w:type="dxa"/>
        </w:tblCellMar>
        <w:tblLook w:val="04A0" w:firstRow="1" w:lastRow="0" w:firstColumn="1" w:lastColumn="0" w:noHBand="0" w:noVBand="1"/>
      </w:tblPr>
      <w:tblGrid>
        <w:gridCol w:w="988"/>
        <w:gridCol w:w="6683"/>
      </w:tblGrid>
      <w:tr w:rsidR="008106E1" w:rsidRPr="00080029" w14:paraId="2A97B00E" w14:textId="77777777" w:rsidTr="00D849C9">
        <w:trPr>
          <w:jc w:val="center"/>
        </w:trPr>
        <w:tc>
          <w:tcPr>
            <w:tcW w:w="988" w:type="dxa"/>
            <w:shd w:val="clear" w:color="auto" w:fill="00A0A4"/>
          </w:tcPr>
          <w:p w14:paraId="3755ED5F" w14:textId="69EBF10D" w:rsidR="008106E1" w:rsidRPr="00642F79" w:rsidRDefault="003066A1" w:rsidP="00B05BCE">
            <w:pPr>
              <w:spacing w:before="120" w:after="120"/>
              <w:jc w:val="center"/>
              <w:rPr>
                <w:rFonts w:cs="Arial"/>
              </w:rPr>
            </w:pPr>
            <w:r>
              <w:rPr>
                <w:noProof/>
              </w:rPr>
              <w:drawing>
                <wp:inline distT="0" distB="0" distL="0" distR="0" wp14:anchorId="6CA4D84F" wp14:editId="794E0BAE">
                  <wp:extent cx="523875" cy="523875"/>
                  <wp:effectExtent l="0" t="0" r="9525" b="0"/>
                  <wp:docPr id="5" name="Graphic 5" descr="Web desig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Web design outline"/>
                          <pic:cNvPicPr/>
                        </pic:nvPicPr>
                        <pic:blipFill>
                          <a:blip r:embed="rId25">
                            <a:extLst>
                              <a:ext uri="{96DAC541-7B7A-43D3-8B79-37D633B846F1}">
                                <asvg:svgBlip xmlns:asvg="http://schemas.microsoft.com/office/drawing/2016/SVG/main" r:embed="rId26"/>
                              </a:ext>
                            </a:extLst>
                          </a:blip>
                          <a:stretch>
                            <a:fillRect/>
                          </a:stretch>
                        </pic:blipFill>
                        <pic:spPr>
                          <a:xfrm>
                            <a:off x="0" y="0"/>
                            <a:ext cx="523875" cy="523875"/>
                          </a:xfrm>
                          <a:prstGeom prst="rect">
                            <a:avLst/>
                          </a:prstGeom>
                        </pic:spPr>
                      </pic:pic>
                    </a:graphicData>
                  </a:graphic>
                </wp:inline>
              </w:drawing>
            </w:r>
          </w:p>
        </w:tc>
        <w:tc>
          <w:tcPr>
            <w:tcW w:w="6683" w:type="dxa"/>
            <w:shd w:val="clear" w:color="auto" w:fill="F2F2F2" w:themeFill="background1" w:themeFillShade="F2"/>
          </w:tcPr>
          <w:p w14:paraId="7680144C" w14:textId="2C394174" w:rsidR="008106E1" w:rsidRPr="001B4716" w:rsidRDefault="00F00AE4" w:rsidP="00D849C9">
            <w:pPr>
              <w:widowControl w:val="0"/>
              <w:spacing w:after="0"/>
              <w:rPr>
                <w:rFonts w:cs="Arial"/>
                <w:szCs w:val="20"/>
              </w:rPr>
            </w:pPr>
            <w:r>
              <w:t xml:space="preserve">NLP is an umbrella term for a range of artificial intelligence technologies that analyse and process human language. NLP applications include chatbots, virtual assistants, sentiment analysis, information extraction and translation. More advanced applications </w:t>
            </w:r>
            <w:r w:rsidRPr="00F02641">
              <w:t>can</w:t>
            </w:r>
            <w:r w:rsidR="00051CFC">
              <w:t> </w:t>
            </w:r>
            <w:r w:rsidRPr="00F02641">
              <w:t>model</w:t>
            </w:r>
            <w:r>
              <w:t xml:space="preserve"> topics within and across documents and summarise or write</w:t>
            </w:r>
            <w:r w:rsidR="00051CFC">
              <w:t> </w:t>
            </w:r>
            <w:r>
              <w:t>text</w:t>
            </w:r>
            <w:r w:rsidR="00CB0501">
              <w:t>.</w:t>
            </w:r>
          </w:p>
        </w:tc>
      </w:tr>
      <w:tr w:rsidR="008106E1" w:rsidRPr="00080029" w14:paraId="0FBEE2DC" w14:textId="77777777" w:rsidTr="00D849C9">
        <w:trPr>
          <w:jc w:val="center"/>
        </w:trPr>
        <w:tc>
          <w:tcPr>
            <w:tcW w:w="988" w:type="dxa"/>
            <w:shd w:val="clear" w:color="auto" w:fill="00A0A4"/>
          </w:tcPr>
          <w:p w14:paraId="1849DA16" w14:textId="77777777" w:rsidR="008106E1" w:rsidRPr="00642F79" w:rsidRDefault="008106E1" w:rsidP="00B05BCE">
            <w:pPr>
              <w:spacing w:before="120" w:after="120"/>
              <w:jc w:val="center"/>
              <w:rPr>
                <w:rFonts w:cs="Arial"/>
              </w:rPr>
            </w:pPr>
            <w:r>
              <w:rPr>
                <w:noProof/>
              </w:rPr>
              <w:drawing>
                <wp:inline distT="0" distB="0" distL="0" distR="0" wp14:anchorId="36C0D50F" wp14:editId="1EBA7053">
                  <wp:extent cx="528638" cy="528638"/>
                  <wp:effectExtent l="0" t="0" r="0" b="5080"/>
                  <wp:docPr id="26" name="Graphic 26" descr="Lightbulb and g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4"/>
                          <pic:cNvPicPr/>
                        </pic:nvPicPr>
                        <pic:blipFill>
                          <a:blip r:embed="rId27">
                            <a:extLst>
                              <a:ext uri="{96DAC541-7B7A-43D3-8B79-37D633B846F1}">
                                <asvg:svgBlip xmlns:asvg="http://schemas.microsoft.com/office/drawing/2016/SVG/main" r:embed="rId28"/>
                              </a:ext>
                            </a:extLst>
                          </a:blip>
                          <a:stretch>
                            <a:fillRect/>
                          </a:stretch>
                        </pic:blipFill>
                        <pic:spPr>
                          <a:xfrm>
                            <a:off x="0" y="0"/>
                            <a:ext cx="528638" cy="528638"/>
                          </a:xfrm>
                          <a:prstGeom prst="rect">
                            <a:avLst/>
                          </a:prstGeom>
                        </pic:spPr>
                      </pic:pic>
                    </a:graphicData>
                  </a:graphic>
                </wp:inline>
              </w:drawing>
            </w:r>
          </w:p>
        </w:tc>
        <w:tc>
          <w:tcPr>
            <w:tcW w:w="6683" w:type="dxa"/>
            <w:shd w:val="clear" w:color="auto" w:fill="F2F2F2" w:themeFill="background1" w:themeFillShade="F2"/>
          </w:tcPr>
          <w:p w14:paraId="6CA344D1" w14:textId="2ECAC77A" w:rsidR="0011490C" w:rsidRDefault="00975BC2" w:rsidP="00D849C9">
            <w:pPr>
              <w:pStyle w:val="Paragraph"/>
              <w:spacing w:after="120"/>
            </w:pPr>
            <w:r>
              <w:t xml:space="preserve">NLP </w:t>
            </w:r>
            <w:r w:rsidR="00897E01">
              <w:t>is</w:t>
            </w:r>
            <w:r>
              <w:t xml:space="preserve"> one of the most mature AI</w:t>
            </w:r>
            <w:r w:rsidR="000D0713">
              <w:t xml:space="preserve"> </w:t>
            </w:r>
            <w:r>
              <w:t>fields</w:t>
            </w:r>
            <w:r w:rsidR="000C2DFC">
              <w:t>,</w:t>
            </w:r>
            <w:r>
              <w:t xml:space="preserve"> </w:t>
            </w:r>
            <w:r w:rsidR="00897E01">
              <w:t xml:space="preserve">with technologies </w:t>
            </w:r>
            <w:r>
              <w:t>currently being applied across a range of different industries to help businesses</w:t>
            </w:r>
            <w:r w:rsidR="00683FBB">
              <w:t>,</w:t>
            </w:r>
            <w:r>
              <w:t xml:space="preserve"> consumers and regulators </w:t>
            </w:r>
            <w:r w:rsidRPr="000C2DFC">
              <w:t xml:space="preserve">meet current and emerging </w:t>
            </w:r>
            <w:r w:rsidR="00897E01" w:rsidRPr="000C2DFC">
              <w:t xml:space="preserve">business, personal and </w:t>
            </w:r>
            <w:r w:rsidRPr="000C2DFC">
              <w:t>regulatory challenges</w:t>
            </w:r>
            <w:r>
              <w:t xml:space="preserve">. </w:t>
            </w:r>
          </w:p>
          <w:p w14:paraId="64403F07" w14:textId="30A5AB06" w:rsidR="008106E1" w:rsidRPr="001B4716" w:rsidRDefault="006953E3" w:rsidP="00D849C9">
            <w:pPr>
              <w:pStyle w:val="Paragraph"/>
              <w:spacing w:after="0"/>
            </w:pPr>
            <w:r>
              <w:t xml:space="preserve">Some of the most significant potential benefits of NLP </w:t>
            </w:r>
            <w:r w:rsidR="00897E01">
              <w:t>for</w:t>
            </w:r>
            <w:r>
              <w:t xml:space="preserve"> regulatory authorities stem from its capability to identify indicators of risk, key concepts or topics, or other matters of interest across large amounts of text. NLP can be used to identify language indicative of non-compliance, </w:t>
            </w:r>
            <w:r w:rsidR="00897E01">
              <w:t xml:space="preserve">which can facilitate more effective and efficient </w:t>
            </w:r>
            <w:r>
              <w:t xml:space="preserve">compliance and enforcement activities. </w:t>
            </w:r>
            <w:r w:rsidR="00450BD9">
              <w:t>NLP</w:t>
            </w:r>
            <w:r w:rsidR="00897E01">
              <w:t xml:space="preserve"> technologies can be </w:t>
            </w:r>
            <w:r w:rsidR="00450BD9">
              <w:t xml:space="preserve">used to identify key issues contained in </w:t>
            </w:r>
            <w:r>
              <w:t>public complaints</w:t>
            </w:r>
            <w:r w:rsidR="000C2DFC">
              <w:t>,</w:t>
            </w:r>
            <w:r>
              <w:t xml:space="preserve"> comments </w:t>
            </w:r>
            <w:r w:rsidR="00450BD9">
              <w:t>and</w:t>
            </w:r>
            <w:r>
              <w:t xml:space="preserve"> consultation submissions</w:t>
            </w:r>
            <w:r w:rsidR="000C2DFC">
              <w:t xml:space="preserve"> –</w:t>
            </w:r>
            <w:r>
              <w:t xml:space="preserve"> </w:t>
            </w:r>
            <w:r w:rsidR="00450BD9">
              <w:t xml:space="preserve">or </w:t>
            </w:r>
            <w:r>
              <w:t>to analyse regulatory instruments for outdated rules</w:t>
            </w:r>
            <w:r w:rsidR="001F29DE">
              <w:t>.</w:t>
            </w:r>
          </w:p>
        </w:tc>
      </w:tr>
      <w:tr w:rsidR="008106E1" w:rsidRPr="00080029" w14:paraId="275C3F75" w14:textId="77777777" w:rsidTr="00D849C9">
        <w:trPr>
          <w:jc w:val="center"/>
        </w:trPr>
        <w:tc>
          <w:tcPr>
            <w:tcW w:w="988" w:type="dxa"/>
            <w:shd w:val="clear" w:color="auto" w:fill="00A0A4"/>
          </w:tcPr>
          <w:p w14:paraId="2911DA4E" w14:textId="08005D1E" w:rsidR="008106E1" w:rsidRPr="00642F79" w:rsidRDefault="004B5EEF" w:rsidP="008E4D41">
            <w:pPr>
              <w:spacing w:before="120" w:after="120"/>
              <w:jc w:val="center"/>
              <w:rPr>
                <w:rFonts w:cs="Arial"/>
              </w:rPr>
            </w:pPr>
            <w:r>
              <w:rPr>
                <w:rFonts w:cs="Arial"/>
                <w:noProof/>
              </w:rPr>
              <w:drawing>
                <wp:inline distT="0" distB="0" distL="0" distR="0" wp14:anchorId="46B78920" wp14:editId="05262417">
                  <wp:extent cx="533400" cy="533400"/>
                  <wp:effectExtent l="0" t="0" r="0" b="0"/>
                  <wp:docPr id="11" name="Graphic 11" descr="Chat bubb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Chat bubble outline"/>
                          <pic:cNvPicPr/>
                        </pic:nvPicPr>
                        <pic:blipFill>
                          <a:blip r:embed="rId29">
                            <a:extLst>
                              <a:ext uri="{96DAC541-7B7A-43D3-8B79-37D633B846F1}">
                                <asvg:svgBlip xmlns:asvg="http://schemas.microsoft.com/office/drawing/2016/SVG/main" r:embed="rId30"/>
                              </a:ext>
                            </a:extLst>
                          </a:blip>
                          <a:stretch>
                            <a:fillRect/>
                          </a:stretch>
                        </pic:blipFill>
                        <pic:spPr>
                          <a:xfrm>
                            <a:off x="0" y="0"/>
                            <a:ext cx="533400" cy="533400"/>
                          </a:xfrm>
                          <a:prstGeom prst="rect">
                            <a:avLst/>
                          </a:prstGeom>
                        </pic:spPr>
                      </pic:pic>
                    </a:graphicData>
                  </a:graphic>
                </wp:inline>
              </w:drawing>
            </w:r>
          </w:p>
        </w:tc>
        <w:tc>
          <w:tcPr>
            <w:tcW w:w="6683" w:type="dxa"/>
            <w:shd w:val="clear" w:color="auto" w:fill="F2F2F2" w:themeFill="background1" w:themeFillShade="F2"/>
          </w:tcPr>
          <w:p w14:paraId="6E125BBD" w14:textId="0D3B12E2" w:rsidR="0011490C" w:rsidRDefault="008106E1" w:rsidP="00D849C9">
            <w:pPr>
              <w:pStyle w:val="Paragraph"/>
              <w:keepNext/>
              <w:spacing w:after="120"/>
            </w:pPr>
            <w:r w:rsidRPr="001B4716">
              <w:rPr>
                <w:szCs w:val="20"/>
              </w:rPr>
              <w:t xml:space="preserve">In the short term, </w:t>
            </w:r>
            <w:r w:rsidR="00FB1D3D">
              <w:rPr>
                <w:szCs w:val="20"/>
              </w:rPr>
              <w:t xml:space="preserve">NLP applications </w:t>
            </w:r>
            <w:r w:rsidR="000D0713">
              <w:rPr>
                <w:szCs w:val="20"/>
              </w:rPr>
              <w:t xml:space="preserve">that </w:t>
            </w:r>
            <w:r w:rsidR="00FB1D3D">
              <w:rPr>
                <w:szCs w:val="20"/>
              </w:rPr>
              <w:t xml:space="preserve">aim to improve regulatory efficiency </w:t>
            </w:r>
            <w:r w:rsidRPr="001B4716">
              <w:rPr>
                <w:szCs w:val="20"/>
              </w:rPr>
              <w:t>ar</w:t>
            </w:r>
            <w:r w:rsidR="004B32DF">
              <w:rPr>
                <w:szCs w:val="20"/>
              </w:rPr>
              <w:t xml:space="preserve">e likely to be </w:t>
            </w:r>
            <w:r w:rsidR="0065049F">
              <w:rPr>
                <w:szCs w:val="20"/>
              </w:rPr>
              <w:t xml:space="preserve">of greatest interest to </w:t>
            </w:r>
            <w:r w:rsidRPr="001B4716">
              <w:rPr>
                <w:szCs w:val="20"/>
              </w:rPr>
              <w:t>regulators</w:t>
            </w:r>
            <w:r w:rsidR="0065049F">
              <w:rPr>
                <w:szCs w:val="20"/>
              </w:rPr>
              <w:t xml:space="preserve">. </w:t>
            </w:r>
            <w:r w:rsidR="0065049F">
              <w:t>For example,</w:t>
            </w:r>
            <w:r w:rsidR="006953E3">
              <w:t xml:space="preserve"> chatbots (public-facing) and virtual assistants (internal-facing) </w:t>
            </w:r>
            <w:r w:rsidR="0065049F">
              <w:t xml:space="preserve">have been deployed by multiple Australian and international </w:t>
            </w:r>
            <w:r w:rsidR="00416BC2">
              <w:t xml:space="preserve">agencies </w:t>
            </w:r>
            <w:r w:rsidR="002C3601">
              <w:t>to provide</w:t>
            </w:r>
            <w:r w:rsidR="0021188C">
              <w:t xml:space="preserve"> greater efficiency and consistency in decision</w:t>
            </w:r>
            <w:r w:rsidR="000D0713">
              <w:t>-</w:t>
            </w:r>
            <w:r w:rsidR="0021188C">
              <w:t xml:space="preserve">making for regulators. </w:t>
            </w:r>
          </w:p>
          <w:p w14:paraId="2CF0A7A5" w14:textId="5394DF0C" w:rsidR="008106E1" w:rsidRPr="001B4716" w:rsidRDefault="006953E3" w:rsidP="00D849C9">
            <w:pPr>
              <w:pStyle w:val="Paragraph"/>
              <w:keepNext/>
              <w:spacing w:after="0"/>
            </w:pPr>
            <w:r>
              <w:t>Chatbots can help guide consumers and industry stakeholders to relevant information and answer simple, low-risk queries (</w:t>
            </w:r>
            <w:r w:rsidR="00714F3D">
              <w:t>for example</w:t>
            </w:r>
            <w:r w:rsidR="001F29DE">
              <w:t>,</w:t>
            </w:r>
            <w:r>
              <w:t xml:space="preserve"> what steps must be taken to lodge a complaint)</w:t>
            </w:r>
            <w:r w:rsidR="00450BD9">
              <w:t xml:space="preserve">, which </w:t>
            </w:r>
            <w:r>
              <w:t>reduc</w:t>
            </w:r>
            <w:r w:rsidR="00450BD9">
              <w:t>es</w:t>
            </w:r>
            <w:r>
              <w:t xml:space="preserve"> response times. Virtual assistants can guide staff through regulatory decision-</w:t>
            </w:r>
            <w:r>
              <w:lastRenderedPageBreak/>
              <w:t>making processes, ensuring greater efficiency and consistency in decision-making.</w:t>
            </w:r>
          </w:p>
        </w:tc>
      </w:tr>
      <w:tr w:rsidR="008106E1" w:rsidRPr="00080029" w14:paraId="688D8754" w14:textId="77777777" w:rsidTr="00D849C9">
        <w:trPr>
          <w:jc w:val="center"/>
        </w:trPr>
        <w:tc>
          <w:tcPr>
            <w:tcW w:w="988" w:type="dxa"/>
            <w:shd w:val="clear" w:color="auto" w:fill="00A0A4"/>
          </w:tcPr>
          <w:p w14:paraId="18FB2F2B" w14:textId="645780E6" w:rsidR="008106E1" w:rsidRPr="00642F79" w:rsidRDefault="004B5EEF" w:rsidP="00B05BCE">
            <w:pPr>
              <w:spacing w:before="120" w:after="120"/>
              <w:jc w:val="center"/>
              <w:rPr>
                <w:rFonts w:cs="Arial"/>
              </w:rPr>
            </w:pPr>
            <w:r>
              <w:rPr>
                <w:noProof/>
              </w:rPr>
              <w:lastRenderedPageBreak/>
              <w:drawing>
                <wp:inline distT="0" distB="0" distL="0" distR="0" wp14:anchorId="0841DA89" wp14:editId="616968F9">
                  <wp:extent cx="498764" cy="498764"/>
                  <wp:effectExtent l="0" t="0" r="0" b="0"/>
                  <wp:docPr id="12" name="Graphic 12" descr="Badge Ti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pic:cNvPicPr/>
                        </pic:nvPicPr>
                        <pic:blipFill>
                          <a:blip r:embed="rId31">
                            <a:extLst>
                              <a:ext uri="{96DAC541-7B7A-43D3-8B79-37D633B846F1}">
                                <asvg:svgBlip xmlns:asvg="http://schemas.microsoft.com/office/drawing/2016/SVG/main" r:embed="rId32"/>
                              </a:ext>
                            </a:extLst>
                          </a:blip>
                          <a:stretch>
                            <a:fillRect/>
                          </a:stretch>
                        </pic:blipFill>
                        <pic:spPr>
                          <a:xfrm>
                            <a:off x="0" y="0"/>
                            <a:ext cx="498764" cy="498764"/>
                          </a:xfrm>
                          <a:prstGeom prst="rect">
                            <a:avLst/>
                          </a:prstGeom>
                        </pic:spPr>
                      </pic:pic>
                    </a:graphicData>
                  </a:graphic>
                </wp:inline>
              </w:drawing>
            </w:r>
          </w:p>
        </w:tc>
        <w:tc>
          <w:tcPr>
            <w:tcW w:w="6683" w:type="dxa"/>
            <w:shd w:val="clear" w:color="auto" w:fill="F2F2F2" w:themeFill="background1" w:themeFillShade="F2"/>
          </w:tcPr>
          <w:p w14:paraId="774D38EB" w14:textId="6427054A" w:rsidR="008106E1" w:rsidRPr="001B4716" w:rsidRDefault="002C3601" w:rsidP="005A7AF6">
            <w:pPr>
              <w:pStyle w:val="Paragraph"/>
              <w:spacing w:after="0"/>
            </w:pPr>
            <w:r>
              <w:t xml:space="preserve">NLP can be expected to become more widely used by regulators over the next </w:t>
            </w:r>
            <w:r w:rsidR="000C2DFC">
              <w:t>5</w:t>
            </w:r>
            <w:r>
              <w:t xml:space="preserve"> years. Regulators we have spoken to </w:t>
            </w:r>
            <w:r w:rsidR="001F29DE">
              <w:t xml:space="preserve">in completing this research </w:t>
            </w:r>
            <w:r>
              <w:t>have all indicated they are</w:t>
            </w:r>
            <w:r w:rsidR="00450BD9">
              <w:t xml:space="preserve"> already</w:t>
            </w:r>
            <w:r>
              <w:t xml:space="preserve"> building NLP capability to support compliance and enforcement activities.</w:t>
            </w:r>
          </w:p>
        </w:tc>
      </w:tr>
    </w:tbl>
    <w:p w14:paraId="52D1A93A" w14:textId="77777777" w:rsidR="00335216" w:rsidRPr="0030687B" w:rsidRDefault="00335216" w:rsidP="0030687B">
      <w:pPr>
        <w:pStyle w:val="Paragraph"/>
      </w:pPr>
    </w:p>
    <w:p w14:paraId="73B6DF91" w14:textId="77777777" w:rsidR="00784722" w:rsidRDefault="00784722" w:rsidP="00784722">
      <w:pPr>
        <w:pStyle w:val="Heading1"/>
      </w:pPr>
      <w:bookmarkStart w:id="4" w:name="_Toc285789710"/>
      <w:bookmarkStart w:id="5" w:name="_Toc285791789"/>
      <w:bookmarkStart w:id="6" w:name="_Toc286994473"/>
      <w:bookmarkStart w:id="7" w:name="_Toc73683719"/>
      <w:bookmarkEnd w:id="1"/>
      <w:r>
        <w:lastRenderedPageBreak/>
        <w:t xml:space="preserve">About the </w:t>
      </w:r>
      <w:r w:rsidRPr="00784722">
        <w:t>research</w:t>
      </w:r>
      <w:bookmarkEnd w:id="4"/>
      <w:bookmarkEnd w:id="5"/>
      <w:bookmarkEnd w:id="6"/>
      <w:bookmarkEnd w:id="7"/>
    </w:p>
    <w:p w14:paraId="7AB81808" w14:textId="77777777" w:rsidR="005E2DEE" w:rsidRDefault="005E2DEE" w:rsidP="005E2DEE">
      <w:pPr>
        <w:pStyle w:val="Heading2"/>
      </w:pPr>
      <w:bookmarkStart w:id="8" w:name="_Toc67489152"/>
      <w:bookmarkStart w:id="9" w:name="_Toc21531459"/>
      <w:bookmarkStart w:id="10" w:name="_Toc25927377"/>
      <w:bookmarkStart w:id="11" w:name="_Toc63944607"/>
      <w:bookmarkStart w:id="12" w:name="_Toc73683720"/>
      <w:proofErr w:type="spellStart"/>
      <w:r>
        <w:rPr>
          <w:b w:val="0"/>
        </w:rPr>
        <w:t>research</w:t>
      </w:r>
      <w:r>
        <w:rPr>
          <w:b w:val="0"/>
          <w:bCs w:val="0"/>
        </w:rPr>
        <w:t>acma</w:t>
      </w:r>
      <w:bookmarkEnd w:id="8"/>
      <w:bookmarkEnd w:id="12"/>
      <w:proofErr w:type="spellEnd"/>
    </w:p>
    <w:p w14:paraId="3DE48E78" w14:textId="77777777" w:rsidR="009816C0" w:rsidRDefault="005E2DEE" w:rsidP="00D849C9">
      <w:pPr>
        <w:pStyle w:val="Paragraph"/>
      </w:pPr>
      <w:r>
        <w:t xml:space="preserve">Our </w:t>
      </w:r>
      <w:hyperlink r:id="rId33">
        <w:r w:rsidRPr="3E9BEAF0">
          <w:rPr>
            <w:rStyle w:val="Hyperlink"/>
          </w:rPr>
          <w:t>research program</w:t>
        </w:r>
      </w:hyperlink>
      <w:r>
        <w:t xml:space="preserve"> – </w:t>
      </w:r>
      <w:proofErr w:type="spellStart"/>
      <w:r>
        <w:t>researchacma</w:t>
      </w:r>
      <w:proofErr w:type="spellEnd"/>
      <w:r>
        <w:t xml:space="preserve"> –</w:t>
      </w:r>
      <w:r>
        <w:rPr>
          <w:bCs/>
        </w:rPr>
        <w:t xml:space="preserve"> </w:t>
      </w:r>
      <w:r>
        <w:t xml:space="preserve">underpins our work and decisions as an evidence-informed regulator. It contributes to our strategic regulatory </w:t>
      </w:r>
      <w:proofErr w:type="gramStart"/>
      <w:r>
        <w:t>thinking, and</w:t>
      </w:r>
      <w:proofErr w:type="gramEnd"/>
      <w:r>
        <w:t xml:space="preserve"> supports a future regulatory framework that anticipates change in dynamic communications and media markets. </w:t>
      </w:r>
    </w:p>
    <w:p w14:paraId="037EF65A" w14:textId="6D8C63FB" w:rsidR="005E2DEE" w:rsidRDefault="005E2DEE" w:rsidP="00D849C9">
      <w:pPr>
        <w:pStyle w:val="Paragraph"/>
      </w:pPr>
      <w:r>
        <w:t>The program also seeks to inform internal and external stakeholders on any developments that may influence our regulatory practice into the future.</w:t>
      </w:r>
    </w:p>
    <w:p w14:paraId="38BD8F85" w14:textId="15E0620C" w:rsidR="005E2DEE" w:rsidRDefault="005E2DEE" w:rsidP="005E2DEE">
      <w:pPr>
        <w:pStyle w:val="Paragraph"/>
      </w:pPr>
      <w:r>
        <w:t xml:space="preserve">This paper explores </w:t>
      </w:r>
      <w:r w:rsidR="00AA1EDA">
        <w:t>n</w:t>
      </w:r>
      <w:r>
        <w:t xml:space="preserve">atural </w:t>
      </w:r>
      <w:r w:rsidR="00AA1EDA">
        <w:t>l</w:t>
      </w:r>
      <w:r>
        <w:t xml:space="preserve">anguage </w:t>
      </w:r>
      <w:r w:rsidR="00AA1EDA">
        <w:t>p</w:t>
      </w:r>
      <w:r w:rsidR="00E27BD9">
        <w:t>rocessing</w:t>
      </w:r>
      <w:r>
        <w:t xml:space="preserve">, and builds on previous research exploring </w:t>
      </w:r>
      <w:r w:rsidR="00AA1EDA">
        <w:t>a</w:t>
      </w:r>
      <w:r w:rsidR="00E27BD9">
        <w:t xml:space="preserve">rtificial </w:t>
      </w:r>
      <w:r w:rsidR="00AA1EDA">
        <w:t>i</w:t>
      </w:r>
      <w:r w:rsidR="00E27BD9">
        <w:t xml:space="preserve">ntelligence </w:t>
      </w:r>
      <w:r>
        <w:t>in media and communication</w:t>
      </w:r>
      <w:r w:rsidR="009816C0">
        <w:t xml:space="preserve">s </w:t>
      </w:r>
      <w:hyperlink r:id="rId34" w:history="1">
        <w:r w:rsidR="009816C0" w:rsidRPr="009816C0">
          <w:rPr>
            <w:rStyle w:val="Hyperlink"/>
          </w:rPr>
          <w:t>published in 2020</w:t>
        </w:r>
      </w:hyperlink>
      <w:r>
        <w:t>.</w:t>
      </w:r>
    </w:p>
    <w:p w14:paraId="5B37BD54" w14:textId="5C1E1B08" w:rsidR="005E2DEE" w:rsidRDefault="005E2DEE" w:rsidP="005E2DEE">
      <w:pPr>
        <w:spacing w:after="120"/>
      </w:pPr>
      <w:r>
        <w:t xml:space="preserve">The research has been developed as an occasional paper and was informed by desktop studies and targeted consultations with a range of stakeholders, including domestic and international government agencies. </w:t>
      </w:r>
      <w:r w:rsidR="00354522">
        <w:t>We</w:t>
      </w:r>
      <w:r>
        <w:t xml:space="preserve"> would like to thank all of those who contributed to the paper.</w:t>
      </w:r>
    </w:p>
    <w:p w14:paraId="472E71C3" w14:textId="2FEB27C3" w:rsidR="005E250B" w:rsidRDefault="0030687B" w:rsidP="005E250B">
      <w:pPr>
        <w:pStyle w:val="Heading1"/>
      </w:pPr>
      <w:bookmarkStart w:id="13" w:name="_Toc73683721"/>
      <w:bookmarkEnd w:id="9"/>
      <w:bookmarkEnd w:id="10"/>
      <w:bookmarkEnd w:id="11"/>
      <w:r>
        <w:lastRenderedPageBreak/>
        <w:t>Introduction</w:t>
      </w:r>
      <w:bookmarkEnd w:id="13"/>
      <w:r>
        <w:t xml:space="preserve"> </w:t>
      </w:r>
    </w:p>
    <w:p w14:paraId="08F7DDEF" w14:textId="453B709E" w:rsidR="005C300A" w:rsidRDefault="00354522" w:rsidP="005C300A">
      <w:pPr>
        <w:rPr>
          <w:rFonts w:cs="Arial"/>
        </w:rPr>
      </w:pPr>
      <w:r>
        <w:rPr>
          <w:rFonts w:cs="Arial"/>
        </w:rPr>
        <w:t xml:space="preserve">We </w:t>
      </w:r>
      <w:r w:rsidR="005C300A">
        <w:rPr>
          <w:rFonts w:cs="Arial"/>
        </w:rPr>
        <w:t xml:space="preserve">conducted research on </w:t>
      </w:r>
      <w:r w:rsidR="008627F3">
        <w:rPr>
          <w:rFonts w:cs="Arial"/>
        </w:rPr>
        <w:t>‘</w:t>
      </w:r>
      <w:r w:rsidR="005C300A">
        <w:rPr>
          <w:rFonts w:cs="Arial"/>
        </w:rPr>
        <w:t>natural language processing</w:t>
      </w:r>
      <w:r w:rsidR="008627F3">
        <w:rPr>
          <w:rFonts w:cs="Arial"/>
        </w:rPr>
        <w:t>’</w:t>
      </w:r>
      <w:r w:rsidR="005C300A">
        <w:rPr>
          <w:rFonts w:cs="Arial"/>
        </w:rPr>
        <w:t xml:space="preserve"> (NLP) to help build our understanding of potential opportunities that </w:t>
      </w:r>
      <w:r w:rsidR="00195501">
        <w:rPr>
          <w:rFonts w:cs="Arial"/>
        </w:rPr>
        <w:t>this technology</w:t>
      </w:r>
      <w:r w:rsidR="005C300A">
        <w:rPr>
          <w:rFonts w:cs="Arial"/>
        </w:rPr>
        <w:t xml:space="preserve"> might have for the communications and media environment. In particular, </w:t>
      </w:r>
      <w:r>
        <w:rPr>
          <w:rFonts w:cs="Arial"/>
        </w:rPr>
        <w:t>we</w:t>
      </w:r>
      <w:r w:rsidR="005C300A">
        <w:rPr>
          <w:rFonts w:cs="Arial"/>
        </w:rPr>
        <w:t xml:space="preserve"> explored whether, and how, this technology can benefit regulatory decision</w:t>
      </w:r>
      <w:r w:rsidR="008627F3">
        <w:rPr>
          <w:rFonts w:cs="Arial"/>
        </w:rPr>
        <w:t>-</w:t>
      </w:r>
      <w:r w:rsidR="005C300A">
        <w:rPr>
          <w:rFonts w:cs="Arial"/>
        </w:rPr>
        <w:t xml:space="preserve">making in the medium to long term. </w:t>
      </w:r>
    </w:p>
    <w:p w14:paraId="2809C5BC" w14:textId="7BC795B4" w:rsidR="005C300A" w:rsidRDefault="005C300A" w:rsidP="005C300A">
      <w:pPr>
        <w:rPr>
          <w:rFonts w:cs="Arial"/>
        </w:rPr>
      </w:pPr>
      <w:r>
        <w:rPr>
          <w:rFonts w:cs="Arial"/>
        </w:rPr>
        <w:t xml:space="preserve">As NLP </w:t>
      </w:r>
      <w:r w:rsidR="00D95659">
        <w:rPr>
          <w:rFonts w:cs="Arial"/>
        </w:rPr>
        <w:t xml:space="preserve">applications </w:t>
      </w:r>
      <w:r>
        <w:rPr>
          <w:rFonts w:cs="Arial"/>
        </w:rPr>
        <w:t xml:space="preserve">become more widely used by regulatory authorities, it is timely to consider the impacts </w:t>
      </w:r>
      <w:r w:rsidR="009F4E81">
        <w:rPr>
          <w:rFonts w:cs="Arial"/>
        </w:rPr>
        <w:t>of this technology</w:t>
      </w:r>
      <w:r>
        <w:rPr>
          <w:rFonts w:cs="Arial"/>
        </w:rPr>
        <w:t xml:space="preserve"> on the industries we regulate. </w:t>
      </w:r>
    </w:p>
    <w:p w14:paraId="5CAE315D" w14:textId="6DCE91EC" w:rsidR="008E070F" w:rsidRDefault="008E070F" w:rsidP="00A44D06">
      <w:pPr>
        <w:pStyle w:val="Heading2"/>
      </w:pPr>
      <w:bookmarkStart w:id="14" w:name="_Hlk26868934"/>
      <w:bookmarkStart w:id="15" w:name="_Hlk26868779"/>
      <w:bookmarkStart w:id="16" w:name="_Toc73683722"/>
      <w:r>
        <w:t>Technology overview</w:t>
      </w:r>
      <w:bookmarkEnd w:id="16"/>
    </w:p>
    <w:p w14:paraId="3B04F5AB" w14:textId="41CFAC63" w:rsidR="008E070F" w:rsidRDefault="008E070F" w:rsidP="008E070F">
      <w:pPr>
        <w:pStyle w:val="Paragraph"/>
      </w:pPr>
      <w:r>
        <w:t>NLP describes computational technologies that involve turning text or audio speech into encoded, structured information. This enables computers to analyse, interpret and extract meaning – both syntactic and semantic – from documents or audio.</w:t>
      </w:r>
      <w:r>
        <w:rPr>
          <w:rStyle w:val="FootnoteReference"/>
        </w:rPr>
        <w:footnoteReference w:id="2"/>
      </w:r>
      <w:r>
        <w:t xml:space="preserve"> As explored below, NLP technologies enable the analysis of unstructured text at a scale and speed that would otherwise require significant human resourcing. Further, NLP can, and has been combined with other related technologies</w:t>
      </w:r>
      <w:r w:rsidR="00940927">
        <w:t>,</w:t>
      </w:r>
      <w:r>
        <w:t xml:space="preserve"> including speech recognition and natural language generation technologies</w:t>
      </w:r>
      <w:r>
        <w:rPr>
          <w:rStyle w:val="FootnoteReference"/>
        </w:rPr>
        <w:footnoteReference w:id="3"/>
      </w:r>
      <w:r>
        <w:t xml:space="preserve"> for other applications, notably chatbots and virtual assistants (</w:t>
      </w:r>
      <w:r w:rsidR="00354522">
        <w:t>for example</w:t>
      </w:r>
      <w:r w:rsidR="00E81000">
        <w:t>,</w:t>
      </w:r>
      <w:r>
        <w:t xml:space="preserve"> Siri or Google Assistant). </w:t>
      </w:r>
    </w:p>
    <w:p w14:paraId="48516E73" w14:textId="534A678C" w:rsidR="008E070F" w:rsidRDefault="008E070F" w:rsidP="008E070F">
      <w:pPr>
        <w:pStyle w:val="Paragraph"/>
      </w:pPr>
      <w:r>
        <w:t>Early NLP technologies were based on encoded language rules – an approach known as ‘symbolic’ NLP. Symbolic NLP is limited in its flexibility and faces challenges in deriving contextual and higher-level semantic information</w:t>
      </w:r>
      <w:r w:rsidR="00710EA4">
        <w:t>,</w:t>
      </w:r>
      <w:r>
        <w:t xml:space="preserve"> and handling grammatical or spelling errors.</w:t>
      </w:r>
      <w:r>
        <w:rPr>
          <w:rStyle w:val="FootnoteReference"/>
        </w:rPr>
        <w:footnoteReference w:id="4"/>
      </w:r>
      <w:r>
        <w:t xml:space="preserve"> Contemporary NLP technologies involve ‘statistical’ techniques, including machine learning and deep learning</w:t>
      </w:r>
      <w:r>
        <w:rPr>
          <w:rStyle w:val="FootnoteReference"/>
        </w:rPr>
        <w:footnoteReference w:id="5"/>
      </w:r>
      <w:r w:rsidR="00354522">
        <w:t>,</w:t>
      </w:r>
      <w:r>
        <w:t xml:space="preserve"> where a computer system infers trends or patterns from large datasets.</w:t>
      </w:r>
      <w:r>
        <w:rPr>
          <w:rStyle w:val="FootnoteReference"/>
        </w:rPr>
        <w:footnoteReference w:id="6"/>
      </w:r>
      <w:r>
        <w:t xml:space="preserve"> The current state</w:t>
      </w:r>
      <w:r w:rsidR="00F02641">
        <w:t>-</w:t>
      </w:r>
      <w:r>
        <w:t>of</w:t>
      </w:r>
      <w:r w:rsidR="00F02641">
        <w:t>-</w:t>
      </w:r>
      <w:r>
        <w:t>the</w:t>
      </w:r>
      <w:r w:rsidR="00F02641">
        <w:t>-</w:t>
      </w:r>
      <w:r>
        <w:t>art devices for speech and text recognition, including Apple’s Siri, Amazon’s Alexa and Google’s Duplex, all rely on deep learning.</w:t>
      </w:r>
      <w:r>
        <w:rPr>
          <w:rStyle w:val="FootnoteReference"/>
        </w:rPr>
        <w:footnoteReference w:id="7"/>
      </w:r>
      <w:r>
        <w:t xml:space="preserve"> </w:t>
      </w:r>
    </w:p>
    <w:p w14:paraId="7473E678" w14:textId="4F979523" w:rsidR="00A849FA" w:rsidRDefault="008E070F" w:rsidP="00C859DB">
      <w:r>
        <w:t xml:space="preserve">NLP systems may perform a range of tasks to interpret language. In general, more basic NLP applications involve breaking down language into shorter, elemental pieces to enable analysis of the text and the relationships </w:t>
      </w:r>
      <w:r w:rsidRPr="00CE595D">
        <w:t xml:space="preserve">between text components (syntactic analysis). </w:t>
      </w:r>
      <w:r>
        <w:t>More sophisticated technologies are characterised by their capacity to interpret the intent and meaning of written or spoken language (</w:t>
      </w:r>
      <w:r w:rsidR="00354522">
        <w:t>that is,</w:t>
      </w:r>
      <w:r>
        <w:t xml:space="preserve"> conduct more semantic analysis).</w:t>
      </w:r>
      <w:r w:rsidR="00CA12E5">
        <w:t xml:space="preserve"> </w:t>
      </w:r>
      <w:r w:rsidR="00C859DB">
        <w:t>There are various ways in which NLP subfields are defined</w:t>
      </w:r>
      <w:r w:rsidR="00CA12E5">
        <w:t>.</w:t>
      </w:r>
      <w:r w:rsidR="00C859DB">
        <w:t xml:space="preserve"> </w:t>
      </w:r>
      <w:r w:rsidR="00354522">
        <w:t>F</w:t>
      </w:r>
      <w:r w:rsidR="00EF0569">
        <w:t xml:space="preserve">igure </w:t>
      </w:r>
      <w:r w:rsidR="00354522">
        <w:t xml:space="preserve">1 </w:t>
      </w:r>
      <w:r w:rsidR="00C859DB">
        <w:t>provides a high</w:t>
      </w:r>
      <w:r w:rsidR="00160BF5">
        <w:t>-</w:t>
      </w:r>
      <w:r w:rsidR="00C859DB">
        <w:t xml:space="preserve">level overview to illustrate the range of NLP focus areas. </w:t>
      </w:r>
    </w:p>
    <w:p w14:paraId="50F8698C" w14:textId="5095D489" w:rsidR="00A849FA" w:rsidRDefault="003144E0" w:rsidP="00D849C9">
      <w:pPr>
        <w:pStyle w:val="Figureheading"/>
        <w:keepLines/>
      </w:pPr>
      <w:r>
        <w:lastRenderedPageBreak/>
        <w:t>NLP focus areas</w:t>
      </w:r>
    </w:p>
    <w:tbl>
      <w:tblPr>
        <w:tblStyle w:val="TableGrid"/>
        <w:tblW w:w="80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85" w:type="dxa"/>
          <w:left w:w="85" w:type="dxa"/>
          <w:bottom w:w="85" w:type="dxa"/>
          <w:right w:w="85" w:type="dxa"/>
        </w:tblCellMar>
        <w:tblLook w:val="04A0" w:firstRow="1" w:lastRow="0" w:firstColumn="1" w:lastColumn="0" w:noHBand="0" w:noVBand="1"/>
      </w:tblPr>
      <w:tblGrid>
        <w:gridCol w:w="1070"/>
        <w:gridCol w:w="7005"/>
      </w:tblGrid>
      <w:tr w:rsidR="00C6481A" w:rsidRPr="00AA76FC" w14:paraId="23968DFE" w14:textId="77777777" w:rsidTr="00D849C9">
        <w:trPr>
          <w:trHeight w:val="638"/>
        </w:trPr>
        <w:tc>
          <w:tcPr>
            <w:tcW w:w="1058" w:type="dxa"/>
            <w:shd w:val="clear" w:color="auto" w:fill="00A0A4"/>
          </w:tcPr>
          <w:p w14:paraId="5ED55675" w14:textId="06575F46" w:rsidR="00C6481A" w:rsidRPr="00AA76FC" w:rsidRDefault="00D46E2F" w:rsidP="00D849C9">
            <w:pPr>
              <w:keepNext/>
              <w:keepLines/>
              <w:spacing w:after="0"/>
              <w:jc w:val="center"/>
              <w:rPr>
                <w:rFonts w:ascii="Arial Nova Light" w:hAnsi="Arial Nova Light"/>
                <w:szCs w:val="20"/>
              </w:rPr>
            </w:pPr>
            <w:r>
              <w:rPr>
                <w:rFonts w:ascii="Arial Nova Light" w:hAnsi="Arial Nova Light"/>
                <w:noProof/>
                <w:szCs w:val="20"/>
              </w:rPr>
              <w:drawing>
                <wp:inline distT="0" distB="0" distL="0" distR="0" wp14:anchorId="59B30614" wp14:editId="3ADAB733">
                  <wp:extent cx="438150" cy="438150"/>
                  <wp:effectExtent l="0" t="0" r="0" b="0"/>
                  <wp:docPr id="13" name="Graphic 13" descr="Magnifying glas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Magnifying glass outline"/>
                          <pic:cNvPicPr/>
                        </pic:nvPicPr>
                        <pic:blipFill>
                          <a:blip r:embed="rId35">
                            <a:extLst>
                              <a:ext uri="{96DAC541-7B7A-43D3-8B79-37D633B846F1}">
                                <asvg:svgBlip xmlns:asvg="http://schemas.microsoft.com/office/drawing/2016/SVG/main" r:embed="rId36"/>
                              </a:ext>
                            </a:extLst>
                          </a:blip>
                          <a:stretch>
                            <a:fillRect/>
                          </a:stretch>
                        </pic:blipFill>
                        <pic:spPr>
                          <a:xfrm>
                            <a:off x="0" y="0"/>
                            <a:ext cx="438150" cy="438150"/>
                          </a:xfrm>
                          <a:prstGeom prst="rect">
                            <a:avLst/>
                          </a:prstGeom>
                        </pic:spPr>
                      </pic:pic>
                    </a:graphicData>
                  </a:graphic>
                </wp:inline>
              </w:drawing>
            </w:r>
          </w:p>
        </w:tc>
        <w:tc>
          <w:tcPr>
            <w:tcW w:w="7017" w:type="dxa"/>
            <w:shd w:val="clear" w:color="auto" w:fill="F2F2F2" w:themeFill="background1" w:themeFillShade="F2"/>
          </w:tcPr>
          <w:p w14:paraId="19EFE7A6" w14:textId="4D3828FF" w:rsidR="00C6481A" w:rsidRPr="00AA76FC" w:rsidRDefault="00C6481A" w:rsidP="00D849C9">
            <w:pPr>
              <w:pStyle w:val="Paragraph"/>
              <w:keepNext/>
              <w:keepLines/>
              <w:spacing w:after="0"/>
            </w:pPr>
            <w:r>
              <w:rPr>
                <w:b/>
                <w:bCs/>
              </w:rPr>
              <w:t xml:space="preserve">Information retrieval: </w:t>
            </w:r>
            <w:r>
              <w:t xml:space="preserve">Relatively rudimentary technology for searching and retrieving information within a document, corpus </w:t>
            </w:r>
            <w:r w:rsidR="00833D81">
              <w:t xml:space="preserve">(large collection of texts) </w:t>
            </w:r>
            <w:r>
              <w:t xml:space="preserve">or snippet of text. Search engine and word processor </w:t>
            </w:r>
            <w:proofErr w:type="spellStart"/>
            <w:r>
              <w:t>Ctrl+F</w:t>
            </w:r>
            <w:proofErr w:type="spellEnd"/>
            <w:r>
              <w:t xml:space="preserve"> functions are examples of</w:t>
            </w:r>
            <w:r w:rsidR="000D1D4E">
              <w:t> </w:t>
            </w:r>
            <w:r>
              <w:t>this.</w:t>
            </w:r>
          </w:p>
        </w:tc>
      </w:tr>
      <w:tr w:rsidR="00C6481A" w:rsidRPr="00AA76FC" w14:paraId="17858EAC" w14:textId="77777777" w:rsidTr="00D849C9">
        <w:tc>
          <w:tcPr>
            <w:tcW w:w="1058" w:type="dxa"/>
            <w:shd w:val="clear" w:color="auto" w:fill="00A0A4"/>
          </w:tcPr>
          <w:p w14:paraId="61D21613" w14:textId="156BA802" w:rsidR="00C6481A" w:rsidRPr="00AA76FC" w:rsidRDefault="00DB7CD5" w:rsidP="00D849C9">
            <w:pPr>
              <w:keepNext/>
              <w:keepLines/>
              <w:jc w:val="center"/>
              <w:rPr>
                <w:rFonts w:ascii="Arial Nova Light" w:hAnsi="Arial Nova Light"/>
                <w:szCs w:val="20"/>
              </w:rPr>
            </w:pPr>
            <w:r>
              <w:rPr>
                <w:noProof/>
              </w:rPr>
              <w:drawing>
                <wp:inline distT="0" distB="0" distL="0" distR="0" wp14:anchorId="533A9CFE" wp14:editId="0AA5AD45">
                  <wp:extent cx="523875" cy="523875"/>
                  <wp:effectExtent l="0" t="0" r="0" b="9525"/>
                  <wp:docPr id="20" name="Graphic 20"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9"/>
                          <pic:cNvPicPr/>
                        </pic:nvPicPr>
                        <pic:blipFill>
                          <a:blip r:embed="rId37">
                            <a:extLst>
                              <a:ext uri="{96DAC541-7B7A-43D3-8B79-37D633B846F1}">
                                <asvg:svgBlip xmlns:asvg="http://schemas.microsoft.com/office/drawing/2016/SVG/main" r:embed="rId38"/>
                              </a:ext>
                            </a:extLst>
                          </a:blip>
                          <a:stretch>
                            <a:fillRect/>
                          </a:stretch>
                        </pic:blipFill>
                        <pic:spPr>
                          <a:xfrm>
                            <a:off x="0" y="0"/>
                            <a:ext cx="523875" cy="523875"/>
                          </a:xfrm>
                          <a:prstGeom prst="rect">
                            <a:avLst/>
                          </a:prstGeom>
                        </pic:spPr>
                      </pic:pic>
                    </a:graphicData>
                  </a:graphic>
                </wp:inline>
              </w:drawing>
            </w:r>
          </w:p>
        </w:tc>
        <w:tc>
          <w:tcPr>
            <w:tcW w:w="7017" w:type="dxa"/>
            <w:shd w:val="clear" w:color="auto" w:fill="F2F2F2" w:themeFill="background1" w:themeFillShade="F2"/>
          </w:tcPr>
          <w:p w14:paraId="53A5B7B5" w14:textId="5E191C6E" w:rsidR="00C6481A" w:rsidRPr="00AA76FC" w:rsidRDefault="00C6481A" w:rsidP="00D849C9">
            <w:pPr>
              <w:pStyle w:val="Paragraph"/>
              <w:keepNext/>
              <w:keepLines/>
              <w:spacing w:after="0"/>
            </w:pPr>
            <w:r>
              <w:rPr>
                <w:b/>
                <w:bCs/>
              </w:rPr>
              <w:t xml:space="preserve">Information extraction: </w:t>
            </w:r>
            <w:r>
              <w:t>Involves automatically extracting structured information from machine-readable documents, often including inferences about context. Applications include topic modelling, sentiment analysis, the automatic summarisation of text, and relationship extraction (i.e.</w:t>
            </w:r>
            <w:r w:rsidR="00DA4B25">
              <w:t>,</w:t>
            </w:r>
            <w:r>
              <w:t xml:space="preserve"> identifying relationships between entities in text).</w:t>
            </w:r>
          </w:p>
        </w:tc>
      </w:tr>
      <w:tr w:rsidR="00C6481A" w:rsidRPr="00AA76FC" w14:paraId="43E44935" w14:textId="77777777" w:rsidTr="00D849C9">
        <w:trPr>
          <w:trHeight w:val="70"/>
        </w:trPr>
        <w:tc>
          <w:tcPr>
            <w:tcW w:w="1058" w:type="dxa"/>
            <w:shd w:val="clear" w:color="auto" w:fill="00A0A4"/>
          </w:tcPr>
          <w:p w14:paraId="79BF0FE2" w14:textId="0464A1A6" w:rsidR="00C6481A" w:rsidRPr="00AA76FC" w:rsidRDefault="00DB7CD5" w:rsidP="00D849C9">
            <w:pPr>
              <w:keepNext/>
              <w:keepLines/>
              <w:jc w:val="center"/>
              <w:rPr>
                <w:rFonts w:ascii="Arial Nova Light" w:hAnsi="Arial Nova Light"/>
                <w:szCs w:val="20"/>
              </w:rPr>
            </w:pPr>
            <w:r>
              <w:rPr>
                <w:rFonts w:ascii="Arial Nova Light" w:hAnsi="Arial Nova Light"/>
                <w:noProof/>
                <w:szCs w:val="20"/>
              </w:rPr>
              <w:drawing>
                <wp:inline distT="0" distB="0" distL="0" distR="0" wp14:anchorId="0BD16DFE" wp14:editId="7C756596">
                  <wp:extent cx="571500" cy="571500"/>
                  <wp:effectExtent l="0" t="0" r="0" b="0"/>
                  <wp:docPr id="6" name="Graphic 6" descr="Artificial Intelligenc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rtificial Intelligence outline"/>
                          <pic:cNvPicPr/>
                        </pic:nvPicPr>
                        <pic:blipFill>
                          <a:blip r:embed="rId39">
                            <a:extLst>
                              <a:ext uri="{96DAC541-7B7A-43D3-8B79-37D633B846F1}">
                                <asvg:svgBlip xmlns:asvg="http://schemas.microsoft.com/office/drawing/2016/SVG/main" r:embed="rId40"/>
                              </a:ext>
                            </a:extLst>
                          </a:blip>
                          <a:stretch>
                            <a:fillRect/>
                          </a:stretch>
                        </pic:blipFill>
                        <pic:spPr>
                          <a:xfrm>
                            <a:off x="0" y="0"/>
                            <a:ext cx="571500" cy="571500"/>
                          </a:xfrm>
                          <a:prstGeom prst="rect">
                            <a:avLst/>
                          </a:prstGeom>
                        </pic:spPr>
                      </pic:pic>
                    </a:graphicData>
                  </a:graphic>
                </wp:inline>
              </w:drawing>
            </w:r>
          </w:p>
        </w:tc>
        <w:tc>
          <w:tcPr>
            <w:tcW w:w="7017" w:type="dxa"/>
            <w:shd w:val="clear" w:color="auto" w:fill="F2F2F2" w:themeFill="background1" w:themeFillShade="F2"/>
          </w:tcPr>
          <w:p w14:paraId="31D1422B" w14:textId="686B9B5C" w:rsidR="00C6481A" w:rsidRPr="00AA76FC" w:rsidRDefault="00C6481A" w:rsidP="00D849C9">
            <w:pPr>
              <w:pStyle w:val="Paragraph"/>
              <w:keepNext/>
              <w:keepLines/>
              <w:spacing w:after="0"/>
            </w:pPr>
            <w:r>
              <w:rPr>
                <w:b/>
                <w:bCs/>
              </w:rPr>
              <w:t xml:space="preserve">Natural language understanding: </w:t>
            </w:r>
            <w:r>
              <w:t xml:space="preserve">NLU is concerned with replicating a human-like understanding of language by reducing language to a </w:t>
            </w:r>
            <w:r w:rsidR="00BC2E4C">
              <w:t>machine-readable format.</w:t>
            </w:r>
            <w:r>
              <w:t xml:space="preserve"> NLU often falls within the category of ‘AI-hard’ or ‘AI-complete’ problems, terms </w:t>
            </w:r>
            <w:r w:rsidR="008E4D41">
              <w:t xml:space="preserve">that </w:t>
            </w:r>
            <w:r>
              <w:t xml:space="preserve">denote the difficulty in achieving it. Applications include machine translation and </w:t>
            </w:r>
            <w:r w:rsidR="004F6A44">
              <w:t>automated reasoning.</w:t>
            </w:r>
          </w:p>
        </w:tc>
      </w:tr>
    </w:tbl>
    <w:p w14:paraId="10FB3827" w14:textId="51F15358" w:rsidR="008E070F" w:rsidRPr="00BF15D9" w:rsidRDefault="007F0516" w:rsidP="008E070F">
      <w:pPr>
        <w:rPr>
          <w:i/>
          <w:iCs/>
          <w:sz w:val="16"/>
          <w:szCs w:val="16"/>
        </w:rPr>
      </w:pPr>
      <w:r w:rsidRPr="00BF15D9">
        <w:rPr>
          <w:i/>
          <w:iCs/>
          <w:sz w:val="16"/>
          <w:szCs w:val="16"/>
        </w:rPr>
        <w:t>Source: ACMA</w:t>
      </w:r>
      <w:r w:rsidR="003F004E">
        <w:rPr>
          <w:i/>
          <w:iCs/>
          <w:sz w:val="16"/>
          <w:szCs w:val="16"/>
        </w:rPr>
        <w:t>.</w:t>
      </w:r>
    </w:p>
    <w:p w14:paraId="45B0D2E9" w14:textId="583CDA2E" w:rsidR="008E070F" w:rsidRPr="008B4DBB" w:rsidRDefault="00C74A1F" w:rsidP="00D849C9">
      <w:pPr>
        <w:pStyle w:val="Paragraphbeforelist"/>
        <w:rPr>
          <w:szCs w:val="20"/>
        </w:rPr>
      </w:pPr>
      <w:r>
        <w:t xml:space="preserve">According to </w:t>
      </w:r>
      <w:r w:rsidR="00DA4B25">
        <w:t>S</w:t>
      </w:r>
      <w:r>
        <w:t>tatista</w:t>
      </w:r>
      <w:r w:rsidR="00C02B0F">
        <w:t xml:space="preserve"> forecasts</w:t>
      </w:r>
      <w:r>
        <w:t>,</w:t>
      </w:r>
      <w:r w:rsidR="003D1DA5">
        <w:t xml:space="preserve"> the global natural language processing market </w:t>
      </w:r>
      <w:r w:rsidR="00C02B0F">
        <w:t xml:space="preserve">is expected to grow from </w:t>
      </w:r>
      <w:r w:rsidR="008E4D41">
        <w:t>US</w:t>
      </w:r>
      <w:r w:rsidR="00F54695">
        <w:t xml:space="preserve">$17.5 billion from 2021 to </w:t>
      </w:r>
      <w:r w:rsidR="008E4D41">
        <w:t>US</w:t>
      </w:r>
      <w:r w:rsidR="00DC118A">
        <w:t>$43 billion in 2025.</w:t>
      </w:r>
      <w:r w:rsidR="00DC118A">
        <w:rPr>
          <w:rStyle w:val="FootnoteReference"/>
        </w:rPr>
        <w:footnoteReference w:id="8"/>
      </w:r>
      <w:r w:rsidR="003D1DA5">
        <w:t xml:space="preserve"> </w:t>
      </w:r>
      <w:r w:rsidR="00C40999" w:rsidRPr="00723363">
        <w:t>There are examples of</w:t>
      </w:r>
      <w:r w:rsidR="00C40999">
        <w:t xml:space="preserve"> </w:t>
      </w:r>
      <w:r w:rsidR="00AD058B">
        <w:t>NLP</w:t>
      </w:r>
      <w:r w:rsidR="00C40999">
        <w:t xml:space="preserve"> being applied across </w:t>
      </w:r>
      <w:r w:rsidR="00221F1F">
        <w:t xml:space="preserve">the </w:t>
      </w:r>
      <w:r w:rsidR="00CF75E5">
        <w:t xml:space="preserve">healthcare, retail, </w:t>
      </w:r>
      <w:r w:rsidR="003F083F">
        <w:t>automotive and transportation</w:t>
      </w:r>
      <w:r w:rsidR="00583302">
        <w:t>, telecoms</w:t>
      </w:r>
      <w:r w:rsidR="001B1B5F">
        <w:t>,</w:t>
      </w:r>
      <w:r w:rsidR="00583302">
        <w:t xml:space="preserve"> and </w:t>
      </w:r>
      <w:r w:rsidR="009C1323">
        <w:t xml:space="preserve">advertising </w:t>
      </w:r>
      <w:r w:rsidR="00583302">
        <w:t>and media sectors.</w:t>
      </w:r>
      <w:r w:rsidR="001906BB">
        <w:rPr>
          <w:rStyle w:val="FootnoteReference"/>
        </w:rPr>
        <w:footnoteReference w:id="9"/>
      </w:r>
      <w:r w:rsidR="00583302">
        <w:t xml:space="preserve"> </w:t>
      </w:r>
      <w:r w:rsidR="00C30883" w:rsidRPr="00723363">
        <w:t>Telecommunications companies are</w:t>
      </w:r>
      <w:r w:rsidR="00C30883">
        <w:t xml:space="preserve"> </w:t>
      </w:r>
      <w:r w:rsidR="005D4591">
        <w:t xml:space="preserve">using NLP technologies </w:t>
      </w:r>
      <w:r w:rsidR="00584034">
        <w:t xml:space="preserve">to </w:t>
      </w:r>
      <w:r w:rsidR="008D0318">
        <w:t xml:space="preserve">improve </w:t>
      </w:r>
      <w:r w:rsidR="008D0318" w:rsidRPr="008B4DBB">
        <w:rPr>
          <w:szCs w:val="20"/>
        </w:rPr>
        <w:t>customer service experiences</w:t>
      </w:r>
      <w:r w:rsidR="000C2DFC">
        <w:rPr>
          <w:szCs w:val="20"/>
        </w:rPr>
        <w:t>. For</w:t>
      </w:r>
      <w:r w:rsidR="001B1B5F">
        <w:rPr>
          <w:szCs w:val="20"/>
        </w:rPr>
        <w:t xml:space="preserve"> example</w:t>
      </w:r>
      <w:r w:rsidR="008D0318" w:rsidRPr="008B4DBB">
        <w:rPr>
          <w:szCs w:val="20"/>
        </w:rPr>
        <w:t>:</w:t>
      </w:r>
      <w:r w:rsidR="00E3628C">
        <w:rPr>
          <w:szCs w:val="20"/>
        </w:rPr>
        <w:t xml:space="preserve"> </w:t>
      </w:r>
    </w:p>
    <w:p w14:paraId="2B7FE446" w14:textId="1635A2D7" w:rsidR="006D1C0D" w:rsidRDefault="008D0318" w:rsidP="00AD058B">
      <w:pPr>
        <w:pStyle w:val="Bulletlevel1"/>
        <w:rPr>
          <w:color w:val="414141"/>
        </w:rPr>
      </w:pPr>
      <w:r w:rsidRPr="006D1C0D">
        <w:t>Telstra</w:t>
      </w:r>
      <w:r w:rsidR="00C83E81" w:rsidRPr="006D1C0D">
        <w:t xml:space="preserve">’s virtual assistant, Codi, </w:t>
      </w:r>
      <w:r w:rsidR="00CC022A" w:rsidRPr="00224F58">
        <w:t xml:space="preserve">available on </w:t>
      </w:r>
      <w:r w:rsidR="00CC022A" w:rsidRPr="00D849C9">
        <w:rPr>
          <w:spacing w:val="2"/>
        </w:rPr>
        <w:t>Telstra.com and My Telstra</w:t>
      </w:r>
      <w:r w:rsidR="00CC022A" w:rsidRPr="00295438">
        <w:rPr>
          <w:color w:val="414141"/>
          <w:spacing w:val="2"/>
        </w:rPr>
        <w:t>,</w:t>
      </w:r>
      <w:r w:rsidR="00CC022A" w:rsidRPr="006D1C0D">
        <w:rPr>
          <w:color w:val="414141"/>
          <w:spacing w:val="2"/>
        </w:rPr>
        <w:t> </w:t>
      </w:r>
      <w:r w:rsidR="0050654A" w:rsidRPr="006D1C0D">
        <w:rPr>
          <w:shd w:val="clear" w:color="auto" w:fill="FFFFFF"/>
        </w:rPr>
        <w:t>helps customers answer simple</w:t>
      </w:r>
      <w:r w:rsidR="00AD058B">
        <w:rPr>
          <w:shd w:val="clear" w:color="auto" w:fill="FFFFFF"/>
        </w:rPr>
        <w:t>,</w:t>
      </w:r>
      <w:r w:rsidR="0050654A" w:rsidRPr="006D1C0D">
        <w:rPr>
          <w:shd w:val="clear" w:color="auto" w:fill="FFFFFF"/>
        </w:rPr>
        <w:t xml:space="preserve"> frequently asked questions before directing them to </w:t>
      </w:r>
      <w:r w:rsidR="00AD058B">
        <w:rPr>
          <w:shd w:val="clear" w:color="auto" w:fill="FFFFFF"/>
        </w:rPr>
        <w:t xml:space="preserve">a </w:t>
      </w:r>
      <w:r w:rsidR="0050654A" w:rsidRPr="006D1C0D">
        <w:rPr>
          <w:shd w:val="clear" w:color="auto" w:fill="FFFFFF"/>
        </w:rPr>
        <w:t>live chat with an agent.</w:t>
      </w:r>
      <w:r w:rsidR="00CC022A" w:rsidRPr="006D1C0D">
        <w:rPr>
          <w:shd w:val="clear" w:color="auto" w:fill="FFFFFF"/>
        </w:rPr>
        <w:t xml:space="preserve"> </w:t>
      </w:r>
      <w:r w:rsidR="00CC022A" w:rsidRPr="00295438">
        <w:rPr>
          <w:shd w:val="clear" w:color="auto" w:fill="FFFFFF"/>
        </w:rPr>
        <w:t>Codi can support customers wi</w:t>
      </w:r>
      <w:r w:rsidR="00CC022A" w:rsidRPr="00BF2957">
        <w:rPr>
          <w:shd w:val="clear" w:color="auto" w:fill="FFFFFF"/>
        </w:rPr>
        <w:t>th</w:t>
      </w:r>
      <w:r w:rsidR="00F40184" w:rsidRPr="00511090">
        <w:rPr>
          <w:shd w:val="clear" w:color="auto" w:fill="FFFFFF"/>
        </w:rPr>
        <w:t xml:space="preserve"> </w:t>
      </w:r>
      <w:r w:rsidR="00CC022A" w:rsidRPr="00511090">
        <w:rPr>
          <w:shd w:val="clear" w:color="auto" w:fill="FFFFFF"/>
        </w:rPr>
        <w:t>s</w:t>
      </w:r>
      <w:r w:rsidR="00874FE4" w:rsidRPr="00511090">
        <w:rPr>
          <w:shd w:val="clear" w:color="auto" w:fill="FFFFFF"/>
        </w:rPr>
        <w:t>et</w:t>
      </w:r>
      <w:r w:rsidR="00F40184" w:rsidRPr="00511090">
        <w:rPr>
          <w:shd w:val="clear" w:color="auto" w:fill="FFFFFF"/>
        </w:rPr>
        <w:t>ting</w:t>
      </w:r>
      <w:r w:rsidR="00874FE4" w:rsidRPr="00511090">
        <w:rPr>
          <w:shd w:val="clear" w:color="auto" w:fill="FFFFFF"/>
        </w:rPr>
        <w:t xml:space="preserve"> up or check</w:t>
      </w:r>
      <w:r w:rsidR="00F40184" w:rsidRPr="00511090">
        <w:rPr>
          <w:shd w:val="clear" w:color="auto" w:fill="FFFFFF"/>
        </w:rPr>
        <w:t>ing</w:t>
      </w:r>
      <w:r w:rsidR="00874FE4" w:rsidRPr="00511090">
        <w:rPr>
          <w:shd w:val="clear" w:color="auto" w:fill="FFFFFF"/>
        </w:rPr>
        <w:t xml:space="preserve"> a payment extension</w:t>
      </w:r>
      <w:r w:rsidR="00F40184" w:rsidRPr="00511090">
        <w:rPr>
          <w:shd w:val="clear" w:color="auto" w:fill="FFFFFF"/>
        </w:rPr>
        <w:t>, t</w:t>
      </w:r>
      <w:r w:rsidR="00874FE4" w:rsidRPr="00511090">
        <w:rPr>
          <w:shd w:val="clear" w:color="auto" w:fill="FFFFFF"/>
        </w:rPr>
        <w:t>rack</w:t>
      </w:r>
      <w:r w:rsidR="00F40184" w:rsidRPr="00511090">
        <w:rPr>
          <w:shd w:val="clear" w:color="auto" w:fill="FFFFFF"/>
        </w:rPr>
        <w:t xml:space="preserve">ing </w:t>
      </w:r>
      <w:r w:rsidR="00874FE4" w:rsidRPr="00511090">
        <w:rPr>
          <w:shd w:val="clear" w:color="auto" w:fill="FFFFFF"/>
        </w:rPr>
        <w:t>online order</w:t>
      </w:r>
      <w:r w:rsidR="00F40184" w:rsidRPr="00511090">
        <w:rPr>
          <w:shd w:val="clear" w:color="auto" w:fill="FFFFFF"/>
        </w:rPr>
        <w:t xml:space="preserve">s, paying bills, checking for service outages, troubleshooting internet issues and moving services to </w:t>
      </w:r>
      <w:r w:rsidR="008B4DBB" w:rsidRPr="00511090">
        <w:rPr>
          <w:shd w:val="clear" w:color="auto" w:fill="FFFFFF"/>
        </w:rPr>
        <w:t>a</w:t>
      </w:r>
      <w:r w:rsidR="00F40184" w:rsidRPr="00511090">
        <w:rPr>
          <w:shd w:val="clear" w:color="auto" w:fill="FFFFFF"/>
        </w:rPr>
        <w:t xml:space="preserve"> new address</w:t>
      </w:r>
      <w:r w:rsidR="00F40184" w:rsidRPr="006D1C0D">
        <w:rPr>
          <w:color w:val="414141"/>
        </w:rPr>
        <w:t>.</w:t>
      </w:r>
      <w:r w:rsidR="008B4DBB">
        <w:rPr>
          <w:rStyle w:val="FootnoteReference"/>
          <w:color w:val="414141"/>
          <w:szCs w:val="20"/>
        </w:rPr>
        <w:footnoteReference w:id="10"/>
      </w:r>
      <w:r w:rsidR="00F40184" w:rsidRPr="006D1C0D">
        <w:rPr>
          <w:color w:val="414141"/>
        </w:rPr>
        <w:t xml:space="preserve"> </w:t>
      </w:r>
    </w:p>
    <w:p w14:paraId="6904A217" w14:textId="3C897919" w:rsidR="00E55035" w:rsidRPr="00E55035" w:rsidRDefault="000960B1" w:rsidP="00D849C9">
      <w:pPr>
        <w:pStyle w:val="Bulletlevel1"/>
        <w:rPr>
          <w:color w:val="212529"/>
          <w:shd w:val="clear" w:color="auto" w:fill="FFFFFF"/>
        </w:rPr>
      </w:pPr>
      <w:r w:rsidRPr="006D1C0D">
        <w:rPr>
          <w:color w:val="191919"/>
          <w:spacing w:val="2"/>
          <w:shd w:val="clear" w:color="auto" w:fill="FFFFFF"/>
        </w:rPr>
        <w:t>Optus Assistant</w:t>
      </w:r>
      <w:r w:rsidR="002D3540" w:rsidRPr="006D1C0D">
        <w:rPr>
          <w:color w:val="191919"/>
          <w:spacing w:val="2"/>
          <w:shd w:val="clear" w:color="auto" w:fill="FFFFFF"/>
        </w:rPr>
        <w:t xml:space="preserve">, </w:t>
      </w:r>
      <w:r w:rsidR="008677F3" w:rsidRPr="006D1C0D">
        <w:rPr>
          <w:color w:val="191919"/>
          <w:spacing w:val="2"/>
          <w:shd w:val="clear" w:color="auto" w:fill="FFFFFF"/>
        </w:rPr>
        <w:t xml:space="preserve">available on My Optus App Messaging and </w:t>
      </w:r>
      <w:r w:rsidR="00AD058B">
        <w:rPr>
          <w:color w:val="191919"/>
          <w:spacing w:val="2"/>
          <w:shd w:val="clear" w:color="auto" w:fill="FFFFFF"/>
        </w:rPr>
        <w:t>the Optus</w:t>
      </w:r>
      <w:r w:rsidR="00AD058B" w:rsidRPr="006D1C0D">
        <w:rPr>
          <w:color w:val="191919"/>
          <w:spacing w:val="2"/>
          <w:shd w:val="clear" w:color="auto" w:fill="FFFFFF"/>
        </w:rPr>
        <w:t xml:space="preserve"> </w:t>
      </w:r>
      <w:r w:rsidR="008677F3" w:rsidRPr="006D1C0D">
        <w:rPr>
          <w:color w:val="191919"/>
          <w:spacing w:val="2"/>
          <w:shd w:val="clear" w:color="auto" w:fill="FFFFFF"/>
        </w:rPr>
        <w:t>Web Messaging service</w:t>
      </w:r>
      <w:r w:rsidR="00705653" w:rsidRPr="006D1C0D">
        <w:rPr>
          <w:color w:val="191919"/>
          <w:spacing w:val="2"/>
          <w:shd w:val="clear" w:color="auto" w:fill="FFFFFF"/>
        </w:rPr>
        <w:t xml:space="preserve">, supports customers </w:t>
      </w:r>
      <w:r w:rsidR="00AD058B">
        <w:rPr>
          <w:color w:val="191919"/>
          <w:spacing w:val="2"/>
          <w:shd w:val="clear" w:color="auto" w:fill="FFFFFF"/>
        </w:rPr>
        <w:t>by</w:t>
      </w:r>
      <w:r w:rsidR="00AD058B" w:rsidRPr="006D1C0D">
        <w:rPr>
          <w:color w:val="191919"/>
          <w:spacing w:val="2"/>
          <w:shd w:val="clear" w:color="auto" w:fill="FFFFFF"/>
        </w:rPr>
        <w:t xml:space="preserve"> </w:t>
      </w:r>
      <w:r w:rsidR="00510A8F" w:rsidRPr="006D1C0D">
        <w:rPr>
          <w:color w:val="191919"/>
          <w:spacing w:val="2"/>
          <w:shd w:val="clear" w:color="auto" w:fill="FFFFFF"/>
        </w:rPr>
        <w:t>answering common questions. According to Optus,</w:t>
      </w:r>
      <w:r w:rsidR="003772D9" w:rsidRPr="006D1C0D">
        <w:rPr>
          <w:color w:val="191919"/>
          <w:spacing w:val="2"/>
          <w:shd w:val="clear" w:color="auto" w:fill="FFFFFF"/>
        </w:rPr>
        <w:t xml:space="preserve"> </w:t>
      </w:r>
      <w:r w:rsidR="00AD058B">
        <w:rPr>
          <w:color w:val="191919"/>
          <w:spacing w:val="2"/>
          <w:shd w:val="clear" w:color="auto" w:fill="FFFFFF"/>
        </w:rPr>
        <w:t>its</w:t>
      </w:r>
      <w:r w:rsidR="003772D9" w:rsidRPr="006D1C0D">
        <w:rPr>
          <w:color w:val="191919"/>
          <w:spacing w:val="2"/>
          <w:shd w:val="clear" w:color="auto" w:fill="FFFFFF"/>
        </w:rPr>
        <w:t xml:space="preserve"> AI Assistant Chatbot </w:t>
      </w:r>
      <w:r w:rsidR="00B23423" w:rsidRPr="006D1C0D">
        <w:rPr>
          <w:color w:val="191919"/>
          <w:spacing w:val="2"/>
          <w:shd w:val="clear" w:color="auto" w:fill="FFFFFF"/>
        </w:rPr>
        <w:t xml:space="preserve">has had </w:t>
      </w:r>
      <w:r w:rsidR="00AD058B">
        <w:rPr>
          <w:color w:val="191919"/>
          <w:spacing w:val="2"/>
          <w:shd w:val="clear" w:color="auto" w:fill="FFFFFF"/>
        </w:rPr>
        <w:t>2</w:t>
      </w:r>
      <w:r w:rsidR="00AD058B" w:rsidRPr="006D1C0D">
        <w:rPr>
          <w:color w:val="191919"/>
          <w:spacing w:val="2"/>
          <w:shd w:val="clear" w:color="auto" w:fill="FFFFFF"/>
        </w:rPr>
        <w:t xml:space="preserve"> </w:t>
      </w:r>
      <w:r w:rsidR="003772D9" w:rsidRPr="006D1C0D">
        <w:rPr>
          <w:color w:val="191919"/>
          <w:spacing w:val="2"/>
          <w:shd w:val="clear" w:color="auto" w:fill="FFFFFF"/>
        </w:rPr>
        <w:t>million conversations, with 1 in 6 Optus customers having their queries resolved immediate</w:t>
      </w:r>
      <w:r w:rsidR="00B23423" w:rsidRPr="006D1C0D">
        <w:rPr>
          <w:color w:val="191919"/>
          <w:spacing w:val="2"/>
          <w:shd w:val="clear" w:color="auto" w:fill="FFFFFF"/>
        </w:rPr>
        <w:t>ly</w:t>
      </w:r>
      <w:r w:rsidR="00B23423">
        <w:rPr>
          <w:color w:val="191919"/>
          <w:spacing w:val="2"/>
          <w:shd w:val="clear" w:color="auto" w:fill="FFFFFF"/>
        </w:rPr>
        <w:t xml:space="preserve">, providing </w:t>
      </w:r>
      <w:r w:rsidR="00295438">
        <w:rPr>
          <w:color w:val="191919"/>
          <w:spacing w:val="2"/>
          <w:shd w:val="clear" w:color="auto" w:fill="FFFFFF"/>
        </w:rPr>
        <w:t>an improved customer experience</w:t>
      </w:r>
      <w:r w:rsidR="00B23423" w:rsidRPr="006D1C0D">
        <w:rPr>
          <w:color w:val="191919"/>
          <w:spacing w:val="2"/>
          <w:shd w:val="clear" w:color="auto" w:fill="FFFFFF"/>
        </w:rPr>
        <w:t>.</w:t>
      </w:r>
      <w:r w:rsidR="00295438">
        <w:rPr>
          <w:rStyle w:val="FootnoteReference"/>
          <w:color w:val="191919"/>
          <w:spacing w:val="2"/>
          <w:szCs w:val="20"/>
          <w:shd w:val="clear" w:color="auto" w:fill="FFFFFF"/>
        </w:rPr>
        <w:footnoteReference w:id="11"/>
      </w:r>
      <w:r w:rsidR="00B23423" w:rsidRPr="006D1C0D">
        <w:rPr>
          <w:color w:val="191919"/>
          <w:spacing w:val="2"/>
          <w:shd w:val="clear" w:color="auto" w:fill="FFFFFF"/>
        </w:rPr>
        <w:t xml:space="preserve"> </w:t>
      </w:r>
      <w:r w:rsidR="003772D9" w:rsidRPr="006D1C0D">
        <w:rPr>
          <w:color w:val="191919"/>
          <w:spacing w:val="2"/>
          <w:shd w:val="clear" w:color="auto" w:fill="FFFFFF"/>
        </w:rPr>
        <w:t xml:space="preserve"> </w:t>
      </w:r>
    </w:p>
    <w:p w14:paraId="1AAA50A6" w14:textId="77777777" w:rsidR="00E55035" w:rsidRPr="007572E9" w:rsidRDefault="00917933" w:rsidP="00D849C9">
      <w:pPr>
        <w:pStyle w:val="Bulletlevel1"/>
        <w:keepNext/>
        <w:keepLines/>
        <w:spacing w:after="240"/>
        <w:rPr>
          <w:color w:val="212529"/>
          <w:shd w:val="clear" w:color="auto" w:fill="FFFFFF"/>
        </w:rPr>
      </w:pPr>
      <w:r w:rsidRPr="00511090">
        <w:rPr>
          <w:color w:val="191919"/>
          <w:spacing w:val="2"/>
          <w:shd w:val="clear" w:color="auto" w:fill="FFFFFF"/>
        </w:rPr>
        <w:t>Vodafone</w:t>
      </w:r>
      <w:r w:rsidR="00715421" w:rsidRPr="00511090">
        <w:rPr>
          <w:color w:val="191919"/>
          <w:spacing w:val="2"/>
          <w:shd w:val="clear" w:color="auto" w:fill="FFFFFF"/>
        </w:rPr>
        <w:t xml:space="preserve"> launched ‘</w:t>
      </w:r>
      <w:proofErr w:type="spellStart"/>
      <w:r w:rsidR="00715421" w:rsidRPr="00511090">
        <w:rPr>
          <w:color w:val="191919"/>
          <w:spacing w:val="2"/>
          <w:shd w:val="clear" w:color="auto" w:fill="FFFFFF"/>
        </w:rPr>
        <w:t>TOBi</w:t>
      </w:r>
      <w:proofErr w:type="spellEnd"/>
      <w:r w:rsidR="00715421" w:rsidRPr="00511090">
        <w:rPr>
          <w:color w:val="191919"/>
          <w:spacing w:val="2"/>
          <w:shd w:val="clear" w:color="auto" w:fill="FFFFFF"/>
        </w:rPr>
        <w:t>’, a machine learning chatbot, in 11 markets in 2019</w:t>
      </w:r>
      <w:r w:rsidR="00715421" w:rsidRPr="00E55035">
        <w:rPr>
          <w:shd w:val="clear" w:color="auto" w:fill="FFFFFF"/>
        </w:rPr>
        <w:t>.</w:t>
      </w:r>
      <w:r w:rsidR="008F74E8">
        <w:rPr>
          <w:rStyle w:val="FootnoteReference"/>
          <w:color w:val="333333"/>
          <w:szCs w:val="20"/>
          <w:shd w:val="clear" w:color="auto" w:fill="FFFFFF"/>
        </w:rPr>
        <w:footnoteReference w:id="12"/>
      </w:r>
      <w:r w:rsidR="00715421" w:rsidRPr="00E55035">
        <w:rPr>
          <w:shd w:val="clear" w:color="auto" w:fill="FFFFFF"/>
        </w:rPr>
        <w:t xml:space="preserve">  </w:t>
      </w:r>
      <w:proofErr w:type="spellStart"/>
      <w:r w:rsidR="000F4D0C" w:rsidRPr="00E55035">
        <w:rPr>
          <w:shd w:val="clear" w:color="auto" w:fill="FFFFFF"/>
        </w:rPr>
        <w:t>TOBi</w:t>
      </w:r>
      <w:proofErr w:type="spellEnd"/>
      <w:r w:rsidR="000F4D0C" w:rsidRPr="00E55035">
        <w:rPr>
          <w:shd w:val="clear" w:color="auto" w:fill="FFFFFF"/>
        </w:rPr>
        <w:t xml:space="preserve"> </w:t>
      </w:r>
      <w:r w:rsidR="00CF41A4" w:rsidRPr="00E55035">
        <w:rPr>
          <w:shd w:val="clear" w:color="auto" w:fill="FFFFFF"/>
        </w:rPr>
        <w:t xml:space="preserve">is available online or via the Vodafone app. </w:t>
      </w:r>
      <w:proofErr w:type="spellStart"/>
      <w:r w:rsidR="001542AE" w:rsidRPr="00E55035">
        <w:rPr>
          <w:shd w:val="clear" w:color="auto" w:fill="FFFFFF"/>
        </w:rPr>
        <w:t>TOBi</w:t>
      </w:r>
      <w:proofErr w:type="spellEnd"/>
      <w:r w:rsidR="001542AE" w:rsidRPr="00E55035">
        <w:rPr>
          <w:shd w:val="clear" w:color="auto" w:fill="FFFFFF"/>
        </w:rPr>
        <w:t xml:space="preserve"> supports customers by answering routine questions, supporting customers finding roam-free destinations</w:t>
      </w:r>
      <w:r w:rsidR="00782C82" w:rsidRPr="00E55035">
        <w:rPr>
          <w:shd w:val="clear" w:color="auto" w:fill="FFFFFF"/>
        </w:rPr>
        <w:t>, check usage and answering account queries.</w:t>
      </w:r>
      <w:r w:rsidR="00782C82">
        <w:rPr>
          <w:rStyle w:val="FootnoteReference"/>
          <w:color w:val="333333"/>
          <w:szCs w:val="20"/>
          <w:shd w:val="clear" w:color="auto" w:fill="FFFFFF"/>
        </w:rPr>
        <w:footnoteReference w:id="13"/>
      </w:r>
      <w:r w:rsidR="00782C82" w:rsidRPr="00E55035">
        <w:rPr>
          <w:shd w:val="clear" w:color="auto" w:fill="FFFFFF"/>
        </w:rPr>
        <w:t xml:space="preserve"> </w:t>
      </w:r>
      <w:r w:rsidR="001542AE" w:rsidRPr="00E55035">
        <w:rPr>
          <w:shd w:val="clear" w:color="auto" w:fill="FFFFFF"/>
        </w:rPr>
        <w:t xml:space="preserve">  </w:t>
      </w:r>
    </w:p>
    <w:p w14:paraId="0F45C615" w14:textId="77777777" w:rsidR="00F83B63" w:rsidRDefault="006D1C0D" w:rsidP="00D849C9">
      <w:pPr>
        <w:pStyle w:val="Paragraph"/>
        <w:rPr>
          <w:shd w:val="clear" w:color="auto" w:fill="FFFFFF"/>
        </w:rPr>
      </w:pPr>
      <w:r w:rsidRPr="00E55035">
        <w:rPr>
          <w:shd w:val="clear" w:color="auto" w:fill="FFFFFF"/>
        </w:rPr>
        <w:t xml:space="preserve">Digital </w:t>
      </w:r>
      <w:r w:rsidR="006639A0" w:rsidRPr="00E55035">
        <w:rPr>
          <w:shd w:val="clear" w:color="auto" w:fill="FFFFFF"/>
        </w:rPr>
        <w:t>platforms are utili</w:t>
      </w:r>
      <w:r w:rsidR="00EF397B">
        <w:rPr>
          <w:shd w:val="clear" w:color="auto" w:fill="FFFFFF"/>
        </w:rPr>
        <w:t>s</w:t>
      </w:r>
      <w:r w:rsidR="006639A0" w:rsidRPr="00E55035">
        <w:rPr>
          <w:shd w:val="clear" w:color="auto" w:fill="FFFFFF"/>
        </w:rPr>
        <w:t xml:space="preserve">ing text analytics and NLP technologies for monitoring and tracking social media activities, </w:t>
      </w:r>
      <w:r w:rsidR="00AB1586" w:rsidRPr="00E55035">
        <w:rPr>
          <w:shd w:val="clear" w:color="auto" w:fill="FFFFFF"/>
        </w:rPr>
        <w:t>and in identifying harmful content</w:t>
      </w:r>
      <w:r w:rsidR="006639A0" w:rsidRPr="00E55035">
        <w:rPr>
          <w:shd w:val="clear" w:color="auto" w:fill="FFFFFF"/>
        </w:rPr>
        <w:t xml:space="preserve">. </w:t>
      </w:r>
      <w:r w:rsidR="00AB1586" w:rsidRPr="00E55035">
        <w:rPr>
          <w:shd w:val="clear" w:color="auto" w:fill="FFFFFF"/>
        </w:rPr>
        <w:t xml:space="preserve">Facebook </w:t>
      </w:r>
      <w:r w:rsidR="00B256C7" w:rsidRPr="00E55035">
        <w:rPr>
          <w:shd w:val="clear" w:color="auto" w:fill="FFFFFF"/>
        </w:rPr>
        <w:t xml:space="preserve">is also deploying a range of AI and NLP technologies to enable the detection of harmful information online. </w:t>
      </w:r>
    </w:p>
    <w:p w14:paraId="16EDF28D" w14:textId="6CFF0A94" w:rsidR="008E070F" w:rsidRPr="00E55035" w:rsidRDefault="00B256C7" w:rsidP="00D849C9">
      <w:pPr>
        <w:pStyle w:val="Paragraph"/>
        <w:rPr>
          <w:shd w:val="clear" w:color="auto" w:fill="FFFFFF"/>
        </w:rPr>
      </w:pPr>
      <w:r w:rsidRPr="00E55035">
        <w:rPr>
          <w:shd w:val="clear" w:color="auto" w:fill="FFFFFF"/>
        </w:rPr>
        <w:lastRenderedPageBreak/>
        <w:t xml:space="preserve">For example, Facebook </w:t>
      </w:r>
      <w:r w:rsidR="00751751" w:rsidRPr="00E55035">
        <w:rPr>
          <w:shd w:val="clear" w:color="auto" w:fill="FFFFFF"/>
        </w:rPr>
        <w:t xml:space="preserve">deployed </w:t>
      </w:r>
      <w:proofErr w:type="spellStart"/>
      <w:r w:rsidR="00751751" w:rsidRPr="00E55035">
        <w:rPr>
          <w:shd w:val="clear" w:color="auto" w:fill="FFFFFF"/>
        </w:rPr>
        <w:t>SimSearchNet</w:t>
      </w:r>
      <w:proofErr w:type="spellEnd"/>
      <w:r w:rsidR="00751751" w:rsidRPr="00E55035">
        <w:rPr>
          <w:shd w:val="clear" w:color="auto" w:fill="FFFFFF"/>
        </w:rPr>
        <w:t>++</w:t>
      </w:r>
      <w:r w:rsidR="00F30016" w:rsidRPr="00E55035">
        <w:rPr>
          <w:shd w:val="clear" w:color="auto" w:fill="FFFFFF"/>
        </w:rPr>
        <w:t xml:space="preserve"> to better apply warning labels</w:t>
      </w:r>
      <w:r w:rsidR="00FC46E7" w:rsidRPr="00E55035">
        <w:rPr>
          <w:shd w:val="clear" w:color="auto" w:fill="FFFFFF"/>
        </w:rPr>
        <w:t xml:space="preserve"> of known misinformation</w:t>
      </w:r>
      <w:r w:rsidR="00F30016" w:rsidRPr="00E55035">
        <w:rPr>
          <w:shd w:val="clear" w:color="auto" w:fill="FFFFFF"/>
        </w:rPr>
        <w:t xml:space="preserve"> at scale</w:t>
      </w:r>
      <w:r w:rsidR="004D7203">
        <w:rPr>
          <w:shd w:val="clear" w:color="auto" w:fill="FFFFFF"/>
        </w:rPr>
        <w:t xml:space="preserve">. AI </w:t>
      </w:r>
      <w:r w:rsidR="000466BB" w:rsidRPr="00E55035">
        <w:rPr>
          <w:shd w:val="clear" w:color="auto" w:fill="FFFFFF"/>
        </w:rPr>
        <w:t>is deployed as part of Facebook’s end-to-end image indexing and matching system, which runs on images uploaded to Facebook and Instagram.</w:t>
      </w:r>
      <w:r w:rsidR="000466BB">
        <w:rPr>
          <w:rStyle w:val="FootnoteReference"/>
          <w:szCs w:val="20"/>
          <w:shd w:val="clear" w:color="auto" w:fill="FFFFFF"/>
        </w:rPr>
        <w:footnoteReference w:id="14"/>
      </w:r>
      <w:r w:rsidR="000466BB" w:rsidRPr="00E55035">
        <w:rPr>
          <w:rFonts w:ascii="Helvetica" w:hAnsi="Helvetica"/>
          <w:shd w:val="clear" w:color="auto" w:fill="FFFFFF"/>
        </w:rPr>
        <w:t xml:space="preserve"> </w:t>
      </w:r>
    </w:p>
    <w:p w14:paraId="4AB7A1E8" w14:textId="6D40917D" w:rsidR="0034014A" w:rsidRPr="006D1C0D" w:rsidRDefault="00E55035" w:rsidP="00A657FD">
      <w:pPr>
        <w:pStyle w:val="Paragraph"/>
      </w:pPr>
      <w:r w:rsidRPr="00BF15D9">
        <w:rPr>
          <w:shd w:val="clear" w:color="auto" w:fill="FFFFFF"/>
        </w:rPr>
        <w:t>Streaming services such as Netflix</w:t>
      </w:r>
      <w:r w:rsidR="00FF378C" w:rsidRPr="00BF15D9">
        <w:rPr>
          <w:shd w:val="clear" w:color="auto" w:fill="FFFFFF"/>
        </w:rPr>
        <w:t xml:space="preserve"> </w:t>
      </w:r>
      <w:r w:rsidR="002243D2" w:rsidRPr="00BF15D9">
        <w:rPr>
          <w:shd w:val="clear" w:color="auto" w:fill="FFFFFF"/>
        </w:rPr>
        <w:t>have also deployed</w:t>
      </w:r>
      <w:r w:rsidR="004230AB" w:rsidRPr="00BF15D9">
        <w:rPr>
          <w:shd w:val="clear" w:color="auto" w:fill="FFFFFF"/>
        </w:rPr>
        <w:t xml:space="preserve"> AI,</w:t>
      </w:r>
      <w:r w:rsidR="002243D2" w:rsidRPr="00BF15D9">
        <w:rPr>
          <w:shd w:val="clear" w:color="auto" w:fill="FFFFFF"/>
        </w:rPr>
        <w:t xml:space="preserve"> </w:t>
      </w:r>
      <w:r w:rsidR="00B51E48" w:rsidRPr="00BF15D9">
        <w:rPr>
          <w:shd w:val="clear" w:color="auto" w:fill="FFFFFF"/>
        </w:rPr>
        <w:t xml:space="preserve">machine learning and </w:t>
      </w:r>
      <w:r w:rsidR="002243D2" w:rsidRPr="00BF15D9">
        <w:rPr>
          <w:shd w:val="clear" w:color="auto" w:fill="FFFFFF"/>
        </w:rPr>
        <w:t xml:space="preserve">NLP tools to support </w:t>
      </w:r>
      <w:r w:rsidR="00B51E48" w:rsidRPr="00BF15D9">
        <w:rPr>
          <w:shd w:val="clear" w:color="auto" w:fill="FFFFFF"/>
        </w:rPr>
        <w:t xml:space="preserve">page personalisation, </w:t>
      </w:r>
      <w:r w:rsidR="00FB72ED" w:rsidRPr="00BF15D9">
        <w:rPr>
          <w:shd w:val="clear" w:color="auto" w:fill="FFFFFF"/>
        </w:rPr>
        <w:t>recommendations and search</w:t>
      </w:r>
      <w:r w:rsidR="004D7203">
        <w:rPr>
          <w:shd w:val="clear" w:color="auto" w:fill="FFFFFF"/>
        </w:rPr>
        <w:t>es</w:t>
      </w:r>
      <w:r w:rsidR="00FB72ED" w:rsidRPr="00BF15D9">
        <w:rPr>
          <w:shd w:val="clear" w:color="auto" w:fill="FFFFFF"/>
        </w:rPr>
        <w:t xml:space="preserve">. </w:t>
      </w:r>
      <w:r w:rsidR="00FF3008" w:rsidRPr="00BF15D9">
        <w:rPr>
          <w:shd w:val="clear" w:color="auto" w:fill="FFFFFF"/>
        </w:rPr>
        <w:t xml:space="preserve">This enables </w:t>
      </w:r>
      <w:r w:rsidR="0057636F" w:rsidRPr="00BF15D9">
        <w:rPr>
          <w:shd w:val="clear" w:color="auto" w:fill="FFFFFF"/>
        </w:rPr>
        <w:t>consumers to find content that is more interesting and meaningful to</w:t>
      </w:r>
      <w:r w:rsidR="004D7203">
        <w:rPr>
          <w:shd w:val="clear" w:color="auto" w:fill="FFFFFF"/>
        </w:rPr>
        <w:t> </w:t>
      </w:r>
      <w:r w:rsidR="0057636F" w:rsidRPr="00BF15D9">
        <w:rPr>
          <w:shd w:val="clear" w:color="auto" w:fill="FFFFFF"/>
        </w:rPr>
        <w:t>them.</w:t>
      </w:r>
      <w:r w:rsidR="0057636F" w:rsidRPr="00BF15D9">
        <w:rPr>
          <w:rStyle w:val="FootnoteReference"/>
          <w:szCs w:val="20"/>
          <w:shd w:val="clear" w:color="auto" w:fill="FFFFFF"/>
        </w:rPr>
        <w:footnoteReference w:id="15"/>
      </w:r>
      <w:r w:rsidR="0057636F" w:rsidRPr="00BF15D9">
        <w:rPr>
          <w:shd w:val="clear" w:color="auto" w:fill="FFFFFF"/>
        </w:rPr>
        <w:t xml:space="preserve"> </w:t>
      </w:r>
    </w:p>
    <w:p w14:paraId="7C10E279" w14:textId="2FF821B6" w:rsidR="008E070F" w:rsidRDefault="00201A16" w:rsidP="00201A16">
      <w:pPr>
        <w:pStyle w:val="Heading1"/>
      </w:pPr>
      <w:bookmarkStart w:id="17" w:name="_Toc73683723"/>
      <w:r>
        <w:lastRenderedPageBreak/>
        <w:t>NLP use</w:t>
      </w:r>
      <w:r w:rsidR="008E4D41">
        <w:t>-</w:t>
      </w:r>
      <w:r>
        <w:t>cases for regulators</w:t>
      </w:r>
      <w:bookmarkEnd w:id="17"/>
    </w:p>
    <w:p w14:paraId="749F9BF0" w14:textId="4E8667AE" w:rsidR="00201A16" w:rsidRDefault="00201A16" w:rsidP="00201A16">
      <w:pPr>
        <w:pStyle w:val="Paragraph"/>
      </w:pPr>
      <w:r>
        <w:t xml:space="preserve">NLP is not yet capable of human-level analysis; however, it has been demonstrated to effectively perform lower-order, specific tasks at a scale that would otherwise require significant human resourcing. </w:t>
      </w:r>
    </w:p>
    <w:p w14:paraId="03641DFE" w14:textId="7D1ADC18" w:rsidR="00201A16" w:rsidRPr="00590FBC" w:rsidRDefault="00201A16" w:rsidP="00201A16">
      <w:pPr>
        <w:pStyle w:val="Figureheading"/>
      </w:pPr>
      <w:r w:rsidRPr="00590FBC">
        <w:t>Overview</w:t>
      </w:r>
      <w:r>
        <w:t xml:space="preserve">: </w:t>
      </w:r>
      <w:r w:rsidR="008E4D41">
        <w:t>n</w:t>
      </w:r>
      <w:r>
        <w:t>atural language processing use</w:t>
      </w:r>
      <w:r w:rsidR="00F83B63">
        <w:t>-</w:t>
      </w:r>
      <w:r>
        <w:t>cases</w:t>
      </w:r>
      <w:r w:rsidRPr="00A657FD">
        <w:rPr>
          <w:rStyle w:val="FootnoteReference"/>
          <w:b w:val="0"/>
          <w:bCs w:val="0"/>
        </w:rPr>
        <w:footnoteReference w:id="16"/>
      </w:r>
    </w:p>
    <w:tbl>
      <w:tblPr>
        <w:tblStyle w:val="TableGrid"/>
        <w:tblW w:w="0" w:type="auto"/>
        <w:jc w:val="center"/>
        <w:tblBorders>
          <w:top w:val="single" w:sz="4" w:space="0" w:color="EAEAE8"/>
          <w:left w:val="single" w:sz="4" w:space="0" w:color="EAEAE8"/>
          <w:bottom w:val="single" w:sz="4" w:space="0" w:color="EAEAE8"/>
          <w:right w:val="single" w:sz="4" w:space="0" w:color="EAEAE8"/>
          <w:insideH w:val="single" w:sz="4" w:space="0" w:color="EAEAE8"/>
          <w:insideV w:val="single" w:sz="4" w:space="0" w:color="EAEAE8"/>
        </w:tblBorders>
        <w:tblCellMar>
          <w:top w:w="113" w:type="dxa"/>
          <w:left w:w="113" w:type="dxa"/>
          <w:bottom w:w="113" w:type="dxa"/>
          <w:right w:w="113" w:type="dxa"/>
        </w:tblCellMar>
        <w:tblLook w:val="04A0" w:firstRow="1" w:lastRow="0" w:firstColumn="1" w:lastColumn="0" w:noHBand="0" w:noVBand="1"/>
      </w:tblPr>
      <w:tblGrid>
        <w:gridCol w:w="2578"/>
        <w:gridCol w:w="2531"/>
        <w:gridCol w:w="2552"/>
      </w:tblGrid>
      <w:tr w:rsidR="00DB7CD5" w14:paraId="7AC2C0E3" w14:textId="77777777" w:rsidTr="00A657FD">
        <w:trPr>
          <w:jc w:val="center"/>
        </w:trPr>
        <w:tc>
          <w:tcPr>
            <w:tcW w:w="3115" w:type="dxa"/>
            <w:shd w:val="clear" w:color="auto" w:fill="FBFBFB"/>
          </w:tcPr>
          <w:p w14:paraId="1D91DEAF" w14:textId="62662486" w:rsidR="00DB7CD5" w:rsidRPr="00216C69" w:rsidRDefault="00DB7CD5" w:rsidP="009D198F">
            <w:pPr>
              <w:pStyle w:val="Paragraph"/>
              <w:jc w:val="center"/>
              <w:rPr>
                <w:b/>
                <w:bCs/>
                <w:sz w:val="19"/>
                <w:szCs w:val="19"/>
              </w:rPr>
            </w:pPr>
            <w:r w:rsidRPr="00216C69">
              <w:rPr>
                <w:b/>
                <w:bCs/>
                <w:sz w:val="19"/>
                <w:szCs w:val="19"/>
              </w:rPr>
              <w:t>Chatbots/</w:t>
            </w:r>
            <w:r>
              <w:rPr>
                <w:b/>
                <w:bCs/>
                <w:sz w:val="19"/>
                <w:szCs w:val="19"/>
              </w:rPr>
              <w:t>v</w:t>
            </w:r>
            <w:r w:rsidRPr="00216C69">
              <w:rPr>
                <w:b/>
                <w:bCs/>
                <w:sz w:val="19"/>
                <w:szCs w:val="19"/>
              </w:rPr>
              <w:t>oice-driven assistants</w:t>
            </w:r>
          </w:p>
          <w:p w14:paraId="0018AABB" w14:textId="77777777" w:rsidR="00DB7CD5" w:rsidRPr="00D85BF0" w:rsidRDefault="00DB7CD5" w:rsidP="009D198F">
            <w:pPr>
              <w:pStyle w:val="Paragraph"/>
              <w:jc w:val="center"/>
              <w:rPr>
                <w:sz w:val="19"/>
                <w:szCs w:val="19"/>
              </w:rPr>
            </w:pPr>
            <w:r>
              <w:rPr>
                <w:noProof/>
              </w:rPr>
              <w:drawing>
                <wp:inline distT="0" distB="0" distL="0" distR="0" wp14:anchorId="72BE1C4C" wp14:editId="02508BEB">
                  <wp:extent cx="445770" cy="390525"/>
                  <wp:effectExtent l="0" t="0" r="0" b="9525"/>
                  <wp:docPr id="260" name="Graphic 260" descr="Head with g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0"/>
                          <pic:cNvPicPr/>
                        </pic:nvPicPr>
                        <pic:blipFill>
                          <a:blip r:embed="rId41">
                            <a:extLst>
                              <a:ext uri="{96DAC541-7B7A-43D3-8B79-37D633B846F1}">
                                <asvg:svgBlip xmlns:asvg="http://schemas.microsoft.com/office/drawing/2016/SVG/main" r:embed="rId42"/>
                              </a:ext>
                            </a:extLst>
                          </a:blip>
                          <a:stretch>
                            <a:fillRect/>
                          </a:stretch>
                        </pic:blipFill>
                        <pic:spPr>
                          <a:xfrm>
                            <a:off x="0" y="0"/>
                            <a:ext cx="446227" cy="390925"/>
                          </a:xfrm>
                          <a:prstGeom prst="rect">
                            <a:avLst/>
                          </a:prstGeom>
                        </pic:spPr>
                      </pic:pic>
                    </a:graphicData>
                  </a:graphic>
                </wp:inline>
              </w:drawing>
            </w:r>
          </w:p>
          <w:p w14:paraId="4D5A8287" w14:textId="77777777" w:rsidR="00DB7CD5" w:rsidRPr="00D85BF0" w:rsidRDefault="00DB7CD5" w:rsidP="00A657FD">
            <w:pPr>
              <w:pStyle w:val="Paragraph"/>
              <w:rPr>
                <w:sz w:val="19"/>
                <w:szCs w:val="19"/>
              </w:rPr>
            </w:pPr>
            <w:r w:rsidRPr="00D85BF0">
              <w:rPr>
                <w:sz w:val="19"/>
                <w:szCs w:val="19"/>
              </w:rPr>
              <w:t>Software that performs tasks or services based on commands or questions</w:t>
            </w:r>
          </w:p>
        </w:tc>
        <w:tc>
          <w:tcPr>
            <w:tcW w:w="3115" w:type="dxa"/>
            <w:shd w:val="clear" w:color="auto" w:fill="F2F2F2" w:themeFill="background1" w:themeFillShade="F2"/>
          </w:tcPr>
          <w:p w14:paraId="244E5089" w14:textId="77777777" w:rsidR="00DB7CD5" w:rsidRPr="00216C69" w:rsidRDefault="00DB7CD5" w:rsidP="009D198F">
            <w:pPr>
              <w:pStyle w:val="Paragraph"/>
              <w:jc w:val="center"/>
              <w:rPr>
                <w:b/>
                <w:sz w:val="19"/>
                <w:szCs w:val="19"/>
              </w:rPr>
            </w:pPr>
            <w:r w:rsidRPr="00216C69">
              <w:rPr>
                <w:b/>
                <w:sz w:val="19"/>
                <w:szCs w:val="19"/>
              </w:rPr>
              <w:t xml:space="preserve">Sentiment </w:t>
            </w:r>
            <w:r>
              <w:rPr>
                <w:b/>
                <w:sz w:val="19"/>
                <w:szCs w:val="19"/>
              </w:rPr>
              <w:br/>
            </w:r>
            <w:r w:rsidRPr="00216C69">
              <w:rPr>
                <w:b/>
                <w:sz w:val="19"/>
                <w:szCs w:val="19"/>
              </w:rPr>
              <w:t>analysis</w:t>
            </w:r>
          </w:p>
          <w:p w14:paraId="6B745090" w14:textId="77777777" w:rsidR="00DB7CD5" w:rsidRPr="00D85BF0" w:rsidRDefault="00DB7CD5" w:rsidP="009D198F">
            <w:pPr>
              <w:pStyle w:val="Paragraph"/>
              <w:jc w:val="center"/>
              <w:rPr>
                <w:bCs/>
                <w:sz w:val="19"/>
                <w:szCs w:val="19"/>
              </w:rPr>
            </w:pPr>
            <w:r>
              <w:rPr>
                <w:noProof/>
              </w:rPr>
              <w:drawing>
                <wp:inline distT="0" distB="0" distL="0" distR="0" wp14:anchorId="67147708" wp14:editId="172764BF">
                  <wp:extent cx="380289" cy="380289"/>
                  <wp:effectExtent l="0" t="0" r="1270" b="1270"/>
                  <wp:docPr id="261" name="Graphic 261" descr="Thumbs u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1"/>
                          <pic:cNvPicPr/>
                        </pic:nvPicPr>
                        <pic:blipFill>
                          <a:blip r:embed="rId43">
                            <a:extLst>
                              <a:ext uri="{96DAC541-7B7A-43D3-8B79-37D633B846F1}">
                                <asvg:svgBlip xmlns:asvg="http://schemas.microsoft.com/office/drawing/2016/SVG/main" r:embed="rId44"/>
                              </a:ext>
                            </a:extLst>
                          </a:blip>
                          <a:stretch>
                            <a:fillRect/>
                          </a:stretch>
                        </pic:blipFill>
                        <pic:spPr>
                          <a:xfrm>
                            <a:off x="0" y="0"/>
                            <a:ext cx="380289" cy="380289"/>
                          </a:xfrm>
                          <a:prstGeom prst="rect">
                            <a:avLst/>
                          </a:prstGeom>
                        </pic:spPr>
                      </pic:pic>
                    </a:graphicData>
                  </a:graphic>
                </wp:inline>
              </w:drawing>
            </w:r>
            <w:r>
              <w:rPr>
                <w:noProof/>
              </w:rPr>
              <w:drawing>
                <wp:inline distT="0" distB="0" distL="0" distR="0" wp14:anchorId="5D50C103" wp14:editId="7E0970D2">
                  <wp:extent cx="358445" cy="358445"/>
                  <wp:effectExtent l="0" t="0" r="3810" b="3810"/>
                  <wp:docPr id="264" name="Graphic 264" descr="Thumbs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4"/>
                          <pic:cNvPicPr/>
                        </pic:nvPicPr>
                        <pic:blipFill>
                          <a:blip r:embed="rId45">
                            <a:extLst>
                              <a:ext uri="{96DAC541-7B7A-43D3-8B79-37D633B846F1}">
                                <asvg:svgBlip xmlns:asvg="http://schemas.microsoft.com/office/drawing/2016/SVG/main" r:embed="rId46"/>
                              </a:ext>
                            </a:extLst>
                          </a:blip>
                          <a:stretch>
                            <a:fillRect/>
                          </a:stretch>
                        </pic:blipFill>
                        <pic:spPr>
                          <a:xfrm>
                            <a:off x="0" y="0"/>
                            <a:ext cx="358445" cy="358445"/>
                          </a:xfrm>
                          <a:prstGeom prst="rect">
                            <a:avLst/>
                          </a:prstGeom>
                        </pic:spPr>
                      </pic:pic>
                    </a:graphicData>
                  </a:graphic>
                </wp:inline>
              </w:drawing>
            </w:r>
          </w:p>
          <w:p w14:paraId="68439860" w14:textId="77777777" w:rsidR="00DB7CD5" w:rsidRPr="00D85BF0" w:rsidRDefault="00DB7CD5" w:rsidP="00A657FD">
            <w:pPr>
              <w:pStyle w:val="Paragraph"/>
              <w:rPr>
                <w:bCs/>
                <w:sz w:val="19"/>
                <w:szCs w:val="19"/>
              </w:rPr>
            </w:pPr>
            <w:r w:rsidRPr="00D85BF0">
              <w:rPr>
                <w:bCs/>
                <w:sz w:val="19"/>
                <w:szCs w:val="19"/>
              </w:rPr>
              <w:t>Identifying the mood or subjective opinions within large amounts of text</w:t>
            </w:r>
          </w:p>
        </w:tc>
        <w:tc>
          <w:tcPr>
            <w:tcW w:w="3116" w:type="dxa"/>
            <w:shd w:val="clear" w:color="auto" w:fill="FBFBFB"/>
          </w:tcPr>
          <w:p w14:paraId="043982A8" w14:textId="77777777" w:rsidR="00DB7CD5" w:rsidRPr="00216C69" w:rsidRDefault="00DB7CD5" w:rsidP="009D198F">
            <w:pPr>
              <w:pStyle w:val="Paragraph"/>
              <w:jc w:val="center"/>
              <w:rPr>
                <w:b/>
                <w:bCs/>
                <w:sz w:val="19"/>
                <w:szCs w:val="19"/>
              </w:rPr>
            </w:pPr>
            <w:r w:rsidRPr="00216C69">
              <w:rPr>
                <w:b/>
                <w:bCs/>
                <w:sz w:val="19"/>
                <w:szCs w:val="19"/>
              </w:rPr>
              <w:t>Relationship extraction</w:t>
            </w:r>
          </w:p>
          <w:p w14:paraId="2D560A19" w14:textId="77777777" w:rsidR="00DB7CD5" w:rsidRPr="00D85BF0" w:rsidRDefault="00DB7CD5" w:rsidP="009D198F">
            <w:pPr>
              <w:pStyle w:val="Paragraph"/>
              <w:jc w:val="center"/>
              <w:rPr>
                <w:sz w:val="19"/>
                <w:szCs w:val="19"/>
              </w:rPr>
            </w:pPr>
            <w:r>
              <w:rPr>
                <w:noProof/>
              </w:rPr>
              <w:drawing>
                <wp:inline distT="0" distB="0" distL="0" distR="0" wp14:anchorId="4B3A153C" wp14:editId="0E4D7CD6">
                  <wp:extent cx="514350" cy="514350"/>
                  <wp:effectExtent l="0" t="0" r="0" b="0"/>
                  <wp:docPr id="265" name="Graphic 265"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5"/>
                          <pic:cNvPicPr/>
                        </pic:nvPicPr>
                        <pic:blipFill>
                          <a:blip r:embed="rId47">
                            <a:extLst>
                              <a:ext uri="{96DAC541-7B7A-43D3-8B79-37D633B846F1}">
                                <asvg:svgBlip xmlns:asvg="http://schemas.microsoft.com/office/drawing/2016/SVG/main" r:embed="rId48"/>
                              </a:ext>
                            </a:extLst>
                          </a:blip>
                          <a:stretch>
                            <a:fillRect/>
                          </a:stretch>
                        </pic:blipFill>
                        <pic:spPr>
                          <a:xfrm>
                            <a:off x="0" y="0"/>
                            <a:ext cx="514499" cy="514499"/>
                          </a:xfrm>
                          <a:prstGeom prst="rect">
                            <a:avLst/>
                          </a:prstGeom>
                        </pic:spPr>
                      </pic:pic>
                    </a:graphicData>
                  </a:graphic>
                </wp:inline>
              </w:drawing>
            </w:r>
          </w:p>
          <w:p w14:paraId="58CE3B38" w14:textId="77777777" w:rsidR="00DB7CD5" w:rsidRPr="00D85BF0" w:rsidRDefault="00DB7CD5" w:rsidP="00A657FD">
            <w:pPr>
              <w:pStyle w:val="Paragraph"/>
              <w:rPr>
                <w:sz w:val="19"/>
                <w:szCs w:val="19"/>
              </w:rPr>
            </w:pPr>
            <w:r w:rsidRPr="00D85BF0">
              <w:rPr>
                <w:sz w:val="19"/>
                <w:szCs w:val="19"/>
              </w:rPr>
              <w:t>Extracting semantic relationships from text, e.g., identifying that person is employed by an organisation</w:t>
            </w:r>
          </w:p>
        </w:tc>
      </w:tr>
      <w:tr w:rsidR="00DB7CD5" w14:paraId="35CF7F10" w14:textId="77777777" w:rsidTr="00DB7CD5">
        <w:trPr>
          <w:jc w:val="center"/>
        </w:trPr>
        <w:tc>
          <w:tcPr>
            <w:tcW w:w="3115" w:type="dxa"/>
            <w:shd w:val="clear" w:color="auto" w:fill="F2F2F2" w:themeFill="background1" w:themeFillShade="F2"/>
          </w:tcPr>
          <w:p w14:paraId="5DF20318" w14:textId="77777777" w:rsidR="00DB7CD5" w:rsidRPr="00216C69" w:rsidRDefault="00DB7CD5" w:rsidP="00DB7CD5">
            <w:pPr>
              <w:pStyle w:val="Paragraph"/>
              <w:jc w:val="center"/>
              <w:rPr>
                <w:b/>
                <w:bCs/>
                <w:sz w:val="19"/>
                <w:szCs w:val="19"/>
              </w:rPr>
            </w:pPr>
            <w:r w:rsidRPr="00216C69">
              <w:rPr>
                <w:b/>
                <w:bCs/>
                <w:sz w:val="19"/>
                <w:szCs w:val="19"/>
              </w:rPr>
              <w:t>Speech-to-text, text</w:t>
            </w:r>
            <w:r>
              <w:rPr>
                <w:b/>
                <w:bCs/>
                <w:sz w:val="19"/>
                <w:szCs w:val="19"/>
              </w:rPr>
              <w:t>-</w:t>
            </w:r>
            <w:r>
              <w:rPr>
                <w:b/>
                <w:bCs/>
                <w:sz w:val="19"/>
                <w:szCs w:val="19"/>
              </w:rPr>
              <w:br/>
            </w:r>
            <w:r w:rsidRPr="00216C69">
              <w:rPr>
                <w:b/>
                <w:bCs/>
                <w:sz w:val="19"/>
                <w:szCs w:val="19"/>
              </w:rPr>
              <w:t>to-speech</w:t>
            </w:r>
            <w:r>
              <w:rPr>
                <w:b/>
                <w:bCs/>
                <w:sz w:val="19"/>
                <w:szCs w:val="19"/>
              </w:rPr>
              <w:t xml:space="preserve"> </w:t>
            </w:r>
            <w:r w:rsidRPr="00216C69">
              <w:rPr>
                <w:b/>
                <w:bCs/>
                <w:sz w:val="19"/>
                <w:szCs w:val="19"/>
              </w:rPr>
              <w:t>conversion</w:t>
            </w:r>
          </w:p>
          <w:p w14:paraId="286D9AB8" w14:textId="77777777" w:rsidR="00DB7CD5" w:rsidRPr="00D85BF0" w:rsidRDefault="00DB7CD5" w:rsidP="009D198F">
            <w:pPr>
              <w:pStyle w:val="Paragraph"/>
              <w:ind w:left="317"/>
              <w:jc w:val="center"/>
              <w:rPr>
                <w:sz w:val="19"/>
                <w:szCs w:val="19"/>
              </w:rPr>
            </w:pPr>
            <w:r>
              <w:rPr>
                <w:noProof/>
              </w:rPr>
              <w:drawing>
                <wp:inline distT="0" distB="0" distL="0" distR="0" wp14:anchorId="4DBACFA5" wp14:editId="12BCC5BC">
                  <wp:extent cx="457200" cy="457200"/>
                  <wp:effectExtent l="0" t="0" r="0" b="0"/>
                  <wp:docPr id="267" name="Graphic 267" descr="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7"/>
                          <pic:cNvPicPr/>
                        </pic:nvPicPr>
                        <pic:blipFill>
                          <a:blip r:embed="rId49">
                            <a:extLst>
                              <a:ext uri="{96DAC541-7B7A-43D3-8B79-37D633B846F1}">
                                <asvg:svgBlip xmlns:asvg="http://schemas.microsoft.com/office/drawing/2016/SVG/main" r:embed="rId50"/>
                              </a:ext>
                            </a:extLst>
                          </a:blip>
                          <a:stretch>
                            <a:fillRect/>
                          </a:stretch>
                        </pic:blipFill>
                        <pic:spPr>
                          <a:xfrm>
                            <a:off x="0" y="0"/>
                            <a:ext cx="457200" cy="457200"/>
                          </a:xfrm>
                          <a:prstGeom prst="rect">
                            <a:avLst/>
                          </a:prstGeom>
                        </pic:spPr>
                      </pic:pic>
                    </a:graphicData>
                  </a:graphic>
                </wp:inline>
              </w:drawing>
            </w:r>
          </w:p>
          <w:p w14:paraId="0FD54702" w14:textId="77777777" w:rsidR="00DB7CD5" w:rsidRPr="00D85BF0" w:rsidRDefault="00DB7CD5" w:rsidP="00A657FD">
            <w:pPr>
              <w:pStyle w:val="Paragraph"/>
              <w:rPr>
                <w:sz w:val="19"/>
                <w:szCs w:val="19"/>
              </w:rPr>
            </w:pPr>
            <w:r w:rsidRPr="00D85BF0">
              <w:rPr>
                <w:sz w:val="19"/>
                <w:szCs w:val="19"/>
              </w:rPr>
              <w:t>Transforming voice commands into written text and vice versa</w:t>
            </w:r>
          </w:p>
        </w:tc>
        <w:tc>
          <w:tcPr>
            <w:tcW w:w="3115" w:type="dxa"/>
            <w:shd w:val="clear" w:color="auto" w:fill="FBFBFB"/>
          </w:tcPr>
          <w:p w14:paraId="0411DA1E" w14:textId="77777777" w:rsidR="00DB7CD5" w:rsidRPr="00216C69" w:rsidRDefault="00DB7CD5" w:rsidP="00A657FD">
            <w:pPr>
              <w:pStyle w:val="Paragraph"/>
              <w:shd w:val="clear" w:color="auto" w:fill="FBFBFB"/>
              <w:jc w:val="center"/>
              <w:rPr>
                <w:b/>
                <w:sz w:val="19"/>
                <w:szCs w:val="19"/>
              </w:rPr>
            </w:pPr>
            <w:r w:rsidRPr="00216C69">
              <w:rPr>
                <w:b/>
                <w:sz w:val="19"/>
                <w:szCs w:val="19"/>
              </w:rPr>
              <w:t xml:space="preserve">Information </w:t>
            </w:r>
            <w:r>
              <w:rPr>
                <w:b/>
                <w:sz w:val="19"/>
                <w:szCs w:val="19"/>
              </w:rPr>
              <w:br/>
            </w:r>
            <w:r w:rsidRPr="00216C69">
              <w:rPr>
                <w:b/>
                <w:sz w:val="19"/>
                <w:szCs w:val="19"/>
              </w:rPr>
              <w:t>extraction</w:t>
            </w:r>
          </w:p>
          <w:p w14:paraId="3BE961D4" w14:textId="77777777" w:rsidR="00DB7CD5" w:rsidRPr="00D85BF0" w:rsidRDefault="00DB7CD5" w:rsidP="00A657FD">
            <w:pPr>
              <w:pStyle w:val="Paragraph"/>
              <w:shd w:val="clear" w:color="auto" w:fill="FBFBFB"/>
              <w:jc w:val="center"/>
              <w:rPr>
                <w:bCs/>
                <w:sz w:val="19"/>
                <w:szCs w:val="19"/>
              </w:rPr>
            </w:pPr>
            <w:r>
              <w:rPr>
                <w:noProof/>
              </w:rPr>
              <w:drawing>
                <wp:inline distT="0" distB="0" distL="0" distR="0" wp14:anchorId="6EFA7A23" wp14:editId="1A2C7D70">
                  <wp:extent cx="447675" cy="447675"/>
                  <wp:effectExtent l="0" t="0" r="0" b="9525"/>
                  <wp:docPr id="268" name="Graphic 268" descr="Clipboard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8"/>
                          <pic:cNvPicPr/>
                        </pic:nvPicPr>
                        <pic:blipFill>
                          <a:blip r:embed="rId51">
                            <a:extLst>
                              <a:ext uri="{96DAC541-7B7A-43D3-8B79-37D633B846F1}">
                                <asvg:svgBlip xmlns:asvg="http://schemas.microsoft.com/office/drawing/2016/SVG/main" r:embed="rId52"/>
                              </a:ext>
                            </a:extLst>
                          </a:blip>
                          <a:stretch>
                            <a:fillRect/>
                          </a:stretch>
                        </pic:blipFill>
                        <pic:spPr>
                          <a:xfrm>
                            <a:off x="0" y="0"/>
                            <a:ext cx="447675" cy="447675"/>
                          </a:xfrm>
                          <a:prstGeom prst="rect">
                            <a:avLst/>
                          </a:prstGeom>
                        </pic:spPr>
                      </pic:pic>
                    </a:graphicData>
                  </a:graphic>
                </wp:inline>
              </w:drawing>
            </w:r>
          </w:p>
          <w:p w14:paraId="035ACCF3" w14:textId="03941EB2" w:rsidR="00DB7CD5" w:rsidRPr="00D85BF0" w:rsidRDefault="00DB7CD5" w:rsidP="00A657FD">
            <w:pPr>
              <w:pStyle w:val="Paragraph"/>
              <w:shd w:val="clear" w:color="auto" w:fill="FBFBFB"/>
              <w:rPr>
                <w:bCs/>
                <w:sz w:val="19"/>
                <w:szCs w:val="19"/>
              </w:rPr>
            </w:pPr>
            <w:r w:rsidRPr="00D85BF0">
              <w:rPr>
                <w:bCs/>
                <w:sz w:val="19"/>
                <w:szCs w:val="19"/>
              </w:rPr>
              <w:t>Automatically find</w:t>
            </w:r>
            <w:r>
              <w:rPr>
                <w:bCs/>
                <w:sz w:val="19"/>
                <w:szCs w:val="19"/>
              </w:rPr>
              <w:t>ing</w:t>
            </w:r>
            <w:r w:rsidRPr="00D85BF0">
              <w:rPr>
                <w:bCs/>
                <w:sz w:val="19"/>
                <w:szCs w:val="19"/>
              </w:rPr>
              <w:t xml:space="preserve"> meaningful information in unstructured text</w:t>
            </w:r>
          </w:p>
        </w:tc>
        <w:tc>
          <w:tcPr>
            <w:tcW w:w="3116" w:type="dxa"/>
            <w:shd w:val="clear" w:color="auto" w:fill="F2F2F2" w:themeFill="background1" w:themeFillShade="F2"/>
          </w:tcPr>
          <w:p w14:paraId="4D752BF7" w14:textId="77777777" w:rsidR="00DB7CD5" w:rsidRPr="00216C69" w:rsidRDefault="00DB7CD5" w:rsidP="009D198F">
            <w:pPr>
              <w:pStyle w:val="Paragraph"/>
              <w:jc w:val="center"/>
              <w:rPr>
                <w:b/>
                <w:bCs/>
                <w:sz w:val="19"/>
                <w:szCs w:val="19"/>
              </w:rPr>
            </w:pPr>
            <w:r w:rsidRPr="00216C69">
              <w:rPr>
                <w:b/>
                <w:bCs/>
                <w:sz w:val="19"/>
                <w:szCs w:val="19"/>
              </w:rPr>
              <w:t>Document summarisation</w:t>
            </w:r>
          </w:p>
          <w:p w14:paraId="23248A95" w14:textId="77777777" w:rsidR="00DB7CD5" w:rsidRPr="00D85BF0" w:rsidRDefault="00DB7CD5" w:rsidP="009D198F">
            <w:pPr>
              <w:pStyle w:val="Paragraph"/>
              <w:jc w:val="center"/>
              <w:rPr>
                <w:sz w:val="19"/>
                <w:szCs w:val="19"/>
              </w:rPr>
            </w:pPr>
            <w:r>
              <w:rPr>
                <w:noProof/>
              </w:rPr>
              <w:drawing>
                <wp:inline distT="0" distB="0" distL="0" distR="0" wp14:anchorId="37D4FABE" wp14:editId="00A428B0">
                  <wp:extent cx="428625" cy="428625"/>
                  <wp:effectExtent l="0" t="0" r="0" b="9525"/>
                  <wp:docPr id="269" name="Graphic 269"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69"/>
                          <pic:cNvPicPr/>
                        </pic:nvPicPr>
                        <pic:blipFill>
                          <a:blip r:embed="rId53">
                            <a:extLst>
                              <a:ext uri="{96DAC541-7B7A-43D3-8B79-37D633B846F1}">
                                <asvg:svgBlip xmlns:asvg="http://schemas.microsoft.com/office/drawing/2016/SVG/main" r:embed="rId54"/>
                              </a:ext>
                            </a:extLst>
                          </a:blip>
                          <a:stretch>
                            <a:fillRect/>
                          </a:stretch>
                        </pic:blipFill>
                        <pic:spPr>
                          <a:xfrm>
                            <a:off x="0" y="0"/>
                            <a:ext cx="428625" cy="428625"/>
                          </a:xfrm>
                          <a:prstGeom prst="rect">
                            <a:avLst/>
                          </a:prstGeom>
                        </pic:spPr>
                      </pic:pic>
                    </a:graphicData>
                  </a:graphic>
                </wp:inline>
              </w:drawing>
            </w:r>
          </w:p>
          <w:p w14:paraId="4BE54687" w14:textId="646A495C" w:rsidR="00DB7CD5" w:rsidRPr="00D85BF0" w:rsidRDefault="00DB7CD5" w:rsidP="00A657FD">
            <w:pPr>
              <w:pStyle w:val="Paragraph"/>
              <w:rPr>
                <w:sz w:val="19"/>
                <w:szCs w:val="19"/>
              </w:rPr>
            </w:pPr>
            <w:r w:rsidRPr="00D85BF0">
              <w:rPr>
                <w:sz w:val="19"/>
                <w:szCs w:val="19"/>
              </w:rPr>
              <w:t>Automatically generat</w:t>
            </w:r>
            <w:r>
              <w:rPr>
                <w:sz w:val="19"/>
                <w:szCs w:val="19"/>
              </w:rPr>
              <w:t>ing</w:t>
            </w:r>
            <w:r w:rsidRPr="00D85BF0">
              <w:rPr>
                <w:sz w:val="19"/>
                <w:szCs w:val="19"/>
              </w:rPr>
              <w:t xml:space="preserve"> a synopsis of large bodies of text</w:t>
            </w:r>
            <w:r>
              <w:rPr>
                <w:sz w:val="19"/>
                <w:szCs w:val="19"/>
              </w:rPr>
              <w:t xml:space="preserve"> or documents</w:t>
            </w:r>
          </w:p>
        </w:tc>
      </w:tr>
      <w:tr w:rsidR="00DB7CD5" w14:paraId="73111E23" w14:textId="77777777" w:rsidTr="00A657FD">
        <w:trPr>
          <w:jc w:val="center"/>
        </w:trPr>
        <w:tc>
          <w:tcPr>
            <w:tcW w:w="3115" w:type="dxa"/>
            <w:shd w:val="clear" w:color="auto" w:fill="FBFBFB"/>
          </w:tcPr>
          <w:p w14:paraId="744A505E" w14:textId="77777777" w:rsidR="00DB7CD5" w:rsidRPr="00216C69" w:rsidRDefault="00DB7CD5" w:rsidP="00A657FD">
            <w:pPr>
              <w:pStyle w:val="Paragraph"/>
              <w:shd w:val="clear" w:color="auto" w:fill="FBFBFB"/>
              <w:jc w:val="center"/>
              <w:rPr>
                <w:b/>
                <w:bCs/>
                <w:sz w:val="19"/>
                <w:szCs w:val="19"/>
              </w:rPr>
            </w:pPr>
            <w:r w:rsidRPr="00216C69">
              <w:rPr>
                <w:b/>
                <w:bCs/>
                <w:sz w:val="19"/>
                <w:szCs w:val="19"/>
              </w:rPr>
              <w:t xml:space="preserve">Machine </w:t>
            </w:r>
            <w:r>
              <w:rPr>
                <w:b/>
                <w:bCs/>
                <w:sz w:val="19"/>
                <w:szCs w:val="19"/>
              </w:rPr>
              <w:br/>
            </w:r>
            <w:r w:rsidRPr="00216C69">
              <w:rPr>
                <w:b/>
                <w:bCs/>
                <w:sz w:val="19"/>
                <w:szCs w:val="19"/>
              </w:rPr>
              <w:t>translation</w:t>
            </w:r>
          </w:p>
          <w:p w14:paraId="61FA11E5" w14:textId="77777777" w:rsidR="00DB7CD5" w:rsidRPr="00D85BF0" w:rsidRDefault="00DB7CD5" w:rsidP="00A657FD">
            <w:pPr>
              <w:pStyle w:val="Paragraph"/>
              <w:shd w:val="clear" w:color="auto" w:fill="FBFBFB"/>
              <w:jc w:val="center"/>
              <w:rPr>
                <w:sz w:val="19"/>
                <w:szCs w:val="19"/>
              </w:rPr>
            </w:pPr>
            <w:r>
              <w:rPr>
                <w:noProof/>
              </w:rPr>
              <w:drawing>
                <wp:inline distT="0" distB="0" distL="0" distR="0" wp14:anchorId="34B99D5D" wp14:editId="4FD6BFD1">
                  <wp:extent cx="390525" cy="390525"/>
                  <wp:effectExtent l="0" t="0" r="9525" b="0"/>
                  <wp:docPr id="270" name="Graphic 270" descr="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0"/>
                          <pic:cNvPicPr/>
                        </pic:nvPicPr>
                        <pic:blipFill>
                          <a:blip r:embed="rId55">
                            <a:extLst>
                              <a:ext uri="{96DAC541-7B7A-43D3-8B79-37D633B846F1}">
                                <asvg:svgBlip xmlns:asvg="http://schemas.microsoft.com/office/drawing/2016/SVG/main" r:embed="rId56"/>
                              </a:ext>
                            </a:extLst>
                          </a:blip>
                          <a:stretch>
                            <a:fillRect/>
                          </a:stretch>
                        </pic:blipFill>
                        <pic:spPr>
                          <a:xfrm>
                            <a:off x="0" y="0"/>
                            <a:ext cx="390525" cy="390525"/>
                          </a:xfrm>
                          <a:prstGeom prst="rect">
                            <a:avLst/>
                          </a:prstGeom>
                        </pic:spPr>
                      </pic:pic>
                    </a:graphicData>
                  </a:graphic>
                </wp:inline>
              </w:drawing>
            </w:r>
          </w:p>
          <w:p w14:paraId="518D5FD2" w14:textId="77777777" w:rsidR="00DB7CD5" w:rsidRPr="00D85BF0" w:rsidRDefault="00DB7CD5" w:rsidP="00A657FD">
            <w:pPr>
              <w:pStyle w:val="Paragraph"/>
              <w:shd w:val="clear" w:color="auto" w:fill="FBFBFB"/>
              <w:rPr>
                <w:sz w:val="19"/>
                <w:szCs w:val="19"/>
              </w:rPr>
            </w:pPr>
            <w:r w:rsidRPr="00D85BF0">
              <w:rPr>
                <w:sz w:val="19"/>
                <w:szCs w:val="19"/>
              </w:rPr>
              <w:t>Translation of text or speech from one language to another</w:t>
            </w:r>
          </w:p>
        </w:tc>
        <w:tc>
          <w:tcPr>
            <w:tcW w:w="3115" w:type="dxa"/>
            <w:shd w:val="clear" w:color="auto" w:fill="F2F2F2" w:themeFill="background1" w:themeFillShade="F2"/>
          </w:tcPr>
          <w:p w14:paraId="37A1EF21" w14:textId="77777777" w:rsidR="00DB7CD5" w:rsidRPr="00216C69" w:rsidRDefault="00DB7CD5" w:rsidP="009D198F">
            <w:pPr>
              <w:pStyle w:val="Paragraph"/>
              <w:jc w:val="center"/>
              <w:rPr>
                <w:b/>
                <w:bCs/>
                <w:sz w:val="19"/>
                <w:szCs w:val="19"/>
              </w:rPr>
            </w:pPr>
            <w:r w:rsidRPr="00216C69">
              <w:rPr>
                <w:b/>
                <w:bCs/>
                <w:sz w:val="19"/>
                <w:szCs w:val="19"/>
              </w:rPr>
              <w:t xml:space="preserve">Content </w:t>
            </w:r>
            <w:r>
              <w:rPr>
                <w:b/>
                <w:bCs/>
                <w:sz w:val="19"/>
                <w:szCs w:val="19"/>
              </w:rPr>
              <w:br/>
            </w:r>
            <w:r w:rsidRPr="00216C69">
              <w:rPr>
                <w:b/>
                <w:bCs/>
                <w:sz w:val="19"/>
                <w:szCs w:val="19"/>
              </w:rPr>
              <w:t>categorisation</w:t>
            </w:r>
          </w:p>
          <w:p w14:paraId="5A5F97C8" w14:textId="77777777" w:rsidR="00DB7CD5" w:rsidRPr="00D85BF0" w:rsidRDefault="00DB7CD5" w:rsidP="009D198F">
            <w:pPr>
              <w:pStyle w:val="Paragraph"/>
              <w:jc w:val="center"/>
              <w:rPr>
                <w:sz w:val="19"/>
                <w:szCs w:val="19"/>
              </w:rPr>
            </w:pPr>
            <w:r>
              <w:rPr>
                <w:noProof/>
              </w:rPr>
              <w:drawing>
                <wp:inline distT="0" distB="0" distL="0" distR="0" wp14:anchorId="7C89A1C1" wp14:editId="470F7621">
                  <wp:extent cx="381000" cy="381000"/>
                  <wp:effectExtent l="0" t="0" r="0" b="0"/>
                  <wp:docPr id="271" name="Graphic 271"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1"/>
                          <pic:cNvPicPr/>
                        </pic:nvPicPr>
                        <pic:blipFill>
                          <a:blip r:embed="rId57">
                            <a:extLst>
                              <a:ext uri="{96DAC541-7B7A-43D3-8B79-37D633B846F1}">
                                <asvg:svgBlip xmlns:asvg="http://schemas.microsoft.com/office/drawing/2016/SVG/main" r:embed="rId58"/>
                              </a:ext>
                            </a:extLst>
                          </a:blip>
                          <a:stretch>
                            <a:fillRect/>
                          </a:stretch>
                        </pic:blipFill>
                        <pic:spPr>
                          <a:xfrm>
                            <a:off x="0" y="0"/>
                            <a:ext cx="381000" cy="381000"/>
                          </a:xfrm>
                          <a:prstGeom prst="rect">
                            <a:avLst/>
                          </a:prstGeom>
                        </pic:spPr>
                      </pic:pic>
                    </a:graphicData>
                  </a:graphic>
                </wp:inline>
              </w:drawing>
            </w:r>
          </w:p>
          <w:p w14:paraId="204EC8D9" w14:textId="77777777" w:rsidR="00DB7CD5" w:rsidRPr="00D85BF0" w:rsidRDefault="00DB7CD5" w:rsidP="00A657FD">
            <w:pPr>
              <w:pStyle w:val="Paragraph"/>
              <w:rPr>
                <w:sz w:val="19"/>
                <w:szCs w:val="19"/>
              </w:rPr>
            </w:pPr>
            <w:r w:rsidRPr="00D85BF0">
              <w:rPr>
                <w:sz w:val="19"/>
                <w:szCs w:val="19"/>
              </w:rPr>
              <w:t>Search and indexing, content alerts and duplication detection</w:t>
            </w:r>
          </w:p>
        </w:tc>
        <w:tc>
          <w:tcPr>
            <w:tcW w:w="3116" w:type="dxa"/>
            <w:shd w:val="clear" w:color="auto" w:fill="FBFBFB"/>
          </w:tcPr>
          <w:p w14:paraId="097BE39C" w14:textId="77777777" w:rsidR="00DB7CD5" w:rsidRPr="00216C69" w:rsidRDefault="00DB7CD5" w:rsidP="009D198F">
            <w:pPr>
              <w:pStyle w:val="Paragraph"/>
              <w:jc w:val="center"/>
              <w:rPr>
                <w:b/>
                <w:bCs/>
                <w:sz w:val="19"/>
                <w:szCs w:val="19"/>
              </w:rPr>
            </w:pPr>
            <w:r w:rsidRPr="00216C69">
              <w:rPr>
                <w:b/>
                <w:bCs/>
                <w:sz w:val="19"/>
                <w:szCs w:val="19"/>
              </w:rPr>
              <w:t>Topic discovery and modelling</w:t>
            </w:r>
          </w:p>
          <w:p w14:paraId="70D782AE" w14:textId="77777777" w:rsidR="00DB7CD5" w:rsidRPr="00D85BF0" w:rsidRDefault="00DB7CD5" w:rsidP="009D198F">
            <w:pPr>
              <w:pStyle w:val="Paragraph"/>
              <w:jc w:val="center"/>
              <w:rPr>
                <w:sz w:val="19"/>
                <w:szCs w:val="19"/>
              </w:rPr>
            </w:pPr>
            <w:r>
              <w:rPr>
                <w:noProof/>
              </w:rPr>
              <w:drawing>
                <wp:inline distT="0" distB="0" distL="0" distR="0" wp14:anchorId="3733A422" wp14:editId="532C8584">
                  <wp:extent cx="390525" cy="390525"/>
                  <wp:effectExtent l="0" t="0" r="9525" b="9525"/>
                  <wp:docPr id="273" name="Graphic 273" descr="Mining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73"/>
                          <pic:cNvPicPr/>
                        </pic:nvPicPr>
                        <pic:blipFill>
                          <a:blip r:embed="rId59">
                            <a:extLst>
                              <a:ext uri="{96DAC541-7B7A-43D3-8B79-37D633B846F1}">
                                <asvg:svgBlip xmlns:asvg="http://schemas.microsoft.com/office/drawing/2016/SVG/main" r:embed="rId60"/>
                              </a:ext>
                            </a:extLst>
                          </a:blip>
                          <a:stretch>
                            <a:fillRect/>
                          </a:stretch>
                        </pic:blipFill>
                        <pic:spPr>
                          <a:xfrm>
                            <a:off x="0" y="0"/>
                            <a:ext cx="390525" cy="390525"/>
                          </a:xfrm>
                          <a:prstGeom prst="rect">
                            <a:avLst/>
                          </a:prstGeom>
                        </pic:spPr>
                      </pic:pic>
                    </a:graphicData>
                  </a:graphic>
                </wp:inline>
              </w:drawing>
            </w:r>
          </w:p>
          <w:p w14:paraId="16BD3118" w14:textId="77777777" w:rsidR="00DB7CD5" w:rsidRPr="00D85BF0" w:rsidRDefault="00DB7CD5" w:rsidP="00A657FD">
            <w:pPr>
              <w:pStyle w:val="Paragraph"/>
              <w:rPr>
                <w:sz w:val="19"/>
                <w:szCs w:val="19"/>
              </w:rPr>
            </w:pPr>
            <w:r>
              <w:rPr>
                <w:sz w:val="19"/>
                <w:szCs w:val="19"/>
              </w:rPr>
              <w:t>Mining text for key themes</w:t>
            </w:r>
          </w:p>
        </w:tc>
      </w:tr>
    </w:tbl>
    <w:p w14:paraId="1D0DD228" w14:textId="27974971" w:rsidR="00615B10" w:rsidRPr="00BF15D9" w:rsidRDefault="00176455" w:rsidP="00201A16">
      <w:pPr>
        <w:pStyle w:val="Paragraph"/>
        <w:rPr>
          <w:i/>
          <w:iCs/>
          <w:sz w:val="16"/>
          <w:szCs w:val="16"/>
        </w:rPr>
      </w:pPr>
      <w:r w:rsidRPr="00BF15D9">
        <w:rPr>
          <w:i/>
          <w:iCs/>
          <w:sz w:val="16"/>
          <w:szCs w:val="16"/>
        </w:rPr>
        <w:t xml:space="preserve">Source: </w:t>
      </w:r>
      <w:r w:rsidR="00BC5A55" w:rsidRPr="00BF15D9">
        <w:rPr>
          <w:i/>
          <w:iCs/>
          <w:sz w:val="16"/>
          <w:szCs w:val="16"/>
        </w:rPr>
        <w:t>ACMA</w:t>
      </w:r>
      <w:r w:rsidR="00542384" w:rsidRPr="00BF15D9">
        <w:rPr>
          <w:i/>
          <w:iCs/>
          <w:sz w:val="16"/>
          <w:szCs w:val="16"/>
        </w:rPr>
        <w:t xml:space="preserve"> analysis</w:t>
      </w:r>
      <w:r w:rsidR="00EB47D3">
        <w:rPr>
          <w:i/>
          <w:iCs/>
          <w:sz w:val="16"/>
          <w:szCs w:val="16"/>
        </w:rPr>
        <w:t>.</w:t>
      </w:r>
    </w:p>
    <w:p w14:paraId="00609E72" w14:textId="58E6914F" w:rsidR="00DA34F2" w:rsidRDefault="00201A16" w:rsidP="00A657FD">
      <w:pPr>
        <w:pStyle w:val="Paragraph"/>
        <w:keepNext/>
        <w:keepLines/>
      </w:pPr>
      <w:r>
        <w:lastRenderedPageBreak/>
        <w:t xml:space="preserve">NLP applications have commercialised over the past </w:t>
      </w:r>
      <w:r w:rsidR="00DE2364">
        <w:t xml:space="preserve">2 </w:t>
      </w:r>
      <w:r>
        <w:t>decades. Consumers have direct access to NLP-enabled products provided by multinational technology companies including Apple and Google.</w:t>
      </w:r>
      <w:r>
        <w:rPr>
          <w:rStyle w:val="FootnoteReference"/>
        </w:rPr>
        <w:footnoteReference w:id="17"/>
      </w:r>
      <w:r>
        <w:t xml:space="preserve"> NLP services beyond chatbots are being offered via cloud platforms from various companies, including SAP, Microsoft, Google and IBM, increasing </w:t>
      </w:r>
      <w:r w:rsidR="00DA34F2">
        <w:t>the</w:t>
      </w:r>
      <w:r>
        <w:t xml:space="preserve"> general accessibility</w:t>
      </w:r>
      <w:r w:rsidR="00DA34F2">
        <w:t xml:space="preserve"> of NLP</w:t>
      </w:r>
      <w:r>
        <w:t xml:space="preserve">. </w:t>
      </w:r>
    </w:p>
    <w:p w14:paraId="46C968C7" w14:textId="62F8DDC4" w:rsidR="00201A16" w:rsidRDefault="00201A16" w:rsidP="00201A16">
      <w:pPr>
        <w:pStyle w:val="Paragraph"/>
      </w:pPr>
      <w:r>
        <w:t>The scope of NLP applications can be expected to broaden with further research and the development of new products and services.</w:t>
      </w:r>
    </w:p>
    <w:p w14:paraId="126A23FE" w14:textId="1D0FB29C" w:rsidR="008E070F" w:rsidRDefault="00201A16" w:rsidP="00101EF0">
      <w:pPr>
        <w:pStyle w:val="Paragraph"/>
      </w:pPr>
      <w:r>
        <w:t>As a part of a regulator’s toolkit, NLP can support operations in several ways</w:t>
      </w:r>
      <w:r w:rsidR="00955BA9">
        <w:t>;</w:t>
      </w:r>
      <w:r w:rsidR="005C2A51">
        <w:t xml:space="preserve"> </w:t>
      </w:r>
      <w:r>
        <w:t xml:space="preserve">increasing internal efficiency through </w:t>
      </w:r>
      <w:r w:rsidRPr="00EB21D9">
        <w:t xml:space="preserve">automation, </w:t>
      </w:r>
      <w:r>
        <w:t xml:space="preserve">supporting regulatory effectiveness through identifying </w:t>
      </w:r>
      <w:r w:rsidR="00571C30">
        <w:t>harms</w:t>
      </w:r>
      <w:r>
        <w:t xml:space="preserve">, and </w:t>
      </w:r>
      <w:r w:rsidRPr="00EB21D9">
        <w:t>supporting regulatory review processes</w:t>
      </w:r>
      <w:r>
        <w:t>.</w:t>
      </w:r>
      <w:r w:rsidRPr="00424AFD">
        <w:t xml:space="preserve"> </w:t>
      </w:r>
      <w:r>
        <w:t>NLP can enable regulators to analyse a significantly larger amount of information from industry and consumers than current practices allow</w:t>
      </w:r>
      <w:r w:rsidR="00955BA9">
        <w:t xml:space="preserve"> </w:t>
      </w:r>
      <w:r>
        <w:t xml:space="preserve">so that </w:t>
      </w:r>
      <w:r w:rsidR="004C2532">
        <w:t xml:space="preserve">potential </w:t>
      </w:r>
      <w:r w:rsidR="00EA1B70">
        <w:t xml:space="preserve">non-compliance </w:t>
      </w:r>
      <w:r>
        <w:t xml:space="preserve">can be anticipated and targeted more effectively. It also supports greater public engagement, with the ability to automate processes and responses to common questions. </w:t>
      </w:r>
    </w:p>
    <w:p w14:paraId="3C5D10F8" w14:textId="5FAC95EC" w:rsidR="00201A16" w:rsidRPr="00424AFD" w:rsidRDefault="00201A16" w:rsidP="00A657FD">
      <w:pPr>
        <w:pStyle w:val="Figureheading"/>
      </w:pPr>
      <w:bookmarkStart w:id="18" w:name="_Hlk63846462"/>
      <w:r>
        <w:t>NLP use</w:t>
      </w:r>
      <w:r w:rsidR="008E4D41">
        <w:t>-</w:t>
      </w:r>
      <w:r>
        <w:t>cases across regulatory processes</w:t>
      </w:r>
      <w:bookmarkEnd w:id="18"/>
    </w:p>
    <w:p w14:paraId="56A58946" w14:textId="7B00708C" w:rsidR="00201A16" w:rsidRDefault="00DB7CD5" w:rsidP="00201A16">
      <w:pPr>
        <w:pStyle w:val="Paragraph"/>
      </w:pPr>
      <w:r>
        <w:rPr>
          <w:noProof/>
        </w:rPr>
        <w:drawing>
          <wp:inline distT="0" distB="0" distL="0" distR="0" wp14:anchorId="00923F13" wp14:editId="4BDE3245">
            <wp:extent cx="5343525" cy="3459952"/>
            <wp:effectExtent l="0" t="0" r="0" b="7620"/>
            <wp:docPr id="17" name="Picture 17" descr="Chart showing NLP use cases across regulatory proc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showing NLP use cases across regulatory processes."/>
                    <pic:cNvPicPr/>
                  </pic:nvPicPr>
                  <pic:blipFill>
                    <a:blip r:embed="rId61"/>
                    <a:stretch>
                      <a:fillRect/>
                    </a:stretch>
                  </pic:blipFill>
                  <pic:spPr>
                    <a:xfrm>
                      <a:off x="0" y="0"/>
                      <a:ext cx="5347661" cy="3462630"/>
                    </a:xfrm>
                    <a:prstGeom prst="rect">
                      <a:avLst/>
                    </a:prstGeom>
                  </pic:spPr>
                </pic:pic>
              </a:graphicData>
            </a:graphic>
          </wp:inline>
        </w:drawing>
      </w:r>
    </w:p>
    <w:p w14:paraId="49785386" w14:textId="089DBAB1" w:rsidR="00201A16" w:rsidRPr="00BF15D9" w:rsidRDefault="00201A16" w:rsidP="00201A16">
      <w:pPr>
        <w:pStyle w:val="Paragraph"/>
        <w:rPr>
          <w:i/>
          <w:iCs/>
          <w:sz w:val="16"/>
          <w:szCs w:val="16"/>
        </w:rPr>
      </w:pPr>
      <w:r w:rsidRPr="00BF15D9">
        <w:rPr>
          <w:i/>
          <w:iCs/>
          <w:sz w:val="16"/>
          <w:szCs w:val="16"/>
        </w:rPr>
        <w:t>Source: ACMA</w:t>
      </w:r>
      <w:r w:rsidR="00293490" w:rsidRPr="00BF15D9">
        <w:rPr>
          <w:i/>
          <w:iCs/>
          <w:sz w:val="16"/>
          <w:szCs w:val="16"/>
        </w:rPr>
        <w:t xml:space="preserve"> </w:t>
      </w:r>
      <w:r w:rsidR="001B70BA" w:rsidRPr="00BF15D9">
        <w:rPr>
          <w:i/>
          <w:iCs/>
          <w:sz w:val="16"/>
          <w:szCs w:val="16"/>
        </w:rPr>
        <w:t>a</w:t>
      </w:r>
      <w:r w:rsidR="00293490" w:rsidRPr="00BF15D9">
        <w:rPr>
          <w:i/>
          <w:iCs/>
          <w:sz w:val="16"/>
          <w:szCs w:val="16"/>
        </w:rPr>
        <w:t>nalysis</w:t>
      </w:r>
      <w:r w:rsidR="0031024E">
        <w:rPr>
          <w:i/>
          <w:iCs/>
          <w:sz w:val="16"/>
          <w:szCs w:val="16"/>
        </w:rPr>
        <w:t xml:space="preserve">. </w:t>
      </w:r>
      <w:r w:rsidR="00293490" w:rsidRPr="00BF15D9">
        <w:rPr>
          <w:i/>
          <w:iCs/>
          <w:sz w:val="16"/>
          <w:szCs w:val="16"/>
        </w:rPr>
        <w:t xml:space="preserve"> </w:t>
      </w:r>
    </w:p>
    <w:p w14:paraId="501F9393" w14:textId="36412CAC" w:rsidR="00101EF0" w:rsidRPr="00A41D61" w:rsidRDefault="00BA637A" w:rsidP="007356D8">
      <w:pPr>
        <w:pStyle w:val="Paragraph"/>
        <w:rPr>
          <w:szCs w:val="20"/>
        </w:rPr>
      </w:pPr>
      <w:r>
        <w:t xml:space="preserve">Discussions held with </w:t>
      </w:r>
      <w:r w:rsidR="00201A16">
        <w:t xml:space="preserve">other regulators </w:t>
      </w:r>
      <w:r w:rsidR="00A41D61" w:rsidRPr="00E02520">
        <w:rPr>
          <w:szCs w:val="20"/>
        </w:rPr>
        <w:t xml:space="preserve">indicate that NLP technologies present opportunities to gain insights into unstructured text documents. Regulators are exploring NLP </w:t>
      </w:r>
      <w:r w:rsidR="00DA1B13">
        <w:rPr>
          <w:szCs w:val="20"/>
        </w:rPr>
        <w:t>applications</w:t>
      </w:r>
      <w:r w:rsidR="00DA1B13" w:rsidRPr="00E02520">
        <w:rPr>
          <w:szCs w:val="20"/>
        </w:rPr>
        <w:t xml:space="preserve"> </w:t>
      </w:r>
      <w:r w:rsidR="00A41D61" w:rsidRPr="00E02520">
        <w:rPr>
          <w:szCs w:val="20"/>
        </w:rPr>
        <w:t xml:space="preserve">to identify </w:t>
      </w:r>
      <w:r w:rsidR="00571C30">
        <w:rPr>
          <w:szCs w:val="20"/>
        </w:rPr>
        <w:t>issues</w:t>
      </w:r>
      <w:r w:rsidR="00571C30" w:rsidRPr="00E02520">
        <w:rPr>
          <w:szCs w:val="20"/>
        </w:rPr>
        <w:t xml:space="preserve"> </w:t>
      </w:r>
      <w:r w:rsidR="00A41D61" w:rsidRPr="00E02520">
        <w:rPr>
          <w:szCs w:val="20"/>
        </w:rPr>
        <w:t>and trends in documents to guide decision</w:t>
      </w:r>
      <w:r w:rsidR="00DA1B13">
        <w:rPr>
          <w:szCs w:val="20"/>
        </w:rPr>
        <w:t>-</w:t>
      </w:r>
      <w:r w:rsidR="00A41D61" w:rsidRPr="00E02520">
        <w:rPr>
          <w:szCs w:val="20"/>
        </w:rPr>
        <w:t>making. NLP use</w:t>
      </w:r>
      <w:r w:rsidR="008E4D41">
        <w:rPr>
          <w:szCs w:val="20"/>
        </w:rPr>
        <w:t>-</w:t>
      </w:r>
      <w:r w:rsidR="00A41D61" w:rsidRPr="00E02520">
        <w:rPr>
          <w:szCs w:val="20"/>
        </w:rPr>
        <w:t xml:space="preserve">cases with examples are outlined below. </w:t>
      </w:r>
    </w:p>
    <w:p w14:paraId="75DEB52C" w14:textId="5C613244" w:rsidR="007356D8" w:rsidRPr="007356D8" w:rsidRDefault="00101EF0" w:rsidP="00A657FD">
      <w:pPr>
        <w:pStyle w:val="Heading2"/>
        <w:keepLines/>
      </w:pPr>
      <w:bookmarkStart w:id="19" w:name="_Toc73683724"/>
      <w:r>
        <w:lastRenderedPageBreak/>
        <w:t>Monitoring and issue identification</w:t>
      </w:r>
      <w:bookmarkEnd w:id="19"/>
      <w:r>
        <w:t xml:space="preserve"> </w:t>
      </w:r>
    </w:p>
    <w:p w14:paraId="4AB45177" w14:textId="0866D973" w:rsidR="00101EF0" w:rsidRDefault="00101EF0" w:rsidP="00A657FD">
      <w:pPr>
        <w:pStyle w:val="Heading3"/>
        <w:keepLines/>
      </w:pPr>
      <w:bookmarkStart w:id="20" w:name="_Toc73683725"/>
      <w:r>
        <w:t>Topic or theme discovery</w:t>
      </w:r>
      <w:bookmarkEnd w:id="20"/>
      <w:r>
        <w:t xml:space="preserve"> </w:t>
      </w:r>
    </w:p>
    <w:p w14:paraId="37498A6C" w14:textId="3FC8FF0C" w:rsidR="00D80692" w:rsidRDefault="00101EF0" w:rsidP="00A657FD">
      <w:pPr>
        <w:pStyle w:val="Paragraph"/>
        <w:keepNext/>
        <w:keepLines/>
      </w:pPr>
      <w:r>
        <w:t>Topic modelling uses ‘unsupervised’ methods of NLP, which means the NLP tool does not depend on being trained on predefined labels, concepts or categories by staff.</w:t>
      </w:r>
      <w:r>
        <w:rPr>
          <w:rStyle w:val="FootnoteReference"/>
        </w:rPr>
        <w:footnoteReference w:id="18"/>
      </w:r>
      <w:r>
        <w:t xml:space="preserve"> These NLP tools identify themes and topics across documents or collections of documents.</w:t>
      </w:r>
      <w:r>
        <w:rPr>
          <w:rStyle w:val="FootnoteReference"/>
        </w:rPr>
        <w:footnoteReference w:id="19"/>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88"/>
        <w:gridCol w:w="6673"/>
      </w:tblGrid>
      <w:tr w:rsidR="00EA252A" w14:paraId="5475F452" w14:textId="77777777" w:rsidTr="00A657FD">
        <w:trPr>
          <w:trHeight w:val="386"/>
        </w:trPr>
        <w:tc>
          <w:tcPr>
            <w:tcW w:w="988" w:type="dxa"/>
            <w:shd w:val="clear" w:color="auto" w:fill="00A0A4"/>
          </w:tcPr>
          <w:p w14:paraId="5B399908" w14:textId="047764BE" w:rsidR="00EA252A" w:rsidRDefault="00DB7CD5" w:rsidP="00A657FD">
            <w:pPr>
              <w:pStyle w:val="Paragraph"/>
              <w:keepNext/>
              <w:keepLines/>
              <w:spacing w:after="0"/>
              <w:jc w:val="center"/>
            </w:pPr>
            <w:r>
              <w:rPr>
                <w:noProof/>
              </w:rPr>
              <w:drawing>
                <wp:inline distT="0" distB="0" distL="0" distR="0" wp14:anchorId="5808F928" wp14:editId="6B4B505D">
                  <wp:extent cx="485775" cy="485775"/>
                  <wp:effectExtent l="0" t="0" r="9525" b="0"/>
                  <wp:docPr id="90419168" name="Graphic 90419168" descr="Subtitl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68" name="Graphic 90419168" descr="Subtitles outline"/>
                          <pic:cNvPicPr/>
                        </pic:nvPicPr>
                        <pic:blipFill>
                          <a:blip r:embed="rId62">
                            <a:extLst>
                              <a:ext uri="{96DAC541-7B7A-43D3-8B79-37D633B846F1}">
                                <asvg:svgBlip xmlns:asvg="http://schemas.microsoft.com/office/drawing/2016/SVG/main" r:embed="rId63"/>
                              </a:ext>
                            </a:extLst>
                          </a:blip>
                          <a:stretch>
                            <a:fillRect/>
                          </a:stretch>
                        </pic:blipFill>
                        <pic:spPr>
                          <a:xfrm>
                            <a:off x="0" y="0"/>
                            <a:ext cx="485775" cy="485775"/>
                          </a:xfrm>
                          <a:prstGeom prst="rect">
                            <a:avLst/>
                          </a:prstGeom>
                        </pic:spPr>
                      </pic:pic>
                    </a:graphicData>
                  </a:graphic>
                </wp:inline>
              </w:drawing>
            </w:r>
          </w:p>
        </w:tc>
        <w:tc>
          <w:tcPr>
            <w:tcW w:w="6673" w:type="dxa"/>
            <w:shd w:val="clear" w:color="auto" w:fill="F2F2F2" w:themeFill="background1" w:themeFillShade="F2"/>
          </w:tcPr>
          <w:p w14:paraId="57312354" w14:textId="77777777" w:rsidR="00EA252A" w:rsidRDefault="00EA252A" w:rsidP="00A657FD">
            <w:pPr>
              <w:pStyle w:val="Paragraph"/>
              <w:keepNext/>
              <w:keepLines/>
              <w:spacing w:after="120" w:line="240" w:lineRule="auto"/>
              <w:rPr>
                <w:b/>
                <w:bCs/>
              </w:rPr>
            </w:pPr>
            <w:r w:rsidRPr="005F50CA">
              <w:rPr>
                <w:b/>
                <w:bCs/>
              </w:rPr>
              <w:t xml:space="preserve">UK </w:t>
            </w:r>
            <w:r w:rsidR="00284674">
              <w:rPr>
                <w:b/>
                <w:bCs/>
              </w:rPr>
              <w:t>g</w:t>
            </w:r>
            <w:r w:rsidRPr="005F50CA">
              <w:rPr>
                <w:b/>
                <w:bCs/>
              </w:rPr>
              <w:t>overnment demonstration of topic and theme discovery</w:t>
            </w:r>
          </w:p>
          <w:p w14:paraId="4A24B9B0" w14:textId="263B5F1A" w:rsidR="00BB3E89" w:rsidRDefault="00BB3E89" w:rsidP="00BB3E89">
            <w:pPr>
              <w:pStyle w:val="Paragraph"/>
              <w:keepNext/>
              <w:keepLines/>
            </w:pPr>
            <w:r>
              <w:t xml:space="preserve">In 2016, the </w:t>
            </w:r>
            <w:r w:rsidRPr="005A2187">
              <w:t>UK government</w:t>
            </w:r>
            <w:r>
              <w:t xml:space="preserve"> conducted an analysis on how customer complaints and comments relate to one another. Following cleaning of the text data (removing common words like ‘the’ and punctuation, lemmatising</w:t>
            </w:r>
            <w:r>
              <w:rPr>
                <w:rStyle w:val="FootnoteReference"/>
              </w:rPr>
              <w:footnoteReference w:id="20"/>
            </w:r>
            <w:r>
              <w:t xml:space="preserve"> the text, and applying </w:t>
            </w:r>
            <w:r w:rsidR="00EF4DDC">
              <w:t xml:space="preserve">automatic </w:t>
            </w:r>
            <w:r>
              <w:t>spelling correction), an algorithm was applied that mapped topics based on the probability of words within each document.</w:t>
            </w:r>
            <w:r>
              <w:rPr>
                <w:rStyle w:val="FootnoteReference"/>
              </w:rPr>
              <w:footnoteReference w:id="21"/>
            </w:r>
            <w:r>
              <w:t xml:space="preserve"> These topics uncovered trends between public complaints and comments – for example, mortgage complaints often contain allegations of racial discrimination.</w:t>
            </w:r>
            <w:r>
              <w:rPr>
                <w:rStyle w:val="FootnoteReference"/>
              </w:rPr>
              <w:footnoteReference w:id="22"/>
            </w:r>
            <w:r>
              <w:t xml:space="preserve"> Revealing such topics allows governments to develop appropriate policy responses. </w:t>
            </w:r>
          </w:p>
          <w:p w14:paraId="7DF48374" w14:textId="7D5BA623" w:rsidR="00BB3E89" w:rsidRDefault="00BB3E89" w:rsidP="00BB3E89">
            <w:pPr>
              <w:pStyle w:val="Paragraph"/>
              <w:keepNext/>
              <w:keepLines/>
              <w:spacing w:after="80"/>
            </w:pPr>
            <w:r>
              <w:t>The UK Government has continued to u</w:t>
            </w:r>
            <w:r w:rsidR="00440D63">
              <w:t>se</w:t>
            </w:r>
            <w:r>
              <w:t xml:space="preserve"> NLP to identify topics or themes in unstructured text data:</w:t>
            </w:r>
          </w:p>
          <w:p w14:paraId="2863F646" w14:textId="77777777" w:rsidR="00BB3E89" w:rsidRDefault="00BB3E89" w:rsidP="00BB3E89">
            <w:pPr>
              <w:pStyle w:val="Paragraph"/>
              <w:keepNext/>
              <w:keepLines/>
              <w:numPr>
                <w:ilvl w:val="0"/>
                <w:numId w:val="13"/>
              </w:numPr>
              <w:spacing w:after="80"/>
              <w:ind w:left="425" w:hanging="357"/>
            </w:pPr>
            <w:r>
              <w:t>In 2019, the Department for Work and Pensions grouped incident support tickets to help identify common root causes.</w:t>
            </w:r>
            <w:r>
              <w:rPr>
                <w:rStyle w:val="FootnoteReference"/>
              </w:rPr>
              <w:footnoteReference w:id="23"/>
            </w:r>
            <w:r>
              <w:t xml:space="preserve"> </w:t>
            </w:r>
          </w:p>
          <w:p w14:paraId="1DEB9C18" w14:textId="77777777" w:rsidR="00BB3E89" w:rsidRDefault="00BB3E89" w:rsidP="00A657FD">
            <w:pPr>
              <w:pStyle w:val="Paragraph"/>
              <w:keepNext/>
              <w:keepLines/>
              <w:numPr>
                <w:ilvl w:val="0"/>
                <w:numId w:val="13"/>
              </w:numPr>
              <w:spacing w:after="120"/>
              <w:ind w:left="425" w:hanging="357"/>
            </w:pPr>
            <w:r>
              <w:t xml:space="preserve">The UK’s </w:t>
            </w:r>
            <w:r w:rsidRPr="009618E8">
              <w:t>Data Science Campus</w:t>
            </w:r>
            <w:r w:rsidRPr="00101EF0">
              <w:rPr>
                <w:b/>
                <w:bCs/>
              </w:rPr>
              <w:t xml:space="preserve"> </w:t>
            </w:r>
            <w:r>
              <w:t xml:space="preserve">at the Office for National Statistics (ONS) used NLP to analyse key themes and phrases across 650 submissions to a consultation on a Welsh Government Bill – the ‘Children (Abolition of Defence of Reasonable Punishment) </w:t>
            </w:r>
            <w:r>
              <w:br/>
              <w:t>(Wales)’ Bill.</w:t>
            </w:r>
            <w:r>
              <w:rPr>
                <w:rStyle w:val="FootnoteReference"/>
              </w:rPr>
              <w:footnoteReference w:id="24"/>
            </w:r>
            <w:r>
              <w:t xml:space="preserve"> </w:t>
            </w:r>
          </w:p>
          <w:p w14:paraId="4BB0B0A8" w14:textId="72D01530" w:rsidR="00BB3E89" w:rsidRPr="005F50CA" w:rsidRDefault="00BB3E89" w:rsidP="00A657FD">
            <w:pPr>
              <w:pStyle w:val="Paragraph"/>
              <w:keepNext/>
              <w:keepLines/>
              <w:spacing w:after="0" w:line="240" w:lineRule="auto"/>
              <w:rPr>
                <w:b/>
                <w:bCs/>
              </w:rPr>
            </w:pPr>
            <w:r>
              <w:t>In 2020, Data Science Campus was commissioned by the UK Department of International Trade to provide an automated analysis of submissions to public consultations on 4 future trade negotiations, to which it expected about 100,000 responses.</w:t>
            </w:r>
            <w:r>
              <w:rPr>
                <w:rStyle w:val="FootnoteReference"/>
              </w:rPr>
              <w:footnoteReference w:id="25"/>
            </w:r>
          </w:p>
        </w:tc>
      </w:tr>
    </w:tbl>
    <w:p w14:paraId="78485F60" w14:textId="77777777" w:rsidR="00A94929" w:rsidRDefault="00A94929" w:rsidP="00101EF0">
      <w:pPr>
        <w:pStyle w:val="Paragraph"/>
      </w:pPr>
    </w:p>
    <w:p w14:paraId="6BEB62EC" w14:textId="05E9E023" w:rsidR="008B064F" w:rsidRDefault="00B82520" w:rsidP="00A657FD">
      <w:pPr>
        <w:pStyle w:val="Paragraph"/>
        <w:keepNext/>
        <w:keepLines/>
      </w:pPr>
      <w:r>
        <w:t>Some regulators we spoke to are exploring the potential of</w:t>
      </w:r>
      <w:r w:rsidR="008B064F">
        <w:t xml:space="preserve"> NLP to analyse complaints on social media. This could help focus the regulator’s attention on priority issues for customers.</w:t>
      </w:r>
      <w:r w:rsidR="00BE45D7">
        <w:t xml:space="preserve"> </w:t>
      </w:r>
      <w:r w:rsidR="00CC45A6">
        <w:t xml:space="preserve">The ACMA currently uses NLP to </w:t>
      </w:r>
      <w:r w:rsidR="000C3412">
        <w:t xml:space="preserve">gather social sentiment </w:t>
      </w:r>
      <w:r w:rsidR="00EF045D">
        <w:t xml:space="preserve">across social media platforms </w:t>
      </w:r>
      <w:r w:rsidR="00B43AEC">
        <w:t xml:space="preserve">to help understand the effectiveness of </w:t>
      </w:r>
      <w:r w:rsidR="001C2B1F">
        <w:t>our</w:t>
      </w:r>
      <w:r w:rsidR="00695299">
        <w:t xml:space="preserve"> media</w:t>
      </w:r>
      <w:r w:rsidR="001C2B1F">
        <w:t xml:space="preserve"> campaigns. </w:t>
      </w:r>
      <w:r w:rsidR="00B43AEC">
        <w:t xml:space="preserve"> </w:t>
      </w:r>
    </w:p>
    <w:p w14:paraId="620EEFDB" w14:textId="6551AE7A" w:rsidR="00101EF0" w:rsidRDefault="00101EF0" w:rsidP="00101EF0">
      <w:pPr>
        <w:pStyle w:val="Paragraph"/>
      </w:pPr>
      <w:r>
        <w:t>NLP can support the review of various content, including consultation submissions, complaints and user feedback, or investigation reports</w:t>
      </w:r>
      <w:r w:rsidR="000858E4">
        <w:t>,</w:t>
      </w:r>
      <w:r>
        <w:t xml:space="preserve"> to identify common threads. </w:t>
      </w:r>
      <w:r>
        <w:lastRenderedPageBreak/>
        <w:t>The insights drawn can then be fed into regulatory activities and decision-making, such as setting compliance and enforcement priorities.</w:t>
      </w:r>
      <w:r w:rsidRPr="00952935">
        <w:t xml:space="preserve"> </w:t>
      </w:r>
    </w:p>
    <w:p w14:paraId="6B7B2E71" w14:textId="65DFC1AE" w:rsidR="00101EF0" w:rsidRDefault="00101EF0" w:rsidP="00101EF0">
      <w:pPr>
        <w:pStyle w:val="Heading2"/>
      </w:pPr>
      <w:bookmarkStart w:id="21" w:name="_Toc73683726"/>
      <w:r>
        <w:t>Regulatory design</w:t>
      </w:r>
      <w:bookmarkEnd w:id="21"/>
      <w:r>
        <w:t xml:space="preserve"> </w:t>
      </w:r>
    </w:p>
    <w:p w14:paraId="0D6B1CF2" w14:textId="70E7B437" w:rsidR="00101EF0" w:rsidRDefault="00101EF0" w:rsidP="00101EF0">
      <w:pPr>
        <w:pStyle w:val="Heading3"/>
      </w:pPr>
      <w:bookmarkStart w:id="22" w:name="_Toc73683727"/>
      <w:r>
        <w:t>Text analysis and classification</w:t>
      </w:r>
      <w:bookmarkEnd w:id="22"/>
      <w:r>
        <w:t xml:space="preserve"> </w:t>
      </w:r>
    </w:p>
    <w:p w14:paraId="488B2E4B" w14:textId="7360861E" w:rsidR="00101EF0" w:rsidRPr="00101EF0" w:rsidRDefault="00101EF0" w:rsidP="00A657FD">
      <w:pPr>
        <w:rPr>
          <w:rFonts w:cs="Arial"/>
        </w:rPr>
      </w:pPr>
      <w:r w:rsidRPr="00101EF0">
        <w:rPr>
          <w:rFonts w:cs="Arial"/>
        </w:rPr>
        <w:t xml:space="preserve">In addition to uncovering new topics or themes </w:t>
      </w:r>
      <w:r w:rsidR="00BD6DED">
        <w:rPr>
          <w:rFonts w:cs="Arial"/>
        </w:rPr>
        <w:t>in large volumes of text</w:t>
      </w:r>
      <w:r w:rsidRPr="00101EF0">
        <w:rPr>
          <w:rFonts w:cs="Arial"/>
        </w:rPr>
        <w:t xml:space="preserve">, NLP can be trained to classify keywords and phrases into specific taxonomies. In other words, NLP algorithms can be trained to predict labels or tags for new documents based on data already available from humans with specialist knowledge.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88"/>
        <w:gridCol w:w="6673"/>
      </w:tblGrid>
      <w:tr w:rsidR="002B304C" w14:paraId="09246C42" w14:textId="77777777" w:rsidTr="00A657FD">
        <w:tc>
          <w:tcPr>
            <w:tcW w:w="988" w:type="dxa"/>
            <w:shd w:val="clear" w:color="auto" w:fill="00A0A4"/>
          </w:tcPr>
          <w:p w14:paraId="1C601AFB" w14:textId="59061679" w:rsidR="002B304C" w:rsidRDefault="00DB7CD5" w:rsidP="00A657FD">
            <w:pPr>
              <w:pStyle w:val="Paragraph"/>
              <w:jc w:val="center"/>
            </w:pPr>
            <w:r>
              <w:rPr>
                <w:noProof/>
              </w:rPr>
              <w:drawing>
                <wp:inline distT="0" distB="0" distL="0" distR="0" wp14:anchorId="19DC55D5" wp14:editId="34D5816E">
                  <wp:extent cx="371475" cy="371475"/>
                  <wp:effectExtent l="0" t="0" r="9525" b="0"/>
                  <wp:docPr id="90419171" name="Graphic 90419171" descr="Prioriti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1" name="Graphic 90419171" descr="Priorities outline"/>
                          <pic:cNvPicPr/>
                        </pic:nvPicPr>
                        <pic:blipFill>
                          <a:blip r:embed="rId64">
                            <a:extLst>
                              <a:ext uri="{96DAC541-7B7A-43D3-8B79-37D633B846F1}">
                                <asvg:svgBlip xmlns:asvg="http://schemas.microsoft.com/office/drawing/2016/SVG/main" r:embed="rId65"/>
                              </a:ext>
                            </a:extLst>
                          </a:blip>
                          <a:stretch>
                            <a:fillRect/>
                          </a:stretch>
                        </pic:blipFill>
                        <pic:spPr>
                          <a:xfrm>
                            <a:off x="0" y="0"/>
                            <a:ext cx="371475" cy="371475"/>
                          </a:xfrm>
                          <a:prstGeom prst="rect">
                            <a:avLst/>
                          </a:prstGeom>
                        </pic:spPr>
                      </pic:pic>
                    </a:graphicData>
                  </a:graphic>
                </wp:inline>
              </w:drawing>
            </w:r>
          </w:p>
        </w:tc>
        <w:tc>
          <w:tcPr>
            <w:tcW w:w="6673" w:type="dxa"/>
            <w:shd w:val="clear" w:color="auto" w:fill="F2F2F2" w:themeFill="background1" w:themeFillShade="F2"/>
          </w:tcPr>
          <w:p w14:paraId="7DFFA9FC" w14:textId="5998F73F" w:rsidR="00655DAF" w:rsidRDefault="00655DAF" w:rsidP="00A657FD">
            <w:pPr>
              <w:pStyle w:val="Paragraph"/>
              <w:spacing w:after="120"/>
            </w:pPr>
            <w:r>
              <w:rPr>
                <w:b/>
                <w:bCs/>
              </w:rPr>
              <w:t xml:space="preserve">Categorising content to assist consultation </w:t>
            </w:r>
            <w:proofErr w:type="gramStart"/>
            <w:r>
              <w:rPr>
                <w:b/>
                <w:bCs/>
              </w:rPr>
              <w:t>processes</w:t>
            </w:r>
            <w:proofErr w:type="gramEnd"/>
            <w:r w:rsidRPr="00101EF0">
              <w:t xml:space="preserve"> </w:t>
            </w:r>
          </w:p>
          <w:p w14:paraId="5DB1CD78" w14:textId="1C52D5B1" w:rsidR="002B304C" w:rsidRDefault="002B304C" w:rsidP="00A657FD">
            <w:pPr>
              <w:pStyle w:val="Paragraph"/>
              <w:spacing w:after="0"/>
            </w:pPr>
            <w:r w:rsidRPr="00101EF0">
              <w:t xml:space="preserve">NLP’s capacity to categorise content according to pre-defined themes can further assist in consultation processes by identifying and quantifying key topics and themes raised by citizens. </w:t>
            </w:r>
            <w:r w:rsidRPr="5F81766C">
              <w:t xml:space="preserve">In 2019, </w:t>
            </w:r>
            <w:r w:rsidR="000858E4">
              <w:t xml:space="preserve">technology company </w:t>
            </w:r>
            <w:proofErr w:type="spellStart"/>
            <w:r w:rsidRPr="00A657FD">
              <w:t>CitizenLab</w:t>
            </w:r>
            <w:proofErr w:type="spellEnd"/>
            <w:r w:rsidR="000858E4">
              <w:rPr>
                <w:b/>
                <w:bCs/>
              </w:rPr>
              <w:t> </w:t>
            </w:r>
            <w:r w:rsidRPr="5F81766C">
              <w:t>set up a participation platform on the</w:t>
            </w:r>
            <w:r w:rsidR="000858E4">
              <w:t> </w:t>
            </w:r>
            <w:r w:rsidRPr="5F81766C">
              <w:t>topic entitled ‘</w:t>
            </w:r>
            <w:r w:rsidRPr="00A657FD">
              <w:t>Youth4Climate</w:t>
            </w:r>
            <w:r w:rsidRPr="000858E4">
              <w:t>’</w:t>
            </w:r>
            <w:r w:rsidRPr="5F81766C">
              <w:t xml:space="preserve"> and invited users to submit ideas on tackling climate change. Over 3 months, users submitted 1,700 ideas, 2,600 comments and 32,000 votes on initiatives they wanted to support. NLP was used to analyse these items and label those that aligned with categories identified by humans (for example, ‘reduce waste’, ‘promote green energies’ and ‘greener homes’ were some of the possible labels).</w:t>
            </w:r>
            <w:r w:rsidRPr="5F81766C">
              <w:rPr>
                <w:rStyle w:val="FootnoteReference"/>
              </w:rPr>
              <w:footnoteReference w:id="26"/>
            </w:r>
            <w:r w:rsidRPr="00101EF0">
              <w:rPr>
                <w:szCs w:val="20"/>
              </w:rPr>
              <w:t xml:space="preserve"> </w:t>
            </w:r>
          </w:p>
        </w:tc>
      </w:tr>
      <w:tr w:rsidR="00280EA6" w14:paraId="0F6D0708" w14:textId="77777777" w:rsidTr="00A657FD">
        <w:tc>
          <w:tcPr>
            <w:tcW w:w="988" w:type="dxa"/>
            <w:shd w:val="clear" w:color="auto" w:fill="00A0A4"/>
          </w:tcPr>
          <w:p w14:paraId="60A2BA13" w14:textId="30DCB7B3" w:rsidR="00280EA6" w:rsidRDefault="00DB7CD5" w:rsidP="00A657FD">
            <w:pPr>
              <w:pStyle w:val="Paragraph"/>
              <w:jc w:val="center"/>
            </w:pPr>
            <w:r>
              <w:rPr>
                <w:noProof/>
              </w:rPr>
              <w:drawing>
                <wp:inline distT="0" distB="0" distL="0" distR="0" wp14:anchorId="615BF0FA" wp14:editId="1F38A274">
                  <wp:extent cx="352425" cy="352425"/>
                  <wp:effectExtent l="0" t="0" r="9525" b="9525"/>
                  <wp:docPr id="90419172" name="Graphic 9041917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2" name="Graphic 90419172" descr="Research outline"/>
                          <pic:cNvPicPr/>
                        </pic:nvPicPr>
                        <pic:blipFill>
                          <a:blip r:embed="rId66">
                            <a:extLst>
                              <a:ext uri="{96DAC541-7B7A-43D3-8B79-37D633B846F1}">
                                <asvg:svgBlip xmlns:asvg="http://schemas.microsoft.com/office/drawing/2016/SVG/main" r:embed="rId67"/>
                              </a:ext>
                            </a:extLst>
                          </a:blip>
                          <a:stretch>
                            <a:fillRect/>
                          </a:stretch>
                        </pic:blipFill>
                        <pic:spPr>
                          <a:xfrm>
                            <a:off x="0" y="0"/>
                            <a:ext cx="352425" cy="352425"/>
                          </a:xfrm>
                          <a:prstGeom prst="rect">
                            <a:avLst/>
                          </a:prstGeom>
                        </pic:spPr>
                      </pic:pic>
                    </a:graphicData>
                  </a:graphic>
                </wp:inline>
              </w:drawing>
            </w:r>
          </w:p>
        </w:tc>
        <w:tc>
          <w:tcPr>
            <w:tcW w:w="6673" w:type="dxa"/>
            <w:shd w:val="clear" w:color="auto" w:fill="F2F2F2" w:themeFill="background1" w:themeFillShade="F2"/>
          </w:tcPr>
          <w:p w14:paraId="11661CBA" w14:textId="1E80240C" w:rsidR="00655DAF" w:rsidRDefault="00655DAF" w:rsidP="00A657FD">
            <w:pPr>
              <w:pStyle w:val="Paragraph"/>
              <w:spacing w:after="120"/>
            </w:pPr>
            <w:r>
              <w:rPr>
                <w:b/>
                <w:bCs/>
              </w:rPr>
              <w:t>Analysing regulatory data to support rule making processes</w:t>
            </w:r>
            <w:r w:rsidRPr="00A86F0C">
              <w:t xml:space="preserve"> </w:t>
            </w:r>
          </w:p>
          <w:p w14:paraId="5DC95274" w14:textId="027DA7C2" w:rsidR="00280EA6" w:rsidRPr="00BF15D9" w:rsidRDefault="00280EA6" w:rsidP="00A657FD">
            <w:pPr>
              <w:pStyle w:val="Paragraph"/>
              <w:spacing w:after="0"/>
            </w:pPr>
            <w:r w:rsidRPr="00BF15D9">
              <w:t>NLP has also been u</w:t>
            </w:r>
            <w:r w:rsidR="00BD6DED">
              <w:t>sed</w:t>
            </w:r>
            <w:r w:rsidRPr="00BF15D9">
              <w:t xml:space="preserve"> by the Federal Communications Commission (FCC) for text analysis. </w:t>
            </w:r>
            <w:r w:rsidR="0020593E">
              <w:t xml:space="preserve">Data and media company </w:t>
            </w:r>
            <w:proofErr w:type="spellStart"/>
            <w:r w:rsidRPr="00BF15D9">
              <w:t>FiscalNote</w:t>
            </w:r>
            <w:proofErr w:type="spellEnd"/>
            <w:r w:rsidRPr="00BF15D9">
              <w:t xml:space="preserve"> was engaged by the FCC to analyse more than 22 million comments on the regulators proposal to repeal net neutrality. A major challenge identified was sifting through millions of responses to separate genuine comments from fake ones generated by bots. To identify the fake responses, NLP was utilised to cluster the comments and identify similarities in sentences and paragraph structures.</w:t>
            </w:r>
            <w:r w:rsidR="005A1BB8">
              <w:rPr>
                <w:rStyle w:val="FootnoteReference"/>
              </w:rPr>
              <w:footnoteReference w:id="27"/>
            </w:r>
            <w:r w:rsidR="005A1BB8">
              <w:t xml:space="preserve"> </w:t>
            </w:r>
            <w:r w:rsidRPr="00BF15D9">
              <w:t>This analysis allowed the FCC to give the public the ability to participate in the rule</w:t>
            </w:r>
            <w:r w:rsidR="0020593E">
              <w:t>-</w:t>
            </w:r>
            <w:r w:rsidRPr="00BF15D9">
              <w:t>making process.</w:t>
            </w:r>
          </w:p>
        </w:tc>
      </w:tr>
    </w:tbl>
    <w:p w14:paraId="74BDA1E9" w14:textId="77777777" w:rsidR="00587578" w:rsidRDefault="00587578" w:rsidP="00101EF0">
      <w:pPr>
        <w:pStyle w:val="Paragraph"/>
      </w:pPr>
    </w:p>
    <w:p w14:paraId="03F987AA" w14:textId="4115E658" w:rsidR="00101EF0" w:rsidRDefault="00101EF0" w:rsidP="00101EF0">
      <w:pPr>
        <w:pStyle w:val="Heading3"/>
      </w:pPr>
      <w:bookmarkStart w:id="23" w:name="_Toc73683728"/>
      <w:r>
        <w:t>Summarising text</w:t>
      </w:r>
      <w:bookmarkEnd w:id="23"/>
      <w:r>
        <w:t xml:space="preserve"> </w:t>
      </w:r>
    </w:p>
    <w:p w14:paraId="7B4CDD9C" w14:textId="73046161" w:rsidR="00101EF0" w:rsidRDefault="00101EF0" w:rsidP="00101EF0">
      <w:pPr>
        <w:pStyle w:val="Paragraph"/>
        <w:spacing w:after="120"/>
      </w:pPr>
      <w:r>
        <w:t>NLP can be used to help summarise text – providing the key points communicated in a document.</w:t>
      </w:r>
      <w:r>
        <w:rPr>
          <w:rStyle w:val="FootnoteReference"/>
        </w:rPr>
        <w:footnoteReference w:id="28"/>
      </w:r>
      <w:r>
        <w:t xml:space="preserve"> There are </w:t>
      </w:r>
      <w:r w:rsidR="00DE2364">
        <w:t xml:space="preserve">2 </w:t>
      </w:r>
      <w:r>
        <w:t>approaches to summarisation: ‘extraction-based summarisation’ extracts sentences or phrases without modifying the original text, while ‘abstraction-based summarisation’ (which is far more experimental) paraphrases a document.</w:t>
      </w:r>
      <w:r>
        <w:rPr>
          <w:rStyle w:val="FootnoteReference"/>
        </w:rPr>
        <w:footnoteReference w:id="29"/>
      </w:r>
      <w:r>
        <w:t xml:space="preserve"> This function can help people digest content quickly</w:t>
      </w:r>
      <w:r w:rsidR="00BB3E89">
        <w:t xml:space="preserve"> – </w:t>
      </w:r>
      <w:r>
        <w:t>including</w:t>
      </w:r>
      <w:r w:rsidR="00BB3E89">
        <w:t>,</w:t>
      </w:r>
      <w:r>
        <w:t xml:space="preserve"> for example</w:t>
      </w:r>
      <w:r w:rsidR="00BB3E89">
        <w:t xml:space="preserve">, </w:t>
      </w:r>
      <w:r>
        <w:t xml:space="preserve">large quantities of consultation submissions. </w:t>
      </w:r>
    </w:p>
    <w:p w14:paraId="4DCED7A4" w14:textId="25071A7F" w:rsidR="00101EF0" w:rsidRPr="00124462" w:rsidRDefault="00101EF0" w:rsidP="00101EF0">
      <w:pPr>
        <w:pStyle w:val="Paragraph"/>
      </w:pPr>
      <w:r>
        <w:lastRenderedPageBreak/>
        <w:t xml:space="preserve">There does not appear to be widespread use of NLP for text summarisation in government.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CellMar>
          <w:top w:w="85" w:type="dxa"/>
          <w:left w:w="85" w:type="dxa"/>
          <w:bottom w:w="85" w:type="dxa"/>
          <w:right w:w="85" w:type="dxa"/>
        </w:tblCellMar>
        <w:tblLook w:val="04A0" w:firstRow="1" w:lastRow="0" w:firstColumn="1" w:lastColumn="0" w:noHBand="0" w:noVBand="1"/>
      </w:tblPr>
      <w:tblGrid>
        <w:gridCol w:w="988"/>
        <w:gridCol w:w="6673"/>
      </w:tblGrid>
      <w:tr w:rsidR="00FA54EB" w14:paraId="1DD24034" w14:textId="77777777" w:rsidTr="00EF4DDC">
        <w:tc>
          <w:tcPr>
            <w:tcW w:w="988" w:type="dxa"/>
            <w:shd w:val="clear" w:color="auto" w:fill="00A0A4"/>
          </w:tcPr>
          <w:p w14:paraId="4F3629F5" w14:textId="0EFE3CB4" w:rsidR="00FA54EB" w:rsidRDefault="00DB7CD5" w:rsidP="00EF4DDC">
            <w:pPr>
              <w:pStyle w:val="Paragraph"/>
              <w:spacing w:after="0"/>
              <w:jc w:val="center"/>
            </w:pPr>
            <w:r>
              <w:rPr>
                <w:noProof/>
              </w:rPr>
              <w:drawing>
                <wp:inline distT="0" distB="0" distL="0" distR="0" wp14:anchorId="2A996F5F" wp14:editId="5B526202">
                  <wp:extent cx="419100" cy="419100"/>
                  <wp:effectExtent l="0" t="0" r="0" b="0"/>
                  <wp:docPr id="90419173" name="Graphic 90419173" descr="Open quotation mar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3" name="Graphic 90419173" descr="Open quotation mark outline"/>
                          <pic:cNvPicPr/>
                        </pic:nvPicPr>
                        <pic:blipFill>
                          <a:blip r:embed="rId68">
                            <a:extLst>
                              <a:ext uri="{96DAC541-7B7A-43D3-8B79-37D633B846F1}">
                                <asvg:svgBlip xmlns:asvg="http://schemas.microsoft.com/office/drawing/2016/SVG/main" r:embed="rId69"/>
                              </a:ext>
                            </a:extLst>
                          </a:blip>
                          <a:stretch>
                            <a:fillRect/>
                          </a:stretch>
                        </pic:blipFill>
                        <pic:spPr>
                          <a:xfrm>
                            <a:off x="0" y="0"/>
                            <a:ext cx="419100" cy="419100"/>
                          </a:xfrm>
                          <a:prstGeom prst="rect">
                            <a:avLst/>
                          </a:prstGeom>
                        </pic:spPr>
                      </pic:pic>
                    </a:graphicData>
                  </a:graphic>
                </wp:inline>
              </w:drawing>
            </w:r>
          </w:p>
        </w:tc>
        <w:tc>
          <w:tcPr>
            <w:tcW w:w="6673" w:type="dxa"/>
            <w:shd w:val="clear" w:color="auto" w:fill="F2F2F2" w:themeFill="background1" w:themeFillShade="F2"/>
          </w:tcPr>
          <w:p w14:paraId="6A081E0C" w14:textId="6F0A43E6" w:rsidR="00AC0821" w:rsidRDefault="00AC0821" w:rsidP="00A657FD">
            <w:pPr>
              <w:pStyle w:val="Paragraph"/>
              <w:spacing w:after="120"/>
              <w:rPr>
                <w:b/>
                <w:bCs/>
              </w:rPr>
            </w:pPr>
            <w:r>
              <w:rPr>
                <w:b/>
                <w:bCs/>
              </w:rPr>
              <w:t xml:space="preserve">UK </w:t>
            </w:r>
            <w:r w:rsidR="00BB3E89">
              <w:rPr>
                <w:b/>
                <w:bCs/>
              </w:rPr>
              <w:t>G</w:t>
            </w:r>
            <w:r>
              <w:rPr>
                <w:b/>
                <w:bCs/>
              </w:rPr>
              <w:t xml:space="preserve">overnment NLP text summarisation  </w:t>
            </w:r>
          </w:p>
          <w:p w14:paraId="6BF47FA8" w14:textId="38ED96C1" w:rsidR="00FA54EB" w:rsidRDefault="00B435D7" w:rsidP="00A657FD">
            <w:pPr>
              <w:pStyle w:val="Paragraph"/>
              <w:spacing w:after="0"/>
            </w:pPr>
            <w:r>
              <w:t xml:space="preserve">In 2019, the UK Government Data Science Partnership (a collaboration between the </w:t>
            </w:r>
            <w:r w:rsidRPr="00391C77">
              <w:t>Government Digital Service, Office for National Statistics (ONS) and the Government Office for Science</w:t>
            </w:r>
            <w:r>
              <w:t>) me</w:t>
            </w:r>
            <w:r w:rsidR="00BB3E89">
              <w:t xml:space="preserve">t with </w:t>
            </w:r>
            <w:r>
              <w:t xml:space="preserve">20 departments and public bodies on NLP. The Data Science Campus, which is a </w:t>
            </w:r>
            <w:r w:rsidRPr="00F32071">
              <w:t>part of the ONS,</w:t>
            </w:r>
            <w:r>
              <w:t xml:space="preserve"> demonstrated an unsupervised NLP method to achieve extractive text summarisation.</w:t>
            </w:r>
            <w:r>
              <w:rPr>
                <w:rStyle w:val="FootnoteReference"/>
              </w:rPr>
              <w:footnoteReference w:id="30"/>
            </w:r>
            <w:r>
              <w:t xml:space="preserve"> It was reported that the technique used resulted in a small number of sentences representing the whole document. The quality of these summaries was not reported on.</w:t>
            </w:r>
          </w:p>
        </w:tc>
      </w:tr>
      <w:tr w:rsidR="00FA54EB" w14:paraId="37A71A09" w14:textId="77777777" w:rsidTr="00EF4DDC">
        <w:tc>
          <w:tcPr>
            <w:tcW w:w="988" w:type="dxa"/>
            <w:shd w:val="clear" w:color="auto" w:fill="00A0A4"/>
          </w:tcPr>
          <w:p w14:paraId="28ED78F1" w14:textId="19A3BBD4" w:rsidR="00FA54EB" w:rsidRDefault="00DB7CD5" w:rsidP="00A657FD">
            <w:pPr>
              <w:pStyle w:val="Paragraph"/>
              <w:jc w:val="center"/>
            </w:pPr>
            <w:r>
              <w:rPr>
                <w:noProof/>
              </w:rPr>
              <w:drawing>
                <wp:inline distT="0" distB="0" distL="0" distR="0" wp14:anchorId="73521C52" wp14:editId="30155AF2">
                  <wp:extent cx="400050" cy="400050"/>
                  <wp:effectExtent l="0" t="0" r="0" b="0"/>
                  <wp:docPr id="90419174" name="Graphic 90419174"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4" name="Graphic 90419174" descr="Checklist outline"/>
                          <pic:cNvPicPr/>
                        </pic:nvPicPr>
                        <pic:blipFill>
                          <a:blip r:embed="rId70">
                            <a:extLst>
                              <a:ext uri="{96DAC541-7B7A-43D3-8B79-37D633B846F1}">
                                <asvg:svgBlip xmlns:asvg="http://schemas.microsoft.com/office/drawing/2016/SVG/main" r:embed="rId71"/>
                              </a:ext>
                            </a:extLst>
                          </a:blip>
                          <a:stretch>
                            <a:fillRect/>
                          </a:stretch>
                        </pic:blipFill>
                        <pic:spPr>
                          <a:xfrm>
                            <a:off x="0" y="0"/>
                            <a:ext cx="400050" cy="400050"/>
                          </a:xfrm>
                          <a:prstGeom prst="rect">
                            <a:avLst/>
                          </a:prstGeom>
                        </pic:spPr>
                      </pic:pic>
                    </a:graphicData>
                  </a:graphic>
                </wp:inline>
              </w:drawing>
            </w:r>
          </w:p>
        </w:tc>
        <w:tc>
          <w:tcPr>
            <w:tcW w:w="6673" w:type="dxa"/>
            <w:shd w:val="clear" w:color="auto" w:fill="F2F2F2" w:themeFill="background1" w:themeFillShade="F2"/>
          </w:tcPr>
          <w:p w14:paraId="1D481F9E" w14:textId="39697F8B" w:rsidR="00AC0821" w:rsidRDefault="00AC0821" w:rsidP="00A657FD">
            <w:pPr>
              <w:pStyle w:val="Paragraph"/>
              <w:spacing w:after="120"/>
              <w:rPr>
                <w:b/>
                <w:bCs/>
              </w:rPr>
            </w:pPr>
            <w:r>
              <w:rPr>
                <w:b/>
                <w:bCs/>
              </w:rPr>
              <w:t xml:space="preserve">Text summarisation for compliance with federal grant programs </w:t>
            </w:r>
          </w:p>
          <w:p w14:paraId="39456E59" w14:textId="5F74C220" w:rsidR="00FA54EB" w:rsidRPr="00D56F79" w:rsidRDefault="004B7540" w:rsidP="00A657FD">
            <w:pPr>
              <w:pStyle w:val="Paragraph"/>
              <w:spacing w:after="0"/>
            </w:pPr>
            <w:r>
              <w:t>Research from US-based Cornell University in 2019 applied NLP to summarising the findings of A-133 Single Audits, which assess if recipients of federal grants are compliant with program requirements for use of federal funding. This research found that human input was required in summarisation due to the variability in audit writing style, content and context.</w:t>
            </w:r>
            <w:r>
              <w:rPr>
                <w:rStyle w:val="FootnoteReference"/>
              </w:rPr>
              <w:footnoteReference w:id="31"/>
            </w:r>
          </w:p>
        </w:tc>
      </w:tr>
    </w:tbl>
    <w:p w14:paraId="4831B700" w14:textId="77777777" w:rsidR="00FA54EB" w:rsidRPr="00124462" w:rsidRDefault="00FA54EB" w:rsidP="00101EF0">
      <w:pPr>
        <w:pStyle w:val="Paragraph"/>
      </w:pPr>
    </w:p>
    <w:p w14:paraId="00328B99" w14:textId="6ED65FE4" w:rsidR="00101EF0" w:rsidRDefault="00101EF0" w:rsidP="00101EF0">
      <w:pPr>
        <w:pStyle w:val="Heading2"/>
      </w:pPr>
      <w:bookmarkStart w:id="24" w:name="_Toc73683729"/>
      <w:r>
        <w:t>Compliance and enforcement</w:t>
      </w:r>
      <w:bookmarkEnd w:id="24"/>
      <w:r>
        <w:t xml:space="preserve"> </w:t>
      </w:r>
    </w:p>
    <w:p w14:paraId="58E28B59" w14:textId="3759D7CA" w:rsidR="00101EF0" w:rsidRPr="004D36A5" w:rsidRDefault="00101EF0" w:rsidP="00101EF0">
      <w:pPr>
        <w:pStyle w:val="Heading3"/>
        <w:spacing w:after="0" w:line="360" w:lineRule="auto"/>
      </w:pPr>
      <w:bookmarkStart w:id="25" w:name="_Toc73683730"/>
      <w:r w:rsidRPr="004D36A5">
        <w:t>Identifying indicators of non-compliance</w:t>
      </w:r>
      <w:bookmarkEnd w:id="25"/>
      <w:r w:rsidRPr="004D36A5">
        <w:t xml:space="preserve"> </w:t>
      </w:r>
    </w:p>
    <w:p w14:paraId="7DCC1E5A" w14:textId="6F273F76" w:rsidR="00101EF0" w:rsidRDefault="00101EF0" w:rsidP="00101EF0">
      <w:pPr>
        <w:pStyle w:val="Paragraph"/>
        <w:spacing w:after="0"/>
      </w:pPr>
      <w:r w:rsidRPr="00C401FE">
        <w:t>As</w:t>
      </w:r>
      <w:r>
        <w:t xml:space="preserve"> discussed above, NLP can be trained to label content on pre-defined categories. This includes labelling content according to indicators of non-compliance. This can assist in more readily identifying documents or other information (including, for example, industry reports or transcripts of broadcasts) that include risk indicators, potential non-compliance, or other factors of interest to regulators – saving time in processing information and prioritising work.</w:t>
      </w:r>
      <w:r>
        <w:rPr>
          <w:rStyle w:val="FootnoteReference"/>
        </w:rPr>
        <w:footnoteReference w:id="32"/>
      </w:r>
    </w:p>
    <w:p w14:paraId="4FBA9644" w14:textId="77777777" w:rsidR="00396CCC" w:rsidRDefault="00396CCC" w:rsidP="00101EF0">
      <w:pPr>
        <w:pStyle w:val="Paragraph"/>
        <w:spacing w:after="0"/>
      </w:pPr>
    </w:p>
    <w:p w14:paraId="26516989" w14:textId="09CF31A0" w:rsidR="00101EF0" w:rsidRDefault="00101EF0" w:rsidP="0096097D">
      <w:pPr>
        <w:pStyle w:val="Paragraph"/>
      </w:pPr>
      <w:r>
        <w:t xml:space="preserve">In </w:t>
      </w:r>
      <w:r w:rsidR="00EE429F">
        <w:t xml:space="preserve">our </w:t>
      </w:r>
      <w:r>
        <w:t>research and conversations with domestic agencies</w:t>
      </w:r>
      <w:r w:rsidRPr="00F841FD">
        <w:t xml:space="preserve">, </w:t>
      </w:r>
      <w:r w:rsidR="00EE429F">
        <w:t xml:space="preserve">we </w:t>
      </w:r>
      <w:r w:rsidRPr="00F841FD">
        <w:t>discovered</w:t>
      </w:r>
      <w:r>
        <w:t xml:space="preserve"> several examples of Australian agencies experimenting with NLP for compliance risk</w:t>
      </w:r>
      <w:r w:rsidR="00EE429F">
        <w:t>-</w:t>
      </w:r>
      <w:r>
        <w:t xml:space="preserve">identification. </w:t>
      </w:r>
      <w:r w:rsidR="0065685D">
        <w:t>The Australian Securities and Investment</w:t>
      </w:r>
      <w:r w:rsidR="005E6912">
        <w:t>s</w:t>
      </w:r>
      <w:r w:rsidR="0065685D">
        <w:t xml:space="preserve"> Commission (</w:t>
      </w:r>
      <w:r w:rsidRPr="00B93BA4">
        <w:t>ASIC</w:t>
      </w:r>
      <w:r w:rsidR="003F5447" w:rsidRPr="00B93BA4">
        <w:t>)</w:t>
      </w:r>
      <w:r w:rsidRPr="00B93BA4">
        <w:t>,</w:t>
      </w:r>
      <w:r w:rsidRPr="006534E3">
        <w:rPr>
          <w:b/>
          <w:bCs/>
        </w:rPr>
        <w:t xml:space="preserve"> </w:t>
      </w:r>
      <w:r w:rsidRPr="00B93BA4">
        <w:t>as part of its</w:t>
      </w:r>
      <w:r w:rsidRPr="006534E3">
        <w:rPr>
          <w:b/>
          <w:bCs/>
        </w:rPr>
        <w:t xml:space="preserve"> </w:t>
      </w:r>
      <w:proofErr w:type="spellStart"/>
      <w:r w:rsidRPr="00A657FD">
        <w:t>RegTech</w:t>
      </w:r>
      <w:proofErr w:type="spellEnd"/>
      <w:r w:rsidRPr="00A657FD">
        <w:t xml:space="preserve"> initiative</w:t>
      </w:r>
      <w:r w:rsidRPr="006534E3">
        <w:rPr>
          <w:b/>
          <w:bCs/>
        </w:rPr>
        <w:t>,</w:t>
      </w:r>
      <w:r>
        <w:t xml:space="preserve"> piloted several NLP-based </w:t>
      </w:r>
      <w:r w:rsidR="00927707">
        <w:t xml:space="preserve">applications </w:t>
      </w:r>
      <w:r>
        <w:t>aimed at identifying non-compliance in financial promotions, financial advice and insurance sales.</w:t>
      </w:r>
      <w:r>
        <w:rPr>
          <w:rStyle w:val="FootnoteReference"/>
        </w:rPr>
        <w:footnoteReference w:id="33"/>
      </w:r>
      <w:r>
        <w:t xml:space="preserve"> The </w:t>
      </w:r>
      <w:r w:rsidR="005E6912">
        <w:t xml:space="preserve">applications </w:t>
      </w:r>
      <w:r>
        <w:t>demonstrated how NLP could be used to automatically identify potential non-compliance. APRA noted that one of its key goals is identifying the risk level posed by industry players (</w:t>
      </w:r>
      <w:r w:rsidR="006B2495">
        <w:t>that is</w:t>
      </w:r>
      <w:r w:rsidR="004D1BB7">
        <w:t>,</w:t>
      </w:r>
      <w:r>
        <w:t xml:space="preserve"> whether they were neutral or posed risks of non-compliance). The agency has recently established an internal ‘innovation lab’ and is looking at using NLP to automate the identification of risk from documents supplied by industry. This involves training an algorithmic tool on the information internal reviewers identify as risk indicators in industry reports.</w:t>
      </w:r>
    </w:p>
    <w:p w14:paraId="5A8A8E2A" w14:textId="6CAF7521" w:rsidR="00565B62" w:rsidRDefault="00567ADA" w:rsidP="00A657FD">
      <w:pPr>
        <w:pStyle w:val="Paragraph"/>
        <w:keepNext/>
      </w:pPr>
      <w:r w:rsidRPr="0096097D">
        <w:rPr>
          <w:b/>
          <w:bCs/>
          <w:sz w:val="28"/>
          <w:szCs w:val="28"/>
        </w:rPr>
        <w:lastRenderedPageBreak/>
        <w:t xml:space="preserve">ASIC </w:t>
      </w:r>
      <w:proofErr w:type="spellStart"/>
      <w:r w:rsidRPr="0096097D">
        <w:rPr>
          <w:b/>
          <w:bCs/>
          <w:sz w:val="28"/>
          <w:szCs w:val="28"/>
        </w:rPr>
        <w:t>RegTech</w:t>
      </w:r>
      <w:proofErr w:type="spellEnd"/>
      <w:r w:rsidRPr="0096097D">
        <w:rPr>
          <w:b/>
          <w:bCs/>
          <w:sz w:val="28"/>
          <w:szCs w:val="28"/>
        </w:rPr>
        <w:t xml:space="preserve"> series – pilots in NLP</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85" w:type="dxa"/>
          <w:bottom w:w="85" w:type="dxa"/>
          <w:right w:w="85" w:type="dxa"/>
        </w:tblCellMar>
        <w:tblLook w:val="04A0" w:firstRow="1" w:lastRow="0" w:firstColumn="1" w:lastColumn="0" w:noHBand="0" w:noVBand="1"/>
      </w:tblPr>
      <w:tblGrid>
        <w:gridCol w:w="851"/>
        <w:gridCol w:w="6810"/>
      </w:tblGrid>
      <w:tr w:rsidR="00DF316F" w14:paraId="76F23ED2" w14:textId="77777777" w:rsidTr="00A657FD">
        <w:tc>
          <w:tcPr>
            <w:tcW w:w="851" w:type="dxa"/>
            <w:shd w:val="clear" w:color="auto" w:fill="00A0A4"/>
          </w:tcPr>
          <w:p w14:paraId="2218EBCE" w14:textId="222D610F" w:rsidR="00DF316F" w:rsidRDefault="00DB7CD5" w:rsidP="00A657FD">
            <w:pPr>
              <w:jc w:val="center"/>
            </w:pPr>
            <w:r>
              <w:rPr>
                <w:noProof/>
              </w:rPr>
              <w:drawing>
                <wp:inline distT="0" distB="0" distL="0" distR="0" wp14:anchorId="6E49278A" wp14:editId="0052F654">
                  <wp:extent cx="400050" cy="400050"/>
                  <wp:effectExtent l="0" t="0" r="0" b="0"/>
                  <wp:docPr id="30" name="Graphic 30" descr="Megaphone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30" descr="Megaphone1 outline"/>
                          <pic:cNvPicPr/>
                        </pic:nvPicPr>
                        <pic:blipFill>
                          <a:blip r:embed="rId72">
                            <a:extLst>
                              <a:ext uri="{96DAC541-7B7A-43D3-8B79-37D633B846F1}">
                                <asvg:svgBlip xmlns:asvg="http://schemas.microsoft.com/office/drawing/2016/SVG/main" r:embed="rId73"/>
                              </a:ext>
                            </a:extLst>
                          </a:blip>
                          <a:stretch>
                            <a:fillRect/>
                          </a:stretch>
                        </pic:blipFill>
                        <pic:spPr>
                          <a:xfrm>
                            <a:off x="0" y="0"/>
                            <a:ext cx="400050" cy="400050"/>
                          </a:xfrm>
                          <a:prstGeom prst="rect">
                            <a:avLst/>
                          </a:prstGeom>
                        </pic:spPr>
                      </pic:pic>
                    </a:graphicData>
                  </a:graphic>
                </wp:inline>
              </w:drawing>
            </w:r>
          </w:p>
        </w:tc>
        <w:tc>
          <w:tcPr>
            <w:tcW w:w="6810" w:type="dxa"/>
            <w:shd w:val="clear" w:color="auto" w:fill="F2F2F2" w:themeFill="background1" w:themeFillShade="F2"/>
          </w:tcPr>
          <w:p w14:paraId="1936BE81" w14:textId="41F14FD8" w:rsidR="00A15BF5" w:rsidRDefault="00DF316F" w:rsidP="00A657FD">
            <w:pPr>
              <w:spacing w:after="120"/>
              <w:rPr>
                <w:b/>
                <w:bCs/>
              </w:rPr>
            </w:pPr>
            <w:r w:rsidRPr="00DF316F">
              <w:rPr>
                <w:b/>
                <w:bCs/>
              </w:rPr>
              <w:t>Financial promotions</w:t>
            </w:r>
            <w:r w:rsidR="000068A1">
              <w:rPr>
                <w:rStyle w:val="FootnoteReference"/>
                <w:b/>
                <w:bCs/>
              </w:rPr>
              <w:footnoteReference w:id="34"/>
            </w:r>
          </w:p>
          <w:p w14:paraId="760A07ED" w14:textId="12E7135F" w:rsidR="00A15BF5" w:rsidRPr="00CF78F7" w:rsidRDefault="00A15BF5" w:rsidP="00A657FD">
            <w:pPr>
              <w:spacing w:after="120"/>
              <w:rPr>
                <w:b/>
                <w:bCs/>
              </w:rPr>
            </w:pPr>
            <w:r w:rsidRPr="00CF78F7">
              <w:rPr>
                <w:rFonts w:cs="Arial"/>
              </w:rPr>
              <w:t xml:space="preserve">Five companies demonstrated technology that assessed financial promotions for regulatory compliance. The companies developed </w:t>
            </w:r>
            <w:r w:rsidR="003C66A2">
              <w:rPr>
                <w:rFonts w:cs="Arial"/>
              </w:rPr>
              <w:t>applications</w:t>
            </w:r>
            <w:r w:rsidR="003C66A2" w:rsidRPr="00CF78F7">
              <w:rPr>
                <w:rFonts w:cs="Arial"/>
              </w:rPr>
              <w:t xml:space="preserve"> </w:t>
            </w:r>
            <w:r w:rsidRPr="00CF78F7">
              <w:rPr>
                <w:rFonts w:cs="Arial"/>
              </w:rPr>
              <w:t>using a curated data set of 180 examples including television, print and radio ads.</w:t>
            </w:r>
          </w:p>
          <w:p w14:paraId="79DF1644" w14:textId="45DEE85F" w:rsidR="00A15BF5" w:rsidRPr="00CF78F7" w:rsidRDefault="00A15BF5" w:rsidP="00A657FD">
            <w:pPr>
              <w:spacing w:after="120"/>
              <w:rPr>
                <w:rFonts w:cs="Arial"/>
              </w:rPr>
            </w:pPr>
            <w:r w:rsidRPr="00CF78F7">
              <w:rPr>
                <w:rFonts w:cs="Arial"/>
              </w:rPr>
              <w:t>Most demonstrators presented that they were able to accurately detect potential breaches of mandatory disclosure requirements in around 90</w:t>
            </w:r>
            <w:r w:rsidR="00343D43">
              <w:rPr>
                <w:rFonts w:cs="Arial"/>
              </w:rPr>
              <w:t>%</w:t>
            </w:r>
            <w:r w:rsidRPr="00CF78F7">
              <w:rPr>
                <w:rFonts w:cs="Arial"/>
              </w:rPr>
              <w:t xml:space="preserve"> of specific cases. Potential non-compliance included guaranteeing an annual percentage rate, missing comparison rates, and overstatements of benefits.</w:t>
            </w:r>
          </w:p>
          <w:p w14:paraId="311B149B" w14:textId="7E171926" w:rsidR="00A15BF5" w:rsidRPr="00CF78F7" w:rsidRDefault="00A15BF5" w:rsidP="00A657FD">
            <w:pPr>
              <w:spacing w:after="0"/>
              <w:rPr>
                <w:rFonts w:ascii="Arial Nova Light" w:hAnsi="Arial Nova Light"/>
              </w:rPr>
            </w:pPr>
            <w:r w:rsidRPr="00CF78F7">
              <w:rPr>
                <w:rFonts w:cs="Arial"/>
              </w:rPr>
              <w:t xml:space="preserve">Some demonstrators indicated they had built risk-rating systems that would allow for their </w:t>
            </w:r>
            <w:r w:rsidR="003C66A2">
              <w:rPr>
                <w:rFonts w:cs="Arial"/>
              </w:rPr>
              <w:t>application</w:t>
            </w:r>
            <w:r w:rsidR="003C66A2" w:rsidRPr="00CF78F7">
              <w:rPr>
                <w:rFonts w:cs="Arial"/>
              </w:rPr>
              <w:t xml:space="preserve"> </w:t>
            </w:r>
            <w:r w:rsidRPr="00CF78F7">
              <w:rPr>
                <w:rFonts w:cs="Arial"/>
              </w:rPr>
              <w:t>to calculate, assign, and prioritise various levels of concern relating to potential breaches. These ratings were based on the number and severity of these potential breaches of the financial promotion requirements, and the reputation of the entity publishing the advertisement.</w:t>
            </w:r>
          </w:p>
        </w:tc>
      </w:tr>
      <w:tr w:rsidR="00DF316F" w14:paraId="1256BFCF" w14:textId="77777777" w:rsidTr="00A657FD">
        <w:tc>
          <w:tcPr>
            <w:tcW w:w="851" w:type="dxa"/>
            <w:shd w:val="clear" w:color="auto" w:fill="00A0A4"/>
          </w:tcPr>
          <w:p w14:paraId="4660E730" w14:textId="6190F1AD" w:rsidR="00DF316F" w:rsidRDefault="00DB7CD5" w:rsidP="00A657FD">
            <w:pPr>
              <w:jc w:val="center"/>
            </w:pPr>
            <w:r>
              <w:rPr>
                <w:noProof/>
              </w:rPr>
              <w:drawing>
                <wp:inline distT="0" distB="0" distL="0" distR="0" wp14:anchorId="73540B3B" wp14:editId="7A3FD50F">
                  <wp:extent cx="373712" cy="373712"/>
                  <wp:effectExtent l="0" t="0" r="7620" b="0"/>
                  <wp:docPr id="90419177" name="Graphic 90419177"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7" name="Graphic 90419177" descr="Handshake outline"/>
                          <pic:cNvPicPr/>
                        </pic:nvPicPr>
                        <pic:blipFill>
                          <a:blip r:embed="rId74">
                            <a:extLst>
                              <a:ext uri="{96DAC541-7B7A-43D3-8B79-37D633B846F1}">
                                <asvg:svgBlip xmlns:asvg="http://schemas.microsoft.com/office/drawing/2016/SVG/main" r:embed="rId75"/>
                              </a:ext>
                            </a:extLst>
                          </a:blip>
                          <a:stretch>
                            <a:fillRect/>
                          </a:stretch>
                        </pic:blipFill>
                        <pic:spPr>
                          <a:xfrm>
                            <a:off x="0" y="0"/>
                            <a:ext cx="375196" cy="375196"/>
                          </a:xfrm>
                          <a:prstGeom prst="rect">
                            <a:avLst/>
                          </a:prstGeom>
                        </pic:spPr>
                      </pic:pic>
                    </a:graphicData>
                  </a:graphic>
                </wp:inline>
              </w:drawing>
            </w:r>
          </w:p>
        </w:tc>
        <w:tc>
          <w:tcPr>
            <w:tcW w:w="6810" w:type="dxa"/>
            <w:shd w:val="clear" w:color="auto" w:fill="F2F2F2" w:themeFill="background1" w:themeFillShade="F2"/>
          </w:tcPr>
          <w:p w14:paraId="21BE213C" w14:textId="10945C62" w:rsidR="00DF316F" w:rsidRDefault="00A15BF5" w:rsidP="00184E24">
            <w:pPr>
              <w:spacing w:after="120"/>
              <w:rPr>
                <w:b/>
                <w:bCs/>
              </w:rPr>
            </w:pPr>
            <w:r>
              <w:rPr>
                <w:b/>
                <w:bCs/>
              </w:rPr>
              <w:t>Financial advice</w:t>
            </w:r>
            <w:r w:rsidR="002C6E91">
              <w:rPr>
                <w:rStyle w:val="FootnoteReference"/>
                <w:b/>
                <w:bCs/>
              </w:rPr>
              <w:footnoteReference w:id="35"/>
            </w:r>
          </w:p>
          <w:p w14:paraId="27BFD218" w14:textId="0708B5ED" w:rsidR="00567ADA" w:rsidRDefault="00C30287" w:rsidP="00184E24">
            <w:pPr>
              <w:pStyle w:val="Paragraph"/>
              <w:spacing w:after="120"/>
            </w:pPr>
            <w:r w:rsidRPr="00CF78F7">
              <w:t>Six firms were selected to demonstrate technology that could assist in the review of financial advice files.</w:t>
            </w:r>
          </w:p>
          <w:p w14:paraId="2EF3C837" w14:textId="6B6B745C" w:rsidR="00C30287" w:rsidRPr="00CF78F7" w:rsidRDefault="00C30287" w:rsidP="00184E24">
            <w:pPr>
              <w:pStyle w:val="Paragraph"/>
              <w:spacing w:after="120"/>
            </w:pPr>
            <w:r w:rsidRPr="00CF78F7">
              <w:t xml:space="preserve">To assist the </w:t>
            </w:r>
            <w:proofErr w:type="spellStart"/>
            <w:r w:rsidR="00B93BA4">
              <w:t>R</w:t>
            </w:r>
            <w:r w:rsidRPr="00CF78F7">
              <w:t>eg</w:t>
            </w:r>
            <w:r w:rsidR="00B93BA4">
              <w:t>T</w:t>
            </w:r>
            <w:r w:rsidRPr="00CF78F7">
              <w:t>ech</w:t>
            </w:r>
            <w:proofErr w:type="spellEnd"/>
            <w:r w:rsidRPr="00CF78F7">
              <w:t xml:space="preserve"> firms in demonstrating their </w:t>
            </w:r>
            <w:r w:rsidR="003C66A2">
              <w:t>applications</w:t>
            </w:r>
            <w:r w:rsidRPr="00CF78F7">
              <w:t xml:space="preserve">, ASIC provided a dataset of 20 synthetic financial advice client files that contained approximately 60 documents in total, across all the files (including file notes from client meetings, a ‘fact-find’ document, and a Statement of Advice document) </w:t>
            </w:r>
            <w:r w:rsidR="005D6654">
              <w:t>over</w:t>
            </w:r>
            <w:r w:rsidR="005D6654" w:rsidRPr="00CF78F7">
              <w:t xml:space="preserve"> </w:t>
            </w:r>
            <w:r w:rsidRPr="00CF78F7">
              <w:t>varying formats.</w:t>
            </w:r>
          </w:p>
          <w:p w14:paraId="5954A957" w14:textId="03C742E2" w:rsidR="00C30287" w:rsidRPr="00CF78F7" w:rsidRDefault="00C30287" w:rsidP="00184E24">
            <w:pPr>
              <w:spacing w:after="120"/>
              <w:rPr>
                <w:rFonts w:cs="Arial"/>
              </w:rPr>
            </w:pPr>
            <w:r w:rsidRPr="00CF78F7">
              <w:rPr>
                <w:rFonts w:cs="Arial"/>
              </w:rPr>
              <w:t>Demonstrators were able to identify a range of potential compliance issues in the financial advice files provided by ASIC. Whil</w:t>
            </w:r>
            <w:r w:rsidR="003C66A2">
              <w:rPr>
                <w:rFonts w:cs="Arial"/>
              </w:rPr>
              <w:t>e</w:t>
            </w:r>
            <w:r w:rsidRPr="00CF78F7">
              <w:rPr>
                <w:rFonts w:cs="Arial"/>
              </w:rPr>
              <w:t xml:space="preserve"> the results provided by the demonstrators could not be verified as part of the limited nature of the trial, the presentations ‘were promising’.</w:t>
            </w:r>
          </w:p>
          <w:p w14:paraId="0E9201AB" w14:textId="1CC5FD02" w:rsidR="00A15BF5" w:rsidRPr="00CF78F7" w:rsidRDefault="00C30287" w:rsidP="00184E24">
            <w:pPr>
              <w:spacing w:after="0"/>
              <w:rPr>
                <w:rFonts w:ascii="Arial Nova Light" w:hAnsi="Arial Nova Light"/>
              </w:rPr>
            </w:pPr>
            <w:r w:rsidRPr="00CF78F7">
              <w:rPr>
                <w:rFonts w:cs="Arial"/>
              </w:rPr>
              <w:t>Some demonstrators were able to rate the level of potential risk to clients contained in various advice documents. When combined with real-time or near real-time tracking, this would enable them to capture, flag and investigate potential misconduct in financial advice prior to it being provided to a client, or within hours of being sent to a client.</w:t>
            </w:r>
          </w:p>
        </w:tc>
      </w:tr>
      <w:tr w:rsidR="00DF316F" w14:paraId="4374CFC0" w14:textId="77777777" w:rsidTr="00A657FD">
        <w:tc>
          <w:tcPr>
            <w:tcW w:w="851" w:type="dxa"/>
            <w:shd w:val="clear" w:color="auto" w:fill="00A0A4"/>
          </w:tcPr>
          <w:p w14:paraId="25093501" w14:textId="06B19456" w:rsidR="00DF316F" w:rsidRDefault="00DB7CD5" w:rsidP="00184E24">
            <w:pPr>
              <w:jc w:val="center"/>
            </w:pPr>
            <w:r>
              <w:rPr>
                <w:noProof/>
              </w:rPr>
              <w:drawing>
                <wp:inline distT="0" distB="0" distL="0" distR="0" wp14:anchorId="19A74999" wp14:editId="10A92FAE">
                  <wp:extent cx="419100" cy="419100"/>
                  <wp:effectExtent l="0" t="0" r="0" b="0"/>
                  <wp:docPr id="90419178" name="Graphic 90419178" descr="Call cent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8" name="Graphic 90419178" descr="Call center outline"/>
                          <pic:cNvPicPr/>
                        </pic:nvPicPr>
                        <pic:blipFill>
                          <a:blip r:embed="rId76">
                            <a:extLst>
                              <a:ext uri="{96DAC541-7B7A-43D3-8B79-37D633B846F1}">
                                <asvg:svgBlip xmlns:asvg="http://schemas.microsoft.com/office/drawing/2016/SVG/main" r:embed="rId77"/>
                              </a:ext>
                            </a:extLst>
                          </a:blip>
                          <a:stretch>
                            <a:fillRect/>
                          </a:stretch>
                        </pic:blipFill>
                        <pic:spPr>
                          <a:xfrm>
                            <a:off x="0" y="0"/>
                            <a:ext cx="419473" cy="419473"/>
                          </a:xfrm>
                          <a:prstGeom prst="rect">
                            <a:avLst/>
                          </a:prstGeom>
                        </pic:spPr>
                      </pic:pic>
                    </a:graphicData>
                  </a:graphic>
                </wp:inline>
              </w:drawing>
            </w:r>
          </w:p>
        </w:tc>
        <w:tc>
          <w:tcPr>
            <w:tcW w:w="6810" w:type="dxa"/>
            <w:shd w:val="clear" w:color="auto" w:fill="F2F2F2" w:themeFill="background1" w:themeFillShade="F2"/>
          </w:tcPr>
          <w:p w14:paraId="5F974025" w14:textId="0854CBEA" w:rsidR="00DF316F" w:rsidRDefault="00C30287" w:rsidP="00184E24">
            <w:pPr>
              <w:spacing w:after="120"/>
              <w:rPr>
                <w:b/>
                <w:bCs/>
              </w:rPr>
            </w:pPr>
            <w:r>
              <w:rPr>
                <w:b/>
                <w:bCs/>
              </w:rPr>
              <w:t xml:space="preserve">Insurance </w:t>
            </w:r>
            <w:r w:rsidR="006952D7">
              <w:rPr>
                <w:b/>
                <w:bCs/>
              </w:rPr>
              <w:t>s</w:t>
            </w:r>
            <w:r>
              <w:rPr>
                <w:b/>
                <w:bCs/>
              </w:rPr>
              <w:t>ales</w:t>
            </w:r>
            <w:r w:rsidR="00747489">
              <w:rPr>
                <w:rStyle w:val="FootnoteReference"/>
                <w:b/>
                <w:bCs/>
              </w:rPr>
              <w:footnoteReference w:id="36"/>
            </w:r>
          </w:p>
          <w:p w14:paraId="02290063" w14:textId="561FCA45" w:rsidR="00EE1937" w:rsidRPr="00EE1937" w:rsidRDefault="00EE1937" w:rsidP="00184E24">
            <w:pPr>
              <w:spacing w:after="120"/>
              <w:rPr>
                <w:rFonts w:cs="Arial"/>
              </w:rPr>
            </w:pPr>
            <w:r w:rsidRPr="00EE1937">
              <w:rPr>
                <w:rFonts w:cs="Arial"/>
              </w:rPr>
              <w:t xml:space="preserve">ASIC conducted a trial into </w:t>
            </w:r>
            <w:r w:rsidR="00CB50DF">
              <w:rPr>
                <w:rFonts w:cs="Arial"/>
              </w:rPr>
              <w:t>v</w:t>
            </w:r>
            <w:r w:rsidRPr="00EE1937">
              <w:rPr>
                <w:rFonts w:cs="Arial"/>
              </w:rPr>
              <w:t xml:space="preserve">oice </w:t>
            </w:r>
            <w:r w:rsidR="00CB50DF">
              <w:rPr>
                <w:rFonts w:cs="Arial"/>
              </w:rPr>
              <w:t>a</w:t>
            </w:r>
            <w:r w:rsidRPr="00EE1937">
              <w:rPr>
                <w:rFonts w:cs="Arial"/>
              </w:rPr>
              <w:t xml:space="preserve">nalytics and </w:t>
            </w:r>
            <w:r w:rsidR="00CB50DF">
              <w:rPr>
                <w:rFonts w:cs="Arial"/>
              </w:rPr>
              <w:t>v</w:t>
            </w:r>
            <w:r w:rsidRPr="00EE1937">
              <w:rPr>
                <w:rFonts w:cs="Arial"/>
              </w:rPr>
              <w:t>oice-to-</w:t>
            </w:r>
            <w:r w:rsidR="00CB50DF">
              <w:rPr>
                <w:rFonts w:cs="Arial"/>
              </w:rPr>
              <w:t>t</w:t>
            </w:r>
            <w:r w:rsidRPr="00EE1937">
              <w:rPr>
                <w:rFonts w:cs="Arial"/>
              </w:rPr>
              <w:t>ext (VA</w:t>
            </w:r>
            <w:r w:rsidR="00F532A0">
              <w:rPr>
                <w:rFonts w:cs="Arial"/>
              </w:rPr>
              <w:t xml:space="preserve"> and </w:t>
            </w:r>
            <w:r w:rsidRPr="00EE1937">
              <w:rPr>
                <w:rFonts w:cs="Arial"/>
              </w:rPr>
              <w:t>VT) technology with the aim of testing whether the technology could identify poor conduct, including pressur</w:t>
            </w:r>
            <w:r w:rsidR="009134E9">
              <w:rPr>
                <w:rFonts w:cs="Arial"/>
              </w:rPr>
              <w:t>ing</w:t>
            </w:r>
            <w:r w:rsidRPr="00EE1937">
              <w:rPr>
                <w:rFonts w:cs="Arial"/>
              </w:rPr>
              <w:t xml:space="preserve"> sales tactics, sales to vulnerable consumers, inappropriate or omitted information about products, and possible indicators that consumers were not comfortable engaging with the service.</w:t>
            </w:r>
          </w:p>
          <w:p w14:paraId="27FBF75F" w14:textId="1C9F8D70" w:rsidR="00567ADA" w:rsidRPr="00EE1937" w:rsidRDefault="00EE1937" w:rsidP="00184E24">
            <w:pPr>
              <w:pStyle w:val="Paragraph"/>
              <w:spacing w:after="120"/>
            </w:pPr>
            <w:r w:rsidRPr="00EE1937">
              <w:t>Selected vendors were supplied with a dataset of 1,710 life insurance sales calls.</w:t>
            </w:r>
          </w:p>
          <w:p w14:paraId="6D4321CE" w14:textId="6102D16B" w:rsidR="00C30287" w:rsidRPr="00EE1937" w:rsidRDefault="00EE1937" w:rsidP="00184E24">
            <w:pPr>
              <w:spacing w:after="0"/>
              <w:rPr>
                <w:rFonts w:ascii="Arial Nova Light" w:hAnsi="Arial Nova Light"/>
              </w:rPr>
            </w:pPr>
            <w:r w:rsidRPr="00EE1937">
              <w:rPr>
                <w:rFonts w:cs="Arial"/>
              </w:rPr>
              <w:lastRenderedPageBreak/>
              <w:t>The trial showed that advanced methods of VT using logic (as opposed to voice signalling) are better suited for detecting more straightforward instances of misconduct, such as information being omitted or the use of clearly misleading statements. The trial also revealed that VT has the potential to detect more nuanced forms of pressure selling through its analysis of the text. More research is required to determine its capacity to detect subtle elements of speech indicating vulnerability or uncertainty (hesitations, tone and pace).</w:t>
            </w:r>
          </w:p>
        </w:tc>
      </w:tr>
    </w:tbl>
    <w:p w14:paraId="46E8A4B1" w14:textId="77777777" w:rsidR="00101EF0" w:rsidRDefault="00101EF0" w:rsidP="00511090">
      <w:pPr>
        <w:pStyle w:val="Paragraph"/>
      </w:pPr>
    </w:p>
    <w:p w14:paraId="71BA379A" w14:textId="03ED9A4C" w:rsidR="005D4548" w:rsidRDefault="003373A0" w:rsidP="00101EF0">
      <w:pPr>
        <w:rPr>
          <w:rFonts w:cs="Arial"/>
        </w:rPr>
      </w:pPr>
      <w:r>
        <w:rPr>
          <w:rFonts w:cs="Arial"/>
        </w:rPr>
        <w:t>Other regulators are using t</w:t>
      </w:r>
      <w:r w:rsidR="00101EF0" w:rsidRPr="00101EF0">
        <w:rPr>
          <w:rFonts w:cs="Arial"/>
        </w:rPr>
        <w:t xml:space="preserve">ools incorporating NLP to prioritise workloads. </w:t>
      </w:r>
      <w:r w:rsidR="00265978">
        <w:rPr>
          <w:rFonts w:cs="Arial"/>
        </w:rPr>
        <w:t>The Australian Consumer and Competition Commission (</w:t>
      </w:r>
      <w:r w:rsidR="00101EF0" w:rsidRPr="00101EF0">
        <w:rPr>
          <w:rFonts w:cs="Arial"/>
        </w:rPr>
        <w:t>ACCC</w:t>
      </w:r>
      <w:r w:rsidR="00265978">
        <w:rPr>
          <w:rFonts w:cs="Arial"/>
        </w:rPr>
        <w:t>)</w:t>
      </w:r>
      <w:r w:rsidR="00101EF0" w:rsidRPr="00101EF0">
        <w:rPr>
          <w:rFonts w:cs="Arial"/>
        </w:rPr>
        <w:t xml:space="preserve"> and </w:t>
      </w:r>
      <w:r w:rsidR="00265978">
        <w:rPr>
          <w:rFonts w:cs="Arial"/>
        </w:rPr>
        <w:t>the Australian Prud</w:t>
      </w:r>
      <w:r w:rsidR="00D546A9">
        <w:rPr>
          <w:rFonts w:cs="Arial"/>
        </w:rPr>
        <w:t>ential Regulat</w:t>
      </w:r>
      <w:r w:rsidR="00603FE2">
        <w:rPr>
          <w:rFonts w:cs="Arial"/>
        </w:rPr>
        <w:t>ion</w:t>
      </w:r>
      <w:r w:rsidR="00D546A9">
        <w:rPr>
          <w:rFonts w:cs="Arial"/>
        </w:rPr>
        <w:t xml:space="preserve"> Authority (</w:t>
      </w:r>
      <w:r w:rsidR="00101EF0" w:rsidRPr="00101EF0">
        <w:rPr>
          <w:rFonts w:cs="Arial"/>
        </w:rPr>
        <w:t>APRA</w:t>
      </w:r>
      <w:r w:rsidR="00D546A9">
        <w:rPr>
          <w:rFonts w:cs="Arial"/>
        </w:rPr>
        <w:t>)</w:t>
      </w:r>
      <w:r w:rsidR="00101EF0" w:rsidRPr="00101EF0">
        <w:rPr>
          <w:rFonts w:cs="Arial"/>
        </w:rPr>
        <w:t xml:space="preserve"> use </w:t>
      </w:r>
      <w:r w:rsidR="00A43A98">
        <w:rPr>
          <w:rFonts w:cs="Arial"/>
        </w:rPr>
        <w:t>a tool</w:t>
      </w:r>
      <w:r w:rsidR="00101EF0" w:rsidRPr="00101EF0">
        <w:rPr>
          <w:rStyle w:val="FootnoteReference"/>
          <w:rFonts w:cs="Arial"/>
        </w:rPr>
        <w:footnoteReference w:id="37"/>
      </w:r>
      <w:r w:rsidR="00101EF0" w:rsidRPr="00101EF0">
        <w:rPr>
          <w:rFonts w:cs="Arial"/>
        </w:rPr>
        <w:t xml:space="preserve"> </w:t>
      </w:r>
      <w:r w:rsidR="00567ADA">
        <w:rPr>
          <w:rFonts w:cs="Arial"/>
        </w:rPr>
        <w:t>that</w:t>
      </w:r>
      <w:r w:rsidR="00567ADA" w:rsidRPr="00101EF0">
        <w:rPr>
          <w:rFonts w:cs="Arial"/>
        </w:rPr>
        <w:t xml:space="preserve"> </w:t>
      </w:r>
      <w:r w:rsidR="00101EF0" w:rsidRPr="00101EF0">
        <w:rPr>
          <w:rFonts w:cs="Arial"/>
        </w:rPr>
        <w:t>analyses case files and provides a visual of how documents are clustered together based on shared concepts, and how case files are connected through concepts.</w:t>
      </w:r>
      <w:r w:rsidR="00101EF0" w:rsidRPr="00101EF0">
        <w:rPr>
          <w:rStyle w:val="FootnoteReference"/>
          <w:rFonts w:cs="Arial"/>
        </w:rPr>
        <w:footnoteReference w:id="38"/>
      </w:r>
      <w:r w:rsidR="00101EF0" w:rsidRPr="00101EF0">
        <w:rPr>
          <w:rFonts w:cs="Arial"/>
        </w:rPr>
        <w:t xml:space="preserve"> The platform also provides a predictive coding function. </w:t>
      </w:r>
    </w:p>
    <w:p w14:paraId="1B3750EC" w14:textId="5AB87701" w:rsidR="00101EF0" w:rsidRPr="00101EF0" w:rsidRDefault="00101EF0" w:rsidP="00101EF0">
      <w:pPr>
        <w:rPr>
          <w:rFonts w:cs="Arial"/>
        </w:rPr>
      </w:pPr>
      <w:r w:rsidRPr="00101EF0">
        <w:rPr>
          <w:rFonts w:cs="Arial"/>
        </w:rPr>
        <w:t>Based on training documents and continuous learning as staff code documents (for example, as relevant or irrelevant, privileged or not privileged), the system identifies more relevant documents for staff review.</w:t>
      </w:r>
      <w:r w:rsidRPr="00101EF0">
        <w:rPr>
          <w:rStyle w:val="FootnoteReference"/>
          <w:rFonts w:cs="Arial"/>
        </w:rPr>
        <w:footnoteReference w:id="39"/>
      </w:r>
      <w:r w:rsidRPr="00101EF0">
        <w:rPr>
          <w:rFonts w:cs="Arial"/>
        </w:rPr>
        <w:t xml:space="preserve"> </w:t>
      </w:r>
    </w:p>
    <w:p w14:paraId="1BD3D1D8" w14:textId="5956ECEE" w:rsidR="00101EF0" w:rsidRDefault="00101EF0" w:rsidP="00101EF0">
      <w:pPr>
        <w:pStyle w:val="Heading3"/>
      </w:pPr>
      <w:bookmarkStart w:id="26" w:name="_Toc73683731"/>
      <w:r>
        <w:t>Information extraction</w:t>
      </w:r>
      <w:bookmarkEnd w:id="26"/>
      <w:r>
        <w:t xml:space="preserve"> </w:t>
      </w:r>
    </w:p>
    <w:p w14:paraId="32400A81" w14:textId="259B1A1B" w:rsidR="00101EF0" w:rsidRDefault="00101EF0" w:rsidP="00184E24">
      <w:pPr>
        <w:pStyle w:val="Paragraphbeforelist"/>
      </w:pPr>
      <w:r>
        <w:t>NLP can be applied to mine unstructured text for facts, relationships, entities and sentiment (as well as topics and trends, discussed above).</w:t>
      </w:r>
      <w:r>
        <w:rPr>
          <w:rStyle w:val="FootnoteReference"/>
        </w:rPr>
        <w:footnoteReference w:id="40"/>
      </w:r>
      <w:r>
        <w:t xml:space="preserve"> As an example, Microsoft Azure offers text analytics technology that identifies the following characteristics from</w:t>
      </w:r>
      <w:r w:rsidR="008A254B">
        <w:t> </w:t>
      </w:r>
      <w:r>
        <w:t>text</w:t>
      </w:r>
      <w:r w:rsidR="00024A79">
        <w:t>:</w:t>
      </w:r>
      <w:r>
        <w:rPr>
          <w:rStyle w:val="FootnoteReference"/>
        </w:rPr>
        <w:footnoteReference w:id="41"/>
      </w:r>
    </w:p>
    <w:p w14:paraId="5DDFC383" w14:textId="04B5B7DB" w:rsidR="00101EF0" w:rsidRDefault="00024A79" w:rsidP="00184E24">
      <w:pPr>
        <w:pStyle w:val="Bulletlevel1"/>
      </w:pPr>
      <w:r>
        <w:t>K</w:t>
      </w:r>
      <w:r w:rsidR="00101EF0">
        <w:t>ey phrases and named entities</w:t>
      </w:r>
      <w:r w:rsidR="008A254B">
        <w:t>,</w:t>
      </w:r>
      <w:r w:rsidR="00101EF0">
        <w:t xml:space="preserve"> including people, places and organisations (using named entity recognition)</w:t>
      </w:r>
      <w:r>
        <w:t>.</w:t>
      </w:r>
    </w:p>
    <w:p w14:paraId="6C5C71D2" w14:textId="06C21617" w:rsidR="00101EF0" w:rsidRDefault="00024A79" w:rsidP="00184E24">
      <w:pPr>
        <w:pStyle w:val="Bulletlevel1"/>
      </w:pPr>
      <w:r>
        <w:t>P</w:t>
      </w:r>
      <w:r w:rsidR="00101EF0">
        <w:t>ositive and negative sentiment around specific topic areas in social media, customer reviews and other sources. Opinion mining explores customers’ perception of specific attributes of products or services in text</w:t>
      </w:r>
      <w:r>
        <w:t>.</w:t>
      </w:r>
    </w:p>
    <w:p w14:paraId="31878172" w14:textId="5AC1762D" w:rsidR="00101EF0" w:rsidRDefault="00024A79" w:rsidP="00184E24">
      <w:pPr>
        <w:pStyle w:val="Bulletlevel1"/>
      </w:pPr>
      <w:r>
        <w:t>R</w:t>
      </w:r>
      <w:r w:rsidR="00101EF0">
        <w:t>elevant phrases describing the subject of each text record using key phrase extraction.</w:t>
      </w:r>
    </w:p>
    <w:p w14:paraId="76CC49BD" w14:textId="76A4628B" w:rsidR="00101EF0" w:rsidRPr="00101EF0" w:rsidRDefault="00101EF0" w:rsidP="00EF4DDC">
      <w:pPr>
        <w:pStyle w:val="Paragraph"/>
        <w:spacing w:before="240" w:after="0"/>
      </w:pPr>
      <w:r>
        <w:t>NLP can therefore be used to fill databases with structured information for analysis or visualisation. This can save regulators time manually searching for and entering meaningful information.</w:t>
      </w:r>
    </w:p>
    <w:p w14:paraId="384F54B7" w14:textId="72AFD91B" w:rsidR="008E070F" w:rsidRDefault="00101EF0" w:rsidP="00101EF0">
      <w:pPr>
        <w:pStyle w:val="Heading2"/>
      </w:pPr>
      <w:bookmarkStart w:id="27" w:name="_Toc73683732"/>
      <w:r>
        <w:t>Guidance and advice</w:t>
      </w:r>
      <w:bookmarkEnd w:id="27"/>
      <w:r>
        <w:t xml:space="preserve"> </w:t>
      </w:r>
    </w:p>
    <w:p w14:paraId="77C3B194" w14:textId="77777777" w:rsidR="00101EF0" w:rsidRPr="00CE7E3F" w:rsidRDefault="00101EF0" w:rsidP="00101EF0">
      <w:pPr>
        <w:pStyle w:val="Heading3"/>
        <w:rPr>
          <w:i/>
        </w:rPr>
      </w:pPr>
      <w:bookmarkStart w:id="28" w:name="_Toc73683733"/>
      <w:r w:rsidRPr="00CE7E3F">
        <w:t xml:space="preserve">Chatbots/virtual assistants to answer stakeholder </w:t>
      </w:r>
      <w:proofErr w:type="gramStart"/>
      <w:r w:rsidRPr="00CE7E3F">
        <w:t>questions</w:t>
      </w:r>
      <w:bookmarkEnd w:id="28"/>
      <w:proofErr w:type="gramEnd"/>
    </w:p>
    <w:p w14:paraId="5F9705F2" w14:textId="7EBEE8A3" w:rsidR="00101EF0" w:rsidRPr="00101EF0" w:rsidRDefault="00101EF0" w:rsidP="00184E24">
      <w:pPr>
        <w:pStyle w:val="Paragraph"/>
      </w:pPr>
      <w:r w:rsidRPr="00101EF0">
        <w:t xml:space="preserve">Chatbots are one of the more mature examples of NLP applications and are used by several Australian Government agencies. Services Australia, the Australian Taxation </w:t>
      </w:r>
      <w:r w:rsidRPr="00101EF0">
        <w:lastRenderedPageBreak/>
        <w:t>Office</w:t>
      </w:r>
      <w:r w:rsidRPr="00101EF0">
        <w:rPr>
          <w:rStyle w:val="FootnoteReference"/>
        </w:rPr>
        <w:footnoteReference w:id="42"/>
      </w:r>
      <w:r w:rsidRPr="00101EF0">
        <w:t>, the Department of Home Affairs, the Department of Health</w:t>
      </w:r>
      <w:r w:rsidRPr="00101EF0">
        <w:rPr>
          <w:rStyle w:val="FootnoteReference"/>
        </w:rPr>
        <w:footnoteReference w:id="43"/>
      </w:r>
      <w:r w:rsidRPr="00101EF0">
        <w:t xml:space="preserve"> and IP Australia</w:t>
      </w:r>
      <w:r w:rsidRPr="00101EF0">
        <w:rPr>
          <w:rStyle w:val="FootnoteReference"/>
        </w:rPr>
        <w:footnoteReference w:id="44"/>
      </w:r>
      <w:r w:rsidRPr="00101EF0">
        <w:t xml:space="preserve"> all currently have a chatbot or ‘digital assistant’ on their websites.</w:t>
      </w:r>
    </w:p>
    <w:p w14:paraId="402D8405" w14:textId="27C52F7C" w:rsidR="00101EF0" w:rsidRPr="00101EF0" w:rsidRDefault="00101EF0" w:rsidP="00101EF0">
      <w:pPr>
        <w:pStyle w:val="Paragraph"/>
      </w:pPr>
      <w:r w:rsidRPr="00101EF0">
        <w:t xml:space="preserve">These software applications enable agencies to provide certain services </w:t>
      </w:r>
      <w:r w:rsidR="004C768B">
        <w:t>24/7</w:t>
      </w:r>
      <w:r w:rsidRPr="00101EF0">
        <w:t>. Currently, chatbots are most widely used to provide answers to frequently asked questions or carry out basic tasks such as changing individuals’ contact information. In the case of IP Australia, their virtual assistant answers questions about the application of property rights, patent, trademarks and designs.</w:t>
      </w: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BE5F1" w:themeFill="accent1" w:themeFillTint="33"/>
        <w:tblCellMar>
          <w:top w:w="85" w:type="dxa"/>
          <w:left w:w="85" w:type="dxa"/>
          <w:bottom w:w="85" w:type="dxa"/>
          <w:right w:w="85" w:type="dxa"/>
        </w:tblCellMar>
        <w:tblLook w:val="04A0" w:firstRow="1" w:lastRow="0" w:firstColumn="1" w:lastColumn="0" w:noHBand="0" w:noVBand="1"/>
      </w:tblPr>
      <w:tblGrid>
        <w:gridCol w:w="2512"/>
        <w:gridCol w:w="2663"/>
        <w:gridCol w:w="2469"/>
        <w:gridCol w:w="17"/>
      </w:tblGrid>
      <w:tr w:rsidR="00101EF0" w:rsidRPr="00896FCA" w14:paraId="153BD300" w14:textId="77777777" w:rsidTr="00184E24">
        <w:tc>
          <w:tcPr>
            <w:tcW w:w="9346" w:type="dxa"/>
            <w:gridSpan w:val="4"/>
            <w:shd w:val="clear" w:color="auto" w:fill="00A0A4"/>
          </w:tcPr>
          <w:p w14:paraId="7033FB47" w14:textId="46531583" w:rsidR="00101EF0" w:rsidRPr="00184E24" w:rsidRDefault="00101EF0" w:rsidP="00184E24">
            <w:pPr>
              <w:pStyle w:val="Heading2"/>
              <w:keepLines/>
              <w:spacing w:before="0" w:after="0"/>
              <w:jc w:val="center"/>
              <w:outlineLvl w:val="1"/>
              <w:rPr>
                <w:sz w:val="22"/>
                <w:szCs w:val="22"/>
              </w:rPr>
            </w:pPr>
            <w:bookmarkStart w:id="29" w:name="_Toc73683734"/>
            <w:r w:rsidRPr="00184E24">
              <w:rPr>
                <w:color w:val="FFFFFF" w:themeColor="background1"/>
                <w:sz w:val="22"/>
                <w:szCs w:val="22"/>
              </w:rPr>
              <w:t>Australian Government chatbots</w:t>
            </w:r>
            <w:bookmarkEnd w:id="29"/>
          </w:p>
        </w:tc>
      </w:tr>
      <w:tr w:rsidR="00101EF0" w:rsidRPr="00896FCA" w14:paraId="7DFF18CA" w14:textId="77777777" w:rsidTr="00184E24">
        <w:trPr>
          <w:gridAfter w:val="1"/>
          <w:wAfter w:w="23" w:type="dxa"/>
        </w:trPr>
        <w:tc>
          <w:tcPr>
            <w:tcW w:w="3115" w:type="dxa"/>
            <w:shd w:val="clear" w:color="auto" w:fill="F2F2F2" w:themeFill="background1" w:themeFillShade="F2"/>
          </w:tcPr>
          <w:p w14:paraId="331A5262" w14:textId="77777777" w:rsidR="00101EF0" w:rsidRPr="0009691B" w:rsidRDefault="00101EF0" w:rsidP="00184E24">
            <w:pPr>
              <w:keepNext/>
              <w:keepLines/>
              <w:spacing w:after="120"/>
              <w:jc w:val="center"/>
              <w:rPr>
                <w:rFonts w:cs="Arial"/>
                <w:b/>
                <w:bCs/>
                <w:szCs w:val="20"/>
              </w:rPr>
            </w:pPr>
            <w:r w:rsidRPr="0009691B">
              <w:rPr>
                <w:rFonts w:cs="Arial"/>
                <w:b/>
                <w:bCs/>
                <w:szCs w:val="20"/>
              </w:rPr>
              <w:t>IP Australia</w:t>
            </w:r>
          </w:p>
          <w:p w14:paraId="13D759F6" w14:textId="6F08F9E5" w:rsidR="00101EF0" w:rsidRPr="0009691B" w:rsidRDefault="00101EF0" w:rsidP="00184E24">
            <w:pPr>
              <w:keepNext/>
              <w:keepLines/>
              <w:spacing w:before="120" w:after="120"/>
              <w:rPr>
                <w:rFonts w:cs="Arial"/>
                <w:szCs w:val="20"/>
              </w:rPr>
            </w:pPr>
            <w:r w:rsidRPr="0009691B">
              <w:rPr>
                <w:rFonts w:cs="Arial"/>
                <w:szCs w:val="20"/>
              </w:rPr>
              <w:t xml:space="preserve">In 2019, IP Australia’s virtual assistant ‘Alex’ </w:t>
            </w:r>
            <w:hyperlink r:id="rId78" w:history="1">
              <w:r w:rsidRPr="0009691B">
                <w:rPr>
                  <w:rStyle w:val="Hyperlink"/>
                  <w:rFonts w:cs="Arial"/>
                  <w:szCs w:val="20"/>
                </w:rPr>
                <w:t>reportedl</w:t>
              </w:r>
              <w:r w:rsidR="00312DAE">
                <w:rPr>
                  <w:rStyle w:val="Hyperlink"/>
                  <w:rFonts w:cs="Arial"/>
                  <w:szCs w:val="20"/>
                </w:rPr>
                <w:t>y handled</w:t>
              </w:r>
            </w:hyperlink>
            <w:r w:rsidRPr="0009691B">
              <w:rPr>
                <w:rFonts w:cs="Arial"/>
                <w:szCs w:val="20"/>
              </w:rPr>
              <w:t xml:space="preserve"> about 40</w:t>
            </w:r>
            <w:r w:rsidR="005D4582">
              <w:rPr>
                <w:rFonts w:cs="Arial"/>
                <w:szCs w:val="20"/>
              </w:rPr>
              <w:t>%</w:t>
            </w:r>
            <w:r w:rsidRPr="0009691B">
              <w:rPr>
                <w:rFonts w:cs="Arial"/>
                <w:szCs w:val="20"/>
              </w:rPr>
              <w:t xml:space="preserve"> of IP Australia’s active customer interactions. </w:t>
            </w:r>
          </w:p>
          <w:p w14:paraId="47A2FC79" w14:textId="77777777" w:rsidR="00101EF0" w:rsidRPr="0009691B" w:rsidRDefault="00101EF0" w:rsidP="00184E24">
            <w:pPr>
              <w:pStyle w:val="Paragraph"/>
              <w:keepNext/>
              <w:keepLines/>
              <w:spacing w:before="120" w:after="120"/>
            </w:pPr>
          </w:p>
        </w:tc>
        <w:tc>
          <w:tcPr>
            <w:tcW w:w="3115" w:type="dxa"/>
            <w:shd w:val="clear" w:color="auto" w:fill="F2F2F2" w:themeFill="background1" w:themeFillShade="F2"/>
          </w:tcPr>
          <w:p w14:paraId="52BC7A15" w14:textId="77777777" w:rsidR="00101EF0" w:rsidRPr="0009691B" w:rsidRDefault="00101EF0" w:rsidP="00184E24">
            <w:pPr>
              <w:keepNext/>
              <w:keepLines/>
              <w:spacing w:after="120"/>
              <w:jc w:val="center"/>
              <w:rPr>
                <w:rFonts w:cs="Arial"/>
                <w:b/>
                <w:bCs/>
                <w:szCs w:val="20"/>
              </w:rPr>
            </w:pPr>
            <w:r w:rsidRPr="0009691B">
              <w:rPr>
                <w:rFonts w:cs="Arial"/>
                <w:b/>
                <w:bCs/>
                <w:szCs w:val="20"/>
              </w:rPr>
              <w:t>ATO</w:t>
            </w:r>
          </w:p>
          <w:p w14:paraId="23A46673" w14:textId="53D423FE" w:rsidR="00101EF0" w:rsidRPr="0009691B" w:rsidRDefault="00101EF0" w:rsidP="00184E24">
            <w:pPr>
              <w:keepNext/>
              <w:keepLines/>
              <w:spacing w:before="120" w:after="120"/>
              <w:rPr>
                <w:rFonts w:cs="Arial"/>
                <w:szCs w:val="20"/>
              </w:rPr>
            </w:pPr>
            <w:r w:rsidRPr="0009691B">
              <w:rPr>
                <w:rFonts w:cs="Arial"/>
                <w:szCs w:val="20"/>
              </w:rPr>
              <w:t xml:space="preserve">The </w:t>
            </w:r>
            <w:hyperlink r:id="rId79" w:history="1">
              <w:r w:rsidR="00567ADA">
                <w:rPr>
                  <w:rStyle w:val="Hyperlink"/>
                  <w:rFonts w:cs="Arial"/>
                  <w:szCs w:val="20"/>
                </w:rPr>
                <w:t>ATO’s virtual assistant, 'Alex'</w:t>
              </w:r>
            </w:hyperlink>
            <w:r w:rsidRPr="0009691B">
              <w:rPr>
                <w:rFonts w:cs="Arial"/>
                <w:szCs w:val="20"/>
              </w:rPr>
              <w:t xml:space="preserve"> has had more than 4.3</w:t>
            </w:r>
            <w:r w:rsidR="00312DAE">
              <w:rPr>
                <w:rFonts w:cs="Arial"/>
                <w:szCs w:val="20"/>
              </w:rPr>
              <w:t> </w:t>
            </w:r>
            <w:r w:rsidRPr="0009691B">
              <w:rPr>
                <w:rFonts w:cs="Arial"/>
                <w:szCs w:val="20"/>
              </w:rPr>
              <w:t xml:space="preserve">million conversations with clients. </w:t>
            </w:r>
            <w:r w:rsidR="00312DAE" w:rsidRPr="00184E24">
              <w:t>Alex</w:t>
            </w:r>
            <w:r w:rsidRPr="0009691B">
              <w:rPr>
                <w:rFonts w:cs="Arial"/>
                <w:szCs w:val="20"/>
              </w:rPr>
              <w:t xml:space="preserve"> has resolved enquiries on first contact 87</w:t>
            </w:r>
            <w:r w:rsidR="005D4582">
              <w:rPr>
                <w:rFonts w:cs="Arial"/>
                <w:szCs w:val="20"/>
              </w:rPr>
              <w:t>%</w:t>
            </w:r>
            <w:r w:rsidRPr="0009691B">
              <w:rPr>
                <w:rFonts w:cs="Arial"/>
                <w:szCs w:val="20"/>
              </w:rPr>
              <w:t xml:space="preserve"> of the time, making it simpler and faster</w:t>
            </w:r>
            <w:r w:rsidR="00312DAE">
              <w:rPr>
                <w:rFonts w:cs="Arial"/>
                <w:szCs w:val="20"/>
              </w:rPr>
              <w:t> </w:t>
            </w:r>
            <w:r w:rsidRPr="0009691B">
              <w:rPr>
                <w:rFonts w:cs="Arial"/>
                <w:szCs w:val="20"/>
              </w:rPr>
              <w:t>for individuals to understand their tax and superannuation obligations and entitlements.</w:t>
            </w:r>
          </w:p>
          <w:p w14:paraId="74FB160D" w14:textId="38AF308F" w:rsidR="00101EF0" w:rsidRPr="0009691B" w:rsidRDefault="00101EF0" w:rsidP="00184E24">
            <w:pPr>
              <w:keepNext/>
              <w:keepLines/>
              <w:spacing w:before="120" w:after="0"/>
              <w:rPr>
                <w:rFonts w:cs="Arial"/>
              </w:rPr>
            </w:pPr>
            <w:r w:rsidRPr="0009691B">
              <w:rPr>
                <w:rFonts w:cs="Arial"/>
                <w:szCs w:val="20"/>
              </w:rPr>
              <w:t xml:space="preserve">Alex was developed by Nuance Communications, a US-based technology company, in 2016. It took </w:t>
            </w:r>
            <w:r w:rsidR="005D4582">
              <w:rPr>
                <w:rFonts w:cs="Arial"/>
                <w:szCs w:val="20"/>
              </w:rPr>
              <w:t>6 </w:t>
            </w:r>
            <w:r w:rsidRPr="0009691B">
              <w:rPr>
                <w:rFonts w:cs="Arial"/>
                <w:szCs w:val="20"/>
              </w:rPr>
              <w:t>months of initial testing to develop the tool.</w:t>
            </w:r>
          </w:p>
        </w:tc>
        <w:tc>
          <w:tcPr>
            <w:tcW w:w="3116" w:type="dxa"/>
            <w:shd w:val="clear" w:color="auto" w:fill="F2F2F2" w:themeFill="background1" w:themeFillShade="F2"/>
          </w:tcPr>
          <w:p w14:paraId="5F89ED7A" w14:textId="77777777" w:rsidR="00101EF0" w:rsidRPr="0009691B" w:rsidRDefault="00101EF0" w:rsidP="00184E24">
            <w:pPr>
              <w:keepNext/>
              <w:keepLines/>
              <w:spacing w:after="120"/>
              <w:jc w:val="center"/>
              <w:rPr>
                <w:rFonts w:cs="Arial"/>
                <w:b/>
                <w:bCs/>
                <w:szCs w:val="20"/>
              </w:rPr>
            </w:pPr>
            <w:r w:rsidRPr="0009691B">
              <w:rPr>
                <w:rFonts w:cs="Arial"/>
                <w:b/>
                <w:bCs/>
                <w:szCs w:val="20"/>
              </w:rPr>
              <w:t>Services Australia</w:t>
            </w:r>
          </w:p>
          <w:p w14:paraId="49684BCB" w14:textId="0C75B439" w:rsidR="00101EF0" w:rsidRPr="0009691B" w:rsidRDefault="00101EF0" w:rsidP="00184E24">
            <w:pPr>
              <w:keepNext/>
              <w:keepLines/>
              <w:spacing w:before="120" w:after="120"/>
              <w:rPr>
                <w:rFonts w:cs="Arial"/>
                <w:szCs w:val="20"/>
              </w:rPr>
            </w:pPr>
            <w:r w:rsidRPr="0009691B">
              <w:rPr>
                <w:rFonts w:cs="Arial"/>
                <w:szCs w:val="20"/>
              </w:rPr>
              <w:t xml:space="preserve">Services Australia has separate chatbots to answer questions </w:t>
            </w:r>
            <w:r w:rsidR="00567ADA">
              <w:rPr>
                <w:rFonts w:cs="Arial"/>
                <w:szCs w:val="20"/>
              </w:rPr>
              <w:t>about</w:t>
            </w:r>
            <w:r w:rsidRPr="0009691B">
              <w:rPr>
                <w:rFonts w:cs="Arial"/>
                <w:szCs w:val="20"/>
              </w:rPr>
              <w:t xml:space="preserve"> the </w:t>
            </w:r>
            <w:proofErr w:type="spellStart"/>
            <w:r w:rsidRPr="0009691B">
              <w:rPr>
                <w:rFonts w:cs="Arial"/>
                <w:szCs w:val="20"/>
              </w:rPr>
              <w:t>myGov</w:t>
            </w:r>
            <w:proofErr w:type="spellEnd"/>
            <w:r w:rsidRPr="0009691B">
              <w:rPr>
                <w:rFonts w:cs="Arial"/>
                <w:szCs w:val="20"/>
              </w:rPr>
              <w:t xml:space="preserve"> portal; student, trainee and family payment pages; and student claims through </w:t>
            </w:r>
            <w:proofErr w:type="spellStart"/>
            <w:r w:rsidRPr="0009691B">
              <w:rPr>
                <w:rFonts w:cs="Arial"/>
                <w:szCs w:val="20"/>
              </w:rPr>
              <w:t>myGov</w:t>
            </w:r>
            <w:proofErr w:type="spellEnd"/>
            <w:r w:rsidRPr="0009691B">
              <w:rPr>
                <w:rFonts w:cs="Arial"/>
                <w:szCs w:val="20"/>
              </w:rPr>
              <w:t xml:space="preserve">. During COVID-19, Services Australia saw a </w:t>
            </w:r>
            <w:hyperlink r:id="rId80" w:history="1">
              <w:r w:rsidRPr="00B7264A">
                <w:rPr>
                  <w:rStyle w:val="Hyperlink"/>
                  <w:rFonts w:cs="Arial"/>
                  <w:szCs w:val="20"/>
                </w:rPr>
                <w:t>600</w:t>
              </w:r>
              <w:r w:rsidR="005D4582">
                <w:rPr>
                  <w:rStyle w:val="Hyperlink"/>
                  <w:rFonts w:cs="Arial"/>
                  <w:szCs w:val="20"/>
                </w:rPr>
                <w:t>%</w:t>
              </w:r>
              <w:r w:rsidRPr="00B7264A">
                <w:rPr>
                  <w:rStyle w:val="Hyperlink"/>
                  <w:rFonts w:cs="Arial"/>
                  <w:szCs w:val="20"/>
                </w:rPr>
                <w:t xml:space="preserve"> surge</w:t>
              </w:r>
            </w:hyperlink>
            <w:r w:rsidRPr="0009691B">
              <w:rPr>
                <w:rFonts w:cs="Arial"/>
                <w:szCs w:val="20"/>
              </w:rPr>
              <w:t xml:space="preserve"> in the use of its digital assistants.</w:t>
            </w:r>
          </w:p>
          <w:p w14:paraId="413088DB" w14:textId="77777777" w:rsidR="00101EF0" w:rsidRPr="0009691B" w:rsidRDefault="00101EF0" w:rsidP="00184E24">
            <w:pPr>
              <w:pStyle w:val="Paragraph"/>
              <w:keepNext/>
              <w:keepLines/>
              <w:spacing w:before="120" w:after="120"/>
            </w:pPr>
          </w:p>
        </w:tc>
      </w:tr>
    </w:tbl>
    <w:p w14:paraId="28C0F50F" w14:textId="11D4229B" w:rsidR="008E070F" w:rsidRDefault="008E070F" w:rsidP="00184E24">
      <w:pPr>
        <w:keepNext/>
        <w:keepLines/>
      </w:pPr>
    </w:p>
    <w:p w14:paraId="113E1ED7" w14:textId="44E6FB40" w:rsidR="00101EF0" w:rsidRPr="00101EF0" w:rsidRDefault="00101EF0" w:rsidP="00981BD3">
      <w:pPr>
        <w:pStyle w:val="Heading2"/>
      </w:pPr>
      <w:bookmarkStart w:id="30" w:name="_Toc73683735"/>
      <w:r>
        <w:t>Regulatory review</w:t>
      </w:r>
      <w:bookmarkEnd w:id="30"/>
      <w:r>
        <w:t xml:space="preserve"> </w:t>
      </w:r>
    </w:p>
    <w:p w14:paraId="561CDE16" w14:textId="0BF7768D" w:rsidR="00101EF0" w:rsidRDefault="00101EF0" w:rsidP="00101EF0">
      <w:pPr>
        <w:pStyle w:val="Heading3"/>
      </w:pPr>
      <w:bookmarkStart w:id="31" w:name="_Toc73683736"/>
      <w:r>
        <w:t>Analysing regulations</w:t>
      </w:r>
      <w:bookmarkEnd w:id="31"/>
      <w:r>
        <w:t xml:space="preserve"> </w:t>
      </w:r>
    </w:p>
    <w:p w14:paraId="46331FA2" w14:textId="7318A2B9" w:rsidR="00101EF0" w:rsidRDefault="00101EF0" w:rsidP="00101EF0">
      <w:pPr>
        <w:pStyle w:val="Paragraph"/>
        <w:spacing w:after="120"/>
      </w:pPr>
      <w:r>
        <w:t>NLP’s ability to analyse text at scale means it can support reviews of regulations for various purposes, such as analysing interlinkages between regulations, comparing rules, and identifying redundant, conflicting or out</w:t>
      </w:r>
      <w:r w:rsidR="005D4582">
        <w:t>-</w:t>
      </w:r>
      <w:r>
        <w:t>of</w:t>
      </w:r>
      <w:r w:rsidR="005D4582">
        <w:t>-</w:t>
      </w:r>
      <w:r>
        <w:t>date requirements.</w:t>
      </w:r>
    </w:p>
    <w:p w14:paraId="09693611" w14:textId="09D01FCE" w:rsidR="00DE22DB" w:rsidRDefault="00101EF0" w:rsidP="00101EF0">
      <w:pPr>
        <w:pStyle w:val="Paragraph"/>
        <w:spacing w:before="240" w:after="0"/>
      </w:pPr>
      <w:r>
        <w:t xml:space="preserve">This capability is demonstrated by the Deloitte </w:t>
      </w:r>
      <w:proofErr w:type="spellStart"/>
      <w:r w:rsidRPr="00184E24">
        <w:t>RegExplorer</w:t>
      </w:r>
      <w:proofErr w:type="spellEnd"/>
      <w:r>
        <w:rPr>
          <w:b/>
          <w:bCs/>
        </w:rPr>
        <w:t xml:space="preserve"> </w:t>
      </w:r>
      <w:r>
        <w:t>tool</w:t>
      </w:r>
      <w:r>
        <w:rPr>
          <w:rStyle w:val="FootnoteReference"/>
        </w:rPr>
        <w:footnoteReference w:id="45"/>
      </w:r>
      <w:r w:rsidR="00567ADA">
        <w:t>,</w:t>
      </w:r>
      <w:r>
        <w:t xml:space="preserve"> which was applied by the NSW Treasury in May 2020 to analyse the NSW regulatory framework and identify opportunities to make these regulations future-proof, flexible and fit-for-purpose.</w:t>
      </w:r>
      <w:r>
        <w:rPr>
          <w:rStyle w:val="FootnoteReference"/>
        </w:rPr>
        <w:footnoteReference w:id="46"/>
      </w:r>
      <w:r>
        <w:t xml:space="preserve"> The </w:t>
      </w:r>
      <w:proofErr w:type="spellStart"/>
      <w:r>
        <w:t>RegExplorer</w:t>
      </w:r>
      <w:proofErr w:type="spellEnd"/>
      <w:r>
        <w:t xml:space="preserve"> tool combines NLP with subject matter expertise to map regulatory requirements and identify potentially out</w:t>
      </w:r>
      <w:r w:rsidR="005D4582">
        <w:t>-</w:t>
      </w:r>
      <w:r>
        <w:t>of</w:t>
      </w:r>
      <w:r w:rsidR="005D4582">
        <w:t>-</w:t>
      </w:r>
      <w:r>
        <w:t xml:space="preserve">date or otherwise burdensome rules. This can support government agencies in prioritising regulatory reform work and make reviewing regulation less </w:t>
      </w:r>
      <w:proofErr w:type="gramStart"/>
      <w:r>
        <w:t>resource</w:t>
      </w:r>
      <w:r w:rsidR="00D53514">
        <w:t>-</w:t>
      </w:r>
      <w:r>
        <w:t>intensive</w:t>
      </w:r>
      <w:proofErr w:type="gramEnd"/>
      <w:r>
        <w:t>.</w:t>
      </w:r>
      <w:r w:rsidR="004B45FB">
        <w:br/>
      </w:r>
    </w:p>
    <w:p w14:paraId="513656E3" w14:textId="6143C256" w:rsidR="00101EF0" w:rsidRDefault="00101EF0" w:rsidP="0096097D">
      <w:r>
        <w:lastRenderedPageBreak/>
        <w:t>NSW Treasury mapped the regulatory eco-system of the Passenger Transport (General) Regulation 2017. This showed that there were 489 citations within the ecosystem of this Act.</w:t>
      </w:r>
      <w:r w:rsidR="004B45FB">
        <w:t xml:space="preserve"> </w:t>
      </w:r>
      <w:r>
        <w:t>The tool was used to analyse references to ‘driver’ and ‘passenger’ to identify the range of requirements that would need to be considered in the transition to autonomous vehicles. It identified 1,334 sections of NSW regulation that reference ‘driver’ and 1,001 sections that reference ‘passenger’. Further,</w:t>
      </w:r>
      <w:r w:rsidR="00EF4DDC">
        <w:t xml:space="preserve"> around</w:t>
      </w:r>
      <w:r>
        <w:t xml:space="preserve"> 18</w:t>
      </w:r>
      <w:r w:rsidR="005D4582">
        <w:t>%</w:t>
      </w:r>
      <w:r>
        <w:t xml:space="preserve"> of the sections relating to driver detailed what a driver ‘must’ do, indicating the prescriptive nature of the regulatory requirements.</w:t>
      </w:r>
      <w:r w:rsidR="00A62C90">
        <w:t xml:space="preserve"> </w:t>
      </w:r>
      <w:r>
        <w:t xml:space="preserve">The </w:t>
      </w:r>
      <w:proofErr w:type="spellStart"/>
      <w:r>
        <w:t>RegExplorer</w:t>
      </w:r>
      <w:proofErr w:type="spellEnd"/>
      <w:r>
        <w:t xml:space="preserve"> tool was further applied to identify potentially outdated requirements</w:t>
      </w:r>
      <w:r w:rsidR="00C0717A">
        <w:t>,</w:t>
      </w:r>
      <w:r>
        <w:t xml:space="preserve"> as well as prescriptive requirements. </w:t>
      </w:r>
      <w:r w:rsidR="00026E76">
        <w:rPr>
          <w:rStyle w:val="FootnoteReference"/>
        </w:rPr>
        <w:footnoteReference w:id="47"/>
      </w:r>
    </w:p>
    <w:p w14:paraId="5F02B48A" w14:textId="04A8B855" w:rsidR="00101EF0" w:rsidRDefault="00101EF0" w:rsidP="00101EF0">
      <w:pPr>
        <w:pStyle w:val="Heading1"/>
      </w:pPr>
      <w:bookmarkStart w:id="32" w:name="_Toc73683737"/>
      <w:r>
        <w:lastRenderedPageBreak/>
        <w:t>Challenges</w:t>
      </w:r>
      <w:bookmarkEnd w:id="32"/>
    </w:p>
    <w:p w14:paraId="0439E784" w14:textId="0CC537BE" w:rsidR="00101EF0" w:rsidRDefault="00101EF0" w:rsidP="00184E24">
      <w:pPr>
        <w:pStyle w:val="Paragraphbeforelist"/>
      </w:pPr>
      <w:r>
        <w:t>NLP applications can raise challenges across several areas:</w:t>
      </w:r>
    </w:p>
    <w:p w14:paraId="7342D78F" w14:textId="6A5EAC83" w:rsidR="00805630" w:rsidRDefault="00101EF0" w:rsidP="00184E24">
      <w:pPr>
        <w:pStyle w:val="Bulletlevel1"/>
      </w:pPr>
      <w:r w:rsidRPr="00101EF0">
        <w:rPr>
          <w:b/>
          <w:bCs/>
        </w:rPr>
        <w:t xml:space="preserve">Data </w:t>
      </w:r>
      <w:r w:rsidR="004E3665">
        <w:rPr>
          <w:b/>
          <w:bCs/>
        </w:rPr>
        <w:t>handling</w:t>
      </w:r>
      <w:r>
        <w:t>: Off</w:t>
      </w:r>
      <w:r w:rsidR="004528BA">
        <w:t>-</w:t>
      </w:r>
      <w:r>
        <w:t>the</w:t>
      </w:r>
      <w:r w:rsidR="004528BA">
        <w:t>-</w:t>
      </w:r>
      <w:r>
        <w:t xml:space="preserve">shelf </w:t>
      </w:r>
      <w:r w:rsidR="00D65C34">
        <w:t>products</w:t>
      </w:r>
      <w:r>
        <w:t xml:space="preserve"> will require an assessment of privacy and security risks, as well as whether any changed or new governance or assurance procedures are required.</w:t>
      </w:r>
      <w:r w:rsidR="002960FE">
        <w:t xml:space="preserve"> </w:t>
      </w:r>
      <w:r w:rsidR="007266A5">
        <w:t xml:space="preserve">Data bias </w:t>
      </w:r>
      <w:r w:rsidR="006953D4">
        <w:t xml:space="preserve">is another </w:t>
      </w:r>
      <w:r w:rsidR="0065323F">
        <w:t>potential risk with NLP applications</w:t>
      </w:r>
      <w:r w:rsidR="00AB6B49">
        <w:t xml:space="preserve"> </w:t>
      </w:r>
      <w:r w:rsidR="00AD0D07">
        <w:t xml:space="preserve">that </w:t>
      </w:r>
      <w:r w:rsidR="00AB6B49">
        <w:t>should be considered</w:t>
      </w:r>
      <w:r w:rsidR="00BC0B66">
        <w:t xml:space="preserve">. For example, </w:t>
      </w:r>
      <w:r w:rsidR="00B57902">
        <w:t xml:space="preserve">NLP </w:t>
      </w:r>
      <w:r w:rsidR="001E3B44">
        <w:t xml:space="preserve">tools </w:t>
      </w:r>
      <w:r w:rsidR="005A7AF6">
        <w:t xml:space="preserve">sometimes </w:t>
      </w:r>
      <w:r w:rsidR="00BA1EBD">
        <w:t xml:space="preserve">analyse </w:t>
      </w:r>
      <w:r w:rsidR="00AD0D07">
        <w:t xml:space="preserve">the </w:t>
      </w:r>
      <w:r w:rsidR="00BC0B66">
        <w:t>language</w:t>
      </w:r>
      <w:r w:rsidR="00663963">
        <w:t xml:space="preserve"> of women and people from </w:t>
      </w:r>
      <w:r w:rsidR="00416D9E">
        <w:t xml:space="preserve">minority groups less favourably </w:t>
      </w:r>
      <w:r w:rsidR="00320A55">
        <w:t>than</w:t>
      </w:r>
      <w:r w:rsidR="00416D9E">
        <w:t xml:space="preserve"> for </w:t>
      </w:r>
      <w:r w:rsidR="0096514A">
        <w:t>other groups</w:t>
      </w:r>
      <w:r w:rsidR="0065323F">
        <w:t>.</w:t>
      </w:r>
      <w:r w:rsidR="0096514A">
        <w:rPr>
          <w:rStyle w:val="FootnoteReference"/>
        </w:rPr>
        <w:footnoteReference w:id="48"/>
      </w:r>
      <w:r w:rsidR="0065323F">
        <w:t xml:space="preserve"> </w:t>
      </w:r>
      <w:r w:rsidR="00180484">
        <w:t>Linguistic ambiguity, m</w:t>
      </w:r>
      <w:r w:rsidR="008E363A">
        <w:t xml:space="preserve">isused words, typos and slang </w:t>
      </w:r>
      <w:r w:rsidR="001E3B44">
        <w:t xml:space="preserve">may also create challenges for </w:t>
      </w:r>
      <w:r w:rsidR="00C11DF3">
        <w:t>natural language under</w:t>
      </w:r>
      <w:r w:rsidR="00A52C0F">
        <w:t xml:space="preserve">standing. </w:t>
      </w:r>
      <w:r w:rsidR="001E3B44">
        <w:t xml:space="preserve"> </w:t>
      </w:r>
    </w:p>
    <w:p w14:paraId="345542CE" w14:textId="6AF3DBE5" w:rsidR="00101EF0" w:rsidRDefault="00101EF0" w:rsidP="00184E24">
      <w:pPr>
        <w:pStyle w:val="Bulletlevel1"/>
      </w:pPr>
      <w:r w:rsidRPr="00101EF0">
        <w:rPr>
          <w:b/>
          <w:bCs/>
        </w:rPr>
        <w:t>Internal technical capability and change management</w:t>
      </w:r>
      <w:r>
        <w:t>: NLP applications can make various tasks involving unstructured information more efficient</w:t>
      </w:r>
      <w:r w:rsidR="00196024">
        <w:t>.</w:t>
      </w:r>
      <w:r>
        <w:t xml:space="preserve"> </w:t>
      </w:r>
      <w:r w:rsidR="00196024">
        <w:t>H</w:t>
      </w:r>
      <w:r>
        <w:t>owever, ensuring these applications perform as expected requires increasing organisational capacity and expertise. Staff require an understanding of NLP applications limitations so that they can identify and act on anomalous results.</w:t>
      </w:r>
    </w:p>
    <w:p w14:paraId="45F09A40" w14:textId="097F3AA1" w:rsidR="00101EF0" w:rsidRDefault="00101EF0" w:rsidP="00184E24">
      <w:pPr>
        <w:pStyle w:val="Bulletlevel1"/>
      </w:pPr>
      <w:r w:rsidRPr="00101EF0">
        <w:rPr>
          <w:b/>
          <w:bCs/>
        </w:rPr>
        <w:t>Governance and assurance</w:t>
      </w:r>
      <w:r>
        <w:t xml:space="preserve">: Internal operations may need to change or be developed to ensure NLP applications are operating correctly and risks are identified and managed in a responsive way. </w:t>
      </w:r>
      <w:r w:rsidR="00725320">
        <w:t xml:space="preserve">Before implementing </w:t>
      </w:r>
      <w:r w:rsidR="00C8716A">
        <w:t>NLP applications</w:t>
      </w:r>
      <w:r w:rsidR="00725320">
        <w:t>, organisations need to have an in</w:t>
      </w:r>
      <w:r w:rsidR="004B3537">
        <w:t>-</w:t>
      </w:r>
      <w:r w:rsidR="00725320">
        <w:t xml:space="preserve">depth understanding of the problem they are trying to </w:t>
      </w:r>
      <w:r w:rsidR="004F06BA">
        <w:t>solve and</w:t>
      </w:r>
      <w:r w:rsidR="00725320">
        <w:t xml:space="preserve"> </w:t>
      </w:r>
      <w:r w:rsidR="004B3537">
        <w:t>set up a clear strategy</w:t>
      </w:r>
      <w:r w:rsidR="004E3665">
        <w:t xml:space="preserve"> for how NLP will be applied.</w:t>
      </w:r>
      <w:r w:rsidR="00F02431">
        <w:rPr>
          <w:rStyle w:val="FootnoteReference"/>
        </w:rPr>
        <w:footnoteReference w:id="49"/>
      </w:r>
      <w:r w:rsidR="004B3537">
        <w:t xml:space="preserve"> </w:t>
      </w:r>
    </w:p>
    <w:p w14:paraId="3A5A52AE" w14:textId="288725BB" w:rsidR="00101EF0" w:rsidRDefault="00101EF0" w:rsidP="00184E24">
      <w:pPr>
        <w:pStyle w:val="Bulletlevel1"/>
        <w:spacing w:after="240"/>
      </w:pPr>
      <w:r w:rsidRPr="00101EF0">
        <w:rPr>
          <w:b/>
          <w:bCs/>
        </w:rPr>
        <w:t>Training and development timeframes</w:t>
      </w:r>
      <w:r>
        <w:t xml:space="preserve">: </w:t>
      </w:r>
      <w:r w:rsidR="00202F10">
        <w:t xml:space="preserve">Discussions </w:t>
      </w:r>
      <w:r>
        <w:t xml:space="preserve">with Australian </w:t>
      </w:r>
      <w:r w:rsidR="00300418">
        <w:t xml:space="preserve">regulatory </w:t>
      </w:r>
      <w:r>
        <w:t>agencies including ASIC and APRA have highlighted that internal NLP design and implementation requires a prolonged effort, with multiple testing and development cycles.</w:t>
      </w:r>
      <w:r w:rsidR="00920613">
        <w:t xml:space="preserve"> </w:t>
      </w:r>
      <w:r w:rsidR="00920613" w:rsidRPr="00BF15D9">
        <w:t xml:space="preserve">Once established, NLP processes require </w:t>
      </w:r>
      <w:r w:rsidR="009119CC">
        <w:t>constant</w:t>
      </w:r>
      <w:r w:rsidR="009119CC" w:rsidRPr="00BF15D9">
        <w:t xml:space="preserve"> </w:t>
      </w:r>
      <w:r w:rsidR="00920613" w:rsidRPr="00BF15D9">
        <w:t>updates as human language continues to evolve, and as new techniques and custom algorithms are developed. Therefore</w:t>
      </w:r>
      <w:r w:rsidR="004F06BA">
        <w:t>,</w:t>
      </w:r>
      <w:r w:rsidR="00920613" w:rsidRPr="00BF15D9">
        <w:t xml:space="preserve"> </w:t>
      </w:r>
      <w:r w:rsidR="004F06BA">
        <w:t>organisations</w:t>
      </w:r>
      <w:r w:rsidR="004F06BA" w:rsidRPr="00BF15D9">
        <w:t xml:space="preserve"> </w:t>
      </w:r>
      <w:r w:rsidR="00920613" w:rsidRPr="00BF15D9">
        <w:t xml:space="preserve">must ensure review mechanisms are in place in order </w:t>
      </w:r>
      <w:r w:rsidR="004528BA">
        <w:t>for</w:t>
      </w:r>
      <w:r w:rsidR="00920613" w:rsidRPr="00BF15D9">
        <w:t xml:space="preserve"> NLP applications to perform as required.</w:t>
      </w:r>
    </w:p>
    <w:p w14:paraId="3622B75A" w14:textId="7B55FFDC" w:rsidR="00101EF0" w:rsidRDefault="00101EF0" w:rsidP="00101EF0">
      <w:pPr>
        <w:pStyle w:val="Paragraph"/>
      </w:pPr>
      <w:r>
        <w:t>NLP applications will raise different challenges to varying degrees</w:t>
      </w:r>
      <w:r w:rsidR="009119CC">
        <w:t>,</w:t>
      </w:r>
      <w:r>
        <w:t xml:space="preserve"> depending on the problem </w:t>
      </w:r>
      <w:r w:rsidR="009119CC">
        <w:t>they are</w:t>
      </w:r>
      <w:r>
        <w:t xml:space="preserve"> designed to </w:t>
      </w:r>
      <w:r w:rsidR="004F06BA">
        <w:t>solve,</w:t>
      </w:r>
      <w:r>
        <w:t xml:space="preserve"> and the data involved. </w:t>
      </w:r>
    </w:p>
    <w:p w14:paraId="74EB90A7" w14:textId="77777777" w:rsidR="00163790" w:rsidRDefault="00163790" w:rsidP="00101EF0">
      <w:pPr>
        <w:pStyle w:val="Paragraph"/>
      </w:pPr>
    </w:p>
    <w:p w14:paraId="3827E1DE" w14:textId="378FBD2A" w:rsidR="00101EF0" w:rsidRDefault="00101EF0" w:rsidP="00101EF0">
      <w:pPr>
        <w:pStyle w:val="Heading1"/>
      </w:pPr>
      <w:bookmarkStart w:id="33" w:name="_Toc73683738"/>
      <w:r>
        <w:lastRenderedPageBreak/>
        <w:t>The future of NLP in regulatory practice</w:t>
      </w:r>
      <w:bookmarkEnd w:id="33"/>
      <w:r>
        <w:t xml:space="preserve"> </w:t>
      </w:r>
    </w:p>
    <w:p w14:paraId="410DC78A" w14:textId="40017CE2" w:rsidR="00101EF0" w:rsidRDefault="00101EF0" w:rsidP="00101EF0">
      <w:pPr>
        <w:pStyle w:val="Paragraph"/>
      </w:pPr>
      <w:r>
        <w:t xml:space="preserve">Based on </w:t>
      </w:r>
      <w:r w:rsidR="009119CC">
        <w:t xml:space="preserve">our </w:t>
      </w:r>
      <w:r>
        <w:t xml:space="preserve">research and consultation with internal and external stakeholders, </w:t>
      </w:r>
      <w:r w:rsidR="000D3575">
        <w:t>we</w:t>
      </w:r>
      <w:r w:rsidR="00804A87">
        <w:t xml:space="preserve"> </w:t>
      </w:r>
      <w:r>
        <w:t xml:space="preserve">consider that NLP </w:t>
      </w:r>
      <w:r w:rsidR="004528BA">
        <w:t xml:space="preserve">applications </w:t>
      </w:r>
      <w:r>
        <w:t xml:space="preserve">will become more widely used by regulatory authorities in the next </w:t>
      </w:r>
      <w:r w:rsidR="005A3270">
        <w:t>few</w:t>
      </w:r>
      <w:r>
        <w:t xml:space="preserve"> years. Leading Australian regulators </w:t>
      </w:r>
      <w:r w:rsidR="000D3575">
        <w:t>exploring</w:t>
      </w:r>
      <w:r>
        <w:t xml:space="preserve"> NLP development and experimentation (such as ASIC), and other regulators in early stage</w:t>
      </w:r>
      <w:r w:rsidR="000D3575">
        <w:t>s</w:t>
      </w:r>
      <w:r>
        <w:t xml:space="preserve"> of NLP capability development (such as the Clean Energy Regulator and APRA), have focused on building NLP capability in-house. </w:t>
      </w:r>
      <w:r w:rsidRPr="00CA3688">
        <w:t>However, there also appears to be increasingly sophisticated off-the-shelf products available for NLP tasks</w:t>
      </w:r>
      <w:r w:rsidR="004F06BA">
        <w:t>.</w:t>
      </w:r>
    </w:p>
    <w:p w14:paraId="48ACD213" w14:textId="10A0DE12" w:rsidR="00101EF0" w:rsidRDefault="00101EF0" w:rsidP="00101EF0">
      <w:pPr>
        <w:pStyle w:val="Paragraph"/>
      </w:pPr>
      <w:r>
        <w:t>In a regulatory context, the greatest value from u</w:t>
      </w:r>
      <w:r w:rsidR="00D65C34">
        <w:t>sing</w:t>
      </w:r>
      <w:r>
        <w:t xml:space="preserve"> NLP is in supporting human analysis and decision-making </w:t>
      </w:r>
      <w:r w:rsidR="000D3575">
        <w:t>for</w:t>
      </w:r>
      <w:r>
        <w:t xml:space="preserve"> unstructured, text-based information. NLP can enable human</w:t>
      </w:r>
      <w:r w:rsidR="001363F9">
        <w:t>s</w:t>
      </w:r>
      <w:r>
        <w:t xml:space="preserve"> to gain insight into large quantities of unstructured information, including key themes, entity and relationship identification, sentiment</w:t>
      </w:r>
      <w:r w:rsidR="000D3575">
        <w:t>,</w:t>
      </w:r>
      <w:r>
        <w:t xml:space="preserve"> and links between records. In doing so, NLP can save time and focus resources – for example, NLP can be applied to support the prioritisation of regulatory compliance and enforcement activities by identifying indicators of risk across documents. It can also speed up document review processes such as analysis of consultation submissions.</w:t>
      </w:r>
    </w:p>
    <w:p w14:paraId="2903EDAF" w14:textId="2F790A8C" w:rsidR="00101EF0" w:rsidRDefault="00101EF0" w:rsidP="00101EF0">
      <w:pPr>
        <w:pStyle w:val="Paragraph"/>
      </w:pPr>
      <w:r>
        <w:t>In the short term, NLP could have a significant impact as a customer-facing tool. Chatbots are becoming more widely used to answer common consumer questions or guide individuals through certain processes. This enables staff to deal with more complex enquiries or complaints.</w:t>
      </w:r>
    </w:p>
    <w:p w14:paraId="16C210B1" w14:textId="5E054067" w:rsidR="00101EF0" w:rsidRDefault="001F73B1" w:rsidP="001F73B1">
      <w:pPr>
        <w:pStyle w:val="Heading2"/>
      </w:pPr>
      <w:bookmarkStart w:id="34" w:name="_Toc73683739"/>
      <w:r>
        <w:t>Potential NLP use</w:t>
      </w:r>
      <w:r w:rsidR="001A0B31">
        <w:t>-</w:t>
      </w:r>
      <w:r>
        <w:t>cases in the ACMA</w:t>
      </w:r>
      <w:bookmarkEnd w:id="34"/>
    </w:p>
    <w:tbl>
      <w:tblPr>
        <w:tblStyle w:val="TableGrid"/>
        <w:tblW w:w="835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85" w:type="dxa"/>
          <w:left w:w="85" w:type="dxa"/>
          <w:bottom w:w="85" w:type="dxa"/>
          <w:right w:w="85" w:type="dxa"/>
        </w:tblCellMar>
        <w:tblLook w:val="04A0" w:firstRow="1" w:lastRow="0" w:firstColumn="1" w:lastColumn="0" w:noHBand="0" w:noVBand="1"/>
      </w:tblPr>
      <w:tblGrid>
        <w:gridCol w:w="830"/>
        <w:gridCol w:w="7529"/>
      </w:tblGrid>
      <w:tr w:rsidR="00101EF0" w:rsidRPr="00517B5F" w14:paraId="6D2FD1E7" w14:textId="77777777" w:rsidTr="00184E24">
        <w:tc>
          <w:tcPr>
            <w:tcW w:w="562" w:type="dxa"/>
            <w:shd w:val="clear" w:color="auto" w:fill="00A0A4"/>
          </w:tcPr>
          <w:p w14:paraId="7A45CF6B" w14:textId="1001D47E" w:rsidR="00101EF0" w:rsidRPr="00517B5F" w:rsidRDefault="00DB7CD5" w:rsidP="00184E24">
            <w:pPr>
              <w:spacing w:after="0"/>
              <w:jc w:val="center"/>
              <w:rPr>
                <w:rFonts w:cs="Arial"/>
                <w:szCs w:val="20"/>
              </w:rPr>
            </w:pPr>
            <w:r>
              <w:rPr>
                <w:rFonts w:cs="Arial"/>
                <w:noProof/>
                <w:szCs w:val="20"/>
              </w:rPr>
              <w:drawing>
                <wp:inline distT="0" distB="0" distL="0" distR="0" wp14:anchorId="5D9ED1CF" wp14:editId="276D6263">
                  <wp:extent cx="418473" cy="418473"/>
                  <wp:effectExtent l="0" t="0" r="635" b="635"/>
                  <wp:docPr id="90419179" name="Graphic 90419179" descr="Clipboar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79" name="Graphic 90419179" descr="Clipboard outline"/>
                          <pic:cNvPicPr/>
                        </pic:nvPicPr>
                        <pic:blipFill>
                          <a:blip r:embed="rId81">
                            <a:extLst>
                              <a:ext uri="{96DAC541-7B7A-43D3-8B79-37D633B846F1}">
                                <asvg:svgBlip xmlns:asvg="http://schemas.microsoft.com/office/drawing/2016/SVG/main" r:embed="rId82"/>
                              </a:ext>
                            </a:extLst>
                          </a:blip>
                          <a:stretch>
                            <a:fillRect/>
                          </a:stretch>
                        </pic:blipFill>
                        <pic:spPr>
                          <a:xfrm>
                            <a:off x="0" y="0"/>
                            <a:ext cx="418473" cy="418473"/>
                          </a:xfrm>
                          <a:prstGeom prst="rect">
                            <a:avLst/>
                          </a:prstGeom>
                        </pic:spPr>
                      </pic:pic>
                    </a:graphicData>
                  </a:graphic>
                </wp:inline>
              </w:drawing>
            </w:r>
          </w:p>
        </w:tc>
        <w:tc>
          <w:tcPr>
            <w:tcW w:w="7797" w:type="dxa"/>
            <w:shd w:val="clear" w:color="auto" w:fill="F2F2F2" w:themeFill="background1" w:themeFillShade="F2"/>
          </w:tcPr>
          <w:p w14:paraId="58C076BE" w14:textId="47910BA7" w:rsidR="00F22AF8" w:rsidRPr="00517B5F" w:rsidRDefault="00C824BE" w:rsidP="00184E24">
            <w:pPr>
              <w:spacing w:after="120"/>
              <w:rPr>
                <w:rFonts w:cs="Arial"/>
                <w:b/>
                <w:bCs/>
                <w:szCs w:val="20"/>
              </w:rPr>
            </w:pPr>
            <w:r>
              <w:rPr>
                <w:rFonts w:cs="Arial"/>
                <w:b/>
                <w:bCs/>
                <w:szCs w:val="20"/>
              </w:rPr>
              <w:t>I</w:t>
            </w:r>
            <w:r w:rsidR="00D024E9" w:rsidRPr="00517B5F">
              <w:rPr>
                <w:rFonts w:cs="Arial"/>
                <w:b/>
                <w:bCs/>
                <w:szCs w:val="20"/>
              </w:rPr>
              <w:t>nvestigation</w:t>
            </w:r>
            <w:r>
              <w:rPr>
                <w:rFonts w:cs="Arial"/>
                <w:b/>
                <w:bCs/>
                <w:szCs w:val="20"/>
              </w:rPr>
              <w:t>s</w:t>
            </w:r>
            <w:r w:rsidR="00D024E9" w:rsidRPr="00517B5F">
              <w:rPr>
                <w:rFonts w:cs="Arial"/>
                <w:b/>
                <w:bCs/>
                <w:szCs w:val="20"/>
              </w:rPr>
              <w:t xml:space="preserve"> </w:t>
            </w:r>
          </w:p>
          <w:p w14:paraId="63332EE2" w14:textId="11BD3945" w:rsidR="00101EF0" w:rsidRPr="00517B5F" w:rsidRDefault="00101EF0" w:rsidP="003D5751">
            <w:pPr>
              <w:spacing w:before="120" w:after="120"/>
              <w:rPr>
                <w:rFonts w:cs="Arial"/>
                <w:szCs w:val="20"/>
              </w:rPr>
            </w:pPr>
            <w:r w:rsidRPr="00517B5F">
              <w:rPr>
                <w:rFonts w:cs="Arial"/>
                <w:szCs w:val="20"/>
              </w:rPr>
              <w:t xml:space="preserve">Unsolicited communications investigations can involve hundreds of thousands of call recordings – </w:t>
            </w:r>
            <w:r w:rsidR="001363F9">
              <w:rPr>
                <w:rFonts w:cs="Arial"/>
                <w:szCs w:val="20"/>
              </w:rPr>
              <w:t>for</w:t>
            </w:r>
            <w:r w:rsidRPr="00517B5F">
              <w:rPr>
                <w:rFonts w:cs="Arial"/>
                <w:szCs w:val="20"/>
              </w:rPr>
              <w:t xml:space="preserve"> example, at the end of 2020</w:t>
            </w:r>
            <w:r w:rsidR="000D3575">
              <w:rPr>
                <w:rFonts w:cs="Arial"/>
                <w:szCs w:val="20"/>
              </w:rPr>
              <w:t>,</w:t>
            </w:r>
            <w:r w:rsidRPr="00517B5F">
              <w:rPr>
                <w:rFonts w:cs="Arial"/>
                <w:szCs w:val="20"/>
              </w:rPr>
              <w:t xml:space="preserve"> </w:t>
            </w:r>
            <w:r w:rsidR="000D3575">
              <w:rPr>
                <w:rFonts w:cs="Arial"/>
                <w:szCs w:val="20"/>
              </w:rPr>
              <w:t>we</w:t>
            </w:r>
            <w:r w:rsidRPr="00517B5F">
              <w:rPr>
                <w:rFonts w:cs="Arial"/>
                <w:szCs w:val="20"/>
              </w:rPr>
              <w:t xml:space="preserve"> </w:t>
            </w:r>
            <w:r w:rsidR="000D3575" w:rsidRPr="00517B5F">
              <w:rPr>
                <w:rFonts w:cs="Arial"/>
                <w:szCs w:val="20"/>
              </w:rPr>
              <w:t>work</w:t>
            </w:r>
            <w:r w:rsidR="000D3575">
              <w:rPr>
                <w:rFonts w:cs="Arial"/>
                <w:szCs w:val="20"/>
              </w:rPr>
              <w:t>ed</w:t>
            </w:r>
            <w:r w:rsidR="000D3575" w:rsidRPr="00517B5F">
              <w:rPr>
                <w:rFonts w:cs="Arial"/>
                <w:szCs w:val="20"/>
              </w:rPr>
              <w:t xml:space="preserve"> </w:t>
            </w:r>
            <w:r w:rsidRPr="00517B5F">
              <w:rPr>
                <w:rFonts w:cs="Arial"/>
                <w:szCs w:val="20"/>
              </w:rPr>
              <w:t xml:space="preserve">on an investigation involving over 250,000 call recordings. In conversations with staff, the challenge of sifting through recordings </w:t>
            </w:r>
            <w:r w:rsidR="004E3665">
              <w:rPr>
                <w:rFonts w:cs="Arial"/>
                <w:szCs w:val="20"/>
              </w:rPr>
              <w:t xml:space="preserve">was expected to </w:t>
            </w:r>
            <w:r w:rsidRPr="00517B5F">
              <w:rPr>
                <w:rFonts w:cs="Arial"/>
                <w:szCs w:val="20"/>
              </w:rPr>
              <w:t xml:space="preserve">increase in the years ahead. </w:t>
            </w:r>
            <w:r w:rsidR="00775EE6">
              <w:rPr>
                <w:rFonts w:cs="Arial"/>
                <w:szCs w:val="20"/>
              </w:rPr>
              <w:t>Investigating broadcasting complaints can also be resource</w:t>
            </w:r>
            <w:r w:rsidR="001A0B31">
              <w:rPr>
                <w:rFonts w:cs="Arial"/>
                <w:szCs w:val="20"/>
              </w:rPr>
              <w:t>-</w:t>
            </w:r>
            <w:r w:rsidR="00775EE6">
              <w:rPr>
                <w:rFonts w:cs="Arial"/>
                <w:szCs w:val="20"/>
              </w:rPr>
              <w:t xml:space="preserve">intensive, with staff </w:t>
            </w:r>
            <w:r w:rsidR="00EF3341">
              <w:rPr>
                <w:rFonts w:cs="Arial"/>
                <w:szCs w:val="20"/>
              </w:rPr>
              <w:t xml:space="preserve">having to watch </w:t>
            </w:r>
            <w:r w:rsidR="001A0B31">
              <w:rPr>
                <w:rFonts w:cs="Arial"/>
                <w:szCs w:val="20"/>
              </w:rPr>
              <w:t xml:space="preserve">many </w:t>
            </w:r>
            <w:r w:rsidR="00EF3341">
              <w:rPr>
                <w:rFonts w:cs="Arial"/>
                <w:szCs w:val="20"/>
              </w:rPr>
              <w:t xml:space="preserve">hours of broadcast television to undertake an investigation. </w:t>
            </w:r>
          </w:p>
          <w:p w14:paraId="3D9A8D69" w14:textId="728E46BC" w:rsidR="00101EF0" w:rsidRPr="00517B5F" w:rsidRDefault="00101EF0" w:rsidP="00184E24">
            <w:pPr>
              <w:spacing w:before="120" w:after="0"/>
              <w:rPr>
                <w:rFonts w:cs="Arial"/>
                <w:szCs w:val="20"/>
              </w:rPr>
            </w:pPr>
            <w:r w:rsidRPr="00517B5F">
              <w:rPr>
                <w:rFonts w:cs="Arial"/>
                <w:szCs w:val="20"/>
              </w:rPr>
              <w:t>NLP could potentially be applied to this problem – enabling</w:t>
            </w:r>
            <w:r w:rsidR="00EF3341">
              <w:rPr>
                <w:rFonts w:cs="Arial"/>
                <w:szCs w:val="20"/>
              </w:rPr>
              <w:t xml:space="preserve"> </w:t>
            </w:r>
            <w:r w:rsidR="00CF02F2">
              <w:rPr>
                <w:rFonts w:cs="Arial"/>
                <w:szCs w:val="20"/>
              </w:rPr>
              <w:t>voice</w:t>
            </w:r>
            <w:r w:rsidR="00293671">
              <w:rPr>
                <w:rFonts w:cs="Arial"/>
                <w:szCs w:val="20"/>
              </w:rPr>
              <w:t xml:space="preserve"> </w:t>
            </w:r>
            <w:r w:rsidRPr="00517B5F">
              <w:rPr>
                <w:rFonts w:cs="Arial"/>
                <w:szCs w:val="20"/>
              </w:rPr>
              <w:t xml:space="preserve">recordings to be transcribed first to text and then readily searched for key words or phrases indicating </w:t>
            </w:r>
            <w:r w:rsidR="00DA3EAF">
              <w:rPr>
                <w:rFonts w:cs="Arial"/>
                <w:szCs w:val="20"/>
              </w:rPr>
              <w:t>potential non-compliance</w:t>
            </w:r>
            <w:r w:rsidRPr="00517B5F">
              <w:rPr>
                <w:rFonts w:cs="Arial"/>
                <w:szCs w:val="20"/>
              </w:rPr>
              <w:t xml:space="preserve">. </w:t>
            </w:r>
          </w:p>
        </w:tc>
      </w:tr>
      <w:tr w:rsidR="00101EF0" w:rsidRPr="00517B5F" w14:paraId="44C83CDC" w14:textId="77777777" w:rsidTr="00184E24">
        <w:tc>
          <w:tcPr>
            <w:tcW w:w="562" w:type="dxa"/>
            <w:shd w:val="clear" w:color="auto" w:fill="00A0A4"/>
          </w:tcPr>
          <w:p w14:paraId="02EC3E8C" w14:textId="305F7270" w:rsidR="00101EF0" w:rsidRPr="00517B5F" w:rsidRDefault="00DB7CD5" w:rsidP="00184E24">
            <w:pPr>
              <w:spacing w:after="0"/>
              <w:jc w:val="center"/>
              <w:rPr>
                <w:rFonts w:cs="Arial"/>
                <w:szCs w:val="20"/>
              </w:rPr>
            </w:pPr>
            <w:r>
              <w:rPr>
                <w:rFonts w:cs="Arial"/>
                <w:noProof/>
                <w:szCs w:val="20"/>
              </w:rPr>
              <w:drawing>
                <wp:inline distT="0" distB="0" distL="0" distR="0" wp14:anchorId="0B6BE97D" wp14:editId="45E91349">
                  <wp:extent cx="365760" cy="365760"/>
                  <wp:effectExtent l="0" t="0" r="0" b="0"/>
                  <wp:docPr id="90419180" name="Graphic 90419180" descr="Signpo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80" name="Graphic 90419180" descr="Signpost outline"/>
                          <pic:cNvPicPr/>
                        </pic:nvPicPr>
                        <pic:blipFill>
                          <a:blip r:embed="rId83">
                            <a:extLst>
                              <a:ext uri="{96DAC541-7B7A-43D3-8B79-37D633B846F1}">
                                <asvg:svgBlip xmlns:asvg="http://schemas.microsoft.com/office/drawing/2016/SVG/main" r:embed="rId84"/>
                              </a:ext>
                            </a:extLst>
                          </a:blip>
                          <a:stretch>
                            <a:fillRect/>
                          </a:stretch>
                        </pic:blipFill>
                        <pic:spPr>
                          <a:xfrm>
                            <a:off x="0" y="0"/>
                            <a:ext cx="367746" cy="367746"/>
                          </a:xfrm>
                          <a:prstGeom prst="rect">
                            <a:avLst/>
                          </a:prstGeom>
                        </pic:spPr>
                      </pic:pic>
                    </a:graphicData>
                  </a:graphic>
                </wp:inline>
              </w:drawing>
            </w:r>
          </w:p>
        </w:tc>
        <w:tc>
          <w:tcPr>
            <w:tcW w:w="7797" w:type="dxa"/>
            <w:shd w:val="clear" w:color="auto" w:fill="F2F2F2" w:themeFill="background1" w:themeFillShade="F2"/>
          </w:tcPr>
          <w:p w14:paraId="1832040D" w14:textId="58B6107F" w:rsidR="00517B5F" w:rsidRPr="00517B5F" w:rsidRDefault="00517B5F" w:rsidP="00184E24">
            <w:pPr>
              <w:spacing w:after="120"/>
              <w:rPr>
                <w:rFonts w:cs="Arial"/>
                <w:b/>
                <w:bCs/>
                <w:szCs w:val="20"/>
              </w:rPr>
            </w:pPr>
            <w:r w:rsidRPr="00517B5F">
              <w:rPr>
                <w:rFonts w:cs="Arial"/>
                <w:b/>
                <w:bCs/>
                <w:szCs w:val="20"/>
              </w:rPr>
              <w:t>Consumer-facing</w:t>
            </w:r>
            <w:r w:rsidR="00774A00">
              <w:rPr>
                <w:rFonts w:cs="Arial"/>
                <w:b/>
                <w:bCs/>
                <w:szCs w:val="20"/>
              </w:rPr>
              <w:t>,</w:t>
            </w:r>
            <w:r w:rsidRPr="00517B5F">
              <w:rPr>
                <w:rFonts w:cs="Arial"/>
                <w:b/>
                <w:bCs/>
                <w:szCs w:val="20"/>
              </w:rPr>
              <w:t xml:space="preserve"> technology</w:t>
            </w:r>
            <w:r w:rsidR="00774A00">
              <w:rPr>
                <w:rFonts w:cs="Arial"/>
                <w:b/>
                <w:bCs/>
                <w:szCs w:val="20"/>
              </w:rPr>
              <w:t>-</w:t>
            </w:r>
            <w:r w:rsidRPr="00517B5F">
              <w:rPr>
                <w:rFonts w:cs="Arial"/>
                <w:b/>
                <w:bCs/>
                <w:szCs w:val="20"/>
              </w:rPr>
              <w:t>assisted guidance tools</w:t>
            </w:r>
          </w:p>
          <w:p w14:paraId="7E60659B" w14:textId="77777777" w:rsidR="00101EF0" w:rsidRDefault="000D3575" w:rsidP="00184E24">
            <w:pPr>
              <w:spacing w:before="120" w:after="0"/>
              <w:rPr>
                <w:rFonts w:cs="Arial"/>
                <w:szCs w:val="20"/>
              </w:rPr>
            </w:pPr>
            <w:r>
              <w:rPr>
                <w:rFonts w:cs="Arial"/>
                <w:szCs w:val="20"/>
              </w:rPr>
              <w:t xml:space="preserve">We </w:t>
            </w:r>
            <w:r w:rsidR="00101EF0" w:rsidRPr="00517B5F">
              <w:rPr>
                <w:rFonts w:cs="Arial"/>
                <w:szCs w:val="20"/>
              </w:rPr>
              <w:t>receive a significant number of out-of-scope or invalid complaints, or incomplete information in several areas. This problem could be solved in a few ways</w:t>
            </w:r>
            <w:r>
              <w:rPr>
                <w:rFonts w:cs="Arial"/>
                <w:szCs w:val="20"/>
              </w:rPr>
              <w:t xml:space="preserve"> using NLP</w:t>
            </w:r>
            <w:r w:rsidR="00101EF0" w:rsidRPr="00517B5F">
              <w:rPr>
                <w:rFonts w:cs="Arial"/>
                <w:szCs w:val="20"/>
              </w:rPr>
              <w:t xml:space="preserve">. Electronic complaint forms </w:t>
            </w:r>
            <w:r w:rsidR="004D1BB7">
              <w:rPr>
                <w:rFonts w:cs="Arial"/>
                <w:szCs w:val="20"/>
              </w:rPr>
              <w:t>that</w:t>
            </w:r>
            <w:r w:rsidR="004D1BB7" w:rsidRPr="00517B5F">
              <w:rPr>
                <w:rFonts w:cs="Arial"/>
                <w:szCs w:val="20"/>
              </w:rPr>
              <w:t xml:space="preserve"> </w:t>
            </w:r>
            <w:r w:rsidR="00101EF0" w:rsidRPr="00517B5F">
              <w:rPr>
                <w:rFonts w:cs="Arial"/>
                <w:szCs w:val="20"/>
              </w:rPr>
              <w:t>require individuals to acknowledge the steps required before submission is one simple solution. A chatbot could also be deployed to answer queries from individuals and guide them through processes such as making a complaint.</w:t>
            </w:r>
            <w:r w:rsidR="005F0A84">
              <w:rPr>
                <w:rFonts w:cs="Arial"/>
                <w:szCs w:val="20"/>
              </w:rPr>
              <w:t xml:space="preserve"> </w:t>
            </w:r>
          </w:p>
          <w:p w14:paraId="6EEAE7B7" w14:textId="2C9D687E" w:rsidR="000C7144" w:rsidRPr="00517B5F" w:rsidRDefault="000C7144" w:rsidP="00184E24">
            <w:pPr>
              <w:spacing w:before="120" w:after="0"/>
              <w:rPr>
                <w:rFonts w:cs="Arial"/>
                <w:szCs w:val="20"/>
              </w:rPr>
            </w:pPr>
            <w:r>
              <w:rPr>
                <w:rFonts w:cs="Arial"/>
                <w:szCs w:val="20"/>
              </w:rPr>
              <w:t xml:space="preserve">Our customer </w:t>
            </w:r>
            <w:r w:rsidR="006C7A5F">
              <w:rPr>
                <w:rFonts w:cs="Arial"/>
                <w:szCs w:val="20"/>
              </w:rPr>
              <w:t>service centre received over 26,000 customer contacts in the 2019</w:t>
            </w:r>
            <w:r w:rsidR="001A0B31">
              <w:rPr>
                <w:rFonts w:cs="Arial"/>
                <w:szCs w:val="20"/>
              </w:rPr>
              <w:t>–</w:t>
            </w:r>
            <w:r w:rsidR="006C7A5F">
              <w:rPr>
                <w:rFonts w:cs="Arial"/>
                <w:szCs w:val="20"/>
              </w:rPr>
              <w:t xml:space="preserve">20 </w:t>
            </w:r>
            <w:r w:rsidR="00BF5FB6">
              <w:rPr>
                <w:rFonts w:cs="Arial"/>
                <w:szCs w:val="20"/>
              </w:rPr>
              <w:t>financial year</w:t>
            </w:r>
            <w:r w:rsidR="00767F51">
              <w:rPr>
                <w:rFonts w:cs="Arial"/>
                <w:szCs w:val="20"/>
              </w:rPr>
              <w:t xml:space="preserve">. </w:t>
            </w:r>
            <w:r w:rsidR="00622510">
              <w:rPr>
                <w:rFonts w:cs="Arial"/>
                <w:szCs w:val="20"/>
              </w:rPr>
              <w:t>These enquiries ranged from simple to complex questions.</w:t>
            </w:r>
            <w:r w:rsidR="00E9189B">
              <w:rPr>
                <w:rFonts w:cs="Arial"/>
                <w:szCs w:val="20"/>
              </w:rPr>
              <w:t xml:space="preserve"> Chatbots or virtual assistants could</w:t>
            </w:r>
            <w:r w:rsidR="001D3F64">
              <w:rPr>
                <w:rFonts w:cs="Arial"/>
                <w:szCs w:val="20"/>
              </w:rPr>
              <w:t xml:space="preserve"> be used to answer simple and routine questions</w:t>
            </w:r>
            <w:r w:rsidR="00CE02F2">
              <w:rPr>
                <w:rFonts w:cs="Arial"/>
                <w:szCs w:val="20"/>
              </w:rPr>
              <w:t xml:space="preserve">. </w:t>
            </w:r>
          </w:p>
        </w:tc>
      </w:tr>
      <w:tr w:rsidR="00101EF0" w:rsidRPr="00517B5F" w14:paraId="7ACAED07" w14:textId="77777777" w:rsidTr="00184E24">
        <w:tc>
          <w:tcPr>
            <w:tcW w:w="562" w:type="dxa"/>
            <w:shd w:val="clear" w:color="auto" w:fill="00A0A4"/>
          </w:tcPr>
          <w:p w14:paraId="5FF9634A" w14:textId="2395795B" w:rsidR="00101EF0" w:rsidRPr="00517B5F" w:rsidRDefault="00DB7CD5" w:rsidP="00184E24">
            <w:pPr>
              <w:spacing w:before="120" w:after="0"/>
              <w:jc w:val="center"/>
              <w:rPr>
                <w:rFonts w:cs="Arial"/>
                <w:szCs w:val="20"/>
              </w:rPr>
            </w:pPr>
            <w:r>
              <w:rPr>
                <w:rFonts w:cs="Arial"/>
                <w:noProof/>
                <w:szCs w:val="20"/>
              </w:rPr>
              <w:lastRenderedPageBreak/>
              <w:drawing>
                <wp:inline distT="0" distB="0" distL="0" distR="0" wp14:anchorId="36725995" wp14:editId="5BE36EBC">
                  <wp:extent cx="389614" cy="389614"/>
                  <wp:effectExtent l="0" t="0" r="0" b="0"/>
                  <wp:docPr id="90419181" name="Graphic 90419181" descr="Map with 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19181" name="Graphic 90419181" descr="Map with pin outline"/>
                          <pic:cNvPicPr/>
                        </pic:nvPicPr>
                        <pic:blipFill>
                          <a:blip r:embed="rId85">
                            <a:extLst>
                              <a:ext uri="{96DAC541-7B7A-43D3-8B79-37D633B846F1}">
                                <asvg:svgBlip xmlns:asvg="http://schemas.microsoft.com/office/drawing/2016/SVG/main" r:embed="rId86"/>
                              </a:ext>
                            </a:extLst>
                          </a:blip>
                          <a:stretch>
                            <a:fillRect/>
                          </a:stretch>
                        </pic:blipFill>
                        <pic:spPr>
                          <a:xfrm>
                            <a:off x="0" y="0"/>
                            <a:ext cx="399713" cy="399713"/>
                          </a:xfrm>
                          <a:prstGeom prst="rect">
                            <a:avLst/>
                          </a:prstGeom>
                        </pic:spPr>
                      </pic:pic>
                    </a:graphicData>
                  </a:graphic>
                </wp:inline>
              </w:drawing>
            </w:r>
          </w:p>
        </w:tc>
        <w:tc>
          <w:tcPr>
            <w:tcW w:w="7797" w:type="dxa"/>
            <w:shd w:val="clear" w:color="auto" w:fill="F2F2F2" w:themeFill="background1" w:themeFillShade="F2"/>
          </w:tcPr>
          <w:p w14:paraId="634DA7E6" w14:textId="437B221F" w:rsidR="00517B5F" w:rsidRPr="00517B5F" w:rsidRDefault="00517B5F" w:rsidP="001A0B31">
            <w:pPr>
              <w:keepNext/>
              <w:keepLines/>
              <w:spacing w:after="120"/>
              <w:rPr>
                <w:rFonts w:cs="Arial"/>
                <w:b/>
                <w:bCs/>
                <w:szCs w:val="20"/>
              </w:rPr>
            </w:pPr>
            <w:r w:rsidRPr="00517B5F">
              <w:rPr>
                <w:rFonts w:cs="Arial"/>
                <w:b/>
                <w:bCs/>
                <w:szCs w:val="20"/>
              </w:rPr>
              <w:t>Mapping regulatory review</w:t>
            </w:r>
          </w:p>
          <w:p w14:paraId="56EA6FAC" w14:textId="0FC39562" w:rsidR="00101EF0" w:rsidRPr="00517B5F" w:rsidRDefault="000D3575" w:rsidP="001A0B31">
            <w:pPr>
              <w:keepNext/>
              <w:keepLines/>
              <w:spacing w:before="120" w:after="0"/>
              <w:rPr>
                <w:rFonts w:cs="Arial"/>
                <w:szCs w:val="20"/>
              </w:rPr>
            </w:pPr>
            <w:r>
              <w:rPr>
                <w:rFonts w:cs="Arial"/>
                <w:szCs w:val="20"/>
              </w:rPr>
              <w:t>We have</w:t>
            </w:r>
            <w:r w:rsidR="00101EF0" w:rsidRPr="00517B5F">
              <w:rPr>
                <w:rFonts w:cs="Arial"/>
                <w:szCs w:val="20"/>
              </w:rPr>
              <w:t xml:space="preserve"> some </w:t>
            </w:r>
            <w:r w:rsidR="003B1763">
              <w:rPr>
                <w:rFonts w:cs="Arial"/>
                <w:szCs w:val="20"/>
              </w:rPr>
              <w:t>4</w:t>
            </w:r>
            <w:r w:rsidR="00101EF0" w:rsidRPr="00517B5F">
              <w:rPr>
                <w:rFonts w:cs="Arial"/>
                <w:szCs w:val="20"/>
              </w:rPr>
              <w:t xml:space="preserve">00 regulatory instruments within </w:t>
            </w:r>
            <w:r>
              <w:rPr>
                <w:rFonts w:cs="Arial"/>
                <w:szCs w:val="20"/>
              </w:rPr>
              <w:t>our</w:t>
            </w:r>
            <w:r w:rsidRPr="00517B5F">
              <w:rPr>
                <w:rFonts w:cs="Arial"/>
                <w:szCs w:val="20"/>
              </w:rPr>
              <w:t xml:space="preserve"> </w:t>
            </w:r>
            <w:r w:rsidR="00101EF0" w:rsidRPr="00517B5F">
              <w:rPr>
                <w:rFonts w:cs="Arial"/>
                <w:szCs w:val="20"/>
              </w:rPr>
              <w:t xml:space="preserve">remit. </w:t>
            </w:r>
            <w:r w:rsidR="00542384">
              <w:rPr>
                <w:rFonts w:cs="Arial"/>
                <w:szCs w:val="20"/>
              </w:rPr>
              <w:t xml:space="preserve">NLP tools could </w:t>
            </w:r>
            <w:r w:rsidR="00101EF0" w:rsidRPr="00517B5F">
              <w:rPr>
                <w:rFonts w:cs="Arial"/>
                <w:szCs w:val="20"/>
              </w:rPr>
              <w:t>help map</w:t>
            </w:r>
            <w:r>
              <w:rPr>
                <w:rFonts w:cs="Arial"/>
                <w:szCs w:val="20"/>
              </w:rPr>
              <w:t xml:space="preserve"> our</w:t>
            </w:r>
            <w:r w:rsidR="00101EF0" w:rsidRPr="00517B5F">
              <w:rPr>
                <w:rFonts w:cs="Arial"/>
                <w:szCs w:val="20"/>
              </w:rPr>
              <w:t xml:space="preserve"> regulatory framework and identify issue areas, such as outdated requirements.</w:t>
            </w:r>
          </w:p>
        </w:tc>
      </w:tr>
      <w:bookmarkEnd w:id="14"/>
      <w:bookmarkEnd w:id="15"/>
    </w:tbl>
    <w:p w14:paraId="7649053B" w14:textId="77777777" w:rsidR="003B3991" w:rsidRDefault="003B3991" w:rsidP="003B3991">
      <w:pPr>
        <w:pStyle w:val="Paragraph"/>
      </w:pPr>
    </w:p>
    <w:p w14:paraId="6A5A93BB" w14:textId="77777777" w:rsidR="003B3991" w:rsidRPr="008B03F6" w:rsidRDefault="003B3991" w:rsidP="00184E24">
      <w:pPr>
        <w:pStyle w:val="Heading2"/>
        <w:keepLines/>
      </w:pPr>
      <w:bookmarkStart w:id="35" w:name="_Toc67489167"/>
      <w:bookmarkStart w:id="36" w:name="_Toc73683740"/>
      <w:r w:rsidRPr="008B03F6">
        <w:t>Next steps</w:t>
      </w:r>
      <w:bookmarkEnd w:id="35"/>
      <w:bookmarkEnd w:id="36"/>
    </w:p>
    <w:p w14:paraId="2FE24AF8" w14:textId="5D468307" w:rsidR="003B3991" w:rsidRDefault="000D3575" w:rsidP="00184E24">
      <w:pPr>
        <w:pStyle w:val="Paragraph"/>
        <w:keepNext/>
        <w:keepLines/>
      </w:pPr>
      <w:r>
        <w:t xml:space="preserve">We </w:t>
      </w:r>
      <w:r w:rsidR="003B3991">
        <w:t xml:space="preserve">will continue to monitor developments relating to natural </w:t>
      </w:r>
      <w:r w:rsidR="00BA637A">
        <w:t>language processing</w:t>
      </w:r>
      <w:r w:rsidR="003B3991">
        <w:t xml:space="preserve">. </w:t>
      </w:r>
    </w:p>
    <w:p w14:paraId="4AF6B9F7" w14:textId="08C73A1D" w:rsidR="003B3991" w:rsidRPr="008E070F" w:rsidRDefault="003B3991" w:rsidP="00184E24">
      <w:pPr>
        <w:keepNext/>
        <w:keepLines/>
      </w:pPr>
      <w:r>
        <w:t xml:space="preserve">Feedback on this paper is welcome and can be </w:t>
      </w:r>
      <w:r w:rsidR="000D3575">
        <w:t xml:space="preserve">emailed </w:t>
      </w:r>
      <w:r>
        <w:t xml:space="preserve">to </w:t>
      </w:r>
      <w:hyperlink r:id="rId87" w:history="1">
        <w:r w:rsidRPr="00F03F33">
          <w:rPr>
            <w:rStyle w:val="Hyperlink"/>
          </w:rPr>
          <w:t>regfutu</w:t>
        </w:r>
        <w:r w:rsidR="004D1BB7">
          <w:rPr>
            <w:rStyle w:val="Hyperlink"/>
          </w:rPr>
          <w:t>t</w:t>
        </w:r>
        <w:r w:rsidRPr="00F03F33">
          <w:rPr>
            <w:rStyle w:val="Hyperlink"/>
          </w:rPr>
          <w:t>res@acma.gov.au</w:t>
        </w:r>
      </w:hyperlink>
      <w:r>
        <w:t xml:space="preserve">. </w:t>
      </w:r>
    </w:p>
    <w:sectPr w:rsidR="003B3991" w:rsidRPr="008E070F" w:rsidSect="00201A16">
      <w:headerReference w:type="even" r:id="rId88"/>
      <w:headerReference w:type="default" r:id="rId89"/>
      <w:footerReference w:type="even" r:id="rId90"/>
      <w:footerReference w:type="default" r:id="rId91"/>
      <w:pgSz w:w="11906" w:h="16838" w:code="9"/>
      <w:pgMar w:top="1701" w:right="3101" w:bottom="426"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44DC" w14:textId="77777777" w:rsidR="00985886" w:rsidRDefault="00985886">
      <w:r>
        <w:separator/>
      </w:r>
    </w:p>
  </w:endnote>
  <w:endnote w:type="continuationSeparator" w:id="0">
    <w:p w14:paraId="70427CC9" w14:textId="77777777" w:rsidR="00985886" w:rsidRDefault="00985886">
      <w:r>
        <w:continuationSeparator/>
      </w:r>
    </w:p>
  </w:endnote>
  <w:endnote w:type="continuationNotice" w:id="1">
    <w:p w14:paraId="1D7802B3" w14:textId="77777777" w:rsidR="00985886" w:rsidRDefault="00985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Light">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1793" w14:textId="77777777" w:rsidR="000C2DFC" w:rsidRDefault="000C2DFC" w:rsidP="005E250B">
    <w:pPr>
      <w:pStyle w:val="Footer"/>
      <w:jc w:val="right"/>
    </w:pPr>
    <w:r>
      <w:rPr>
        <w:noProof/>
      </w:rPr>
      <w:drawing>
        <wp:inline distT="0" distB="0" distL="0" distR="0" wp14:anchorId="1149BFF4" wp14:editId="7134E372">
          <wp:extent cx="1066800" cy="277368"/>
          <wp:effectExtent l="0" t="0" r="0" b="0"/>
          <wp:docPr id="15" name="Picture 1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
                    <a:extLst>
                      <a:ext uri="{28A0092B-C50C-407E-A947-70E740481C1C}">
                        <a14:useLocalDpi xmlns:a14="http://schemas.microsoft.com/office/drawing/2010/main" val="0"/>
                      </a:ext>
                    </a:extLst>
                  </a:blip>
                  <a:stretch>
                    <a:fillRect/>
                  </a:stretch>
                </pic:blipFill>
                <pic:spPr>
                  <a:xfrm>
                    <a:off x="0" y="0"/>
                    <a:ext cx="1066800" cy="2773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CE6F" w14:textId="77777777" w:rsidR="000C2DFC" w:rsidRDefault="000C2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56E6" w14:textId="77777777" w:rsidR="000C2DFC" w:rsidRDefault="000C2D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5780" w14:textId="77777777" w:rsidR="000C2DFC" w:rsidRPr="00622A3B" w:rsidRDefault="000C2DFC"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iv</w:t>
    </w:r>
    <w:r w:rsidRPr="002E4DDC">
      <w:rPr>
        <w:color w:val="505050"/>
      </w:rPr>
      <w:fldChar w:fldCharType="end"/>
    </w:r>
  </w:p>
  <w:p w14:paraId="63209A0C" w14:textId="77777777" w:rsidR="000C2DFC" w:rsidRPr="00A5474E" w:rsidRDefault="000C2DFC"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BCBD" w14:textId="77777777" w:rsidR="000C2DFC" w:rsidRPr="00622A3B" w:rsidRDefault="000C2DFC"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v</w:t>
    </w:r>
    <w:r w:rsidRPr="002E4DDC">
      <w:rPr>
        <w:color w:val="505050"/>
      </w:rPr>
      <w:fldChar w:fldCharType="end"/>
    </w:r>
  </w:p>
  <w:p w14:paraId="612A8B3B" w14:textId="77777777" w:rsidR="000C2DFC" w:rsidRPr="00A5474E" w:rsidRDefault="000C2DFC"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120B" w14:textId="77777777" w:rsidR="000C2DFC" w:rsidRPr="00622A3B" w:rsidRDefault="000C2DFC"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Pr>
        <w:noProof/>
        <w:color w:val="505050"/>
      </w:rPr>
      <w:t>iii</w:t>
    </w:r>
    <w:r w:rsidRPr="002E4DDC">
      <w:rPr>
        <w:color w:val="505050"/>
      </w:rPr>
      <w:fldChar w:fldCharType="end"/>
    </w:r>
  </w:p>
  <w:p w14:paraId="742BE8CA" w14:textId="77777777" w:rsidR="000C2DFC" w:rsidRPr="00A5474E" w:rsidRDefault="000C2DFC"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9144" w14:textId="77777777" w:rsidR="000C2DFC" w:rsidRPr="00622A3B" w:rsidRDefault="000C2DFC"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1241CFAC" w14:textId="77777777" w:rsidR="000C2DFC" w:rsidRPr="00A5474E" w:rsidRDefault="000C2DFC"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58AE" w14:textId="77777777" w:rsidR="000C2DFC" w:rsidRPr="00622A3B" w:rsidRDefault="000C2DFC"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1</w:t>
    </w:r>
    <w:r w:rsidRPr="00575AC5">
      <w:rPr>
        <w:color w:val="505050"/>
      </w:rPr>
      <w:fldChar w:fldCharType="end"/>
    </w:r>
  </w:p>
  <w:p w14:paraId="68AEB47F" w14:textId="77777777" w:rsidR="000C2DFC" w:rsidRPr="00A5474E" w:rsidRDefault="000C2DFC"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C159" w14:textId="77777777" w:rsidR="00985886" w:rsidRDefault="00985886" w:rsidP="00227ED3">
      <w:pPr>
        <w:spacing w:after="0"/>
      </w:pPr>
      <w:r>
        <w:separator/>
      </w:r>
    </w:p>
  </w:footnote>
  <w:footnote w:type="continuationSeparator" w:id="0">
    <w:p w14:paraId="7FFD6E17" w14:textId="77777777" w:rsidR="00985886" w:rsidRDefault="00985886">
      <w:r>
        <w:continuationSeparator/>
      </w:r>
    </w:p>
  </w:footnote>
  <w:footnote w:type="continuationNotice" w:id="1">
    <w:p w14:paraId="0AB1EDB4" w14:textId="77777777" w:rsidR="00985886" w:rsidRDefault="00985886">
      <w:pPr>
        <w:spacing w:after="0" w:line="240" w:lineRule="auto"/>
      </w:pPr>
    </w:p>
  </w:footnote>
  <w:footnote w:id="2">
    <w:p w14:paraId="64A31A94" w14:textId="21FC22AA" w:rsidR="000C2DFC" w:rsidRDefault="000C2DFC" w:rsidP="00201A16">
      <w:pPr>
        <w:pStyle w:val="FootnoteText"/>
        <w:ind w:right="-1968"/>
      </w:pPr>
      <w:r>
        <w:rPr>
          <w:rStyle w:val="FootnoteReference"/>
        </w:rPr>
        <w:footnoteRef/>
      </w:r>
      <w:r>
        <w:t xml:space="preserve"> Y Wijeratne, N de Silva and Y </w:t>
      </w:r>
      <w:proofErr w:type="spellStart"/>
      <w:r>
        <w:t>Shanmugarajah</w:t>
      </w:r>
      <w:proofErr w:type="spellEnd"/>
      <w:r>
        <w:t xml:space="preserve">, </w:t>
      </w:r>
      <w:hyperlink r:id="rId1" w:history="1">
        <w:r w:rsidRPr="00864033">
          <w:rPr>
            <w:rStyle w:val="Hyperlink"/>
            <w:i/>
            <w:iCs/>
          </w:rPr>
          <w:t>Natural Language Processing for Government: Problems and Potential</w:t>
        </w:r>
      </w:hyperlink>
      <w:r>
        <w:t xml:space="preserve">, </w:t>
      </w:r>
      <w:proofErr w:type="spellStart"/>
      <w:r>
        <w:t>LIRNEasia</w:t>
      </w:r>
      <w:proofErr w:type="spellEnd"/>
      <w:r>
        <w:t xml:space="preserve"> website, 24 April 2019, accessed 25 May 2021, p. 1.</w:t>
      </w:r>
    </w:p>
  </w:footnote>
  <w:footnote w:id="3">
    <w:p w14:paraId="603F7D0D" w14:textId="58E5EA1A" w:rsidR="000C2DFC" w:rsidRPr="002F01EF" w:rsidRDefault="000C2DFC" w:rsidP="00201A16">
      <w:pPr>
        <w:pStyle w:val="FootnoteText"/>
        <w:ind w:right="-1968"/>
      </w:pPr>
      <w:r>
        <w:rPr>
          <w:rStyle w:val="FootnoteReference"/>
        </w:rPr>
        <w:footnoteRef/>
      </w:r>
      <w:r>
        <w:t xml:space="preserve"> ‘Natural language understanding’ is a subfield of NLP that describes the components of machines designed to comprehend human language inputs. Accenture, </w:t>
      </w:r>
      <w:hyperlink r:id="rId2" w:history="1">
        <w:r w:rsidRPr="002F01EF">
          <w:rPr>
            <w:rStyle w:val="Hyperlink"/>
            <w:i/>
            <w:iCs/>
          </w:rPr>
          <w:t xml:space="preserve">The Applied Intelligence </w:t>
        </w:r>
        <w:r>
          <w:rPr>
            <w:rStyle w:val="Hyperlink"/>
            <w:i/>
            <w:iCs/>
          </w:rPr>
          <w:t>g</w:t>
        </w:r>
        <w:r w:rsidRPr="002F01EF">
          <w:rPr>
            <w:rStyle w:val="Hyperlink"/>
            <w:i/>
            <w:iCs/>
          </w:rPr>
          <w:t>lossary</w:t>
        </w:r>
      </w:hyperlink>
      <w:r>
        <w:t>, Accenture website, n.d., accessed 14 January 2021.</w:t>
      </w:r>
    </w:p>
  </w:footnote>
  <w:footnote w:id="4">
    <w:p w14:paraId="7EAD3B07" w14:textId="4ADF7CDB" w:rsidR="000C2DFC" w:rsidRDefault="000C2DFC" w:rsidP="00201A16">
      <w:pPr>
        <w:pStyle w:val="FootnoteText"/>
        <w:ind w:right="-1968"/>
      </w:pPr>
      <w:r>
        <w:rPr>
          <w:rStyle w:val="FootnoteReference"/>
        </w:rPr>
        <w:footnoteRef/>
      </w:r>
      <w:r>
        <w:t xml:space="preserve"> P M </w:t>
      </w:r>
      <w:r w:rsidRPr="00BF5D0B">
        <w:t xml:space="preserve">Nadkarni, </w:t>
      </w:r>
      <w:r>
        <w:t xml:space="preserve">L </w:t>
      </w:r>
      <w:r w:rsidRPr="00BF5D0B">
        <w:t>Ohno-Machado</w:t>
      </w:r>
      <w:r>
        <w:t xml:space="preserve"> and W </w:t>
      </w:r>
      <w:r w:rsidRPr="00BF5D0B">
        <w:t>Chapman</w:t>
      </w:r>
      <w:r>
        <w:t xml:space="preserve">, </w:t>
      </w:r>
      <w:hyperlink r:id="rId3" w:history="1">
        <w:r w:rsidRPr="00534BB8">
          <w:rPr>
            <w:rStyle w:val="Hyperlink"/>
            <w:i/>
            <w:iCs/>
          </w:rPr>
          <w:t>Natural language processing: an introduction</w:t>
        </w:r>
      </w:hyperlink>
      <w:r>
        <w:t>, Journal of the American Medical Informatics Association, Sep</w:t>
      </w:r>
      <w:r>
        <w:softHyphen/>
        <w:t xml:space="preserve">–Oct </w:t>
      </w:r>
      <w:r w:rsidRPr="00534BB8">
        <w:rPr>
          <w:u w:color="0000FF"/>
        </w:rPr>
        <w:t>2011</w:t>
      </w:r>
      <w:r>
        <w:rPr>
          <w:u w:color="0000FF"/>
        </w:rPr>
        <w:t xml:space="preserve">, 18(5): </w:t>
      </w:r>
      <w:r>
        <w:t xml:space="preserve">545.  </w:t>
      </w:r>
    </w:p>
  </w:footnote>
  <w:footnote w:id="5">
    <w:p w14:paraId="56BE7D8B" w14:textId="529C6571" w:rsidR="000C2DFC" w:rsidRPr="008B3FFE" w:rsidRDefault="000C2DFC" w:rsidP="00201A16">
      <w:pPr>
        <w:pStyle w:val="FootnoteText"/>
        <w:ind w:right="-1968"/>
      </w:pPr>
      <w:r>
        <w:rPr>
          <w:rStyle w:val="FootnoteReference"/>
        </w:rPr>
        <w:footnoteRef/>
      </w:r>
      <w:r>
        <w:t xml:space="preserve"> ‘Deep learning’ describes </w:t>
      </w:r>
      <w:r w:rsidRPr="00CA289B">
        <w:t xml:space="preserve">a machine learning methodology where a system </w:t>
      </w:r>
      <w:r>
        <w:t xml:space="preserve">learns via a ‘neural network’, which is an architecture modelled on the </w:t>
      </w:r>
      <w:r w:rsidRPr="00031289">
        <w:t xml:space="preserve">human brain </w:t>
      </w:r>
      <w:r>
        <w:t>consisting</w:t>
      </w:r>
      <w:r w:rsidRPr="00031289">
        <w:t xml:space="preserve"> of thousands or even millions of simple processing nodes that are densely interconnected.</w:t>
      </w:r>
      <w:r>
        <w:t xml:space="preserve"> Hardesty L, </w:t>
      </w:r>
      <w:hyperlink r:id="rId4" w:history="1">
        <w:r w:rsidRPr="008B3FFE">
          <w:rPr>
            <w:rStyle w:val="Hyperlink"/>
            <w:i/>
            <w:iCs/>
          </w:rPr>
          <w:t>Explained: Neural networks</w:t>
        </w:r>
      </w:hyperlink>
      <w:r>
        <w:t>, Massachusetts Institute of Technology website, 14 April 2017, accessed 25 May 2021.</w:t>
      </w:r>
    </w:p>
  </w:footnote>
  <w:footnote w:id="6">
    <w:p w14:paraId="64E31D07" w14:textId="035D7AA3" w:rsidR="000C2DFC" w:rsidRDefault="000C2DFC" w:rsidP="00201A16">
      <w:pPr>
        <w:pStyle w:val="FootnoteText"/>
        <w:ind w:right="-1968"/>
      </w:pPr>
      <w:r>
        <w:rPr>
          <w:rStyle w:val="FootnoteReference"/>
        </w:rPr>
        <w:footnoteRef/>
      </w:r>
      <w:r>
        <w:t xml:space="preserve"> </w:t>
      </w:r>
      <w:r w:rsidRPr="00734435">
        <w:t>Organisation for Economic Cooperation and Development</w:t>
      </w:r>
      <w:r>
        <w:t xml:space="preserve">, </w:t>
      </w:r>
      <w:hyperlink r:id="rId5" w:history="1">
        <w:r w:rsidRPr="008B04D5">
          <w:rPr>
            <w:rStyle w:val="Hyperlink"/>
            <w:i/>
            <w:iCs/>
          </w:rPr>
          <w:t xml:space="preserve">Artificial </w:t>
        </w:r>
        <w:r>
          <w:rPr>
            <w:rStyle w:val="Hyperlink"/>
            <w:i/>
            <w:iCs/>
          </w:rPr>
          <w:t>I</w:t>
        </w:r>
        <w:r w:rsidRPr="008B04D5">
          <w:rPr>
            <w:rStyle w:val="Hyperlink"/>
            <w:i/>
            <w:iCs/>
          </w:rPr>
          <w:t xml:space="preserve">ntelligence in </w:t>
        </w:r>
        <w:r>
          <w:rPr>
            <w:rStyle w:val="Hyperlink"/>
            <w:i/>
            <w:iCs/>
          </w:rPr>
          <w:t>S</w:t>
        </w:r>
        <w:r w:rsidRPr="008B04D5">
          <w:rPr>
            <w:rStyle w:val="Hyperlink"/>
            <w:i/>
            <w:iCs/>
          </w:rPr>
          <w:t>ociety</w:t>
        </w:r>
      </w:hyperlink>
      <w:r>
        <w:t>, OECD website, 11 June 2019, accessed 25 May 2021, p. 1.</w:t>
      </w:r>
    </w:p>
  </w:footnote>
  <w:footnote w:id="7">
    <w:p w14:paraId="77DD8615" w14:textId="286D5B61" w:rsidR="000C2DFC" w:rsidRDefault="000C2DFC" w:rsidP="00203FDA">
      <w:pPr>
        <w:pStyle w:val="FootnoteText"/>
        <w:spacing w:after="0"/>
        <w:ind w:right="-1968"/>
      </w:pPr>
      <w:r>
        <w:rPr>
          <w:rStyle w:val="FootnoteReference"/>
        </w:rPr>
        <w:footnoteRef/>
      </w:r>
      <w:r>
        <w:t xml:space="preserve"> C </w:t>
      </w:r>
      <w:proofErr w:type="spellStart"/>
      <w:r w:rsidRPr="00C833A4">
        <w:t>Meserole</w:t>
      </w:r>
      <w:proofErr w:type="spellEnd"/>
      <w:r>
        <w:t xml:space="preserve">, </w:t>
      </w:r>
      <w:hyperlink r:id="rId6" w:history="1">
        <w:r w:rsidRPr="001935A0">
          <w:rPr>
            <w:rStyle w:val="Hyperlink"/>
            <w:i/>
            <w:iCs/>
          </w:rPr>
          <w:t>What is machine learning?</w:t>
        </w:r>
      </w:hyperlink>
      <w:r>
        <w:t>, Brookings website, 4 October 2018, accessed 25 May 2021.</w:t>
      </w:r>
    </w:p>
  </w:footnote>
  <w:footnote w:id="8">
    <w:p w14:paraId="338EE5AE" w14:textId="020D6E27" w:rsidR="000C2DFC" w:rsidRPr="006D1C0D" w:rsidRDefault="000C2DFC" w:rsidP="00E55035">
      <w:pPr>
        <w:spacing w:after="0"/>
        <w:rPr>
          <w:rFonts w:cs="Arial"/>
          <w:sz w:val="16"/>
          <w:szCs w:val="16"/>
        </w:rPr>
      </w:pPr>
      <w:r w:rsidRPr="006D1C0D">
        <w:rPr>
          <w:rStyle w:val="FootnoteReference"/>
          <w:sz w:val="16"/>
          <w:szCs w:val="16"/>
        </w:rPr>
        <w:footnoteRef/>
      </w:r>
      <w:r w:rsidRPr="006D1C0D">
        <w:rPr>
          <w:sz w:val="16"/>
          <w:szCs w:val="16"/>
        </w:rPr>
        <w:t xml:space="preserve"> Statista,</w:t>
      </w:r>
      <w:r>
        <w:t xml:space="preserve"> </w:t>
      </w:r>
      <w:hyperlink r:id="rId7" w:history="1">
        <w:r w:rsidRPr="006D1C0D">
          <w:rPr>
            <w:rStyle w:val="Hyperlink"/>
            <w:rFonts w:cs="Arial"/>
            <w:i/>
            <w:iCs/>
            <w:sz w:val="16"/>
            <w:szCs w:val="16"/>
            <w:shd w:val="clear" w:color="auto" w:fill="FFFFFF"/>
          </w:rPr>
          <w:t>Revenues from the natural language processing (NLP) market worldwide from 2017 to 2025</w:t>
        </w:r>
      </w:hyperlink>
      <w:r>
        <w:rPr>
          <w:rFonts w:cs="Arial"/>
          <w:color w:val="0F2741"/>
          <w:sz w:val="16"/>
          <w:szCs w:val="16"/>
          <w:shd w:val="clear" w:color="auto" w:fill="FFFFFF"/>
        </w:rPr>
        <w:t>, Statista website, 8 June 2020, accessed 25 May 2021.</w:t>
      </w:r>
    </w:p>
  </w:footnote>
  <w:footnote w:id="9">
    <w:p w14:paraId="07176CD5" w14:textId="693DC596" w:rsidR="000C2DFC" w:rsidRPr="005A7BC9" w:rsidRDefault="000C2DFC" w:rsidP="006D1C0D">
      <w:pPr>
        <w:pStyle w:val="FootnoteText"/>
      </w:pPr>
      <w:r>
        <w:rPr>
          <w:rStyle w:val="FootnoteReference"/>
        </w:rPr>
        <w:footnoteRef/>
      </w:r>
      <w:r>
        <w:t xml:space="preserve"> Fortune Business Insights, </w:t>
      </w:r>
      <w:hyperlink r:id="rId8" w:history="1">
        <w:r w:rsidRPr="005A7BC9">
          <w:rPr>
            <w:rStyle w:val="Hyperlink"/>
            <w:i/>
            <w:iCs/>
          </w:rPr>
          <w:t xml:space="preserve">Natural </w:t>
        </w:r>
        <w:r>
          <w:rPr>
            <w:rStyle w:val="Hyperlink"/>
            <w:i/>
            <w:iCs/>
          </w:rPr>
          <w:t>L</w:t>
        </w:r>
        <w:r w:rsidRPr="005A7BC9">
          <w:rPr>
            <w:rStyle w:val="Hyperlink"/>
            <w:i/>
            <w:iCs/>
          </w:rPr>
          <w:t xml:space="preserve">anguage </w:t>
        </w:r>
        <w:r>
          <w:rPr>
            <w:rStyle w:val="Hyperlink"/>
            <w:i/>
            <w:iCs/>
          </w:rPr>
          <w:t>P</w:t>
        </w:r>
        <w:r w:rsidRPr="005A7BC9">
          <w:rPr>
            <w:rStyle w:val="Hyperlink"/>
            <w:i/>
            <w:iCs/>
          </w:rPr>
          <w:t xml:space="preserve">rocessing (NLP) </w:t>
        </w:r>
        <w:r>
          <w:rPr>
            <w:rStyle w:val="Hyperlink"/>
            <w:i/>
            <w:iCs/>
          </w:rPr>
          <w:t>M</w:t>
        </w:r>
        <w:r w:rsidRPr="005A7BC9">
          <w:rPr>
            <w:rStyle w:val="Hyperlink"/>
            <w:i/>
            <w:iCs/>
          </w:rPr>
          <w:t>arket</w:t>
        </w:r>
      </w:hyperlink>
      <w:r>
        <w:rPr>
          <w:i/>
          <w:iCs/>
        </w:rPr>
        <w:t xml:space="preserve">, </w:t>
      </w:r>
      <w:r w:rsidRPr="00D849C9">
        <w:t>Fortune Business insights website, January 2020,</w:t>
      </w:r>
      <w:r>
        <w:rPr>
          <w:i/>
          <w:iCs/>
        </w:rPr>
        <w:t xml:space="preserve"> </w:t>
      </w:r>
      <w:r>
        <w:t>accessed 15 April 2021.</w:t>
      </w:r>
    </w:p>
  </w:footnote>
  <w:footnote w:id="10">
    <w:p w14:paraId="1B297F3B" w14:textId="58477534" w:rsidR="000C2DFC" w:rsidRPr="00031CC9" w:rsidRDefault="000C2DFC">
      <w:pPr>
        <w:pStyle w:val="FootnoteText"/>
      </w:pPr>
      <w:r>
        <w:rPr>
          <w:rStyle w:val="FootnoteReference"/>
        </w:rPr>
        <w:footnoteRef/>
      </w:r>
      <w:r>
        <w:t xml:space="preserve"> Telstra, </w:t>
      </w:r>
      <w:hyperlink r:id="rId9" w:history="1">
        <w:r w:rsidRPr="00833D81">
          <w:rPr>
            <w:rStyle w:val="Hyperlink"/>
            <w:i/>
            <w:iCs/>
          </w:rPr>
          <w:t>Need help? Send us a message</w:t>
        </w:r>
      </w:hyperlink>
      <w:r w:rsidRPr="00833D81">
        <w:t xml:space="preserve">, accessed </w:t>
      </w:r>
      <w:r>
        <w:t>25 May 2021.</w:t>
      </w:r>
    </w:p>
  </w:footnote>
  <w:footnote w:id="11">
    <w:p w14:paraId="2167E868" w14:textId="1EB6E923" w:rsidR="000C2DFC" w:rsidRPr="00BF2957" w:rsidRDefault="000C2DFC">
      <w:pPr>
        <w:pStyle w:val="FootnoteText"/>
      </w:pPr>
      <w:r>
        <w:rPr>
          <w:rStyle w:val="FootnoteReference"/>
        </w:rPr>
        <w:footnoteRef/>
      </w:r>
      <w:r>
        <w:t xml:space="preserve"> Optus, </w:t>
      </w:r>
      <w:hyperlink r:id="rId10" w:history="1">
        <w:r w:rsidRPr="00833D81">
          <w:rPr>
            <w:rStyle w:val="Hyperlink"/>
            <w:rFonts w:cs="Arial"/>
            <w:i/>
            <w:iCs/>
            <w:spacing w:val="2"/>
            <w:shd w:val="clear" w:color="auto" w:fill="FFFFFF"/>
          </w:rPr>
          <w:t>Optus Assistant Chatbot surpasses 2 million conversations</w:t>
        </w:r>
      </w:hyperlink>
      <w:r w:rsidRPr="00833D81">
        <w:rPr>
          <w:rStyle w:val="Hyperlink"/>
          <w:rFonts w:cs="Arial"/>
          <w:color w:val="auto"/>
          <w:spacing w:val="2"/>
          <w:u w:val="none"/>
          <w:shd w:val="clear" w:color="auto" w:fill="FFFFFF"/>
        </w:rPr>
        <w:t xml:space="preserve"> [media release], </w:t>
      </w:r>
      <w:r w:rsidRPr="00833D81">
        <w:rPr>
          <w:rFonts w:cs="Arial"/>
          <w:color w:val="000000"/>
          <w:spacing w:val="2"/>
          <w:shd w:val="clear" w:color="auto" w:fill="FFFFFF"/>
        </w:rPr>
        <w:t>31</w:t>
      </w:r>
      <w:r>
        <w:rPr>
          <w:rFonts w:cs="Arial"/>
          <w:color w:val="000000"/>
          <w:spacing w:val="2"/>
          <w:shd w:val="clear" w:color="auto" w:fill="FFFFFF"/>
        </w:rPr>
        <w:t xml:space="preserve"> July 2020, accessed 25 May 2021.</w:t>
      </w:r>
    </w:p>
  </w:footnote>
  <w:footnote w:id="12">
    <w:p w14:paraId="5B0DD8F5" w14:textId="6A1AA68C" w:rsidR="000C2DFC" w:rsidRDefault="000C2DFC">
      <w:pPr>
        <w:pStyle w:val="FootnoteText"/>
      </w:pPr>
      <w:r>
        <w:rPr>
          <w:rStyle w:val="FootnoteReference"/>
        </w:rPr>
        <w:footnoteRef/>
      </w:r>
      <w:r>
        <w:t xml:space="preserve"> R Kruger and M </w:t>
      </w:r>
      <w:proofErr w:type="spellStart"/>
      <w:r>
        <w:t>Niva</w:t>
      </w:r>
      <w:proofErr w:type="spellEnd"/>
      <w:r>
        <w:t xml:space="preserve">, </w:t>
      </w:r>
      <w:hyperlink r:id="rId11" w:history="1">
        <w:r w:rsidRPr="00981BD3">
          <w:rPr>
            <w:rStyle w:val="Hyperlink"/>
            <w:i/>
            <w:iCs/>
          </w:rPr>
          <w:t>Vodafone launches Artificial Intelligence framework</w:t>
        </w:r>
      </w:hyperlink>
      <w:r>
        <w:t>, Vodafone website, 11 July 2019, accessed 25 May 2021.</w:t>
      </w:r>
    </w:p>
  </w:footnote>
  <w:footnote w:id="13">
    <w:p w14:paraId="6E4E29AC" w14:textId="5ECB0355" w:rsidR="000C2DFC" w:rsidRDefault="000C2DFC" w:rsidP="00203FDA">
      <w:pPr>
        <w:pStyle w:val="FootnoteText"/>
        <w:spacing w:after="0"/>
      </w:pPr>
      <w:r>
        <w:rPr>
          <w:rStyle w:val="FootnoteReference"/>
        </w:rPr>
        <w:footnoteRef/>
      </w:r>
      <w:r>
        <w:t xml:space="preserve"> Vodafone, </w:t>
      </w:r>
      <w:hyperlink r:id="rId12" w:history="1">
        <w:r w:rsidRPr="00981BD3">
          <w:rPr>
            <w:rStyle w:val="Hyperlink"/>
            <w:i/>
            <w:iCs/>
          </w:rPr>
          <w:t xml:space="preserve">Say hi to </w:t>
        </w:r>
        <w:proofErr w:type="spellStart"/>
        <w:r w:rsidRPr="00981BD3">
          <w:rPr>
            <w:rStyle w:val="Hyperlink"/>
            <w:i/>
            <w:iCs/>
          </w:rPr>
          <w:t>TOBi</w:t>
        </w:r>
        <w:proofErr w:type="spellEnd"/>
      </w:hyperlink>
      <w:r>
        <w:t xml:space="preserve">, Vodafone website, </w:t>
      </w:r>
      <w:r w:rsidRPr="00203FDA">
        <w:t>n.d.,</w:t>
      </w:r>
      <w:r>
        <w:t xml:space="preserve"> accessed 15 April 2021. </w:t>
      </w:r>
    </w:p>
  </w:footnote>
  <w:footnote w:id="14">
    <w:p w14:paraId="79C6045D" w14:textId="1458A6D7" w:rsidR="000C2DFC" w:rsidRPr="0096097D" w:rsidRDefault="000C2DFC" w:rsidP="00D849C9">
      <w:pPr>
        <w:pStyle w:val="FootnoteText"/>
      </w:pPr>
      <w:r w:rsidRPr="00BF15D9">
        <w:rPr>
          <w:rStyle w:val="FootnoteReference"/>
        </w:rPr>
        <w:footnoteRef/>
      </w:r>
      <w:r w:rsidRPr="00BF15D9">
        <w:t xml:space="preserve"> </w:t>
      </w:r>
      <w:r w:rsidRPr="00203FDA">
        <w:t>Facebook</w:t>
      </w:r>
      <w:r>
        <w:t xml:space="preserve"> AI</w:t>
      </w:r>
      <w:r w:rsidRPr="00BF15D9">
        <w:t xml:space="preserve">, </w:t>
      </w:r>
      <w:hyperlink r:id="rId13" w:history="1">
        <w:r w:rsidRPr="00BF15D9">
          <w:rPr>
            <w:rStyle w:val="Hyperlink"/>
            <w:bCs/>
            <w:i/>
            <w:iCs/>
            <w:spacing w:val="-1"/>
            <w:kern w:val="36"/>
          </w:rPr>
          <w:t>Here's how we're using AI to help detect misinformation</w:t>
        </w:r>
      </w:hyperlink>
      <w:r>
        <w:rPr>
          <w:bCs/>
          <w:color w:val="344854"/>
          <w:spacing w:val="-1"/>
          <w:kern w:val="36"/>
        </w:rPr>
        <w:t xml:space="preserve">, </w:t>
      </w:r>
      <w:r w:rsidRPr="00D849C9">
        <w:rPr>
          <w:bCs/>
          <w:spacing w:val="-1"/>
          <w:kern w:val="36"/>
        </w:rPr>
        <w:t xml:space="preserve">Facebook AI website, </w:t>
      </w:r>
      <w:r w:rsidRPr="00D849C9">
        <w:rPr>
          <w:spacing w:val="-1"/>
          <w:kern w:val="36"/>
        </w:rPr>
        <w:t>19 November 2020</w:t>
      </w:r>
      <w:r>
        <w:rPr>
          <w:spacing w:val="-1"/>
          <w:kern w:val="36"/>
        </w:rPr>
        <w:t>, accessed 25 May 2021</w:t>
      </w:r>
      <w:r>
        <w:rPr>
          <w:bCs/>
          <w:spacing w:val="-1"/>
          <w:kern w:val="36"/>
        </w:rPr>
        <w:t>.</w:t>
      </w:r>
    </w:p>
  </w:footnote>
  <w:footnote w:id="15">
    <w:p w14:paraId="3CFE782A" w14:textId="584AEB58" w:rsidR="000C2DFC" w:rsidRDefault="000C2DFC" w:rsidP="00203FDA">
      <w:pPr>
        <w:pStyle w:val="FootnoteText"/>
      </w:pPr>
      <w:r>
        <w:rPr>
          <w:rStyle w:val="FootnoteReference"/>
        </w:rPr>
        <w:footnoteRef/>
      </w:r>
      <w:r>
        <w:t xml:space="preserve"> Netflix, </w:t>
      </w:r>
      <w:hyperlink r:id="rId14" w:history="1">
        <w:r w:rsidRPr="00BF15D9">
          <w:rPr>
            <w:rStyle w:val="Hyperlink"/>
            <w:i/>
            <w:iCs/>
          </w:rPr>
          <w:t xml:space="preserve">How Netflix’s Recommendations </w:t>
        </w:r>
        <w:r>
          <w:rPr>
            <w:rStyle w:val="Hyperlink"/>
            <w:i/>
            <w:iCs/>
          </w:rPr>
          <w:t>S</w:t>
        </w:r>
        <w:r w:rsidRPr="00BF15D9">
          <w:rPr>
            <w:rStyle w:val="Hyperlink"/>
            <w:i/>
            <w:iCs/>
          </w:rPr>
          <w:t xml:space="preserve">ystem </w:t>
        </w:r>
        <w:r>
          <w:rPr>
            <w:rStyle w:val="Hyperlink"/>
            <w:i/>
            <w:iCs/>
          </w:rPr>
          <w:t>W</w:t>
        </w:r>
        <w:r w:rsidRPr="00BF15D9">
          <w:rPr>
            <w:rStyle w:val="Hyperlink"/>
            <w:i/>
            <w:iCs/>
          </w:rPr>
          <w:t>ork</w:t>
        </w:r>
        <w:r w:rsidRPr="00F4074B">
          <w:rPr>
            <w:rStyle w:val="Hyperlink"/>
          </w:rPr>
          <w:t>s</w:t>
        </w:r>
      </w:hyperlink>
      <w:r>
        <w:t xml:space="preserve">, Netflix website, n.d., accessed 15 April 2021; Netflix, </w:t>
      </w:r>
      <w:hyperlink r:id="rId15" w:history="1">
        <w:r w:rsidRPr="00BF15D9">
          <w:rPr>
            <w:rStyle w:val="Hyperlink"/>
            <w:i/>
            <w:iCs/>
          </w:rPr>
          <w:t xml:space="preserve">Personalisation &amp; </w:t>
        </w:r>
        <w:r>
          <w:rPr>
            <w:rStyle w:val="Hyperlink"/>
            <w:i/>
            <w:iCs/>
          </w:rPr>
          <w:t>S</w:t>
        </w:r>
        <w:r w:rsidRPr="00BF15D9">
          <w:rPr>
            <w:rStyle w:val="Hyperlink"/>
            <w:i/>
            <w:iCs/>
          </w:rPr>
          <w:t>earch</w:t>
        </w:r>
      </w:hyperlink>
      <w:r w:rsidRPr="00BF15D9">
        <w:rPr>
          <w:i/>
          <w:iCs/>
        </w:rPr>
        <w:t>,</w:t>
      </w:r>
      <w:r>
        <w:t xml:space="preserve"> Netflix website, n.d., accessed 15 April 2021. </w:t>
      </w:r>
    </w:p>
  </w:footnote>
  <w:footnote w:id="16">
    <w:p w14:paraId="32DF3BF7" w14:textId="7AC5B599" w:rsidR="000C2DFC" w:rsidRDefault="000C2DFC" w:rsidP="00203FDA">
      <w:pPr>
        <w:pStyle w:val="FootnoteText"/>
      </w:pPr>
      <w:r>
        <w:rPr>
          <w:rStyle w:val="FootnoteReference"/>
        </w:rPr>
        <w:footnoteRef/>
      </w:r>
      <w:r>
        <w:t xml:space="preserve"> Adapted from information published in </w:t>
      </w:r>
      <w:proofErr w:type="spellStart"/>
      <w:r>
        <w:t>KDnuggets</w:t>
      </w:r>
      <w:proofErr w:type="spellEnd"/>
      <w:r>
        <w:t xml:space="preserve">, </w:t>
      </w:r>
      <w:hyperlink r:id="rId16" w:history="1">
        <w:r w:rsidRPr="0095757D">
          <w:rPr>
            <w:rStyle w:val="Hyperlink"/>
            <w:i/>
            <w:iCs/>
          </w:rPr>
          <w:t>NLP vs. NLU: from Understanding a Language to Its Processing</w:t>
        </w:r>
      </w:hyperlink>
      <w:r>
        <w:t xml:space="preserve">, </w:t>
      </w:r>
      <w:proofErr w:type="spellStart"/>
      <w:r>
        <w:t>KDnuggets</w:t>
      </w:r>
      <w:proofErr w:type="spellEnd"/>
      <w:r>
        <w:t xml:space="preserve"> website, July 2019, accessed 25 May 2021; SAS, </w:t>
      </w:r>
      <w:hyperlink r:id="rId17" w:anchor="methods" w:history="1">
        <w:r w:rsidRPr="00F12FC2">
          <w:rPr>
            <w:rStyle w:val="Hyperlink"/>
            <w:i/>
            <w:iCs/>
          </w:rPr>
          <w:t>Natural Language Processing (NLP)</w:t>
        </w:r>
        <w:r>
          <w:rPr>
            <w:rStyle w:val="Hyperlink"/>
            <w:i/>
            <w:iCs/>
          </w:rPr>
          <w:t>: W</w:t>
        </w:r>
        <w:r w:rsidRPr="00F12FC2">
          <w:rPr>
            <w:rStyle w:val="Hyperlink"/>
            <w:i/>
            <w:iCs/>
          </w:rPr>
          <w:t>hat it is and why it matters</w:t>
        </w:r>
      </w:hyperlink>
      <w:r>
        <w:t xml:space="preserve">, SAS website, n.d., accessed 14 January 2021; P M </w:t>
      </w:r>
      <w:r w:rsidRPr="00BF5D0B">
        <w:t xml:space="preserve">Nadkarni, </w:t>
      </w:r>
      <w:r>
        <w:t xml:space="preserve">L </w:t>
      </w:r>
      <w:r w:rsidRPr="00BF5D0B">
        <w:t>Ohno-Machado</w:t>
      </w:r>
      <w:r>
        <w:t xml:space="preserve"> and W</w:t>
      </w:r>
      <w:r w:rsidRPr="00BF5D0B">
        <w:t xml:space="preserve"> Chapman</w:t>
      </w:r>
      <w:r>
        <w:t>, ‘</w:t>
      </w:r>
      <w:hyperlink r:id="rId18" w:history="1">
        <w:r w:rsidRPr="00D849C9">
          <w:rPr>
            <w:rStyle w:val="Hyperlink"/>
          </w:rPr>
          <w:t>Natural language processing: an introduction</w:t>
        </w:r>
      </w:hyperlink>
      <w:r w:rsidRPr="00D849C9">
        <w:rPr>
          <w:rStyle w:val="Hyperlink"/>
        </w:rPr>
        <w:t>’</w:t>
      </w:r>
      <w:r>
        <w:t xml:space="preserve">, </w:t>
      </w:r>
      <w:r w:rsidRPr="00D849C9">
        <w:rPr>
          <w:i/>
          <w:iCs/>
        </w:rPr>
        <w:t>Journal of the American Medical Informatics Association</w:t>
      </w:r>
      <w:r>
        <w:t xml:space="preserve">, </w:t>
      </w:r>
      <w:r w:rsidRPr="00534BB8">
        <w:rPr>
          <w:u w:color="0000FF"/>
        </w:rPr>
        <w:t>2011</w:t>
      </w:r>
      <w:r>
        <w:rPr>
          <w:u w:color="0000FF"/>
        </w:rPr>
        <w:t xml:space="preserve">, accessed 25 May 2021; W D Eggers, N Malik and M Gracie, </w:t>
      </w:r>
      <w:hyperlink r:id="rId19" w:history="1">
        <w:r w:rsidRPr="009401CF">
          <w:rPr>
            <w:rStyle w:val="Hyperlink"/>
            <w:i/>
            <w:iCs/>
          </w:rPr>
          <w:t>Using AI to unleash the power of unstructured government data</w:t>
        </w:r>
      </w:hyperlink>
      <w:r>
        <w:rPr>
          <w:u w:color="0000FF"/>
        </w:rPr>
        <w:t>, Deloitte website, 16 January 2019, accessed 25 May 2021.</w:t>
      </w:r>
      <w:r w:rsidRPr="009401CF">
        <w:rPr>
          <w:i/>
          <w:iCs/>
          <w:u w:color="0000FF"/>
        </w:rPr>
        <w:t xml:space="preserve"> </w:t>
      </w:r>
      <w:r w:rsidRPr="009401CF">
        <w:rPr>
          <w:i/>
          <w:iCs/>
        </w:rPr>
        <w:t xml:space="preserve">   </w:t>
      </w:r>
    </w:p>
  </w:footnote>
  <w:footnote w:id="17">
    <w:p w14:paraId="2D444B2E" w14:textId="20155DFF" w:rsidR="000C2DFC" w:rsidRDefault="000C2DFC" w:rsidP="00E841E3">
      <w:pPr>
        <w:pStyle w:val="FootnoteText"/>
        <w:spacing w:after="0"/>
      </w:pPr>
      <w:r>
        <w:rPr>
          <w:rStyle w:val="FootnoteReference"/>
        </w:rPr>
        <w:footnoteRef/>
      </w:r>
      <w:r>
        <w:t xml:space="preserve"> Dale R, </w:t>
      </w:r>
      <w:hyperlink r:id="rId20" w:history="1">
        <w:r w:rsidRPr="00D63BE4">
          <w:rPr>
            <w:rStyle w:val="Hyperlink"/>
            <w:i/>
            <w:iCs/>
          </w:rPr>
          <w:t>NLP commercialisation in the last 25 years</w:t>
        </w:r>
      </w:hyperlink>
      <w:r>
        <w:t>, Cambridge University Press, 15 May 2019, accessed 25 May 2021.</w:t>
      </w:r>
    </w:p>
  </w:footnote>
  <w:footnote w:id="18">
    <w:p w14:paraId="3C37A824" w14:textId="27895F70" w:rsidR="000C2DFC" w:rsidRPr="00151FEE" w:rsidRDefault="000C2DFC" w:rsidP="00101EF0">
      <w:pPr>
        <w:pStyle w:val="FootnoteText"/>
      </w:pPr>
      <w:r>
        <w:rPr>
          <w:rStyle w:val="FootnoteReference"/>
        </w:rPr>
        <w:footnoteRef/>
      </w:r>
      <w:r>
        <w:t xml:space="preserve"> W D </w:t>
      </w:r>
      <w:r>
        <w:rPr>
          <w:u w:color="0000FF"/>
        </w:rPr>
        <w:t xml:space="preserve">Eggers et al., </w:t>
      </w:r>
      <w:hyperlink r:id="rId21" w:history="1">
        <w:r w:rsidRPr="009401CF">
          <w:rPr>
            <w:rStyle w:val="Hyperlink"/>
            <w:i/>
            <w:iCs/>
          </w:rPr>
          <w:t>Using AI to unleash the power of unstructured government data</w:t>
        </w:r>
      </w:hyperlink>
      <w:r>
        <w:rPr>
          <w:u w:color="0000FF"/>
        </w:rPr>
        <w:t>.</w:t>
      </w:r>
    </w:p>
  </w:footnote>
  <w:footnote w:id="19">
    <w:p w14:paraId="3E3A462B" w14:textId="2830FD1B" w:rsidR="000C2DFC" w:rsidRDefault="000C2DFC" w:rsidP="00101EF0">
      <w:pPr>
        <w:pStyle w:val="FootnoteText"/>
      </w:pPr>
      <w:r>
        <w:rPr>
          <w:rStyle w:val="FootnoteReference"/>
        </w:rPr>
        <w:footnoteRef/>
      </w:r>
      <w:r>
        <w:t xml:space="preserve"> </w:t>
      </w:r>
      <w:proofErr w:type="spellStart"/>
      <w:r>
        <w:t>Lexalytics</w:t>
      </w:r>
      <w:proofErr w:type="spellEnd"/>
      <w:r>
        <w:t xml:space="preserve">, </w:t>
      </w:r>
      <w:hyperlink r:id="rId22" w:history="1">
        <w:r>
          <w:rPr>
            <w:rStyle w:val="Hyperlink"/>
            <w:i/>
            <w:iCs/>
          </w:rPr>
          <w:t>Theme Extraction and Context Analysis – White Paper</w:t>
        </w:r>
        <w:r w:rsidRPr="00D849C9">
          <w:rPr>
            <w:rStyle w:val="Hyperlink"/>
          </w:rPr>
          <w:t xml:space="preserve"> [PDF 3.14MB]</w:t>
        </w:r>
      </w:hyperlink>
      <w:r>
        <w:t xml:space="preserve">, </w:t>
      </w:r>
      <w:proofErr w:type="spellStart"/>
      <w:r>
        <w:t>Lexalytics</w:t>
      </w:r>
      <w:proofErr w:type="spellEnd"/>
      <w:r>
        <w:t xml:space="preserve"> website, n.d., accessed 15 April 2021, p. 12.</w:t>
      </w:r>
    </w:p>
  </w:footnote>
  <w:footnote w:id="20">
    <w:p w14:paraId="33C9D5CA" w14:textId="77777777" w:rsidR="000C2DFC" w:rsidRDefault="000C2DFC" w:rsidP="00BB3E89">
      <w:pPr>
        <w:pStyle w:val="FootnoteText"/>
      </w:pPr>
      <w:r>
        <w:rPr>
          <w:rStyle w:val="FootnoteReference"/>
        </w:rPr>
        <w:footnoteRef/>
      </w:r>
      <w:r>
        <w:t xml:space="preserve"> ‘</w:t>
      </w:r>
      <w:proofErr w:type="spellStart"/>
      <w:r>
        <w:t>Lemmenisation</w:t>
      </w:r>
      <w:proofErr w:type="spellEnd"/>
      <w:r>
        <w:t xml:space="preserve">’ refers to </w:t>
      </w:r>
      <w:r w:rsidRPr="00B56196">
        <w:t xml:space="preserve">the process of reducing </w:t>
      </w:r>
      <w:r>
        <w:t xml:space="preserve">inflected </w:t>
      </w:r>
      <w:r w:rsidRPr="00B56196">
        <w:t>forms of a word to one single form</w:t>
      </w:r>
      <w:r>
        <w:t xml:space="preserve"> –</w:t>
      </w:r>
      <w:r w:rsidRPr="00B56196">
        <w:t xml:space="preserve"> for example, reducing </w:t>
      </w:r>
      <w:r>
        <w:t>‘</w:t>
      </w:r>
      <w:r w:rsidRPr="00B56196">
        <w:t>builds</w:t>
      </w:r>
      <w:r>
        <w:t>’</w:t>
      </w:r>
      <w:r w:rsidRPr="00B56196">
        <w:t xml:space="preserve">, </w:t>
      </w:r>
      <w:r>
        <w:t>‘</w:t>
      </w:r>
      <w:r w:rsidRPr="00B56196">
        <w:t>building</w:t>
      </w:r>
      <w:r>
        <w:t>’</w:t>
      </w:r>
      <w:r w:rsidRPr="00B56196">
        <w:t xml:space="preserve">, or </w:t>
      </w:r>
      <w:r>
        <w:t>‘</w:t>
      </w:r>
      <w:r w:rsidRPr="00B56196">
        <w:t>built</w:t>
      </w:r>
      <w:r>
        <w:t>’</w:t>
      </w:r>
      <w:r w:rsidRPr="00B56196">
        <w:t xml:space="preserve"> to the lemma </w:t>
      </w:r>
      <w:r>
        <w:t>‘</w:t>
      </w:r>
      <w:r w:rsidRPr="00B56196">
        <w:t>build</w:t>
      </w:r>
      <w:r>
        <w:t xml:space="preserve">’. </w:t>
      </w:r>
      <w:hyperlink r:id="rId23" w:history="1">
        <w:r w:rsidRPr="00E67ACA">
          <w:rPr>
            <w:rStyle w:val="Hyperlink"/>
          </w:rPr>
          <w:t>Cambridge Dictionary</w:t>
        </w:r>
      </w:hyperlink>
      <w:r>
        <w:t>, accessed 14 January 2021.</w:t>
      </w:r>
    </w:p>
  </w:footnote>
  <w:footnote w:id="21">
    <w:p w14:paraId="611B69E4" w14:textId="5F07C9E2" w:rsidR="000C2DFC" w:rsidRPr="000540AA" w:rsidRDefault="000C2DFC" w:rsidP="00BB3E89">
      <w:pPr>
        <w:pStyle w:val="FootnoteText"/>
      </w:pPr>
      <w:r>
        <w:rPr>
          <w:rStyle w:val="FootnoteReference"/>
        </w:rPr>
        <w:footnoteRef/>
      </w:r>
      <w:r>
        <w:t xml:space="preserve"> D Heron, </w:t>
      </w:r>
      <w:hyperlink r:id="rId24" w:history="1">
        <w:r w:rsidRPr="00FE00B8">
          <w:rPr>
            <w:rStyle w:val="Hyperlink"/>
            <w:i/>
            <w:iCs/>
          </w:rPr>
          <w:t>Understanding more from user feedback</w:t>
        </w:r>
      </w:hyperlink>
      <w:r>
        <w:rPr>
          <w:i/>
          <w:iCs/>
        </w:rPr>
        <w:t>,</w:t>
      </w:r>
      <w:r>
        <w:t xml:space="preserve"> GOV.UK website, 9 November 2016, accessed 25 May 2021. </w:t>
      </w:r>
    </w:p>
  </w:footnote>
  <w:footnote w:id="22">
    <w:p w14:paraId="73BA42EA" w14:textId="7AA32168" w:rsidR="000C2DFC" w:rsidRPr="00E37CCD" w:rsidRDefault="000C2DFC" w:rsidP="00BB3E89">
      <w:pPr>
        <w:pStyle w:val="FootnoteText"/>
      </w:pPr>
      <w:r>
        <w:rPr>
          <w:rStyle w:val="FootnoteReference"/>
        </w:rPr>
        <w:footnoteRef/>
      </w:r>
      <w:r>
        <w:t xml:space="preserve"> W D Eggers et al., </w:t>
      </w:r>
      <w:hyperlink r:id="rId25" w:anchor="endnote-sup-15" w:history="1">
        <w:r w:rsidRPr="006A15D8">
          <w:rPr>
            <w:rStyle w:val="Hyperlink"/>
            <w:i/>
            <w:iCs/>
          </w:rPr>
          <w:t>Using AI to unleash the power of unstructured government data</w:t>
        </w:r>
      </w:hyperlink>
      <w:r>
        <w:t xml:space="preserve">. </w:t>
      </w:r>
    </w:p>
  </w:footnote>
  <w:footnote w:id="23">
    <w:p w14:paraId="4BA60B36" w14:textId="503B6D75" w:rsidR="000C2DFC" w:rsidRDefault="000C2DFC" w:rsidP="00BB3E89">
      <w:pPr>
        <w:pStyle w:val="FootnoteText"/>
      </w:pPr>
      <w:r>
        <w:rPr>
          <w:rStyle w:val="FootnoteReference"/>
        </w:rPr>
        <w:footnoteRef/>
      </w:r>
      <w:r>
        <w:t xml:space="preserve"> M Dray, </w:t>
      </w:r>
      <w:hyperlink r:id="rId26" w:history="1">
        <w:r w:rsidRPr="003418F3">
          <w:rPr>
            <w:rStyle w:val="Hyperlink"/>
            <w:i/>
            <w:iCs/>
          </w:rPr>
          <w:t>Natural Language Processing in government</w:t>
        </w:r>
      </w:hyperlink>
      <w:r>
        <w:t xml:space="preserve">, GOV.UK website, 14 June 2019, accessed 25 May 2021.  </w:t>
      </w:r>
    </w:p>
  </w:footnote>
  <w:footnote w:id="24">
    <w:p w14:paraId="3C08E85D" w14:textId="521CB5E6" w:rsidR="000C2DFC" w:rsidRDefault="000C2DFC" w:rsidP="00BB3E89">
      <w:pPr>
        <w:pStyle w:val="FootnoteText"/>
      </w:pPr>
      <w:r>
        <w:rPr>
          <w:rStyle w:val="FootnoteReference"/>
        </w:rPr>
        <w:footnoteRef/>
      </w:r>
      <w:r>
        <w:t xml:space="preserve"> C Joshi, </w:t>
      </w:r>
      <w:hyperlink r:id="rId27" w:history="1">
        <w:r w:rsidRPr="00E20377">
          <w:rPr>
            <w:rStyle w:val="Hyperlink"/>
            <w:i/>
            <w:iCs/>
          </w:rPr>
          <w:t>Automating consultation analysis</w:t>
        </w:r>
      </w:hyperlink>
      <w:r>
        <w:t xml:space="preserve">, Data Science Campus website, 12 September 2019, accessed 25 May 2021.   </w:t>
      </w:r>
    </w:p>
  </w:footnote>
  <w:footnote w:id="25">
    <w:p w14:paraId="3CC71825" w14:textId="049BB9B0" w:rsidR="000C2DFC" w:rsidRDefault="000C2DFC" w:rsidP="00BB3E89">
      <w:pPr>
        <w:pStyle w:val="FootnoteText"/>
      </w:pPr>
      <w:r>
        <w:rPr>
          <w:rStyle w:val="FootnoteReference"/>
        </w:rPr>
        <w:footnoteRef/>
      </w:r>
      <w:r>
        <w:t xml:space="preserve"> Data Science Campus, </w:t>
      </w:r>
      <w:hyperlink r:id="rId28" w:history="1">
        <w:r w:rsidRPr="00AA4C4D">
          <w:rPr>
            <w:rStyle w:val="Hyperlink"/>
            <w:i/>
            <w:iCs/>
          </w:rPr>
          <w:t>DSC-73 Analysis of consultation results for the Department of International Trade</w:t>
        </w:r>
      </w:hyperlink>
      <w:r>
        <w:t xml:space="preserve">, Data Science Campus website, 19 February 2020, accessed 25 May 2021. </w:t>
      </w:r>
    </w:p>
  </w:footnote>
  <w:footnote w:id="26">
    <w:p w14:paraId="0BE298B6" w14:textId="12F65FE0" w:rsidR="000C2DFC" w:rsidRDefault="000C2DFC" w:rsidP="002B304C">
      <w:pPr>
        <w:pStyle w:val="FootnoteText"/>
      </w:pPr>
      <w:r>
        <w:rPr>
          <w:rStyle w:val="FootnoteReference"/>
        </w:rPr>
        <w:footnoteRef/>
      </w:r>
      <w:r>
        <w:t xml:space="preserve"> </w:t>
      </w:r>
      <w:proofErr w:type="spellStart"/>
      <w:r>
        <w:t>CitizenLab</w:t>
      </w:r>
      <w:proofErr w:type="spellEnd"/>
      <w:r>
        <w:t xml:space="preserve">, </w:t>
      </w:r>
      <w:hyperlink r:id="rId29" w:history="1">
        <w:r w:rsidRPr="5F81766C">
          <w:rPr>
            <w:rStyle w:val="Hyperlink"/>
            <w:i/>
            <w:iCs/>
          </w:rPr>
          <w:t>Applying artificial intelligence to citizen participation: the Youth4Climate case study</w:t>
        </w:r>
      </w:hyperlink>
      <w:r>
        <w:t xml:space="preserve">, </w:t>
      </w:r>
      <w:proofErr w:type="spellStart"/>
      <w:r>
        <w:t>CitizenLab</w:t>
      </w:r>
      <w:proofErr w:type="spellEnd"/>
      <w:r>
        <w:t xml:space="preserve"> website, n.d., accessed 14 January 2021.</w:t>
      </w:r>
    </w:p>
  </w:footnote>
  <w:footnote w:id="27">
    <w:p w14:paraId="6E08AA8F" w14:textId="54D132B3" w:rsidR="000C2DFC" w:rsidRPr="00F772D3" w:rsidRDefault="000C2DFC">
      <w:pPr>
        <w:pStyle w:val="FootnoteText"/>
      </w:pPr>
      <w:r>
        <w:rPr>
          <w:rStyle w:val="FootnoteReference"/>
        </w:rPr>
        <w:footnoteRef/>
      </w:r>
      <w:r>
        <w:t xml:space="preserve"> I </w:t>
      </w:r>
      <w:proofErr w:type="spellStart"/>
      <w:r>
        <w:t>Lapowsky</w:t>
      </w:r>
      <w:proofErr w:type="spellEnd"/>
      <w:r>
        <w:t>, ‘</w:t>
      </w:r>
      <w:hyperlink r:id="rId30" w:history="1">
        <w:r w:rsidRPr="00D849C9">
          <w:rPr>
            <w:rStyle w:val="Hyperlink"/>
          </w:rPr>
          <w:t>How Bots Broke the FCC’s Public Comment System</w:t>
        </w:r>
      </w:hyperlink>
      <w:r>
        <w:rPr>
          <w:i/>
          <w:iCs/>
        </w:rPr>
        <w:t xml:space="preserve">’, </w:t>
      </w:r>
      <w:r w:rsidRPr="00D849C9">
        <w:rPr>
          <w:i/>
          <w:iCs/>
        </w:rPr>
        <w:t>Wired</w:t>
      </w:r>
      <w:r>
        <w:t xml:space="preserve">, 28 November 2017, accessed 25 May 2021. </w:t>
      </w:r>
    </w:p>
  </w:footnote>
  <w:footnote w:id="28">
    <w:p w14:paraId="13338ABE" w14:textId="70D66E2A" w:rsidR="000C2DFC" w:rsidRDefault="000C2DFC" w:rsidP="00101EF0">
      <w:pPr>
        <w:pStyle w:val="FootnoteText"/>
      </w:pPr>
      <w:r>
        <w:rPr>
          <w:rStyle w:val="FootnoteReference"/>
        </w:rPr>
        <w:footnoteRef/>
      </w:r>
      <w:r w:rsidRPr="007572E9">
        <w:rPr>
          <w:rStyle w:val="FootnoteReference"/>
        </w:rPr>
        <w:t xml:space="preserve"> </w:t>
      </w:r>
      <w:r w:rsidRPr="003B23E8">
        <w:t xml:space="preserve">For example, see </w:t>
      </w:r>
      <w:r>
        <w:t xml:space="preserve">K </w:t>
      </w:r>
      <w:r w:rsidRPr="003B23E8">
        <w:t xml:space="preserve">Merchant and </w:t>
      </w:r>
      <w:r>
        <w:t xml:space="preserve">Y </w:t>
      </w:r>
      <w:proofErr w:type="spellStart"/>
      <w:r w:rsidRPr="002A2FB5">
        <w:t>Pande</w:t>
      </w:r>
      <w:proofErr w:type="spellEnd"/>
      <w:r w:rsidRPr="00107928">
        <w:t xml:space="preserve">, </w:t>
      </w:r>
      <w:hyperlink r:id="rId31" w:history="1">
        <w:r w:rsidRPr="0096097D">
          <w:rPr>
            <w:i/>
            <w:iCs/>
          </w:rPr>
          <w:t>NLP Based Latent Semantic Analysis for Legal Text Summarization</w:t>
        </w:r>
      </w:hyperlink>
      <w:r w:rsidRPr="003B23E8">
        <w:t xml:space="preserve">, </w:t>
      </w:r>
      <w:r w:rsidRPr="0096097D">
        <w:rPr>
          <w:rStyle w:val="Emphasis"/>
          <w:rFonts w:cs="Arial"/>
          <w:i w:val="0"/>
          <w:iCs w:val="0"/>
          <w:shd w:val="clear" w:color="auto" w:fill="FFFFFF"/>
        </w:rPr>
        <w:t>2018 International Conference on Advances in Computing, Communications and Informatics (ICACCI)</w:t>
      </w:r>
      <w:r w:rsidRPr="0096097D">
        <w:rPr>
          <w:rFonts w:cs="Arial"/>
          <w:shd w:val="clear" w:color="auto" w:fill="FFFFFF"/>
        </w:rPr>
        <w:t xml:space="preserve">, Bangalore, India, September 2018, </w:t>
      </w:r>
      <w:r w:rsidRPr="003B23E8">
        <w:t>IEEE</w:t>
      </w:r>
      <w:r w:rsidRPr="0096097D">
        <w:rPr>
          <w:rFonts w:cs="Arial"/>
          <w:shd w:val="clear" w:color="auto" w:fill="FFFFFF"/>
        </w:rPr>
        <w:t>, pp.</w:t>
      </w:r>
      <w:r>
        <w:rPr>
          <w:rFonts w:cs="Arial"/>
          <w:shd w:val="clear" w:color="auto" w:fill="FFFFFF"/>
        </w:rPr>
        <w:t xml:space="preserve"> </w:t>
      </w:r>
      <w:r w:rsidRPr="0096097D">
        <w:rPr>
          <w:rFonts w:cs="Arial"/>
          <w:shd w:val="clear" w:color="auto" w:fill="FFFFFF"/>
        </w:rPr>
        <w:t>1803</w:t>
      </w:r>
      <w:r>
        <w:rPr>
          <w:rFonts w:cs="Arial"/>
          <w:shd w:val="clear" w:color="auto" w:fill="FFFFFF"/>
        </w:rPr>
        <w:t>–</w:t>
      </w:r>
      <w:r w:rsidRPr="0096097D">
        <w:rPr>
          <w:rFonts w:cs="Arial"/>
          <w:shd w:val="clear" w:color="auto" w:fill="FFFFFF"/>
        </w:rPr>
        <w:t>1807</w:t>
      </w:r>
      <w:r w:rsidRPr="003B23E8">
        <w:t xml:space="preserve">; </w:t>
      </w:r>
      <w:r>
        <w:t xml:space="preserve">E Mitchell, </w:t>
      </w:r>
      <w:hyperlink r:id="rId32" w:anchor=":~:text=Natural%20language%20processing%20(NLP)%20is,are%20a%20product%20of%20NLP.&amp;text=NLP%20is%20also%20a%20key%20part%20of%20Elder%20Research's%20approach%20to%20RegTech." w:history="1">
        <w:r w:rsidRPr="0096097D">
          <w:rPr>
            <w:i/>
            <w:iCs/>
          </w:rPr>
          <w:t xml:space="preserve">Natural Language Processing for </w:t>
        </w:r>
        <w:proofErr w:type="spellStart"/>
        <w:r w:rsidRPr="0096097D">
          <w:rPr>
            <w:i/>
            <w:iCs/>
          </w:rPr>
          <w:t>RegTech</w:t>
        </w:r>
        <w:proofErr w:type="spellEnd"/>
        <w:r w:rsidRPr="007572E9">
          <w:t xml:space="preserve">: </w:t>
        </w:r>
        <w:r w:rsidRPr="0096097D">
          <w:rPr>
            <w:i/>
            <w:iCs/>
          </w:rPr>
          <w:t>Uncovering Hidden Patterns in Regulatory Documents</w:t>
        </w:r>
      </w:hyperlink>
      <w:r>
        <w:t xml:space="preserve">, Elder Research, accessed 14 January 2021. </w:t>
      </w:r>
    </w:p>
  </w:footnote>
  <w:footnote w:id="29">
    <w:p w14:paraId="3B5E5E89" w14:textId="763E4EF2" w:rsidR="000C2DFC" w:rsidRDefault="000C2DFC" w:rsidP="00254DE0">
      <w:pPr>
        <w:pStyle w:val="FootnoteText"/>
        <w:spacing w:after="0"/>
      </w:pPr>
      <w:r>
        <w:rPr>
          <w:rStyle w:val="FootnoteReference"/>
        </w:rPr>
        <w:footnoteRef/>
      </w:r>
      <w:r>
        <w:t xml:space="preserve"> M Stanger, </w:t>
      </w:r>
      <w:hyperlink r:id="rId33" w:history="1">
        <w:r w:rsidRPr="00BE5A01">
          <w:rPr>
            <w:rStyle w:val="Hyperlink"/>
            <w:i/>
            <w:iCs/>
          </w:rPr>
          <w:t>Intelligent document analysis with natural language processing</w:t>
        </w:r>
      </w:hyperlink>
      <w:r>
        <w:t xml:space="preserve">, Accenture website, 6 June 2019, accessed 25 May 2021; </w:t>
      </w:r>
      <w:proofErr w:type="spellStart"/>
      <w:r>
        <w:t>Lexalytics</w:t>
      </w:r>
      <w:proofErr w:type="spellEnd"/>
      <w:r>
        <w:t xml:space="preserve">, </w:t>
      </w:r>
      <w:hyperlink r:id="rId34" w:history="1">
        <w:r w:rsidRPr="006768E3">
          <w:rPr>
            <w:rStyle w:val="Hyperlink"/>
            <w:i/>
            <w:iCs/>
          </w:rPr>
          <w:t>Summarization and Lexical Chaining</w:t>
        </w:r>
      </w:hyperlink>
      <w:r>
        <w:t xml:space="preserve">, </w:t>
      </w:r>
      <w:proofErr w:type="spellStart"/>
      <w:r>
        <w:t>Lexalytics</w:t>
      </w:r>
      <w:proofErr w:type="spellEnd"/>
      <w:r>
        <w:t xml:space="preserve"> website, n.d., accessed 14 January 2021; L </w:t>
      </w:r>
      <w:r w:rsidRPr="00373EE4">
        <w:t>Gonçalves</w:t>
      </w:r>
      <w:r>
        <w:t>, ‘</w:t>
      </w:r>
      <w:hyperlink r:id="rId35" w:history="1">
        <w:r w:rsidRPr="00D849C9">
          <w:rPr>
            <w:rStyle w:val="Hyperlink"/>
          </w:rPr>
          <w:t>Automatic Text Summarization with Machine Learning — An overview</w:t>
        </w:r>
      </w:hyperlink>
      <w:r w:rsidRPr="00254DE0">
        <w:rPr>
          <w:rStyle w:val="Hyperlink"/>
          <w:i/>
          <w:iCs/>
          <w:u w:val="none"/>
        </w:rPr>
        <w:t>’</w:t>
      </w:r>
      <w:r w:rsidRPr="00254DE0">
        <w:t>,</w:t>
      </w:r>
      <w:r>
        <w:t xml:space="preserve"> </w:t>
      </w:r>
      <w:r w:rsidRPr="00D849C9">
        <w:rPr>
          <w:i/>
          <w:iCs/>
        </w:rPr>
        <w:t>Medium</w:t>
      </w:r>
      <w:r>
        <w:t xml:space="preserve">, 11 April 2020. </w:t>
      </w:r>
    </w:p>
  </w:footnote>
  <w:footnote w:id="30">
    <w:p w14:paraId="3EB1723E" w14:textId="546AE467" w:rsidR="000C2DFC" w:rsidRDefault="000C2DFC" w:rsidP="00B435D7">
      <w:pPr>
        <w:pStyle w:val="FootnoteText"/>
      </w:pPr>
      <w:r>
        <w:rPr>
          <w:rStyle w:val="FootnoteReference"/>
        </w:rPr>
        <w:footnoteRef/>
      </w:r>
      <w:r>
        <w:t xml:space="preserve"> M Dray, </w:t>
      </w:r>
      <w:hyperlink r:id="rId36" w:history="1">
        <w:r w:rsidRPr="00982E33">
          <w:rPr>
            <w:rStyle w:val="Hyperlink"/>
            <w:i/>
            <w:iCs/>
          </w:rPr>
          <w:t>Natural Language Processing in government</w:t>
        </w:r>
      </w:hyperlink>
      <w:r>
        <w:t>, GOV.UK website, 14 June 2019, accessed 25 May 2021.</w:t>
      </w:r>
    </w:p>
  </w:footnote>
  <w:footnote w:id="31">
    <w:p w14:paraId="7F03BAD1" w14:textId="595FAC0B" w:rsidR="000C2DFC" w:rsidRDefault="000C2DFC" w:rsidP="004B7540">
      <w:pPr>
        <w:pStyle w:val="FootnoteText"/>
      </w:pPr>
      <w:r>
        <w:rPr>
          <w:rStyle w:val="FootnoteReference"/>
        </w:rPr>
        <w:footnoteRef/>
      </w:r>
      <w:r>
        <w:t xml:space="preserve"> V T </w:t>
      </w:r>
      <w:r w:rsidRPr="00C1278E">
        <w:t xml:space="preserve">Chou, </w:t>
      </w:r>
      <w:r>
        <w:t xml:space="preserve">L </w:t>
      </w:r>
      <w:r w:rsidRPr="00C1278E">
        <w:t xml:space="preserve">Kent, </w:t>
      </w:r>
      <w:r>
        <w:t xml:space="preserve">J A </w:t>
      </w:r>
      <w:proofErr w:type="spellStart"/>
      <w:r w:rsidRPr="00C1278E">
        <w:t>Góngora</w:t>
      </w:r>
      <w:proofErr w:type="spellEnd"/>
      <w:r w:rsidRPr="00C1278E">
        <w:t xml:space="preserve">, </w:t>
      </w:r>
      <w:r>
        <w:t xml:space="preserve">S </w:t>
      </w:r>
      <w:proofErr w:type="spellStart"/>
      <w:r w:rsidRPr="00C1278E">
        <w:t>Ballerini</w:t>
      </w:r>
      <w:proofErr w:type="spellEnd"/>
      <w:r>
        <w:t xml:space="preserve"> and C D</w:t>
      </w:r>
      <w:r w:rsidRPr="00C1278E">
        <w:t xml:space="preserve"> Hoover</w:t>
      </w:r>
      <w:r>
        <w:t xml:space="preserve">, </w:t>
      </w:r>
      <w:hyperlink r:id="rId37" w:history="1">
        <w:r w:rsidRPr="009F258D">
          <w:rPr>
            <w:rStyle w:val="Hyperlink"/>
            <w:i/>
            <w:iCs/>
          </w:rPr>
          <w:t>Towards automatic extractive text summarization of A-133 Single Audit reports with machine learning</w:t>
        </w:r>
      </w:hyperlink>
      <w:r>
        <w:t>, Cornell University website, 8 November 2019, accessed 25 May 2021.</w:t>
      </w:r>
    </w:p>
  </w:footnote>
  <w:footnote w:id="32">
    <w:p w14:paraId="3CB0F717" w14:textId="3CDD1EF1" w:rsidR="000C2DFC" w:rsidRDefault="000C2DFC" w:rsidP="00101EF0">
      <w:pPr>
        <w:pStyle w:val="FootnoteText"/>
      </w:pPr>
      <w:r>
        <w:rPr>
          <w:rStyle w:val="FootnoteReference"/>
        </w:rPr>
        <w:footnoteRef/>
      </w:r>
      <w:r>
        <w:t xml:space="preserve"> For example, the UK government used NLP to classify website user comments in 2016: M </w:t>
      </w:r>
      <w:proofErr w:type="spellStart"/>
      <w:r>
        <w:t>Upson</w:t>
      </w:r>
      <w:proofErr w:type="spellEnd"/>
      <w:r>
        <w:t xml:space="preserve">,  </w:t>
      </w:r>
      <w:hyperlink r:id="rId38" w:history="1">
        <w:r>
          <w:br/>
        </w:r>
        <w:r w:rsidRPr="5F81766C">
          <w:rPr>
            <w:rStyle w:val="Hyperlink"/>
            <w:i/>
            <w:iCs/>
          </w:rPr>
          <w:t>Using machine learning to classify user comments on GOV.UK</w:t>
        </w:r>
      </w:hyperlink>
      <w:r>
        <w:t>, GOV.UK website, 20 December 2016, accessed 25 May 2021.</w:t>
      </w:r>
    </w:p>
  </w:footnote>
  <w:footnote w:id="33">
    <w:p w14:paraId="6C040CD0" w14:textId="09F8E663" w:rsidR="000C2DFC" w:rsidRDefault="000C2DFC" w:rsidP="00101EF0">
      <w:pPr>
        <w:pStyle w:val="FootnoteText"/>
      </w:pPr>
      <w:r>
        <w:rPr>
          <w:rStyle w:val="FootnoteReference"/>
        </w:rPr>
        <w:footnoteRef/>
      </w:r>
      <w:r>
        <w:t xml:space="preserve"> Australian Securities and Investments Commission, </w:t>
      </w:r>
      <w:hyperlink r:id="rId39" w:history="1">
        <w:r w:rsidRPr="00073497">
          <w:rPr>
            <w:rStyle w:val="Hyperlink"/>
            <w:i/>
            <w:iCs/>
          </w:rPr>
          <w:t xml:space="preserve">ASIC </w:t>
        </w:r>
        <w:proofErr w:type="spellStart"/>
        <w:r w:rsidRPr="00073497">
          <w:rPr>
            <w:rStyle w:val="Hyperlink"/>
            <w:i/>
            <w:iCs/>
          </w:rPr>
          <w:t>regtech</w:t>
        </w:r>
        <w:proofErr w:type="spellEnd"/>
        <w:r w:rsidRPr="00073497">
          <w:rPr>
            <w:rStyle w:val="Hyperlink"/>
            <w:i/>
            <w:iCs/>
          </w:rPr>
          <w:t xml:space="preserve"> initiative series 2018-19</w:t>
        </w:r>
      </w:hyperlink>
      <w:r>
        <w:t>, ASIC website, n.d., accessed 14 April 2021.</w:t>
      </w:r>
    </w:p>
  </w:footnote>
  <w:footnote w:id="34">
    <w:p w14:paraId="2CC9C07F" w14:textId="293DB75B" w:rsidR="000C2DFC" w:rsidRPr="00E12096" w:rsidRDefault="000C2DFC">
      <w:pPr>
        <w:pStyle w:val="FootnoteText"/>
      </w:pPr>
      <w:r>
        <w:rPr>
          <w:rStyle w:val="FootnoteReference"/>
        </w:rPr>
        <w:footnoteRef/>
      </w:r>
      <w:r>
        <w:t xml:space="preserve"> Australian Securities and Investments Commission, </w:t>
      </w:r>
      <w:hyperlink r:id="rId40" w:history="1">
        <w:proofErr w:type="spellStart"/>
        <w:r w:rsidRPr="00E12096">
          <w:rPr>
            <w:rStyle w:val="Hyperlink"/>
            <w:i/>
            <w:iCs/>
          </w:rPr>
          <w:t>Regtech</w:t>
        </w:r>
        <w:proofErr w:type="spellEnd"/>
        <w:r>
          <w:rPr>
            <w:rStyle w:val="Hyperlink"/>
            <w:i/>
            <w:iCs/>
          </w:rPr>
          <w:t xml:space="preserve"> Monitoring</w:t>
        </w:r>
        <w:r w:rsidRPr="00E12096">
          <w:rPr>
            <w:rStyle w:val="Hyperlink"/>
            <w:i/>
            <w:iCs/>
          </w:rPr>
          <w:t xml:space="preserve"> </w:t>
        </w:r>
        <w:r>
          <w:rPr>
            <w:rStyle w:val="Hyperlink"/>
            <w:i/>
            <w:iCs/>
          </w:rPr>
          <w:t>F</w:t>
        </w:r>
        <w:r w:rsidRPr="00E12096">
          <w:rPr>
            <w:rStyle w:val="Hyperlink"/>
            <w:i/>
            <w:iCs/>
          </w:rPr>
          <w:t xml:space="preserve">inancial </w:t>
        </w:r>
        <w:r>
          <w:rPr>
            <w:rStyle w:val="Hyperlink"/>
            <w:i/>
            <w:iCs/>
          </w:rPr>
          <w:t>P</w:t>
        </w:r>
        <w:r w:rsidRPr="00E12096">
          <w:rPr>
            <w:rStyle w:val="Hyperlink"/>
            <w:i/>
            <w:iCs/>
          </w:rPr>
          <w:t xml:space="preserve">romotions </w:t>
        </w:r>
        <w:r>
          <w:rPr>
            <w:rStyle w:val="Hyperlink"/>
            <w:i/>
            <w:iCs/>
          </w:rPr>
          <w:t>D</w:t>
        </w:r>
        <w:r w:rsidRPr="00E12096">
          <w:rPr>
            <w:rStyle w:val="Hyperlink"/>
            <w:i/>
            <w:iCs/>
          </w:rPr>
          <w:t xml:space="preserve">emonstration and </w:t>
        </w:r>
        <w:r>
          <w:rPr>
            <w:rStyle w:val="Hyperlink"/>
            <w:i/>
            <w:iCs/>
          </w:rPr>
          <w:t>S</w:t>
        </w:r>
        <w:r w:rsidRPr="00E12096">
          <w:rPr>
            <w:rStyle w:val="Hyperlink"/>
            <w:i/>
            <w:iCs/>
          </w:rPr>
          <w:t>ymposium</w:t>
        </w:r>
      </w:hyperlink>
      <w:r>
        <w:rPr>
          <w:i/>
          <w:iCs/>
        </w:rPr>
        <w:t xml:space="preserve">, </w:t>
      </w:r>
      <w:r w:rsidRPr="00D849C9">
        <w:t xml:space="preserve">ASIC website, </w:t>
      </w:r>
      <w:r>
        <w:t>n.d., accessed 14 April 2021.</w:t>
      </w:r>
    </w:p>
  </w:footnote>
  <w:footnote w:id="35">
    <w:p w14:paraId="29015555" w14:textId="7D4DBD96" w:rsidR="000C2DFC" w:rsidRPr="007572E9" w:rsidRDefault="000C2DFC">
      <w:pPr>
        <w:pStyle w:val="FootnoteText"/>
        <w:rPr>
          <w:i/>
          <w:iCs/>
        </w:rPr>
      </w:pPr>
      <w:r>
        <w:rPr>
          <w:rStyle w:val="FootnoteReference"/>
        </w:rPr>
        <w:footnoteRef/>
      </w:r>
      <w:r>
        <w:t xml:space="preserve"> Australian Securities and Investments Commission, </w:t>
      </w:r>
      <w:hyperlink r:id="rId41" w:history="1">
        <w:proofErr w:type="spellStart"/>
        <w:r w:rsidRPr="00E834FD">
          <w:rPr>
            <w:rStyle w:val="Hyperlink"/>
            <w:i/>
            <w:iCs/>
          </w:rPr>
          <w:t>Regtech</w:t>
        </w:r>
        <w:proofErr w:type="spellEnd"/>
        <w:r w:rsidRPr="00E834FD">
          <w:rPr>
            <w:rStyle w:val="Hyperlink"/>
            <w:i/>
            <w:iCs/>
          </w:rPr>
          <w:t xml:space="preserve"> </w:t>
        </w:r>
        <w:r>
          <w:rPr>
            <w:rStyle w:val="Hyperlink"/>
            <w:i/>
            <w:iCs/>
          </w:rPr>
          <w:t>F</w:t>
        </w:r>
        <w:r w:rsidRPr="00E834FD">
          <w:rPr>
            <w:rStyle w:val="Hyperlink"/>
            <w:i/>
            <w:iCs/>
          </w:rPr>
          <w:t xml:space="preserve">inancial </w:t>
        </w:r>
        <w:r>
          <w:rPr>
            <w:rStyle w:val="Hyperlink"/>
            <w:i/>
            <w:iCs/>
          </w:rPr>
          <w:t>A</w:t>
        </w:r>
        <w:r w:rsidRPr="00E834FD">
          <w:rPr>
            <w:rStyle w:val="Hyperlink"/>
            <w:i/>
            <w:iCs/>
          </w:rPr>
          <w:t xml:space="preserve">dvice </w:t>
        </w:r>
        <w:r>
          <w:rPr>
            <w:rStyle w:val="Hyperlink"/>
            <w:i/>
            <w:iCs/>
          </w:rPr>
          <w:t>F</w:t>
        </w:r>
        <w:r w:rsidRPr="00E834FD">
          <w:rPr>
            <w:rStyle w:val="Hyperlink"/>
            <w:i/>
            <w:iCs/>
          </w:rPr>
          <w:t xml:space="preserve">iles </w:t>
        </w:r>
        <w:r>
          <w:rPr>
            <w:rStyle w:val="Hyperlink"/>
            <w:i/>
            <w:iCs/>
          </w:rPr>
          <w:t>D</w:t>
        </w:r>
        <w:r w:rsidRPr="00E834FD">
          <w:rPr>
            <w:rStyle w:val="Hyperlink"/>
            <w:i/>
            <w:iCs/>
          </w:rPr>
          <w:t xml:space="preserve">emonstration and </w:t>
        </w:r>
        <w:r>
          <w:rPr>
            <w:rStyle w:val="Hyperlink"/>
            <w:i/>
            <w:iCs/>
          </w:rPr>
          <w:t>S</w:t>
        </w:r>
        <w:r w:rsidRPr="00E834FD">
          <w:rPr>
            <w:rStyle w:val="Hyperlink"/>
            <w:i/>
            <w:iCs/>
          </w:rPr>
          <w:t>ymposium</w:t>
        </w:r>
      </w:hyperlink>
      <w:r>
        <w:rPr>
          <w:i/>
          <w:iCs/>
        </w:rPr>
        <w:t xml:space="preserve">, </w:t>
      </w:r>
      <w:r w:rsidRPr="00EF4DDC">
        <w:t xml:space="preserve">ASIC website, n.d., </w:t>
      </w:r>
      <w:r>
        <w:t xml:space="preserve">accessed 14 April 2021. </w:t>
      </w:r>
      <w:r>
        <w:rPr>
          <w:i/>
          <w:iCs/>
        </w:rPr>
        <w:t xml:space="preserve">  </w:t>
      </w:r>
    </w:p>
  </w:footnote>
  <w:footnote w:id="36">
    <w:p w14:paraId="56893183" w14:textId="50D1759A" w:rsidR="000C2DFC" w:rsidRPr="00B73A54" w:rsidRDefault="000C2DFC">
      <w:pPr>
        <w:pStyle w:val="FootnoteText"/>
      </w:pPr>
      <w:r>
        <w:rPr>
          <w:rStyle w:val="FootnoteReference"/>
        </w:rPr>
        <w:footnoteRef/>
      </w:r>
      <w:r>
        <w:t xml:space="preserve"> Australian Securities and Investments Commission, </w:t>
      </w:r>
      <w:hyperlink r:id="rId42" w:history="1">
        <w:proofErr w:type="spellStart"/>
        <w:r w:rsidRPr="00B73A54">
          <w:rPr>
            <w:rStyle w:val="Hyperlink"/>
            <w:i/>
            <w:iCs/>
          </w:rPr>
          <w:t>Regtech</w:t>
        </w:r>
        <w:proofErr w:type="spellEnd"/>
        <w:r w:rsidRPr="00B73A54">
          <w:rPr>
            <w:rStyle w:val="Hyperlink"/>
            <w:i/>
            <w:iCs/>
          </w:rPr>
          <w:t xml:space="preserve"> </w:t>
        </w:r>
        <w:r>
          <w:rPr>
            <w:rStyle w:val="Hyperlink"/>
            <w:i/>
            <w:iCs/>
          </w:rPr>
          <w:t>L</w:t>
        </w:r>
        <w:r w:rsidRPr="00B73A54">
          <w:rPr>
            <w:rStyle w:val="Hyperlink"/>
            <w:i/>
            <w:iCs/>
          </w:rPr>
          <w:t xml:space="preserve">ife </w:t>
        </w:r>
        <w:r>
          <w:rPr>
            <w:rStyle w:val="Hyperlink"/>
            <w:i/>
            <w:iCs/>
          </w:rPr>
          <w:t>I</w:t>
        </w:r>
        <w:r w:rsidRPr="00B73A54">
          <w:rPr>
            <w:rStyle w:val="Hyperlink"/>
            <w:i/>
            <w:iCs/>
          </w:rPr>
          <w:t xml:space="preserve">nsurance </w:t>
        </w:r>
        <w:r>
          <w:rPr>
            <w:rStyle w:val="Hyperlink"/>
            <w:i/>
            <w:iCs/>
          </w:rPr>
          <w:t>S</w:t>
        </w:r>
        <w:r w:rsidRPr="00B73A54">
          <w:rPr>
            <w:rStyle w:val="Hyperlink"/>
            <w:i/>
            <w:iCs/>
          </w:rPr>
          <w:t xml:space="preserve">ales </w:t>
        </w:r>
        <w:r>
          <w:rPr>
            <w:rStyle w:val="Hyperlink"/>
            <w:i/>
            <w:iCs/>
          </w:rPr>
          <w:t>C</w:t>
        </w:r>
        <w:r w:rsidRPr="00B73A54">
          <w:rPr>
            <w:rStyle w:val="Hyperlink"/>
            <w:i/>
            <w:iCs/>
          </w:rPr>
          <w:t xml:space="preserve">alls </w:t>
        </w:r>
        <w:r>
          <w:rPr>
            <w:rStyle w:val="Hyperlink"/>
            <w:i/>
            <w:iCs/>
          </w:rPr>
          <w:t>V</w:t>
        </w:r>
        <w:r w:rsidRPr="00B73A54">
          <w:rPr>
            <w:rStyle w:val="Hyperlink"/>
            <w:i/>
            <w:iCs/>
          </w:rPr>
          <w:t xml:space="preserve">oice </w:t>
        </w:r>
        <w:r>
          <w:rPr>
            <w:rStyle w:val="Hyperlink"/>
            <w:i/>
            <w:iCs/>
          </w:rPr>
          <w:t>A</w:t>
        </w:r>
        <w:r w:rsidRPr="00B73A54">
          <w:rPr>
            <w:rStyle w:val="Hyperlink"/>
            <w:i/>
            <w:iCs/>
          </w:rPr>
          <w:t xml:space="preserve">nalytics and </w:t>
        </w:r>
        <w:r>
          <w:rPr>
            <w:rStyle w:val="Hyperlink"/>
            <w:i/>
            <w:iCs/>
          </w:rPr>
          <w:t>V</w:t>
        </w:r>
        <w:r w:rsidRPr="00B73A54">
          <w:rPr>
            <w:rStyle w:val="Hyperlink"/>
            <w:i/>
            <w:iCs/>
          </w:rPr>
          <w:t>oice-to-</w:t>
        </w:r>
        <w:r>
          <w:rPr>
            <w:rStyle w:val="Hyperlink"/>
            <w:i/>
            <w:iCs/>
          </w:rPr>
          <w:t>T</w:t>
        </w:r>
        <w:r w:rsidRPr="00B73A54">
          <w:rPr>
            <w:rStyle w:val="Hyperlink"/>
            <w:i/>
            <w:iCs/>
          </w:rPr>
          <w:t xml:space="preserve">ext </w:t>
        </w:r>
        <w:r>
          <w:rPr>
            <w:rStyle w:val="Hyperlink"/>
            <w:i/>
            <w:iCs/>
          </w:rPr>
          <w:t>T</w:t>
        </w:r>
        <w:r w:rsidRPr="00B73A54">
          <w:rPr>
            <w:rStyle w:val="Hyperlink"/>
            <w:i/>
            <w:iCs/>
          </w:rPr>
          <w:t xml:space="preserve">rial and </w:t>
        </w:r>
        <w:r>
          <w:rPr>
            <w:rStyle w:val="Hyperlink"/>
            <w:i/>
            <w:iCs/>
          </w:rPr>
          <w:t>S</w:t>
        </w:r>
        <w:r w:rsidRPr="00B73A54">
          <w:rPr>
            <w:rStyle w:val="Hyperlink"/>
            <w:i/>
            <w:iCs/>
          </w:rPr>
          <w:t>ymposium</w:t>
        </w:r>
      </w:hyperlink>
      <w:r>
        <w:t xml:space="preserve">, </w:t>
      </w:r>
      <w:r w:rsidRPr="005A2187">
        <w:t xml:space="preserve">ASIC website, n.d., </w:t>
      </w:r>
      <w:r>
        <w:t xml:space="preserve">accessed 14 April 2021. </w:t>
      </w:r>
    </w:p>
  </w:footnote>
  <w:footnote w:id="37">
    <w:p w14:paraId="0BFCE7B4" w14:textId="37480B43" w:rsidR="000C2DFC" w:rsidRDefault="000C2DFC" w:rsidP="00101EF0">
      <w:pPr>
        <w:pStyle w:val="FootnoteText"/>
      </w:pPr>
      <w:r>
        <w:rPr>
          <w:rStyle w:val="FootnoteReference"/>
        </w:rPr>
        <w:footnoteRef/>
      </w:r>
      <w:r>
        <w:t xml:space="preserve"> Nuix, </w:t>
      </w:r>
      <w:hyperlink r:id="rId43" w:history="1">
        <w:r w:rsidRPr="00C95878">
          <w:rPr>
            <w:rStyle w:val="Hyperlink"/>
            <w:i/>
            <w:iCs/>
          </w:rPr>
          <w:t>Nuix Discover</w:t>
        </w:r>
      </w:hyperlink>
      <w:r>
        <w:t>, NUIX website, n.d., accessed 14 January 2021.</w:t>
      </w:r>
    </w:p>
  </w:footnote>
  <w:footnote w:id="38">
    <w:p w14:paraId="00519E64" w14:textId="109FAB64" w:rsidR="000C2DFC" w:rsidRDefault="000C2DFC" w:rsidP="00101EF0">
      <w:pPr>
        <w:pStyle w:val="FootnoteText"/>
      </w:pPr>
      <w:r>
        <w:rPr>
          <w:rStyle w:val="FootnoteReference"/>
        </w:rPr>
        <w:footnoteRef/>
      </w:r>
      <w:r>
        <w:t xml:space="preserve"> Nuix, </w:t>
      </w:r>
      <w:hyperlink r:id="rId44" w:history="1">
        <w:proofErr w:type="spellStart"/>
        <w:r>
          <w:rPr>
            <w:rStyle w:val="Hyperlink"/>
            <w:i/>
            <w:iCs/>
          </w:rPr>
          <w:t>Ediscovery</w:t>
        </w:r>
        <w:proofErr w:type="spellEnd"/>
      </w:hyperlink>
      <w:r>
        <w:rPr>
          <w:rStyle w:val="Hyperlink"/>
          <w:i/>
          <w:iCs/>
        </w:rPr>
        <w:t xml:space="preserve">, </w:t>
      </w:r>
      <w:r w:rsidRPr="00D849C9">
        <w:t xml:space="preserve">NUIX website, n.d., </w:t>
      </w:r>
      <w:r>
        <w:t xml:space="preserve">accessed14 January 2021; Ringtail, </w:t>
      </w:r>
      <w:hyperlink r:id="rId45" w:history="1">
        <w:r w:rsidRPr="002E4F5A">
          <w:rPr>
            <w:rStyle w:val="Hyperlink"/>
            <w:i/>
            <w:iCs/>
          </w:rPr>
          <w:t>About concepts and clusters in the Map</w:t>
        </w:r>
      </w:hyperlink>
      <w:r>
        <w:t xml:space="preserve">, Ringtail website, n.d., accessed 14 January 2021. </w:t>
      </w:r>
    </w:p>
  </w:footnote>
  <w:footnote w:id="39">
    <w:p w14:paraId="56360611" w14:textId="0262131C" w:rsidR="000C2DFC" w:rsidRPr="00380B57" w:rsidRDefault="000C2DFC" w:rsidP="00101EF0">
      <w:pPr>
        <w:pStyle w:val="FootnoteText"/>
      </w:pPr>
      <w:r>
        <w:rPr>
          <w:rStyle w:val="FootnoteReference"/>
        </w:rPr>
        <w:footnoteRef/>
      </w:r>
      <w:r>
        <w:t xml:space="preserve"> Nuix, </w:t>
      </w:r>
      <w:hyperlink r:id="rId46" w:history="1">
        <w:r w:rsidRPr="00860561">
          <w:rPr>
            <w:rStyle w:val="Hyperlink"/>
            <w:i/>
            <w:iCs/>
          </w:rPr>
          <w:t>N</w:t>
        </w:r>
        <w:r>
          <w:rPr>
            <w:rStyle w:val="Hyperlink"/>
            <w:i/>
            <w:iCs/>
          </w:rPr>
          <w:t>uix Discover – continuous active learning</w:t>
        </w:r>
      </w:hyperlink>
      <w:r>
        <w:t>, Nuix website, n.d., accessed 14 January 2021.</w:t>
      </w:r>
    </w:p>
  </w:footnote>
  <w:footnote w:id="40">
    <w:p w14:paraId="12F4EC95" w14:textId="087F5C09" w:rsidR="000C2DFC" w:rsidRDefault="000C2DFC" w:rsidP="00101EF0">
      <w:pPr>
        <w:pStyle w:val="FootnoteText"/>
      </w:pPr>
      <w:r>
        <w:rPr>
          <w:rStyle w:val="FootnoteReference"/>
        </w:rPr>
        <w:footnoteRef/>
      </w:r>
      <w:r>
        <w:t xml:space="preserve"> Microsoft Azure, </w:t>
      </w:r>
      <w:hyperlink r:id="rId47" w:history="1">
        <w:r w:rsidRPr="009569EA">
          <w:rPr>
            <w:rStyle w:val="Hyperlink"/>
            <w:i/>
            <w:iCs/>
          </w:rPr>
          <w:t>Text Analytics</w:t>
        </w:r>
      </w:hyperlink>
      <w:r>
        <w:rPr>
          <w:i/>
          <w:iCs/>
        </w:rPr>
        <w:t xml:space="preserve">, </w:t>
      </w:r>
      <w:r>
        <w:t>Microsoft Azure website, n.d., accessed 14 January 2021.</w:t>
      </w:r>
    </w:p>
  </w:footnote>
  <w:footnote w:id="41">
    <w:p w14:paraId="5924C600" w14:textId="17909B51" w:rsidR="000C2DFC" w:rsidRDefault="000C2DFC" w:rsidP="00101EF0">
      <w:pPr>
        <w:pStyle w:val="FootnoteText"/>
      </w:pPr>
      <w:r>
        <w:rPr>
          <w:rStyle w:val="FootnoteReference"/>
        </w:rPr>
        <w:footnoteRef/>
      </w:r>
      <w:r>
        <w:t xml:space="preserve"> Microsoft Azure, </w:t>
      </w:r>
      <w:hyperlink r:id="rId48" w:history="1">
        <w:r w:rsidRPr="009569EA">
          <w:rPr>
            <w:rStyle w:val="Hyperlink"/>
            <w:i/>
            <w:iCs/>
          </w:rPr>
          <w:t>Text Analytics</w:t>
        </w:r>
      </w:hyperlink>
      <w:r>
        <w:t>.</w:t>
      </w:r>
    </w:p>
  </w:footnote>
  <w:footnote w:id="42">
    <w:p w14:paraId="0FD7D9AA" w14:textId="3E0FFC78" w:rsidR="000C2DFC" w:rsidRPr="0056327A" w:rsidRDefault="000C2DFC" w:rsidP="00101EF0">
      <w:pPr>
        <w:pStyle w:val="FootnoteText"/>
        <w:rPr>
          <w:i/>
          <w:iCs/>
        </w:rPr>
      </w:pPr>
      <w:r>
        <w:rPr>
          <w:rStyle w:val="FootnoteReference"/>
        </w:rPr>
        <w:footnoteRef/>
      </w:r>
      <w:r>
        <w:t xml:space="preserve"> Innovation and Science Australia, </w:t>
      </w:r>
      <w:hyperlink r:id="rId49" w:history="1">
        <w:r>
          <w:rPr>
            <w:rStyle w:val="Hyperlink"/>
            <w:i/>
            <w:iCs/>
          </w:rPr>
          <w:t xml:space="preserve">Australia 2030: prosperity through innovation </w:t>
        </w:r>
        <w:r w:rsidRPr="00D849C9">
          <w:rPr>
            <w:rStyle w:val="Hyperlink"/>
          </w:rPr>
          <w:t>[PDF 4.9MB]</w:t>
        </w:r>
      </w:hyperlink>
      <w:r>
        <w:t xml:space="preserve">, Department of Industry, Science, Energy and Resources website, November 2017, accessed 25 May 2021, p. 70; Digital Transformation Agency, </w:t>
      </w:r>
      <w:hyperlink r:id="rId50" w:history="1">
        <w:r w:rsidRPr="00B3683E">
          <w:rPr>
            <w:rStyle w:val="Hyperlink"/>
            <w:i/>
            <w:iCs/>
          </w:rPr>
          <w:t>Objective 7 — Advanced technologies will improve decision-making and be transparent and auditable</w:t>
        </w:r>
      </w:hyperlink>
      <w:r>
        <w:t>, DTA website, n.d., accessed 14 January 2021.</w:t>
      </w:r>
    </w:p>
  </w:footnote>
  <w:footnote w:id="43">
    <w:p w14:paraId="66C60D52" w14:textId="730C15E8" w:rsidR="000C2DFC" w:rsidRDefault="000C2DFC" w:rsidP="00101EF0">
      <w:pPr>
        <w:pStyle w:val="FootnoteText"/>
      </w:pPr>
      <w:r>
        <w:rPr>
          <w:rStyle w:val="FootnoteReference"/>
        </w:rPr>
        <w:footnoteRef/>
      </w:r>
      <w:r>
        <w:t xml:space="preserve"> Department of Health, </w:t>
      </w:r>
      <w:hyperlink r:id="rId51" w:history="1">
        <w:r w:rsidRPr="00210DC0">
          <w:rPr>
            <w:rStyle w:val="Hyperlink"/>
            <w:i/>
            <w:iCs/>
          </w:rPr>
          <w:t>Head to Health</w:t>
        </w:r>
      </w:hyperlink>
      <w:r>
        <w:t>, Department of health website, n.d., accessed 14 January 2021.</w:t>
      </w:r>
    </w:p>
  </w:footnote>
  <w:footnote w:id="44">
    <w:p w14:paraId="56F9F654" w14:textId="351A7474" w:rsidR="000C2DFC" w:rsidRDefault="000C2DFC" w:rsidP="00101EF0">
      <w:pPr>
        <w:pStyle w:val="FootnoteText"/>
      </w:pPr>
      <w:r>
        <w:rPr>
          <w:rStyle w:val="FootnoteReference"/>
        </w:rPr>
        <w:footnoteRef/>
      </w:r>
      <w:r w:rsidRPr="00EF4DDC">
        <w:t xml:space="preserve"> IP Australia</w:t>
      </w:r>
      <w:r>
        <w:t xml:space="preserve">, </w:t>
      </w:r>
      <w:hyperlink r:id="rId52" w:history="1">
        <w:r w:rsidRPr="00DC60AF">
          <w:rPr>
            <w:rStyle w:val="Hyperlink"/>
          </w:rPr>
          <w:t>IP Australia</w:t>
        </w:r>
      </w:hyperlink>
      <w:r w:rsidRPr="006768A7">
        <w:rPr>
          <w:rStyle w:val="Hyperlink"/>
          <w:color w:val="auto"/>
          <w:u w:val="none"/>
        </w:rPr>
        <w:t xml:space="preserve"> [website], n.d., </w:t>
      </w:r>
      <w:r>
        <w:t xml:space="preserve">accessed 14 January 2021; A </w:t>
      </w:r>
      <w:proofErr w:type="spellStart"/>
      <w:r w:rsidRPr="00C0354D">
        <w:t>Barbaschow</w:t>
      </w:r>
      <w:proofErr w:type="spellEnd"/>
      <w:r>
        <w:t>, ‘</w:t>
      </w:r>
      <w:hyperlink r:id="rId53" w:history="1">
        <w:r w:rsidRPr="00D849C9">
          <w:rPr>
            <w:rStyle w:val="Hyperlink"/>
          </w:rPr>
          <w:t>IP Australia's Alex is more than just a chatbot</w:t>
        </w:r>
      </w:hyperlink>
      <w:r w:rsidRPr="006768A7">
        <w:rPr>
          <w:rStyle w:val="Hyperlink"/>
          <w:color w:val="auto"/>
        </w:rPr>
        <w:t>’</w:t>
      </w:r>
      <w:r>
        <w:t xml:space="preserve">, </w:t>
      </w:r>
      <w:r w:rsidRPr="00D849C9">
        <w:rPr>
          <w:i/>
          <w:iCs/>
        </w:rPr>
        <w:t>ZDNet</w:t>
      </w:r>
      <w:r>
        <w:t>, 12 February 2019, accessed 25 May 2021.</w:t>
      </w:r>
    </w:p>
  </w:footnote>
  <w:footnote w:id="45">
    <w:p w14:paraId="26A5FFD2" w14:textId="21AD20B0" w:rsidR="000C2DFC" w:rsidRPr="00E56040" w:rsidRDefault="000C2DFC" w:rsidP="00101EF0">
      <w:pPr>
        <w:pStyle w:val="FootnoteText"/>
      </w:pPr>
      <w:r>
        <w:rPr>
          <w:rStyle w:val="FootnoteReference"/>
        </w:rPr>
        <w:footnoteRef/>
      </w:r>
      <w:r>
        <w:t xml:space="preserve"> Deloitte, </w:t>
      </w:r>
      <w:hyperlink r:id="rId54" w:history="1">
        <w:r w:rsidRPr="00F83B63">
          <w:rPr>
            <w:rStyle w:val="Hyperlink"/>
            <w:i/>
            <w:iCs/>
          </w:rPr>
          <w:t>Regulatory Intelligence</w:t>
        </w:r>
      </w:hyperlink>
      <w:r w:rsidRPr="00F83B63">
        <w:rPr>
          <w:i/>
          <w:iCs/>
        </w:rPr>
        <w:t xml:space="preserve">, </w:t>
      </w:r>
      <w:r w:rsidRPr="00F83B63">
        <w:t>ac</w:t>
      </w:r>
      <w:r>
        <w:t>cessed 14 January 2021.</w:t>
      </w:r>
    </w:p>
  </w:footnote>
  <w:footnote w:id="46">
    <w:p w14:paraId="4953EC70" w14:textId="06304FCD" w:rsidR="000C2DFC" w:rsidRPr="00156CD0" w:rsidRDefault="000C2DFC" w:rsidP="00101EF0">
      <w:pPr>
        <w:pStyle w:val="FootnoteText"/>
      </w:pPr>
      <w:r>
        <w:rPr>
          <w:rStyle w:val="FootnoteReference"/>
        </w:rPr>
        <w:footnoteRef/>
      </w:r>
      <w:r>
        <w:t xml:space="preserve"> NSW Treasury, </w:t>
      </w:r>
      <w:hyperlink r:id="rId55" w:history="1">
        <w:r>
          <w:rPr>
            <w:rStyle w:val="Hyperlink"/>
            <w:i/>
            <w:iCs/>
          </w:rPr>
          <w:t>Regulating for NSW’s Future</w:t>
        </w:r>
        <w:r w:rsidRPr="00D849C9">
          <w:rPr>
            <w:rStyle w:val="Hyperlink"/>
          </w:rPr>
          <w:t xml:space="preserve"> [PDF 5.54MB]</w:t>
        </w:r>
      </w:hyperlink>
      <w:r>
        <w:t>, NSW Treasury website, July 2020, accessed 25 may 2021.</w:t>
      </w:r>
    </w:p>
  </w:footnote>
  <w:footnote w:id="47">
    <w:p w14:paraId="797829E6" w14:textId="63E918A3" w:rsidR="000C2DFC" w:rsidRDefault="000C2DFC">
      <w:pPr>
        <w:pStyle w:val="FootnoteText"/>
      </w:pPr>
      <w:r>
        <w:rPr>
          <w:rStyle w:val="FootnoteReference"/>
        </w:rPr>
        <w:footnoteRef/>
      </w:r>
      <w:r>
        <w:t xml:space="preserve"> NSW Treasury, </w:t>
      </w:r>
      <w:hyperlink r:id="rId56" w:history="1">
        <w:r>
          <w:rPr>
            <w:rStyle w:val="Hyperlink"/>
            <w:i/>
            <w:iCs/>
          </w:rPr>
          <w:t>Regulating for NSW’s Future</w:t>
        </w:r>
        <w:r w:rsidRPr="005A2187">
          <w:rPr>
            <w:rStyle w:val="Hyperlink"/>
          </w:rPr>
          <w:t xml:space="preserve"> [PDF 5.54MB]</w:t>
        </w:r>
      </w:hyperlink>
      <w:r>
        <w:t>.</w:t>
      </w:r>
    </w:p>
  </w:footnote>
  <w:footnote w:id="48">
    <w:p w14:paraId="34161691" w14:textId="3CA9EFB2" w:rsidR="000C2DFC" w:rsidRPr="00683FBB" w:rsidRDefault="000C2DFC" w:rsidP="00C95878">
      <w:pPr>
        <w:pStyle w:val="Paragraph"/>
        <w:spacing w:after="0"/>
      </w:pPr>
      <w:r w:rsidRPr="00C95878">
        <w:rPr>
          <w:rStyle w:val="FootnoteReference"/>
          <w:sz w:val="16"/>
          <w:szCs w:val="16"/>
        </w:rPr>
        <w:footnoteRef/>
      </w:r>
      <w:r w:rsidRPr="00C95878">
        <w:rPr>
          <w:sz w:val="16"/>
          <w:szCs w:val="16"/>
        </w:rPr>
        <w:t xml:space="preserve"> </w:t>
      </w:r>
      <w:r>
        <w:rPr>
          <w:sz w:val="16"/>
          <w:szCs w:val="16"/>
        </w:rPr>
        <w:t xml:space="preserve">S L </w:t>
      </w:r>
      <w:r w:rsidRPr="00C95878">
        <w:rPr>
          <w:sz w:val="16"/>
          <w:szCs w:val="16"/>
        </w:rPr>
        <w:t xml:space="preserve">Blodgett </w:t>
      </w:r>
      <w:r>
        <w:rPr>
          <w:sz w:val="16"/>
          <w:szCs w:val="16"/>
        </w:rPr>
        <w:t>and B</w:t>
      </w:r>
      <w:r w:rsidRPr="00C95878">
        <w:rPr>
          <w:sz w:val="16"/>
          <w:szCs w:val="16"/>
        </w:rPr>
        <w:t xml:space="preserve"> O’Connor, </w:t>
      </w:r>
      <w:hyperlink r:id="rId57" w:history="1">
        <w:r w:rsidRPr="00C95878">
          <w:rPr>
            <w:rStyle w:val="Hyperlink"/>
            <w:i/>
            <w:iCs/>
            <w:sz w:val="16"/>
            <w:szCs w:val="16"/>
          </w:rPr>
          <w:t xml:space="preserve">Racial Disparity in Natural Language Processing: A Case Study of Social Media </w:t>
        </w:r>
        <w:proofErr w:type="gramStart"/>
        <w:r w:rsidRPr="00C95878">
          <w:rPr>
            <w:rStyle w:val="Hyperlink"/>
            <w:i/>
            <w:iCs/>
            <w:sz w:val="16"/>
            <w:szCs w:val="16"/>
          </w:rPr>
          <w:t>African-American</w:t>
        </w:r>
        <w:proofErr w:type="gramEnd"/>
        <w:r w:rsidRPr="00C95878">
          <w:rPr>
            <w:rStyle w:val="Hyperlink"/>
            <w:i/>
            <w:iCs/>
            <w:sz w:val="16"/>
            <w:szCs w:val="16"/>
          </w:rPr>
          <w:t xml:space="preserve"> English</w:t>
        </w:r>
      </w:hyperlink>
      <w:r w:rsidRPr="00C95878">
        <w:rPr>
          <w:i/>
          <w:iCs/>
          <w:sz w:val="16"/>
          <w:szCs w:val="16"/>
        </w:rPr>
        <w:t xml:space="preserve">, </w:t>
      </w:r>
      <w:r>
        <w:rPr>
          <w:sz w:val="16"/>
          <w:szCs w:val="16"/>
        </w:rPr>
        <w:t xml:space="preserve">Cornell University website, </w:t>
      </w:r>
      <w:r w:rsidRPr="00C95878">
        <w:rPr>
          <w:sz w:val="16"/>
          <w:szCs w:val="16"/>
        </w:rPr>
        <w:t xml:space="preserve">arXiv:1707.00061v1 [cs.CY] 30 Jun 2017, </w:t>
      </w:r>
      <w:r>
        <w:rPr>
          <w:sz w:val="16"/>
          <w:szCs w:val="16"/>
        </w:rPr>
        <w:t xml:space="preserve">accessed 25 May 2021, </w:t>
      </w:r>
      <w:r w:rsidRPr="00C95878">
        <w:rPr>
          <w:sz w:val="16"/>
          <w:szCs w:val="16"/>
        </w:rPr>
        <w:t>p.</w:t>
      </w:r>
      <w:r>
        <w:rPr>
          <w:sz w:val="16"/>
          <w:szCs w:val="16"/>
        </w:rPr>
        <w:t xml:space="preserve"> </w:t>
      </w:r>
      <w:r w:rsidRPr="00C95878">
        <w:rPr>
          <w:sz w:val="16"/>
          <w:szCs w:val="16"/>
        </w:rPr>
        <w:t>1</w:t>
      </w:r>
      <w:r>
        <w:rPr>
          <w:sz w:val="16"/>
          <w:szCs w:val="16"/>
        </w:rPr>
        <w:t xml:space="preserve">. </w:t>
      </w:r>
    </w:p>
  </w:footnote>
  <w:footnote w:id="49">
    <w:p w14:paraId="57F29CBB" w14:textId="5E5D5023" w:rsidR="000C2DFC" w:rsidRPr="008B1A2C" w:rsidRDefault="000C2DFC">
      <w:pPr>
        <w:pStyle w:val="FootnoteText"/>
      </w:pPr>
      <w:r w:rsidRPr="00F02431">
        <w:rPr>
          <w:rStyle w:val="FootnoteReference"/>
        </w:rPr>
        <w:footnoteRef/>
      </w:r>
      <w:r>
        <w:t xml:space="preserve"> Wolters Kluwer, </w:t>
      </w:r>
      <w:hyperlink r:id="rId58" w:history="1">
        <w:r w:rsidRPr="00081630">
          <w:rPr>
            <w:rStyle w:val="Hyperlink"/>
            <w:i/>
            <w:iCs/>
          </w:rPr>
          <w:t>How natural language processing impacts professions</w:t>
        </w:r>
      </w:hyperlink>
      <w:r>
        <w:rPr>
          <w:i/>
          <w:iCs/>
        </w:rPr>
        <w:t xml:space="preserve">, </w:t>
      </w:r>
      <w:r w:rsidRPr="005A7AF6">
        <w:t xml:space="preserve">Walters Kluwer website, </w:t>
      </w:r>
      <w:r>
        <w:t xml:space="preserve">29 April 2020, accessed 25 May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CDF2" w14:textId="77777777" w:rsidR="000C2DFC" w:rsidRPr="00A5474E" w:rsidRDefault="000C2DFC" w:rsidP="00A5474E">
    <w:pPr>
      <w:pStyle w:val="Header"/>
    </w:pPr>
    <w:r>
      <w:rPr>
        <w:noProof/>
      </w:rPr>
      <w:drawing>
        <wp:inline distT="0" distB="0" distL="0" distR="0" wp14:anchorId="41BCF4B5" wp14:editId="2D83C1AF">
          <wp:extent cx="6283432" cy="578076"/>
          <wp:effectExtent l="0" t="0" r="3175" b="0"/>
          <wp:docPr id="14" name="Picture 1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6283432" cy="5780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AE25" w14:textId="77777777" w:rsidR="000C2DFC" w:rsidRPr="00A5474E" w:rsidRDefault="000C2DFC"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6F7D" w14:textId="77777777" w:rsidR="000C2DFC" w:rsidRDefault="000C2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FC73" w14:textId="77777777" w:rsidR="000C2DFC" w:rsidRDefault="000C2D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0C2DFC" w14:paraId="58059ABE" w14:textId="77777777" w:rsidTr="003D5751">
      <w:trPr>
        <w:trHeight w:hRule="exact" w:val="988"/>
      </w:trPr>
      <w:tc>
        <w:tcPr>
          <w:tcW w:w="7678" w:type="dxa"/>
          <w:shd w:val="clear" w:color="auto" w:fill="auto"/>
        </w:tcPr>
        <w:p w14:paraId="1D977F91" w14:textId="77777777" w:rsidR="000C2DFC" w:rsidRDefault="000C2DFC" w:rsidP="00971914">
          <w:pPr>
            <w:pStyle w:val="Header"/>
          </w:pPr>
        </w:p>
      </w:tc>
    </w:tr>
    <w:tr w:rsidR="000C2DFC" w14:paraId="40AB4180" w14:textId="77777777" w:rsidTr="003D5751">
      <w:tc>
        <w:tcPr>
          <w:tcW w:w="7678" w:type="dxa"/>
          <w:shd w:val="clear" w:color="auto" w:fill="auto"/>
        </w:tcPr>
        <w:p w14:paraId="6A0E4649" w14:textId="77777777" w:rsidR="000C2DFC" w:rsidRDefault="000C2DFC" w:rsidP="00971914">
          <w:pPr>
            <w:pStyle w:val="GridTable31"/>
          </w:pPr>
          <w:r>
            <w:t xml:space="preserve">Contents </w:t>
          </w:r>
          <w:r w:rsidRPr="00915B1C">
            <w:rPr>
              <w:b w:val="0"/>
              <w:spacing w:val="0"/>
              <w:sz w:val="28"/>
              <w:szCs w:val="28"/>
            </w:rPr>
            <w:t>(Continued)</w:t>
          </w:r>
        </w:p>
      </w:tc>
    </w:tr>
    <w:tr w:rsidR="000C2DFC" w14:paraId="6B122FC4" w14:textId="77777777" w:rsidTr="003D5751">
      <w:trPr>
        <w:trHeight w:val="1220"/>
      </w:trPr>
      <w:tc>
        <w:tcPr>
          <w:tcW w:w="7678" w:type="dxa"/>
          <w:shd w:val="clear" w:color="auto" w:fill="auto"/>
        </w:tcPr>
        <w:p w14:paraId="04FCA352" w14:textId="77777777" w:rsidR="000C2DFC" w:rsidRDefault="000C2DFC" w:rsidP="00971914"/>
      </w:tc>
    </w:tr>
  </w:tbl>
  <w:p w14:paraId="33BF6E23" w14:textId="77777777" w:rsidR="000C2DFC" w:rsidRDefault="000C2DFC"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0C2DFC" w14:paraId="3692AFDB" w14:textId="77777777" w:rsidTr="003D5751">
      <w:trPr>
        <w:trHeight w:hRule="exact" w:val="988"/>
      </w:trPr>
      <w:tc>
        <w:tcPr>
          <w:tcW w:w="7678" w:type="dxa"/>
          <w:shd w:val="clear" w:color="auto" w:fill="auto"/>
        </w:tcPr>
        <w:p w14:paraId="248C5481" w14:textId="77777777" w:rsidR="000C2DFC" w:rsidRDefault="000C2DFC" w:rsidP="00971914">
          <w:pPr>
            <w:pStyle w:val="Header"/>
          </w:pPr>
        </w:p>
      </w:tc>
    </w:tr>
    <w:tr w:rsidR="000C2DFC" w14:paraId="76CA085B" w14:textId="77777777" w:rsidTr="003D5751">
      <w:tc>
        <w:tcPr>
          <w:tcW w:w="7678" w:type="dxa"/>
          <w:shd w:val="clear" w:color="auto" w:fill="auto"/>
        </w:tcPr>
        <w:p w14:paraId="347139FA" w14:textId="77777777" w:rsidR="000C2DFC" w:rsidRDefault="000C2DFC" w:rsidP="00971914">
          <w:pPr>
            <w:pStyle w:val="GridTable31"/>
          </w:pPr>
          <w:r>
            <w:t xml:space="preserve">Contents </w:t>
          </w:r>
          <w:r w:rsidRPr="00915B1C">
            <w:rPr>
              <w:b w:val="0"/>
              <w:spacing w:val="0"/>
              <w:sz w:val="28"/>
              <w:szCs w:val="28"/>
            </w:rPr>
            <w:t>(Continued)</w:t>
          </w:r>
        </w:p>
      </w:tc>
    </w:tr>
    <w:tr w:rsidR="000C2DFC" w14:paraId="489EA7C7" w14:textId="77777777" w:rsidTr="003D5751">
      <w:trPr>
        <w:trHeight w:val="1220"/>
      </w:trPr>
      <w:tc>
        <w:tcPr>
          <w:tcW w:w="7678" w:type="dxa"/>
          <w:shd w:val="clear" w:color="auto" w:fill="auto"/>
        </w:tcPr>
        <w:p w14:paraId="3FAF7169" w14:textId="77777777" w:rsidR="000C2DFC" w:rsidRDefault="000C2DFC" w:rsidP="00971914"/>
      </w:tc>
    </w:tr>
  </w:tbl>
  <w:p w14:paraId="099766F2" w14:textId="77777777" w:rsidR="000C2DFC" w:rsidRPr="00A5474E" w:rsidRDefault="000C2DFC"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DA31" w14:textId="77777777" w:rsidR="000C2DFC" w:rsidRDefault="000C2D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D892" w14:textId="77777777" w:rsidR="000C2DFC" w:rsidRDefault="000C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909E78BC"/>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6EBA4AA8"/>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Bulletlevel1"/>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90072F"/>
    <w:multiLevelType w:val="hybridMultilevel"/>
    <w:tmpl w:val="A45E4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DD7D3D"/>
    <w:multiLevelType w:val="hybridMultilevel"/>
    <w:tmpl w:val="DFC2AD3C"/>
    <w:lvl w:ilvl="0" w:tplc="DBBC47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F66A36"/>
    <w:multiLevelType w:val="hybridMultilevel"/>
    <w:tmpl w:val="BE2664D0"/>
    <w:lvl w:ilvl="0" w:tplc="79C060E6">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3B817608"/>
    <w:multiLevelType w:val="hybridMultilevel"/>
    <w:tmpl w:val="B1B4F1AE"/>
    <w:lvl w:ilvl="0" w:tplc="DBBC47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C45C03"/>
    <w:multiLevelType w:val="multilevel"/>
    <w:tmpl w:val="5B8217F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F67BF"/>
    <w:multiLevelType w:val="hybridMultilevel"/>
    <w:tmpl w:val="C89EE5B4"/>
    <w:lvl w:ilvl="0" w:tplc="79C060E6">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071478"/>
    <w:multiLevelType w:val="hybridMultilevel"/>
    <w:tmpl w:val="16D2B96E"/>
    <w:lvl w:ilvl="0" w:tplc="3A9CF91A">
      <w:start w:val="1"/>
      <w:numFmt w:val="decimal"/>
      <w:pStyle w:val="ACMAFigureHeader"/>
      <w:lvlText w:val="Figure %1: "/>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C0A82"/>
    <w:multiLevelType w:val="hybridMultilevel"/>
    <w:tmpl w:val="9AA8894E"/>
    <w:lvl w:ilvl="0" w:tplc="DBBC471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0157E5"/>
    <w:multiLevelType w:val="hybridMultilevel"/>
    <w:tmpl w:val="8AAEC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8"/>
  </w:num>
  <w:num w:numId="6">
    <w:abstractNumId w:val="14"/>
  </w:num>
  <w:num w:numId="7">
    <w:abstractNumId w:val="11"/>
  </w:num>
  <w:num w:numId="8">
    <w:abstractNumId w:val="12"/>
  </w:num>
  <w:num w:numId="9">
    <w:abstractNumId w:val="15"/>
  </w:num>
  <w:num w:numId="10">
    <w:abstractNumId w:val="4"/>
  </w:num>
  <w:num w:numId="11">
    <w:abstractNumId w:val="2"/>
    <w:lvlOverride w:ilvl="0">
      <w:startOverride w:val="1"/>
    </w:lvlOverride>
  </w:num>
  <w:num w:numId="12">
    <w:abstractNumId w:val="5"/>
  </w:num>
  <w:num w:numId="13">
    <w:abstractNumId w:val="6"/>
  </w:num>
  <w:num w:numId="14">
    <w:abstractNumId w:val="10"/>
  </w:num>
  <w:num w:numId="15">
    <w:abstractNumId w:val="17"/>
  </w:num>
  <w:num w:numId="16">
    <w:abstractNumId w:val="16"/>
  </w:num>
  <w:num w:numId="17">
    <w:abstractNumId w:val="9"/>
  </w:num>
  <w:num w:numId="18">
    <w:abstractNumId w:val="7"/>
  </w:num>
  <w:num w:numId="1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4097">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7B"/>
    <w:rsid w:val="00000638"/>
    <w:rsid w:val="000024A5"/>
    <w:rsid w:val="0000480D"/>
    <w:rsid w:val="0000548E"/>
    <w:rsid w:val="000068A1"/>
    <w:rsid w:val="00010667"/>
    <w:rsid w:val="000129D5"/>
    <w:rsid w:val="00015AE7"/>
    <w:rsid w:val="00016E21"/>
    <w:rsid w:val="0001719C"/>
    <w:rsid w:val="0002224E"/>
    <w:rsid w:val="0002275E"/>
    <w:rsid w:val="000229EA"/>
    <w:rsid w:val="000245E5"/>
    <w:rsid w:val="00024A79"/>
    <w:rsid w:val="00025850"/>
    <w:rsid w:val="00026E76"/>
    <w:rsid w:val="00026F91"/>
    <w:rsid w:val="000318F7"/>
    <w:rsid w:val="00031CC9"/>
    <w:rsid w:val="00035224"/>
    <w:rsid w:val="00035AFB"/>
    <w:rsid w:val="00036A2F"/>
    <w:rsid w:val="00043C7E"/>
    <w:rsid w:val="000443F6"/>
    <w:rsid w:val="000466BB"/>
    <w:rsid w:val="000469F3"/>
    <w:rsid w:val="00046E23"/>
    <w:rsid w:val="0004764C"/>
    <w:rsid w:val="0005011A"/>
    <w:rsid w:val="0005045A"/>
    <w:rsid w:val="00051C1E"/>
    <w:rsid w:val="00051CFC"/>
    <w:rsid w:val="00051E65"/>
    <w:rsid w:val="0005289B"/>
    <w:rsid w:val="000539F9"/>
    <w:rsid w:val="000540AA"/>
    <w:rsid w:val="00054C27"/>
    <w:rsid w:val="00055EC3"/>
    <w:rsid w:val="000563CE"/>
    <w:rsid w:val="00064E56"/>
    <w:rsid w:val="000659B6"/>
    <w:rsid w:val="0006686F"/>
    <w:rsid w:val="0006722A"/>
    <w:rsid w:val="000732CF"/>
    <w:rsid w:val="00075B96"/>
    <w:rsid w:val="000778EE"/>
    <w:rsid w:val="00081630"/>
    <w:rsid w:val="0008196A"/>
    <w:rsid w:val="000858E4"/>
    <w:rsid w:val="000915ED"/>
    <w:rsid w:val="0009209D"/>
    <w:rsid w:val="00092721"/>
    <w:rsid w:val="00093070"/>
    <w:rsid w:val="0009463C"/>
    <w:rsid w:val="000960B1"/>
    <w:rsid w:val="0009691B"/>
    <w:rsid w:val="000969BD"/>
    <w:rsid w:val="000969BF"/>
    <w:rsid w:val="000A036E"/>
    <w:rsid w:val="000A0C22"/>
    <w:rsid w:val="000A1400"/>
    <w:rsid w:val="000A1E3D"/>
    <w:rsid w:val="000A3C43"/>
    <w:rsid w:val="000A4A51"/>
    <w:rsid w:val="000A5AC2"/>
    <w:rsid w:val="000A5D2B"/>
    <w:rsid w:val="000A62E6"/>
    <w:rsid w:val="000B4664"/>
    <w:rsid w:val="000B4A16"/>
    <w:rsid w:val="000B5DE3"/>
    <w:rsid w:val="000C0A57"/>
    <w:rsid w:val="000C230C"/>
    <w:rsid w:val="000C2DFC"/>
    <w:rsid w:val="000C3412"/>
    <w:rsid w:val="000C6AB4"/>
    <w:rsid w:val="000C7144"/>
    <w:rsid w:val="000D0713"/>
    <w:rsid w:val="000D10A1"/>
    <w:rsid w:val="000D1D4E"/>
    <w:rsid w:val="000D3575"/>
    <w:rsid w:val="000D71D9"/>
    <w:rsid w:val="000D76E0"/>
    <w:rsid w:val="000D7E8B"/>
    <w:rsid w:val="000E3BEE"/>
    <w:rsid w:val="000E4449"/>
    <w:rsid w:val="000E6097"/>
    <w:rsid w:val="000F0516"/>
    <w:rsid w:val="000F4D0C"/>
    <w:rsid w:val="000F7CB5"/>
    <w:rsid w:val="00100985"/>
    <w:rsid w:val="00101EF0"/>
    <w:rsid w:val="001037DF"/>
    <w:rsid w:val="00103829"/>
    <w:rsid w:val="00107928"/>
    <w:rsid w:val="00111FCE"/>
    <w:rsid w:val="0011490C"/>
    <w:rsid w:val="00117B29"/>
    <w:rsid w:val="001229A5"/>
    <w:rsid w:val="00123A99"/>
    <w:rsid w:val="0012489B"/>
    <w:rsid w:val="00124947"/>
    <w:rsid w:val="00130017"/>
    <w:rsid w:val="00130F91"/>
    <w:rsid w:val="001349ED"/>
    <w:rsid w:val="001363F9"/>
    <w:rsid w:val="00137424"/>
    <w:rsid w:val="00140318"/>
    <w:rsid w:val="00141AD9"/>
    <w:rsid w:val="00142ABD"/>
    <w:rsid w:val="00142E94"/>
    <w:rsid w:val="00146CE6"/>
    <w:rsid w:val="001520F2"/>
    <w:rsid w:val="00152903"/>
    <w:rsid w:val="00153ADA"/>
    <w:rsid w:val="00153FD5"/>
    <w:rsid w:val="001542AE"/>
    <w:rsid w:val="001557B3"/>
    <w:rsid w:val="0015614F"/>
    <w:rsid w:val="00156271"/>
    <w:rsid w:val="001577C2"/>
    <w:rsid w:val="00160BF5"/>
    <w:rsid w:val="00161D16"/>
    <w:rsid w:val="00162746"/>
    <w:rsid w:val="001633C4"/>
    <w:rsid w:val="00163790"/>
    <w:rsid w:val="00163982"/>
    <w:rsid w:val="00165B54"/>
    <w:rsid w:val="001672EA"/>
    <w:rsid w:val="001704D5"/>
    <w:rsid w:val="001705F0"/>
    <w:rsid w:val="00170BD0"/>
    <w:rsid w:val="00171583"/>
    <w:rsid w:val="00171591"/>
    <w:rsid w:val="00173981"/>
    <w:rsid w:val="001747F7"/>
    <w:rsid w:val="00176455"/>
    <w:rsid w:val="0017719D"/>
    <w:rsid w:val="00180484"/>
    <w:rsid w:val="00183FD7"/>
    <w:rsid w:val="001847CA"/>
    <w:rsid w:val="00184E24"/>
    <w:rsid w:val="00185CAB"/>
    <w:rsid w:val="001875B7"/>
    <w:rsid w:val="00187CB3"/>
    <w:rsid w:val="0019050A"/>
    <w:rsid w:val="001906BB"/>
    <w:rsid w:val="001910D4"/>
    <w:rsid w:val="00191469"/>
    <w:rsid w:val="00192ED7"/>
    <w:rsid w:val="00195501"/>
    <w:rsid w:val="00196024"/>
    <w:rsid w:val="001976E3"/>
    <w:rsid w:val="00197CE1"/>
    <w:rsid w:val="001A0B31"/>
    <w:rsid w:val="001A44EC"/>
    <w:rsid w:val="001A68C3"/>
    <w:rsid w:val="001B1B5F"/>
    <w:rsid w:val="001B28D9"/>
    <w:rsid w:val="001B4832"/>
    <w:rsid w:val="001B58AA"/>
    <w:rsid w:val="001B70BA"/>
    <w:rsid w:val="001B7E48"/>
    <w:rsid w:val="001C17CE"/>
    <w:rsid w:val="001C2919"/>
    <w:rsid w:val="001C2B1F"/>
    <w:rsid w:val="001C2C49"/>
    <w:rsid w:val="001C36CA"/>
    <w:rsid w:val="001C44D1"/>
    <w:rsid w:val="001C52AF"/>
    <w:rsid w:val="001C6AEE"/>
    <w:rsid w:val="001C7630"/>
    <w:rsid w:val="001D3F64"/>
    <w:rsid w:val="001D6D15"/>
    <w:rsid w:val="001E0F51"/>
    <w:rsid w:val="001E23C3"/>
    <w:rsid w:val="001E3B44"/>
    <w:rsid w:val="001E5186"/>
    <w:rsid w:val="001F29DE"/>
    <w:rsid w:val="001F72D1"/>
    <w:rsid w:val="001F73B1"/>
    <w:rsid w:val="001F7558"/>
    <w:rsid w:val="00201A16"/>
    <w:rsid w:val="00202F10"/>
    <w:rsid w:val="00203FDA"/>
    <w:rsid w:val="0020593E"/>
    <w:rsid w:val="00205B57"/>
    <w:rsid w:val="0021188C"/>
    <w:rsid w:val="00212D26"/>
    <w:rsid w:val="00214891"/>
    <w:rsid w:val="002157E0"/>
    <w:rsid w:val="00216A57"/>
    <w:rsid w:val="00216C69"/>
    <w:rsid w:val="00217448"/>
    <w:rsid w:val="00221D02"/>
    <w:rsid w:val="00221F1F"/>
    <w:rsid w:val="0022334F"/>
    <w:rsid w:val="002243D2"/>
    <w:rsid w:val="00224F58"/>
    <w:rsid w:val="00226819"/>
    <w:rsid w:val="00227ED3"/>
    <w:rsid w:val="002305CF"/>
    <w:rsid w:val="002313A1"/>
    <w:rsid w:val="002320A0"/>
    <w:rsid w:val="00233101"/>
    <w:rsid w:val="00233817"/>
    <w:rsid w:val="00235082"/>
    <w:rsid w:val="002367FF"/>
    <w:rsid w:val="00240CE9"/>
    <w:rsid w:val="002410BF"/>
    <w:rsid w:val="002434BA"/>
    <w:rsid w:val="002454F5"/>
    <w:rsid w:val="0024582B"/>
    <w:rsid w:val="00246089"/>
    <w:rsid w:val="00246093"/>
    <w:rsid w:val="00246702"/>
    <w:rsid w:val="002479DC"/>
    <w:rsid w:val="00247C59"/>
    <w:rsid w:val="00247F2E"/>
    <w:rsid w:val="00250ADC"/>
    <w:rsid w:val="00250B07"/>
    <w:rsid w:val="0025291C"/>
    <w:rsid w:val="002536B3"/>
    <w:rsid w:val="00254083"/>
    <w:rsid w:val="00254DE0"/>
    <w:rsid w:val="002550DF"/>
    <w:rsid w:val="00257553"/>
    <w:rsid w:val="00257858"/>
    <w:rsid w:val="00260FB2"/>
    <w:rsid w:val="00262128"/>
    <w:rsid w:val="00262801"/>
    <w:rsid w:val="00265978"/>
    <w:rsid w:val="0027165D"/>
    <w:rsid w:val="00273CEB"/>
    <w:rsid w:val="00280EA6"/>
    <w:rsid w:val="00281C89"/>
    <w:rsid w:val="0028282F"/>
    <w:rsid w:val="00284674"/>
    <w:rsid w:val="00292470"/>
    <w:rsid w:val="00293490"/>
    <w:rsid w:val="00293671"/>
    <w:rsid w:val="00295438"/>
    <w:rsid w:val="0029593B"/>
    <w:rsid w:val="002960FE"/>
    <w:rsid w:val="00297FC5"/>
    <w:rsid w:val="002A0321"/>
    <w:rsid w:val="002A0417"/>
    <w:rsid w:val="002A16D8"/>
    <w:rsid w:val="002A1BC8"/>
    <w:rsid w:val="002A2FB5"/>
    <w:rsid w:val="002A3EF2"/>
    <w:rsid w:val="002B0DED"/>
    <w:rsid w:val="002B19A2"/>
    <w:rsid w:val="002B304C"/>
    <w:rsid w:val="002B381A"/>
    <w:rsid w:val="002B4FCC"/>
    <w:rsid w:val="002B7408"/>
    <w:rsid w:val="002B7CFD"/>
    <w:rsid w:val="002C210F"/>
    <w:rsid w:val="002C2D91"/>
    <w:rsid w:val="002C3601"/>
    <w:rsid w:val="002C4BDE"/>
    <w:rsid w:val="002C6E91"/>
    <w:rsid w:val="002D3540"/>
    <w:rsid w:val="002D3600"/>
    <w:rsid w:val="002D36D9"/>
    <w:rsid w:val="002E0152"/>
    <w:rsid w:val="002E4957"/>
    <w:rsid w:val="002E497B"/>
    <w:rsid w:val="002E4DDC"/>
    <w:rsid w:val="002F20D9"/>
    <w:rsid w:val="002F4D97"/>
    <w:rsid w:val="00300418"/>
    <w:rsid w:val="00302480"/>
    <w:rsid w:val="00302758"/>
    <w:rsid w:val="00305529"/>
    <w:rsid w:val="003060B7"/>
    <w:rsid w:val="003066A1"/>
    <w:rsid w:val="0030687B"/>
    <w:rsid w:val="00307243"/>
    <w:rsid w:val="0031024E"/>
    <w:rsid w:val="003102C6"/>
    <w:rsid w:val="00310C04"/>
    <w:rsid w:val="00312DAE"/>
    <w:rsid w:val="003141FD"/>
    <w:rsid w:val="003144E0"/>
    <w:rsid w:val="003165E6"/>
    <w:rsid w:val="00320A55"/>
    <w:rsid w:val="00320DB9"/>
    <w:rsid w:val="003215B5"/>
    <w:rsid w:val="003221CF"/>
    <w:rsid w:val="003233ED"/>
    <w:rsid w:val="00323516"/>
    <w:rsid w:val="00324D9F"/>
    <w:rsid w:val="0032752B"/>
    <w:rsid w:val="00327948"/>
    <w:rsid w:val="0033000F"/>
    <w:rsid w:val="00332011"/>
    <w:rsid w:val="00332518"/>
    <w:rsid w:val="00332925"/>
    <w:rsid w:val="003332ED"/>
    <w:rsid w:val="00333962"/>
    <w:rsid w:val="00335216"/>
    <w:rsid w:val="003368DC"/>
    <w:rsid w:val="003373A0"/>
    <w:rsid w:val="0034014A"/>
    <w:rsid w:val="00343D43"/>
    <w:rsid w:val="00345927"/>
    <w:rsid w:val="00345A86"/>
    <w:rsid w:val="00350584"/>
    <w:rsid w:val="00350D4B"/>
    <w:rsid w:val="00351857"/>
    <w:rsid w:val="00354522"/>
    <w:rsid w:val="003545E8"/>
    <w:rsid w:val="00354B9D"/>
    <w:rsid w:val="003600F6"/>
    <w:rsid w:val="003610E1"/>
    <w:rsid w:val="003671BE"/>
    <w:rsid w:val="003672D3"/>
    <w:rsid w:val="00371E2F"/>
    <w:rsid w:val="00372485"/>
    <w:rsid w:val="00373200"/>
    <w:rsid w:val="00373E96"/>
    <w:rsid w:val="00375EF5"/>
    <w:rsid w:val="003764CB"/>
    <w:rsid w:val="003767A5"/>
    <w:rsid w:val="003772D9"/>
    <w:rsid w:val="00381D15"/>
    <w:rsid w:val="00383A12"/>
    <w:rsid w:val="003847D0"/>
    <w:rsid w:val="00385254"/>
    <w:rsid w:val="00386D88"/>
    <w:rsid w:val="0039041B"/>
    <w:rsid w:val="00393463"/>
    <w:rsid w:val="00396CCC"/>
    <w:rsid w:val="0039779D"/>
    <w:rsid w:val="003A04DB"/>
    <w:rsid w:val="003A5F5B"/>
    <w:rsid w:val="003A789A"/>
    <w:rsid w:val="003B12EC"/>
    <w:rsid w:val="003B1763"/>
    <w:rsid w:val="003B23E8"/>
    <w:rsid w:val="003B3991"/>
    <w:rsid w:val="003C0167"/>
    <w:rsid w:val="003C01D6"/>
    <w:rsid w:val="003C3C79"/>
    <w:rsid w:val="003C5169"/>
    <w:rsid w:val="003C66A2"/>
    <w:rsid w:val="003C6FBD"/>
    <w:rsid w:val="003C77E0"/>
    <w:rsid w:val="003D17D7"/>
    <w:rsid w:val="003D1DA5"/>
    <w:rsid w:val="003D2678"/>
    <w:rsid w:val="003D432E"/>
    <w:rsid w:val="003D5751"/>
    <w:rsid w:val="003D71A3"/>
    <w:rsid w:val="003E2B8A"/>
    <w:rsid w:val="003F004E"/>
    <w:rsid w:val="003F083F"/>
    <w:rsid w:val="003F0F4C"/>
    <w:rsid w:val="003F10EE"/>
    <w:rsid w:val="003F16F6"/>
    <w:rsid w:val="003F2338"/>
    <w:rsid w:val="003F4DC7"/>
    <w:rsid w:val="003F5235"/>
    <w:rsid w:val="003F5447"/>
    <w:rsid w:val="004027E4"/>
    <w:rsid w:val="00406CC6"/>
    <w:rsid w:val="00406E0C"/>
    <w:rsid w:val="0041071D"/>
    <w:rsid w:val="00412333"/>
    <w:rsid w:val="0041421F"/>
    <w:rsid w:val="00414AFC"/>
    <w:rsid w:val="00414D86"/>
    <w:rsid w:val="004151A7"/>
    <w:rsid w:val="00415310"/>
    <w:rsid w:val="004161A1"/>
    <w:rsid w:val="00416BC2"/>
    <w:rsid w:val="00416D9E"/>
    <w:rsid w:val="00421709"/>
    <w:rsid w:val="004230AB"/>
    <w:rsid w:val="00423763"/>
    <w:rsid w:val="0042762F"/>
    <w:rsid w:val="00427DC7"/>
    <w:rsid w:val="00431613"/>
    <w:rsid w:val="00431792"/>
    <w:rsid w:val="0043297A"/>
    <w:rsid w:val="00432EB2"/>
    <w:rsid w:val="0043714F"/>
    <w:rsid w:val="00440D63"/>
    <w:rsid w:val="004438B5"/>
    <w:rsid w:val="00443EBB"/>
    <w:rsid w:val="00447037"/>
    <w:rsid w:val="00450BD9"/>
    <w:rsid w:val="0045124D"/>
    <w:rsid w:val="00452268"/>
    <w:rsid w:val="004528BA"/>
    <w:rsid w:val="00454596"/>
    <w:rsid w:val="0045605D"/>
    <w:rsid w:val="0046135B"/>
    <w:rsid w:val="00461D47"/>
    <w:rsid w:val="00464D46"/>
    <w:rsid w:val="0046655A"/>
    <w:rsid w:val="004718CC"/>
    <w:rsid w:val="00471B2E"/>
    <w:rsid w:val="004725ED"/>
    <w:rsid w:val="00481695"/>
    <w:rsid w:val="00495A96"/>
    <w:rsid w:val="00495BB3"/>
    <w:rsid w:val="004A0511"/>
    <w:rsid w:val="004A4474"/>
    <w:rsid w:val="004A56BB"/>
    <w:rsid w:val="004A58DA"/>
    <w:rsid w:val="004A70D6"/>
    <w:rsid w:val="004B1751"/>
    <w:rsid w:val="004B32DF"/>
    <w:rsid w:val="004B3537"/>
    <w:rsid w:val="004B45FB"/>
    <w:rsid w:val="004B5EEF"/>
    <w:rsid w:val="004B7540"/>
    <w:rsid w:val="004C0253"/>
    <w:rsid w:val="004C2532"/>
    <w:rsid w:val="004C326F"/>
    <w:rsid w:val="004C65EE"/>
    <w:rsid w:val="004C768B"/>
    <w:rsid w:val="004D00B9"/>
    <w:rsid w:val="004D0226"/>
    <w:rsid w:val="004D0534"/>
    <w:rsid w:val="004D1BB7"/>
    <w:rsid w:val="004D2D39"/>
    <w:rsid w:val="004D4DFF"/>
    <w:rsid w:val="004D56FF"/>
    <w:rsid w:val="004D7203"/>
    <w:rsid w:val="004E3665"/>
    <w:rsid w:val="004E39D3"/>
    <w:rsid w:val="004E508A"/>
    <w:rsid w:val="004E5369"/>
    <w:rsid w:val="004E616D"/>
    <w:rsid w:val="004F06BA"/>
    <w:rsid w:val="004F0A43"/>
    <w:rsid w:val="004F1BDE"/>
    <w:rsid w:val="004F2CEE"/>
    <w:rsid w:val="004F556E"/>
    <w:rsid w:val="004F591C"/>
    <w:rsid w:val="004F6A44"/>
    <w:rsid w:val="004F7F44"/>
    <w:rsid w:val="005037B4"/>
    <w:rsid w:val="005044EB"/>
    <w:rsid w:val="00504E5B"/>
    <w:rsid w:val="0050654A"/>
    <w:rsid w:val="005065C1"/>
    <w:rsid w:val="005079BF"/>
    <w:rsid w:val="00510A8F"/>
    <w:rsid w:val="00511090"/>
    <w:rsid w:val="0051269A"/>
    <w:rsid w:val="00517B5F"/>
    <w:rsid w:val="005208A7"/>
    <w:rsid w:val="005219E7"/>
    <w:rsid w:val="00521ED4"/>
    <w:rsid w:val="00523DD7"/>
    <w:rsid w:val="0053036B"/>
    <w:rsid w:val="00531B9A"/>
    <w:rsid w:val="00531D15"/>
    <w:rsid w:val="00533A69"/>
    <w:rsid w:val="00537604"/>
    <w:rsid w:val="00540470"/>
    <w:rsid w:val="00542377"/>
    <w:rsid w:val="00542384"/>
    <w:rsid w:val="00544653"/>
    <w:rsid w:val="00546F5F"/>
    <w:rsid w:val="005476EB"/>
    <w:rsid w:val="00551782"/>
    <w:rsid w:val="005517B9"/>
    <w:rsid w:val="00555213"/>
    <w:rsid w:val="00563EF1"/>
    <w:rsid w:val="00564EC4"/>
    <w:rsid w:val="00565B62"/>
    <w:rsid w:val="00566AB4"/>
    <w:rsid w:val="00567ADA"/>
    <w:rsid w:val="00571C30"/>
    <w:rsid w:val="00572FDD"/>
    <w:rsid w:val="00575AC5"/>
    <w:rsid w:val="0057605D"/>
    <w:rsid w:val="0057636F"/>
    <w:rsid w:val="0057716E"/>
    <w:rsid w:val="00581347"/>
    <w:rsid w:val="00581AC9"/>
    <w:rsid w:val="00583302"/>
    <w:rsid w:val="00584034"/>
    <w:rsid w:val="005849F8"/>
    <w:rsid w:val="00587578"/>
    <w:rsid w:val="005938DF"/>
    <w:rsid w:val="005942E2"/>
    <w:rsid w:val="00594E9C"/>
    <w:rsid w:val="00596189"/>
    <w:rsid w:val="005A099B"/>
    <w:rsid w:val="005A1BB8"/>
    <w:rsid w:val="005A2D9C"/>
    <w:rsid w:val="005A3270"/>
    <w:rsid w:val="005A55FE"/>
    <w:rsid w:val="005A6A11"/>
    <w:rsid w:val="005A6B9E"/>
    <w:rsid w:val="005A7AF6"/>
    <w:rsid w:val="005A7BC9"/>
    <w:rsid w:val="005B6470"/>
    <w:rsid w:val="005C2A51"/>
    <w:rsid w:val="005C300A"/>
    <w:rsid w:val="005C7D51"/>
    <w:rsid w:val="005D2502"/>
    <w:rsid w:val="005D40BB"/>
    <w:rsid w:val="005D4548"/>
    <w:rsid w:val="005D4582"/>
    <w:rsid w:val="005D4591"/>
    <w:rsid w:val="005D47F3"/>
    <w:rsid w:val="005D49BF"/>
    <w:rsid w:val="005D4AA5"/>
    <w:rsid w:val="005D6654"/>
    <w:rsid w:val="005D6F4E"/>
    <w:rsid w:val="005D74E6"/>
    <w:rsid w:val="005D7C73"/>
    <w:rsid w:val="005E250B"/>
    <w:rsid w:val="005E2DEE"/>
    <w:rsid w:val="005E3ACD"/>
    <w:rsid w:val="005E490C"/>
    <w:rsid w:val="005E6912"/>
    <w:rsid w:val="005E7226"/>
    <w:rsid w:val="005E7A57"/>
    <w:rsid w:val="005F0A84"/>
    <w:rsid w:val="005F24B0"/>
    <w:rsid w:val="005F50CA"/>
    <w:rsid w:val="00603A34"/>
    <w:rsid w:val="00603FE2"/>
    <w:rsid w:val="00604315"/>
    <w:rsid w:val="00604E26"/>
    <w:rsid w:val="0060523F"/>
    <w:rsid w:val="006052CF"/>
    <w:rsid w:val="00607B8D"/>
    <w:rsid w:val="00611F5C"/>
    <w:rsid w:val="00614697"/>
    <w:rsid w:val="00615B10"/>
    <w:rsid w:val="00616E09"/>
    <w:rsid w:val="00622510"/>
    <w:rsid w:val="00622A3B"/>
    <w:rsid w:val="00622EEA"/>
    <w:rsid w:val="0062396C"/>
    <w:rsid w:val="00623FF9"/>
    <w:rsid w:val="00625750"/>
    <w:rsid w:val="00627889"/>
    <w:rsid w:val="00627D4E"/>
    <w:rsid w:val="00632B89"/>
    <w:rsid w:val="0063346D"/>
    <w:rsid w:val="00634478"/>
    <w:rsid w:val="006357AE"/>
    <w:rsid w:val="006361E8"/>
    <w:rsid w:val="00637AE0"/>
    <w:rsid w:val="00642379"/>
    <w:rsid w:val="0064390B"/>
    <w:rsid w:val="00644373"/>
    <w:rsid w:val="00645915"/>
    <w:rsid w:val="00645B8C"/>
    <w:rsid w:val="0065049F"/>
    <w:rsid w:val="006519C3"/>
    <w:rsid w:val="00652B30"/>
    <w:rsid w:val="0065323F"/>
    <w:rsid w:val="00655DAF"/>
    <w:rsid w:val="00656345"/>
    <w:rsid w:val="0065685D"/>
    <w:rsid w:val="00656DC6"/>
    <w:rsid w:val="00660EC6"/>
    <w:rsid w:val="00663963"/>
    <w:rsid w:val="006639A0"/>
    <w:rsid w:val="00664110"/>
    <w:rsid w:val="00664D17"/>
    <w:rsid w:val="00666520"/>
    <w:rsid w:val="006674A5"/>
    <w:rsid w:val="00667C5B"/>
    <w:rsid w:val="00667CFF"/>
    <w:rsid w:val="0067580C"/>
    <w:rsid w:val="006768A7"/>
    <w:rsid w:val="00677536"/>
    <w:rsid w:val="00683248"/>
    <w:rsid w:val="00683FBB"/>
    <w:rsid w:val="00690004"/>
    <w:rsid w:val="00691EB8"/>
    <w:rsid w:val="00692CDE"/>
    <w:rsid w:val="00693073"/>
    <w:rsid w:val="00695299"/>
    <w:rsid w:val="006952D7"/>
    <w:rsid w:val="006953D4"/>
    <w:rsid w:val="006953E3"/>
    <w:rsid w:val="006977FF"/>
    <w:rsid w:val="006A01FA"/>
    <w:rsid w:val="006A0E9E"/>
    <w:rsid w:val="006A15D8"/>
    <w:rsid w:val="006A25C7"/>
    <w:rsid w:val="006A4AAD"/>
    <w:rsid w:val="006A6104"/>
    <w:rsid w:val="006A6DA2"/>
    <w:rsid w:val="006A7AB2"/>
    <w:rsid w:val="006B2495"/>
    <w:rsid w:val="006B46C4"/>
    <w:rsid w:val="006B52DE"/>
    <w:rsid w:val="006B5717"/>
    <w:rsid w:val="006B582F"/>
    <w:rsid w:val="006B5EB2"/>
    <w:rsid w:val="006B65B1"/>
    <w:rsid w:val="006C0CEB"/>
    <w:rsid w:val="006C1631"/>
    <w:rsid w:val="006C3B1E"/>
    <w:rsid w:val="006C47FD"/>
    <w:rsid w:val="006C5C19"/>
    <w:rsid w:val="006C70A0"/>
    <w:rsid w:val="006C7A5F"/>
    <w:rsid w:val="006D07C9"/>
    <w:rsid w:val="006D1C0D"/>
    <w:rsid w:val="006D248C"/>
    <w:rsid w:val="006D27CB"/>
    <w:rsid w:val="006D2F08"/>
    <w:rsid w:val="006D3655"/>
    <w:rsid w:val="006D412B"/>
    <w:rsid w:val="006D576C"/>
    <w:rsid w:val="006D5865"/>
    <w:rsid w:val="006E3C66"/>
    <w:rsid w:val="006E4B1B"/>
    <w:rsid w:val="006E5445"/>
    <w:rsid w:val="006E7D93"/>
    <w:rsid w:val="006F02BD"/>
    <w:rsid w:val="007029A3"/>
    <w:rsid w:val="00705653"/>
    <w:rsid w:val="00706E4E"/>
    <w:rsid w:val="0070791C"/>
    <w:rsid w:val="00710EA4"/>
    <w:rsid w:val="0071143E"/>
    <w:rsid w:val="0071383C"/>
    <w:rsid w:val="007141A7"/>
    <w:rsid w:val="00714A13"/>
    <w:rsid w:val="00714F3D"/>
    <w:rsid w:val="00715421"/>
    <w:rsid w:val="00715722"/>
    <w:rsid w:val="00715CB4"/>
    <w:rsid w:val="00721032"/>
    <w:rsid w:val="00721B55"/>
    <w:rsid w:val="007221FA"/>
    <w:rsid w:val="00725320"/>
    <w:rsid w:val="007263D0"/>
    <w:rsid w:val="007266A5"/>
    <w:rsid w:val="00726CE4"/>
    <w:rsid w:val="00733405"/>
    <w:rsid w:val="00734143"/>
    <w:rsid w:val="00734372"/>
    <w:rsid w:val="00734435"/>
    <w:rsid w:val="007356D8"/>
    <w:rsid w:val="00735DD1"/>
    <w:rsid w:val="00736224"/>
    <w:rsid w:val="007375F0"/>
    <w:rsid w:val="00737E47"/>
    <w:rsid w:val="00740EAC"/>
    <w:rsid w:val="00742531"/>
    <w:rsid w:val="007429B7"/>
    <w:rsid w:val="007432BC"/>
    <w:rsid w:val="007443A3"/>
    <w:rsid w:val="00744956"/>
    <w:rsid w:val="00745A5C"/>
    <w:rsid w:val="0074605F"/>
    <w:rsid w:val="00747489"/>
    <w:rsid w:val="00747E94"/>
    <w:rsid w:val="00751751"/>
    <w:rsid w:val="00752431"/>
    <w:rsid w:val="0075498D"/>
    <w:rsid w:val="00754C83"/>
    <w:rsid w:val="007572E9"/>
    <w:rsid w:val="00761E5C"/>
    <w:rsid w:val="00763AA3"/>
    <w:rsid w:val="00765DF8"/>
    <w:rsid w:val="00766749"/>
    <w:rsid w:val="00767C1B"/>
    <w:rsid w:val="00767F51"/>
    <w:rsid w:val="007714A9"/>
    <w:rsid w:val="00772216"/>
    <w:rsid w:val="00774A00"/>
    <w:rsid w:val="00774F88"/>
    <w:rsid w:val="00774FDB"/>
    <w:rsid w:val="00775EE6"/>
    <w:rsid w:val="00777BA2"/>
    <w:rsid w:val="00781408"/>
    <w:rsid w:val="00782C82"/>
    <w:rsid w:val="00784722"/>
    <w:rsid w:val="00784F7F"/>
    <w:rsid w:val="007878BD"/>
    <w:rsid w:val="007907B7"/>
    <w:rsid w:val="0079471F"/>
    <w:rsid w:val="007951E8"/>
    <w:rsid w:val="00796F25"/>
    <w:rsid w:val="007A18E2"/>
    <w:rsid w:val="007A2E98"/>
    <w:rsid w:val="007A3BA3"/>
    <w:rsid w:val="007A6CC0"/>
    <w:rsid w:val="007A7FA5"/>
    <w:rsid w:val="007A7FEC"/>
    <w:rsid w:val="007B1499"/>
    <w:rsid w:val="007B1BBF"/>
    <w:rsid w:val="007B2669"/>
    <w:rsid w:val="007B2960"/>
    <w:rsid w:val="007B355D"/>
    <w:rsid w:val="007B7980"/>
    <w:rsid w:val="007C0DEF"/>
    <w:rsid w:val="007C3A1C"/>
    <w:rsid w:val="007C47BB"/>
    <w:rsid w:val="007C5D5A"/>
    <w:rsid w:val="007C607F"/>
    <w:rsid w:val="007C6E44"/>
    <w:rsid w:val="007C79DD"/>
    <w:rsid w:val="007D1A97"/>
    <w:rsid w:val="007D2CD6"/>
    <w:rsid w:val="007D3063"/>
    <w:rsid w:val="007D3CEB"/>
    <w:rsid w:val="007E2867"/>
    <w:rsid w:val="007E7683"/>
    <w:rsid w:val="007E7795"/>
    <w:rsid w:val="007F0516"/>
    <w:rsid w:val="007F26A0"/>
    <w:rsid w:val="007F49FA"/>
    <w:rsid w:val="007F54C4"/>
    <w:rsid w:val="007F66A5"/>
    <w:rsid w:val="007F6893"/>
    <w:rsid w:val="007F6E9A"/>
    <w:rsid w:val="0080056C"/>
    <w:rsid w:val="00800CCD"/>
    <w:rsid w:val="00802CF3"/>
    <w:rsid w:val="008044D4"/>
    <w:rsid w:val="00804A87"/>
    <w:rsid w:val="00805630"/>
    <w:rsid w:val="008061FD"/>
    <w:rsid w:val="00807923"/>
    <w:rsid w:val="008106E1"/>
    <w:rsid w:val="00810AB4"/>
    <w:rsid w:val="00817B56"/>
    <w:rsid w:val="00821A88"/>
    <w:rsid w:val="0082495D"/>
    <w:rsid w:val="00827646"/>
    <w:rsid w:val="00827B71"/>
    <w:rsid w:val="00831AC3"/>
    <w:rsid w:val="00833303"/>
    <w:rsid w:val="008334BA"/>
    <w:rsid w:val="00833D81"/>
    <w:rsid w:val="008344B3"/>
    <w:rsid w:val="00836FCE"/>
    <w:rsid w:val="00837611"/>
    <w:rsid w:val="008408FF"/>
    <w:rsid w:val="00840D95"/>
    <w:rsid w:val="0084152A"/>
    <w:rsid w:val="0084720A"/>
    <w:rsid w:val="00851F3F"/>
    <w:rsid w:val="0085618F"/>
    <w:rsid w:val="00856EDC"/>
    <w:rsid w:val="008623B5"/>
    <w:rsid w:val="008627F3"/>
    <w:rsid w:val="008677F3"/>
    <w:rsid w:val="00870ABA"/>
    <w:rsid w:val="008710BE"/>
    <w:rsid w:val="008710E1"/>
    <w:rsid w:val="008716E5"/>
    <w:rsid w:val="00872964"/>
    <w:rsid w:val="0087322D"/>
    <w:rsid w:val="008741C6"/>
    <w:rsid w:val="00874FE4"/>
    <w:rsid w:val="00881CA9"/>
    <w:rsid w:val="00883628"/>
    <w:rsid w:val="00885544"/>
    <w:rsid w:val="0088634E"/>
    <w:rsid w:val="00887870"/>
    <w:rsid w:val="008900DC"/>
    <w:rsid w:val="00893AB8"/>
    <w:rsid w:val="00897670"/>
    <w:rsid w:val="00897E01"/>
    <w:rsid w:val="008A04C8"/>
    <w:rsid w:val="008A1726"/>
    <w:rsid w:val="008A254B"/>
    <w:rsid w:val="008A6913"/>
    <w:rsid w:val="008B064F"/>
    <w:rsid w:val="008B102F"/>
    <w:rsid w:val="008B1A2C"/>
    <w:rsid w:val="008B330F"/>
    <w:rsid w:val="008B4DBB"/>
    <w:rsid w:val="008B70F3"/>
    <w:rsid w:val="008B71C4"/>
    <w:rsid w:val="008B76DF"/>
    <w:rsid w:val="008C0110"/>
    <w:rsid w:val="008C08E3"/>
    <w:rsid w:val="008C10F4"/>
    <w:rsid w:val="008C1CBB"/>
    <w:rsid w:val="008C65F7"/>
    <w:rsid w:val="008C71B0"/>
    <w:rsid w:val="008D0318"/>
    <w:rsid w:val="008D187F"/>
    <w:rsid w:val="008D3BDD"/>
    <w:rsid w:val="008E070F"/>
    <w:rsid w:val="008E142B"/>
    <w:rsid w:val="008E19D4"/>
    <w:rsid w:val="008E363A"/>
    <w:rsid w:val="008E3D36"/>
    <w:rsid w:val="008E44FA"/>
    <w:rsid w:val="008E4767"/>
    <w:rsid w:val="008E4D41"/>
    <w:rsid w:val="008E7A8C"/>
    <w:rsid w:val="008F74E8"/>
    <w:rsid w:val="0090203B"/>
    <w:rsid w:val="00903285"/>
    <w:rsid w:val="00906F40"/>
    <w:rsid w:val="0090731E"/>
    <w:rsid w:val="009119CC"/>
    <w:rsid w:val="009134E9"/>
    <w:rsid w:val="00915B1C"/>
    <w:rsid w:val="009174F3"/>
    <w:rsid w:val="00917933"/>
    <w:rsid w:val="0091797D"/>
    <w:rsid w:val="00920613"/>
    <w:rsid w:val="00921A39"/>
    <w:rsid w:val="00923CBA"/>
    <w:rsid w:val="00926703"/>
    <w:rsid w:val="00927691"/>
    <w:rsid w:val="00927707"/>
    <w:rsid w:val="00927A5F"/>
    <w:rsid w:val="00930510"/>
    <w:rsid w:val="00931EE8"/>
    <w:rsid w:val="00931F75"/>
    <w:rsid w:val="00935B63"/>
    <w:rsid w:val="00937CAC"/>
    <w:rsid w:val="0094078F"/>
    <w:rsid w:val="00940927"/>
    <w:rsid w:val="00940FA3"/>
    <w:rsid w:val="00941FB0"/>
    <w:rsid w:val="009426D4"/>
    <w:rsid w:val="0094513F"/>
    <w:rsid w:val="009478E6"/>
    <w:rsid w:val="00947F25"/>
    <w:rsid w:val="00947F9B"/>
    <w:rsid w:val="00950031"/>
    <w:rsid w:val="00950159"/>
    <w:rsid w:val="0095490B"/>
    <w:rsid w:val="00955BA9"/>
    <w:rsid w:val="00956113"/>
    <w:rsid w:val="0096097D"/>
    <w:rsid w:val="00960A33"/>
    <w:rsid w:val="0096514A"/>
    <w:rsid w:val="00971914"/>
    <w:rsid w:val="0097232A"/>
    <w:rsid w:val="00974363"/>
    <w:rsid w:val="00975BC2"/>
    <w:rsid w:val="009816C0"/>
    <w:rsid w:val="00981898"/>
    <w:rsid w:val="00981BD3"/>
    <w:rsid w:val="00985886"/>
    <w:rsid w:val="00990808"/>
    <w:rsid w:val="0099577C"/>
    <w:rsid w:val="009A1203"/>
    <w:rsid w:val="009B24A5"/>
    <w:rsid w:val="009B2601"/>
    <w:rsid w:val="009B3835"/>
    <w:rsid w:val="009B4E9E"/>
    <w:rsid w:val="009C1323"/>
    <w:rsid w:val="009C1690"/>
    <w:rsid w:val="009C5245"/>
    <w:rsid w:val="009C6881"/>
    <w:rsid w:val="009C7759"/>
    <w:rsid w:val="009D043D"/>
    <w:rsid w:val="009D07C8"/>
    <w:rsid w:val="009D198F"/>
    <w:rsid w:val="009D6C71"/>
    <w:rsid w:val="009D7F4E"/>
    <w:rsid w:val="009E0631"/>
    <w:rsid w:val="009E0EBE"/>
    <w:rsid w:val="009E16D0"/>
    <w:rsid w:val="009E2051"/>
    <w:rsid w:val="009E298E"/>
    <w:rsid w:val="009E2F14"/>
    <w:rsid w:val="009E38FD"/>
    <w:rsid w:val="009E6359"/>
    <w:rsid w:val="009F11CE"/>
    <w:rsid w:val="009F13D6"/>
    <w:rsid w:val="009F4C6B"/>
    <w:rsid w:val="009F4E81"/>
    <w:rsid w:val="009F78A8"/>
    <w:rsid w:val="00A01160"/>
    <w:rsid w:val="00A02AD6"/>
    <w:rsid w:val="00A04C40"/>
    <w:rsid w:val="00A06433"/>
    <w:rsid w:val="00A07096"/>
    <w:rsid w:val="00A07318"/>
    <w:rsid w:val="00A11370"/>
    <w:rsid w:val="00A15BF5"/>
    <w:rsid w:val="00A224CE"/>
    <w:rsid w:val="00A22522"/>
    <w:rsid w:val="00A22F49"/>
    <w:rsid w:val="00A2318D"/>
    <w:rsid w:val="00A24AFD"/>
    <w:rsid w:val="00A24F5C"/>
    <w:rsid w:val="00A32F96"/>
    <w:rsid w:val="00A35983"/>
    <w:rsid w:val="00A40871"/>
    <w:rsid w:val="00A412AB"/>
    <w:rsid w:val="00A4193E"/>
    <w:rsid w:val="00A41D61"/>
    <w:rsid w:val="00A43A98"/>
    <w:rsid w:val="00A440E0"/>
    <w:rsid w:val="00A442EF"/>
    <w:rsid w:val="00A44D06"/>
    <w:rsid w:val="00A51D1A"/>
    <w:rsid w:val="00A52C0F"/>
    <w:rsid w:val="00A5418D"/>
    <w:rsid w:val="00A5474E"/>
    <w:rsid w:val="00A55D74"/>
    <w:rsid w:val="00A5683D"/>
    <w:rsid w:val="00A62C90"/>
    <w:rsid w:val="00A64234"/>
    <w:rsid w:val="00A657FD"/>
    <w:rsid w:val="00A6762A"/>
    <w:rsid w:val="00A70ADF"/>
    <w:rsid w:val="00A71466"/>
    <w:rsid w:val="00A73AEA"/>
    <w:rsid w:val="00A74B5E"/>
    <w:rsid w:val="00A8077A"/>
    <w:rsid w:val="00A81BED"/>
    <w:rsid w:val="00A81EC4"/>
    <w:rsid w:val="00A824E8"/>
    <w:rsid w:val="00A849FA"/>
    <w:rsid w:val="00A86F0C"/>
    <w:rsid w:val="00A94929"/>
    <w:rsid w:val="00A94EFE"/>
    <w:rsid w:val="00A967FD"/>
    <w:rsid w:val="00AA1EDA"/>
    <w:rsid w:val="00AA2DE5"/>
    <w:rsid w:val="00AA59E7"/>
    <w:rsid w:val="00AA74A6"/>
    <w:rsid w:val="00AB156C"/>
    <w:rsid w:val="00AB1586"/>
    <w:rsid w:val="00AB6814"/>
    <w:rsid w:val="00AB6B49"/>
    <w:rsid w:val="00AC04BA"/>
    <w:rsid w:val="00AC0821"/>
    <w:rsid w:val="00AC0DB6"/>
    <w:rsid w:val="00AC0E39"/>
    <w:rsid w:val="00AD058B"/>
    <w:rsid w:val="00AD0D07"/>
    <w:rsid w:val="00AD14F2"/>
    <w:rsid w:val="00AD3082"/>
    <w:rsid w:val="00AD32B4"/>
    <w:rsid w:val="00AD4AD0"/>
    <w:rsid w:val="00AD5436"/>
    <w:rsid w:val="00AD60CD"/>
    <w:rsid w:val="00AD6C8C"/>
    <w:rsid w:val="00AE091D"/>
    <w:rsid w:val="00AE24ED"/>
    <w:rsid w:val="00AE3B60"/>
    <w:rsid w:val="00AE53A1"/>
    <w:rsid w:val="00AF2484"/>
    <w:rsid w:val="00AF4F50"/>
    <w:rsid w:val="00AF63E7"/>
    <w:rsid w:val="00AF6E17"/>
    <w:rsid w:val="00B0033B"/>
    <w:rsid w:val="00B0165D"/>
    <w:rsid w:val="00B01B60"/>
    <w:rsid w:val="00B02F6C"/>
    <w:rsid w:val="00B031F3"/>
    <w:rsid w:val="00B052A4"/>
    <w:rsid w:val="00B05BCE"/>
    <w:rsid w:val="00B125DE"/>
    <w:rsid w:val="00B13FDD"/>
    <w:rsid w:val="00B159FD"/>
    <w:rsid w:val="00B15C04"/>
    <w:rsid w:val="00B22EB2"/>
    <w:rsid w:val="00B23423"/>
    <w:rsid w:val="00B23513"/>
    <w:rsid w:val="00B256C7"/>
    <w:rsid w:val="00B2573E"/>
    <w:rsid w:val="00B27442"/>
    <w:rsid w:val="00B31167"/>
    <w:rsid w:val="00B329D8"/>
    <w:rsid w:val="00B32BB9"/>
    <w:rsid w:val="00B33AE1"/>
    <w:rsid w:val="00B36203"/>
    <w:rsid w:val="00B36EE6"/>
    <w:rsid w:val="00B37C38"/>
    <w:rsid w:val="00B400C6"/>
    <w:rsid w:val="00B4288C"/>
    <w:rsid w:val="00B42B38"/>
    <w:rsid w:val="00B43262"/>
    <w:rsid w:val="00B435D7"/>
    <w:rsid w:val="00B43AEC"/>
    <w:rsid w:val="00B44100"/>
    <w:rsid w:val="00B458BC"/>
    <w:rsid w:val="00B46CBA"/>
    <w:rsid w:val="00B46F94"/>
    <w:rsid w:val="00B47197"/>
    <w:rsid w:val="00B47623"/>
    <w:rsid w:val="00B476CD"/>
    <w:rsid w:val="00B502B0"/>
    <w:rsid w:val="00B51E48"/>
    <w:rsid w:val="00B52562"/>
    <w:rsid w:val="00B55A9D"/>
    <w:rsid w:val="00B57902"/>
    <w:rsid w:val="00B6003C"/>
    <w:rsid w:val="00B61F03"/>
    <w:rsid w:val="00B626E4"/>
    <w:rsid w:val="00B62FA2"/>
    <w:rsid w:val="00B65FD9"/>
    <w:rsid w:val="00B71AD8"/>
    <w:rsid w:val="00B7264A"/>
    <w:rsid w:val="00B72F4A"/>
    <w:rsid w:val="00B73A54"/>
    <w:rsid w:val="00B82520"/>
    <w:rsid w:val="00B83C27"/>
    <w:rsid w:val="00B84BC3"/>
    <w:rsid w:val="00B84BDD"/>
    <w:rsid w:val="00B914F7"/>
    <w:rsid w:val="00B92812"/>
    <w:rsid w:val="00B93BA4"/>
    <w:rsid w:val="00BA1EBD"/>
    <w:rsid w:val="00BA62F8"/>
    <w:rsid w:val="00BA637A"/>
    <w:rsid w:val="00BA7792"/>
    <w:rsid w:val="00BB16EA"/>
    <w:rsid w:val="00BB3E89"/>
    <w:rsid w:val="00BB45A1"/>
    <w:rsid w:val="00BB7686"/>
    <w:rsid w:val="00BC0B66"/>
    <w:rsid w:val="00BC0E84"/>
    <w:rsid w:val="00BC23F9"/>
    <w:rsid w:val="00BC28E7"/>
    <w:rsid w:val="00BC2E4C"/>
    <w:rsid w:val="00BC3421"/>
    <w:rsid w:val="00BC3F9B"/>
    <w:rsid w:val="00BC58F9"/>
    <w:rsid w:val="00BC5A55"/>
    <w:rsid w:val="00BC732C"/>
    <w:rsid w:val="00BD37A1"/>
    <w:rsid w:val="00BD4421"/>
    <w:rsid w:val="00BD6383"/>
    <w:rsid w:val="00BD6DED"/>
    <w:rsid w:val="00BD6E4F"/>
    <w:rsid w:val="00BE0218"/>
    <w:rsid w:val="00BE2580"/>
    <w:rsid w:val="00BE266D"/>
    <w:rsid w:val="00BE3938"/>
    <w:rsid w:val="00BE45D7"/>
    <w:rsid w:val="00BE4C11"/>
    <w:rsid w:val="00BE6805"/>
    <w:rsid w:val="00BE71C0"/>
    <w:rsid w:val="00BF15D9"/>
    <w:rsid w:val="00BF2957"/>
    <w:rsid w:val="00BF4ECF"/>
    <w:rsid w:val="00BF5FB6"/>
    <w:rsid w:val="00BF610C"/>
    <w:rsid w:val="00BF7224"/>
    <w:rsid w:val="00C0060B"/>
    <w:rsid w:val="00C01A6C"/>
    <w:rsid w:val="00C0277D"/>
    <w:rsid w:val="00C02B0F"/>
    <w:rsid w:val="00C053A1"/>
    <w:rsid w:val="00C0717A"/>
    <w:rsid w:val="00C11DF3"/>
    <w:rsid w:val="00C16198"/>
    <w:rsid w:val="00C17539"/>
    <w:rsid w:val="00C2083D"/>
    <w:rsid w:val="00C24A53"/>
    <w:rsid w:val="00C274E6"/>
    <w:rsid w:val="00C30287"/>
    <w:rsid w:val="00C30883"/>
    <w:rsid w:val="00C31C25"/>
    <w:rsid w:val="00C34A05"/>
    <w:rsid w:val="00C350B9"/>
    <w:rsid w:val="00C35CCE"/>
    <w:rsid w:val="00C4032F"/>
    <w:rsid w:val="00C40999"/>
    <w:rsid w:val="00C41895"/>
    <w:rsid w:val="00C42DFC"/>
    <w:rsid w:val="00C44047"/>
    <w:rsid w:val="00C45155"/>
    <w:rsid w:val="00C45B41"/>
    <w:rsid w:val="00C5047A"/>
    <w:rsid w:val="00C53BD0"/>
    <w:rsid w:val="00C5498F"/>
    <w:rsid w:val="00C55235"/>
    <w:rsid w:val="00C606B8"/>
    <w:rsid w:val="00C6416A"/>
    <w:rsid w:val="00C6481A"/>
    <w:rsid w:val="00C64C82"/>
    <w:rsid w:val="00C64CD0"/>
    <w:rsid w:val="00C6684F"/>
    <w:rsid w:val="00C70E70"/>
    <w:rsid w:val="00C74A1F"/>
    <w:rsid w:val="00C75F8D"/>
    <w:rsid w:val="00C76A25"/>
    <w:rsid w:val="00C77380"/>
    <w:rsid w:val="00C800E1"/>
    <w:rsid w:val="00C824BE"/>
    <w:rsid w:val="00C8322B"/>
    <w:rsid w:val="00C83E81"/>
    <w:rsid w:val="00C8473C"/>
    <w:rsid w:val="00C85889"/>
    <w:rsid w:val="00C859DB"/>
    <w:rsid w:val="00C8716A"/>
    <w:rsid w:val="00C87E8A"/>
    <w:rsid w:val="00C95878"/>
    <w:rsid w:val="00C97736"/>
    <w:rsid w:val="00CA12E5"/>
    <w:rsid w:val="00CA345A"/>
    <w:rsid w:val="00CA64F5"/>
    <w:rsid w:val="00CB0164"/>
    <w:rsid w:val="00CB0501"/>
    <w:rsid w:val="00CB1E82"/>
    <w:rsid w:val="00CB4BA8"/>
    <w:rsid w:val="00CB50DF"/>
    <w:rsid w:val="00CB52D7"/>
    <w:rsid w:val="00CB60BB"/>
    <w:rsid w:val="00CC022A"/>
    <w:rsid w:val="00CC45A6"/>
    <w:rsid w:val="00CC49B1"/>
    <w:rsid w:val="00CC6732"/>
    <w:rsid w:val="00CC7864"/>
    <w:rsid w:val="00CD5116"/>
    <w:rsid w:val="00CD5E90"/>
    <w:rsid w:val="00CD7522"/>
    <w:rsid w:val="00CE02F2"/>
    <w:rsid w:val="00CE3C96"/>
    <w:rsid w:val="00CE51A8"/>
    <w:rsid w:val="00CF02F2"/>
    <w:rsid w:val="00CF369B"/>
    <w:rsid w:val="00CF41A4"/>
    <w:rsid w:val="00CF75E5"/>
    <w:rsid w:val="00CF78F7"/>
    <w:rsid w:val="00D00E28"/>
    <w:rsid w:val="00D01BF9"/>
    <w:rsid w:val="00D024E9"/>
    <w:rsid w:val="00D0269E"/>
    <w:rsid w:val="00D030A1"/>
    <w:rsid w:val="00D05D6C"/>
    <w:rsid w:val="00D073AD"/>
    <w:rsid w:val="00D13D18"/>
    <w:rsid w:val="00D15810"/>
    <w:rsid w:val="00D16D4E"/>
    <w:rsid w:val="00D16FE3"/>
    <w:rsid w:val="00D220F0"/>
    <w:rsid w:val="00D222B3"/>
    <w:rsid w:val="00D23742"/>
    <w:rsid w:val="00D278E5"/>
    <w:rsid w:val="00D27F41"/>
    <w:rsid w:val="00D325B3"/>
    <w:rsid w:val="00D3347E"/>
    <w:rsid w:val="00D35FB9"/>
    <w:rsid w:val="00D36441"/>
    <w:rsid w:val="00D4064E"/>
    <w:rsid w:val="00D447DA"/>
    <w:rsid w:val="00D44E9B"/>
    <w:rsid w:val="00D45FD2"/>
    <w:rsid w:val="00D46E2F"/>
    <w:rsid w:val="00D47AEB"/>
    <w:rsid w:val="00D50DB9"/>
    <w:rsid w:val="00D51302"/>
    <w:rsid w:val="00D52C43"/>
    <w:rsid w:val="00D52FD9"/>
    <w:rsid w:val="00D53514"/>
    <w:rsid w:val="00D546A9"/>
    <w:rsid w:val="00D60AC2"/>
    <w:rsid w:val="00D63BE8"/>
    <w:rsid w:val="00D64FA3"/>
    <w:rsid w:val="00D6507F"/>
    <w:rsid w:val="00D65C34"/>
    <w:rsid w:val="00D730BC"/>
    <w:rsid w:val="00D73912"/>
    <w:rsid w:val="00D80692"/>
    <w:rsid w:val="00D849C9"/>
    <w:rsid w:val="00D85226"/>
    <w:rsid w:val="00D87B94"/>
    <w:rsid w:val="00D90D49"/>
    <w:rsid w:val="00D921A7"/>
    <w:rsid w:val="00D92C51"/>
    <w:rsid w:val="00D92D49"/>
    <w:rsid w:val="00D92EC1"/>
    <w:rsid w:val="00D92F26"/>
    <w:rsid w:val="00D95659"/>
    <w:rsid w:val="00D96DEA"/>
    <w:rsid w:val="00DA08AA"/>
    <w:rsid w:val="00DA1B13"/>
    <w:rsid w:val="00DA34F2"/>
    <w:rsid w:val="00DA3EAF"/>
    <w:rsid w:val="00DA4B25"/>
    <w:rsid w:val="00DA4E41"/>
    <w:rsid w:val="00DB117A"/>
    <w:rsid w:val="00DB2AA5"/>
    <w:rsid w:val="00DB4B23"/>
    <w:rsid w:val="00DB5173"/>
    <w:rsid w:val="00DB7873"/>
    <w:rsid w:val="00DB7CD5"/>
    <w:rsid w:val="00DC118A"/>
    <w:rsid w:val="00DC187B"/>
    <w:rsid w:val="00DC7DEF"/>
    <w:rsid w:val="00DD1A43"/>
    <w:rsid w:val="00DD399F"/>
    <w:rsid w:val="00DD7295"/>
    <w:rsid w:val="00DD73C2"/>
    <w:rsid w:val="00DE22DB"/>
    <w:rsid w:val="00DE2364"/>
    <w:rsid w:val="00DE319B"/>
    <w:rsid w:val="00DF316F"/>
    <w:rsid w:val="00DF34FE"/>
    <w:rsid w:val="00DF56AA"/>
    <w:rsid w:val="00DF56AF"/>
    <w:rsid w:val="00DF6B46"/>
    <w:rsid w:val="00DF78E7"/>
    <w:rsid w:val="00E06A66"/>
    <w:rsid w:val="00E07E99"/>
    <w:rsid w:val="00E110E0"/>
    <w:rsid w:val="00E12096"/>
    <w:rsid w:val="00E1245C"/>
    <w:rsid w:val="00E15371"/>
    <w:rsid w:val="00E15CA5"/>
    <w:rsid w:val="00E15DB7"/>
    <w:rsid w:val="00E23372"/>
    <w:rsid w:val="00E24104"/>
    <w:rsid w:val="00E27BD9"/>
    <w:rsid w:val="00E302D0"/>
    <w:rsid w:val="00E330E6"/>
    <w:rsid w:val="00E35707"/>
    <w:rsid w:val="00E3628C"/>
    <w:rsid w:val="00E36AA1"/>
    <w:rsid w:val="00E37736"/>
    <w:rsid w:val="00E37CCD"/>
    <w:rsid w:val="00E41ECB"/>
    <w:rsid w:val="00E42676"/>
    <w:rsid w:val="00E47E0E"/>
    <w:rsid w:val="00E54FDB"/>
    <w:rsid w:val="00E55035"/>
    <w:rsid w:val="00E5507F"/>
    <w:rsid w:val="00E5561C"/>
    <w:rsid w:val="00E5617D"/>
    <w:rsid w:val="00E563D7"/>
    <w:rsid w:val="00E60F6F"/>
    <w:rsid w:val="00E663F4"/>
    <w:rsid w:val="00E666F2"/>
    <w:rsid w:val="00E66DD4"/>
    <w:rsid w:val="00E748CC"/>
    <w:rsid w:val="00E75415"/>
    <w:rsid w:val="00E775B1"/>
    <w:rsid w:val="00E803D5"/>
    <w:rsid w:val="00E81000"/>
    <w:rsid w:val="00E8152A"/>
    <w:rsid w:val="00E834FD"/>
    <w:rsid w:val="00E841E3"/>
    <w:rsid w:val="00E84A1B"/>
    <w:rsid w:val="00E85573"/>
    <w:rsid w:val="00E9189B"/>
    <w:rsid w:val="00E93629"/>
    <w:rsid w:val="00E93B5C"/>
    <w:rsid w:val="00E94CEC"/>
    <w:rsid w:val="00EA04EF"/>
    <w:rsid w:val="00EA1B70"/>
    <w:rsid w:val="00EA252A"/>
    <w:rsid w:val="00EA3F1A"/>
    <w:rsid w:val="00EA590C"/>
    <w:rsid w:val="00EA6F19"/>
    <w:rsid w:val="00EB47D3"/>
    <w:rsid w:val="00EB7090"/>
    <w:rsid w:val="00EC1BBE"/>
    <w:rsid w:val="00EC2B68"/>
    <w:rsid w:val="00EC3AEF"/>
    <w:rsid w:val="00EC5CD7"/>
    <w:rsid w:val="00ED5868"/>
    <w:rsid w:val="00EE12CA"/>
    <w:rsid w:val="00EE1937"/>
    <w:rsid w:val="00EE2425"/>
    <w:rsid w:val="00EE3348"/>
    <w:rsid w:val="00EE3E5E"/>
    <w:rsid w:val="00EE429F"/>
    <w:rsid w:val="00EE5BE2"/>
    <w:rsid w:val="00EE5FB3"/>
    <w:rsid w:val="00EE687C"/>
    <w:rsid w:val="00EE7F3F"/>
    <w:rsid w:val="00EE7F79"/>
    <w:rsid w:val="00EF045D"/>
    <w:rsid w:val="00EF0569"/>
    <w:rsid w:val="00EF3341"/>
    <w:rsid w:val="00EF397B"/>
    <w:rsid w:val="00EF4DDC"/>
    <w:rsid w:val="00EF6D2B"/>
    <w:rsid w:val="00EF715A"/>
    <w:rsid w:val="00F00AE4"/>
    <w:rsid w:val="00F00EDC"/>
    <w:rsid w:val="00F01BC3"/>
    <w:rsid w:val="00F02431"/>
    <w:rsid w:val="00F02641"/>
    <w:rsid w:val="00F046C1"/>
    <w:rsid w:val="00F057FE"/>
    <w:rsid w:val="00F066E6"/>
    <w:rsid w:val="00F06E14"/>
    <w:rsid w:val="00F11276"/>
    <w:rsid w:val="00F13709"/>
    <w:rsid w:val="00F179D4"/>
    <w:rsid w:val="00F22AF8"/>
    <w:rsid w:val="00F26676"/>
    <w:rsid w:val="00F30016"/>
    <w:rsid w:val="00F321D0"/>
    <w:rsid w:val="00F33C56"/>
    <w:rsid w:val="00F347C7"/>
    <w:rsid w:val="00F34848"/>
    <w:rsid w:val="00F35888"/>
    <w:rsid w:val="00F40184"/>
    <w:rsid w:val="00F4074B"/>
    <w:rsid w:val="00F42D46"/>
    <w:rsid w:val="00F4496C"/>
    <w:rsid w:val="00F44B0E"/>
    <w:rsid w:val="00F44E1D"/>
    <w:rsid w:val="00F44F3A"/>
    <w:rsid w:val="00F45DD5"/>
    <w:rsid w:val="00F47AC0"/>
    <w:rsid w:val="00F51F10"/>
    <w:rsid w:val="00F527CB"/>
    <w:rsid w:val="00F529A5"/>
    <w:rsid w:val="00F53156"/>
    <w:rsid w:val="00F532A0"/>
    <w:rsid w:val="00F54695"/>
    <w:rsid w:val="00F60F00"/>
    <w:rsid w:val="00F614C0"/>
    <w:rsid w:val="00F61C77"/>
    <w:rsid w:val="00F646D0"/>
    <w:rsid w:val="00F742AF"/>
    <w:rsid w:val="00F772D3"/>
    <w:rsid w:val="00F83848"/>
    <w:rsid w:val="00F83B63"/>
    <w:rsid w:val="00F84338"/>
    <w:rsid w:val="00F86DB5"/>
    <w:rsid w:val="00F87ABE"/>
    <w:rsid w:val="00F92871"/>
    <w:rsid w:val="00F96533"/>
    <w:rsid w:val="00F975E9"/>
    <w:rsid w:val="00FA1B7D"/>
    <w:rsid w:val="00FA2297"/>
    <w:rsid w:val="00FA54EB"/>
    <w:rsid w:val="00FA604A"/>
    <w:rsid w:val="00FB1D3D"/>
    <w:rsid w:val="00FB3BD0"/>
    <w:rsid w:val="00FB72ED"/>
    <w:rsid w:val="00FC07B9"/>
    <w:rsid w:val="00FC1525"/>
    <w:rsid w:val="00FC3049"/>
    <w:rsid w:val="00FC46E7"/>
    <w:rsid w:val="00FC4E21"/>
    <w:rsid w:val="00FC4E3C"/>
    <w:rsid w:val="00FC5F6D"/>
    <w:rsid w:val="00FC7E03"/>
    <w:rsid w:val="00FD0107"/>
    <w:rsid w:val="00FD0318"/>
    <w:rsid w:val="00FD275E"/>
    <w:rsid w:val="00FD2C2F"/>
    <w:rsid w:val="00FD3B31"/>
    <w:rsid w:val="00FE00B8"/>
    <w:rsid w:val="00FE0FAD"/>
    <w:rsid w:val="00FE1823"/>
    <w:rsid w:val="00FE487A"/>
    <w:rsid w:val="00FE5BDF"/>
    <w:rsid w:val="00FE6741"/>
    <w:rsid w:val="00FF0569"/>
    <w:rsid w:val="00FF0B10"/>
    <w:rsid w:val="00FF206E"/>
    <w:rsid w:val="00FF3008"/>
    <w:rsid w:val="00FF378C"/>
    <w:rsid w:val="00FF3C69"/>
    <w:rsid w:val="00FF6E0A"/>
    <w:rsid w:val="0128DDF4"/>
    <w:rsid w:val="041D62CB"/>
    <w:rsid w:val="05970DB6"/>
    <w:rsid w:val="078E6CB2"/>
    <w:rsid w:val="13C4E24C"/>
    <w:rsid w:val="1827ADE8"/>
    <w:rsid w:val="18923F3C"/>
    <w:rsid w:val="19974A15"/>
    <w:rsid w:val="1D7B8134"/>
    <w:rsid w:val="2B807FC9"/>
    <w:rsid w:val="314E33E9"/>
    <w:rsid w:val="3271D125"/>
    <w:rsid w:val="41EA50D7"/>
    <w:rsid w:val="46E4C580"/>
    <w:rsid w:val="4F32AA89"/>
    <w:rsid w:val="5B3CEA5A"/>
    <w:rsid w:val="5F81766C"/>
    <w:rsid w:val="66104C2C"/>
    <w:rsid w:val="6BCBF3FC"/>
    <w:rsid w:val="7209EA33"/>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red,#4d4d4f"/>
    </o:shapedefaults>
    <o:shapelayout v:ext="edit">
      <o:idmap v:ext="edit" data="1"/>
    </o:shapelayout>
  </w:shapeDefaults>
  <w:decimalSymbol w:val="."/>
  <w:listSeparator w:val=","/>
  <w14:docId w14:val="0381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1" w:qFormat="1"/>
    <w:lsdException w:name="heading 3"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qFormat="1"/>
    <w:lsdException w:name="Strong"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CC49B1"/>
    <w:pPr>
      <w:spacing w:after="240" w:line="240" w:lineRule="atLeast"/>
    </w:pPr>
    <w:rPr>
      <w:rFonts w:ascii="Arial" w:hAnsi="Arial"/>
      <w:sz w:val="20"/>
    </w:rPr>
  </w:style>
  <w:style w:type="paragraph" w:styleId="Heading1">
    <w:name w:val="heading 1"/>
    <w:basedOn w:val="Normal"/>
    <w:next w:val="Normal"/>
    <w:link w:val="Heading1Char"/>
    <w:uiPriority w:val="9"/>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2"/>
    <w:qFormat/>
    <w:rsid w:val="0085618F"/>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3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semiHidden/>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2">
    <w:name w:val="List Bullet 2"/>
    <w:basedOn w:val="Normal"/>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aliases w:val="CEO_Hyperlink"/>
    <w:basedOn w:val="DefaultParagraphFont"/>
    <w:qFormat/>
    <w:rsid w:val="00C35CCE"/>
    <w:rPr>
      <w:color w:val="0000FF"/>
      <w:u w:val="single" w:color="0000FF"/>
    </w:rPr>
  </w:style>
  <w:style w:type="character" w:styleId="FootnoteReference">
    <w:name w:val="footnote reference"/>
    <w:basedOn w:val="DefaultParagraphFont"/>
    <w:uiPriority w:val="99"/>
    <w:semiHidden/>
    <w:rsid w:val="00566AB4"/>
    <w:rPr>
      <w:rFonts w:ascii="Arial" w:hAnsi="Arial"/>
      <w:vertAlign w:val="superscript"/>
    </w:rPr>
  </w:style>
  <w:style w:type="paragraph" w:styleId="FootnoteText">
    <w:name w:val="footnote text"/>
    <w:aliases w:val="Footnote text"/>
    <w:basedOn w:val="Normal"/>
    <w:link w:val="FootnoteTextChar"/>
    <w:uiPriority w:val="99"/>
    <w:rsid w:val="00203FDA"/>
    <w:pPr>
      <w:spacing w:after="4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semiHidden/>
    <w:rsid w:val="00EE7F79"/>
    <w:rPr>
      <w:sz w:val="16"/>
      <w:szCs w:val="16"/>
    </w:rPr>
  </w:style>
  <w:style w:type="paragraph" w:styleId="CommentText">
    <w:name w:val="annotation text"/>
    <w:basedOn w:val="Normal"/>
    <w:link w:val="CommentTextChar"/>
    <w:semiHidden/>
    <w:rsid w:val="00EE7F79"/>
    <w:pPr>
      <w:spacing w:line="240" w:lineRule="auto"/>
    </w:pPr>
    <w:rPr>
      <w:szCs w:val="20"/>
    </w:rPr>
  </w:style>
  <w:style w:type="character" w:customStyle="1" w:styleId="CommentTextChar">
    <w:name w:val="Comment Text Char"/>
    <w:basedOn w:val="DefaultParagraphFont"/>
    <w:link w:val="CommentText"/>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Normal"/>
    <w:uiPriority w:val="5"/>
    <w:qFormat/>
    <w:rsid w:val="00CC49B1"/>
    <w:pPr>
      <w:numPr>
        <w:numId w:val="1"/>
      </w:numPr>
      <w:spacing w:after="80"/>
    </w:pPr>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qFormat/>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uiPriority w:val="20"/>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spacing w:after="160"/>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9"/>
    <w:rsid w:val="006C1631"/>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800CCD"/>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uiPriority w:val="7"/>
    <w:qFormat/>
    <w:rsid w:val="00A824E8"/>
    <w:rPr>
      <w:rFonts w:cs="Arial"/>
    </w:rPr>
  </w:style>
  <w:style w:type="paragraph" w:customStyle="1" w:styleId="Bulletlevel1last">
    <w:name w:val="Bullet level 1 last"/>
    <w:basedOn w:val="Normal"/>
    <w:uiPriority w:val="6"/>
    <w:qFormat/>
    <w:rsid w:val="00CC49B1"/>
    <w:pPr>
      <w:tabs>
        <w:tab w:val="num" w:pos="295"/>
      </w:tabs>
      <w:ind w:left="295" w:hanging="295"/>
    </w:pPr>
    <w:rPr>
      <w:rFonts w:cs="Arial"/>
    </w:rPr>
  </w:style>
  <w:style w:type="paragraph" w:customStyle="1" w:styleId="Numberlistlevel2">
    <w:name w:val="Number list level 2"/>
    <w:basedOn w:val="ListNumber2"/>
    <w:uiPriority w:val="11"/>
    <w:qFormat/>
    <w:rsid w:val="004A70D6"/>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uiPriority w:val="8"/>
    <w:qFormat/>
    <w:rsid w:val="004A70D6"/>
    <w:pPr>
      <w:spacing w:after="240"/>
    </w:pPr>
  </w:style>
  <w:style w:type="table" w:customStyle="1" w:styleId="ACMAtablestyle">
    <w:name w:val="ACMA table style"/>
    <w:basedOn w:val="TableNormal"/>
    <w:uiPriority w:val="99"/>
    <w:rsid w:val="0063346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paragraph" w:customStyle="1" w:styleId="Tableheading">
    <w:name w:val="Table heading"/>
    <w:basedOn w:val="ACMATableHeader"/>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character" w:styleId="Strong">
    <w:name w:val="Strong"/>
    <w:basedOn w:val="DefaultParagraphFont"/>
    <w:semiHidden/>
    <w:qFormat/>
    <w:rsid w:val="00784722"/>
    <w:rPr>
      <w:b/>
      <w:bCs/>
    </w:rPr>
  </w:style>
  <w:style w:type="paragraph" w:customStyle="1" w:styleId="Protectivemarking">
    <w:name w:val="Protective marking"/>
    <w:basedOn w:val="Normal"/>
    <w:uiPriority w:val="99"/>
    <w:qFormat/>
    <w:rsid w:val="00B476CD"/>
    <w:pPr>
      <w:tabs>
        <w:tab w:val="left" w:pos="720"/>
      </w:tabs>
      <w:spacing w:after="0" w:line="240" w:lineRule="auto"/>
      <w:jc w:val="center"/>
    </w:pPr>
    <w:rPr>
      <w:rFonts w:cs="Arial"/>
      <w:b/>
      <w:bCs/>
      <w:color w:val="FF0000"/>
      <w:sz w:val="32"/>
      <w:lang w:eastAsia="en-US"/>
    </w:rPr>
  </w:style>
  <w:style w:type="paragraph" w:styleId="BalloonText">
    <w:name w:val="Balloon Text"/>
    <w:basedOn w:val="Normal"/>
    <w:link w:val="BalloonTextChar"/>
    <w:semiHidden/>
    <w:unhideWhenUsed/>
    <w:rsid w:val="00306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0687B"/>
    <w:rPr>
      <w:rFonts w:ascii="Segoe UI" w:hAnsi="Segoe UI" w:cs="Segoe UI"/>
      <w:sz w:val="18"/>
      <w:szCs w:val="18"/>
    </w:rPr>
  </w:style>
  <w:style w:type="character" w:customStyle="1" w:styleId="FootnoteTextChar">
    <w:name w:val="Footnote Text Char"/>
    <w:aliases w:val="Footnote text Char"/>
    <w:basedOn w:val="DefaultParagraphFont"/>
    <w:link w:val="FootnoteText"/>
    <w:uiPriority w:val="99"/>
    <w:rsid w:val="00203FDA"/>
    <w:rPr>
      <w:rFonts w:ascii="Arial" w:hAnsi="Arial"/>
      <w:sz w:val="16"/>
      <w:szCs w:val="16"/>
    </w:rPr>
  </w:style>
  <w:style w:type="character" w:customStyle="1" w:styleId="normaltextrun">
    <w:name w:val="normaltextrun"/>
    <w:basedOn w:val="DefaultParagraphFont"/>
    <w:rsid w:val="00DA08AA"/>
  </w:style>
  <w:style w:type="character" w:customStyle="1" w:styleId="eop">
    <w:name w:val="eop"/>
    <w:basedOn w:val="DefaultParagraphFont"/>
    <w:rsid w:val="00DA08AA"/>
  </w:style>
  <w:style w:type="paragraph" w:styleId="ListParagraph">
    <w:name w:val="List Paragraph"/>
    <w:basedOn w:val="Normal"/>
    <w:semiHidden/>
    <w:rsid w:val="008D0318"/>
    <w:pPr>
      <w:ind w:left="720"/>
      <w:contextualSpacing/>
    </w:pPr>
  </w:style>
  <w:style w:type="paragraph" w:styleId="NormalWeb">
    <w:name w:val="Normal (Web)"/>
    <w:basedOn w:val="Normal"/>
    <w:uiPriority w:val="99"/>
    <w:unhideWhenUsed/>
    <w:rsid w:val="00874FE4"/>
    <w:pPr>
      <w:spacing w:before="100" w:beforeAutospacing="1" w:after="100" w:afterAutospacing="1" w:line="240" w:lineRule="auto"/>
    </w:pPr>
    <w:rPr>
      <w:rFonts w:ascii="Times New Roman" w:hAnsi="Times New Roman"/>
      <w:sz w:val="24"/>
    </w:rPr>
  </w:style>
  <w:style w:type="paragraph" w:styleId="Revision">
    <w:name w:val="Revision"/>
    <w:hidden/>
    <w:semiHidden/>
    <w:rsid w:val="008E4D4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2241">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751005933">
      <w:bodyDiv w:val="1"/>
      <w:marLeft w:val="0"/>
      <w:marRight w:val="0"/>
      <w:marTop w:val="0"/>
      <w:marBottom w:val="0"/>
      <w:divBdr>
        <w:top w:val="none" w:sz="0" w:space="0" w:color="auto"/>
        <w:left w:val="none" w:sz="0" w:space="0" w:color="auto"/>
        <w:bottom w:val="none" w:sz="0" w:space="0" w:color="auto"/>
        <w:right w:val="none" w:sz="0" w:space="0" w:color="auto"/>
      </w:divBdr>
    </w:div>
    <w:div w:id="772551504">
      <w:bodyDiv w:val="1"/>
      <w:marLeft w:val="0"/>
      <w:marRight w:val="0"/>
      <w:marTop w:val="0"/>
      <w:marBottom w:val="0"/>
      <w:divBdr>
        <w:top w:val="none" w:sz="0" w:space="0" w:color="auto"/>
        <w:left w:val="none" w:sz="0" w:space="0" w:color="auto"/>
        <w:bottom w:val="none" w:sz="0" w:space="0" w:color="auto"/>
        <w:right w:val="none" w:sz="0" w:space="0" w:color="auto"/>
      </w:divBdr>
    </w:div>
    <w:div w:id="1048843142">
      <w:bodyDiv w:val="1"/>
      <w:marLeft w:val="0"/>
      <w:marRight w:val="0"/>
      <w:marTop w:val="0"/>
      <w:marBottom w:val="0"/>
      <w:divBdr>
        <w:top w:val="none" w:sz="0" w:space="0" w:color="auto"/>
        <w:left w:val="none" w:sz="0" w:space="0" w:color="auto"/>
        <w:bottom w:val="none" w:sz="0" w:space="0" w:color="auto"/>
        <w:right w:val="none" w:sz="0" w:space="0" w:color="auto"/>
      </w:divBdr>
    </w:div>
    <w:div w:id="1054892237">
      <w:bodyDiv w:val="1"/>
      <w:marLeft w:val="0"/>
      <w:marRight w:val="0"/>
      <w:marTop w:val="0"/>
      <w:marBottom w:val="0"/>
      <w:divBdr>
        <w:top w:val="none" w:sz="0" w:space="0" w:color="auto"/>
        <w:left w:val="none" w:sz="0" w:space="0" w:color="auto"/>
        <w:bottom w:val="none" w:sz="0" w:space="0" w:color="auto"/>
        <w:right w:val="none" w:sz="0" w:space="0" w:color="auto"/>
      </w:divBdr>
    </w:div>
    <w:div w:id="1221866069">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869292527">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20396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image" Target="media/image6.svg"/><Relationship Id="rId39" Type="http://schemas.openxmlformats.org/officeDocument/2006/relationships/image" Target="media/image17.png"/><Relationship Id="rId21" Type="http://schemas.openxmlformats.org/officeDocument/2006/relationships/header" Target="header6.xml"/><Relationship Id="rId34" Type="http://schemas.openxmlformats.org/officeDocument/2006/relationships/hyperlink" Target="https://www.acma.gov.au/publications/2020-08/report/artificial-intelligence-communications-and-media-occasional-paper" TargetMode="External"/><Relationship Id="rId42" Type="http://schemas.openxmlformats.org/officeDocument/2006/relationships/image" Target="media/image20.svg"/><Relationship Id="rId47" Type="http://schemas.openxmlformats.org/officeDocument/2006/relationships/image" Target="media/image25.png"/><Relationship Id="rId50" Type="http://schemas.openxmlformats.org/officeDocument/2006/relationships/image" Target="media/image28.svg"/><Relationship Id="rId55" Type="http://schemas.openxmlformats.org/officeDocument/2006/relationships/image" Target="media/image33.png"/><Relationship Id="rId63" Type="http://schemas.openxmlformats.org/officeDocument/2006/relationships/image" Target="media/image41.svg"/><Relationship Id="rId68" Type="http://schemas.openxmlformats.org/officeDocument/2006/relationships/image" Target="media/image46.png"/><Relationship Id="rId76" Type="http://schemas.openxmlformats.org/officeDocument/2006/relationships/image" Target="media/image54.png"/><Relationship Id="rId84" Type="http://schemas.openxmlformats.org/officeDocument/2006/relationships/image" Target="media/image59.svg"/><Relationship Id="rId89" Type="http://schemas.openxmlformats.org/officeDocument/2006/relationships/header" Target="header8.xml"/><Relationship Id="rId7" Type="http://schemas.openxmlformats.org/officeDocument/2006/relationships/endnotes" Target="endnotes.xml"/><Relationship Id="rId71" Type="http://schemas.openxmlformats.org/officeDocument/2006/relationships/image" Target="media/image49.svg"/><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9.png"/><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image" Target="media/image12.svg"/><Relationship Id="rId37" Type="http://schemas.openxmlformats.org/officeDocument/2006/relationships/image" Target="media/image15.png"/><Relationship Id="rId40" Type="http://schemas.openxmlformats.org/officeDocument/2006/relationships/image" Target="media/image18.svg"/><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image" Target="media/image36.svg"/><Relationship Id="rId66" Type="http://schemas.openxmlformats.org/officeDocument/2006/relationships/image" Target="media/image44.png"/><Relationship Id="rId74" Type="http://schemas.openxmlformats.org/officeDocument/2006/relationships/image" Target="media/image52.png"/><Relationship Id="rId79" Type="http://schemas.openxmlformats.org/officeDocument/2006/relationships/hyperlink" Target="https://www.dta.gov.au/digital-transformation-strategy/digital-transformation-strategy-dashboard/objective-7-advanced-technologies-will-improve-decision-making-and-be-transparent-and-auditable" TargetMode="External"/><Relationship Id="rId87" Type="http://schemas.openxmlformats.org/officeDocument/2006/relationships/hyperlink" Target="mailto:regfutures@acma.gov.au" TargetMode="External"/><Relationship Id="rId5" Type="http://schemas.openxmlformats.org/officeDocument/2006/relationships/webSettings" Target="webSettings.xml"/><Relationship Id="rId61" Type="http://schemas.openxmlformats.org/officeDocument/2006/relationships/image" Target="media/image39.png"/><Relationship Id="rId82" Type="http://schemas.openxmlformats.org/officeDocument/2006/relationships/image" Target="media/image57.svg"/><Relationship Id="rId90" Type="http://schemas.openxmlformats.org/officeDocument/2006/relationships/footer" Target="footer7.xml"/><Relationship Id="rId19" Type="http://schemas.openxmlformats.org/officeDocument/2006/relationships/footer" Target="footer3.xml"/><Relationship Id="rId14" Type="http://schemas.openxmlformats.org/officeDocument/2006/relationships/hyperlink" Target="https://creativecommons.org/licenses/by/4.0/" TargetMode="External"/><Relationship Id="rId22" Type="http://schemas.openxmlformats.org/officeDocument/2006/relationships/footer" Target="footer4.xml"/><Relationship Id="rId27" Type="http://schemas.openxmlformats.org/officeDocument/2006/relationships/image" Target="media/image7.png"/><Relationship Id="rId30" Type="http://schemas.openxmlformats.org/officeDocument/2006/relationships/image" Target="media/image10.sv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svg"/><Relationship Id="rId56" Type="http://schemas.openxmlformats.org/officeDocument/2006/relationships/image" Target="media/image34.svg"/><Relationship Id="rId64" Type="http://schemas.openxmlformats.org/officeDocument/2006/relationships/image" Target="media/image42.png"/><Relationship Id="rId69" Type="http://schemas.openxmlformats.org/officeDocument/2006/relationships/image" Target="media/image47.svg"/><Relationship Id="rId77" Type="http://schemas.openxmlformats.org/officeDocument/2006/relationships/image" Target="media/image55.svg"/><Relationship Id="rId8" Type="http://schemas.openxmlformats.org/officeDocument/2006/relationships/image" Target="media/image1.png"/><Relationship Id="rId51" Type="http://schemas.openxmlformats.org/officeDocument/2006/relationships/image" Target="media/image29.png"/><Relationship Id="rId72" Type="http://schemas.openxmlformats.org/officeDocument/2006/relationships/image" Target="media/image50.png"/><Relationship Id="rId80" Type="http://schemas.openxmlformats.org/officeDocument/2006/relationships/hyperlink" Target="https://www.itnews.com.au/news/services-australia-chatbot-use-soars-600-percent-during-covid-551218" TargetMode="External"/><Relationship Id="rId85" Type="http://schemas.openxmlformats.org/officeDocument/2006/relationships/image" Target="media/image60.png"/><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i.creativecommons.org/l/by/3.0/88x31.png" TargetMode="External"/><Relationship Id="rId17" Type="http://schemas.openxmlformats.org/officeDocument/2006/relationships/header" Target="header4.xml"/><Relationship Id="rId25" Type="http://schemas.openxmlformats.org/officeDocument/2006/relationships/image" Target="media/image5.png"/><Relationship Id="rId33" Type="http://schemas.openxmlformats.org/officeDocument/2006/relationships/hyperlink" Target="https://www.acma.gov.au/research-program" TargetMode="External"/><Relationship Id="rId38" Type="http://schemas.openxmlformats.org/officeDocument/2006/relationships/image" Target="media/image16.svg"/><Relationship Id="rId46" Type="http://schemas.openxmlformats.org/officeDocument/2006/relationships/image" Target="media/image24.svg"/><Relationship Id="rId59" Type="http://schemas.openxmlformats.org/officeDocument/2006/relationships/image" Target="media/image37.png"/><Relationship Id="rId67" Type="http://schemas.openxmlformats.org/officeDocument/2006/relationships/image" Target="media/image45.svg"/><Relationship Id="rId20" Type="http://schemas.openxmlformats.org/officeDocument/2006/relationships/header" Target="header5.xml"/><Relationship Id="rId41" Type="http://schemas.openxmlformats.org/officeDocument/2006/relationships/image" Target="media/image19.png"/><Relationship Id="rId54" Type="http://schemas.openxmlformats.org/officeDocument/2006/relationships/image" Target="media/image32.svg"/><Relationship Id="rId62" Type="http://schemas.openxmlformats.org/officeDocument/2006/relationships/image" Target="media/image40.png"/><Relationship Id="rId70" Type="http://schemas.openxmlformats.org/officeDocument/2006/relationships/image" Target="media/image48.png"/><Relationship Id="rId75" Type="http://schemas.openxmlformats.org/officeDocument/2006/relationships/image" Target="media/image53.svg"/><Relationship Id="rId83" Type="http://schemas.openxmlformats.org/officeDocument/2006/relationships/image" Target="media/image58.png"/><Relationship Id="rId88" Type="http://schemas.openxmlformats.org/officeDocument/2006/relationships/header" Target="header7.xml"/><Relationship Id="rId9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info@acma.gov.au" TargetMode="External"/><Relationship Id="rId23" Type="http://schemas.openxmlformats.org/officeDocument/2006/relationships/footer" Target="footer5.xml"/><Relationship Id="rId28" Type="http://schemas.openxmlformats.org/officeDocument/2006/relationships/image" Target="media/image8.svg"/><Relationship Id="rId36" Type="http://schemas.openxmlformats.org/officeDocument/2006/relationships/image" Target="media/image14.svg"/><Relationship Id="rId49" Type="http://schemas.openxmlformats.org/officeDocument/2006/relationships/image" Target="media/image27.png"/><Relationship Id="rId57" Type="http://schemas.openxmlformats.org/officeDocument/2006/relationships/image" Target="media/image35.png"/><Relationship Id="rId10" Type="http://schemas.openxmlformats.org/officeDocument/2006/relationships/footer" Target="footer1.xml"/><Relationship Id="rId31" Type="http://schemas.openxmlformats.org/officeDocument/2006/relationships/image" Target="media/image11.png"/><Relationship Id="rId44" Type="http://schemas.openxmlformats.org/officeDocument/2006/relationships/image" Target="media/image22.svg"/><Relationship Id="rId52" Type="http://schemas.openxmlformats.org/officeDocument/2006/relationships/image" Target="media/image30.svg"/><Relationship Id="rId60" Type="http://schemas.openxmlformats.org/officeDocument/2006/relationships/image" Target="media/image38.svg"/><Relationship Id="rId65" Type="http://schemas.openxmlformats.org/officeDocument/2006/relationships/image" Target="media/image43.svg"/><Relationship Id="rId73" Type="http://schemas.openxmlformats.org/officeDocument/2006/relationships/image" Target="media/image51.svg"/><Relationship Id="rId78" Type="http://schemas.openxmlformats.org/officeDocument/2006/relationships/hyperlink" Target="https://www.zdnet.com/article/ip-australias-alex-is-more-than-just-a-chatbot/" TargetMode="External"/><Relationship Id="rId81" Type="http://schemas.openxmlformats.org/officeDocument/2006/relationships/image" Target="media/image56.png"/><Relationship Id="rId86" Type="http://schemas.openxmlformats.org/officeDocument/2006/relationships/image" Target="media/image61.svg"/><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acma.gov.au"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ai.facebook.com/blog/heres-how-were-using-ai-to-help-detect-misinformation/" TargetMode="External"/><Relationship Id="rId18" Type="http://schemas.openxmlformats.org/officeDocument/2006/relationships/hyperlink" Target="https://www.ncbi.nlm.nih.gov/pmc/articles/PMC3168328/" TargetMode="External"/><Relationship Id="rId26" Type="http://schemas.openxmlformats.org/officeDocument/2006/relationships/hyperlink" Target="https://dataingovernment.blog.gov.uk/2019/06/14/natural-language-processing-in-government/" TargetMode="External"/><Relationship Id="rId39" Type="http://schemas.openxmlformats.org/officeDocument/2006/relationships/hyperlink" Target="https://asic.gov.au/for-business/innovation-hub/asic-and-regtech/asic-regtech-initiative-series-2018-19/" TargetMode="External"/><Relationship Id="rId21" Type="http://schemas.openxmlformats.org/officeDocument/2006/relationships/hyperlink" Target="https://www2.deloitte.com/us/en/insights/focus/cognitive-technologies/natural-language-processing-examples-in-government-data.html" TargetMode="External"/><Relationship Id="rId34" Type="http://schemas.openxmlformats.org/officeDocument/2006/relationships/hyperlink" Target="https://www.lexalytics.com/technology/summarization" TargetMode="External"/><Relationship Id="rId42" Type="http://schemas.openxmlformats.org/officeDocument/2006/relationships/hyperlink" Target="https://asic.gov.au/for-business/innovation-hub/asic-and-regtech/asic-regtech-initiative-series-2018-19/regtech-life-insurance-sales-calls-voice-analytics-and-voice-to-text-trial-and-symposium/" TargetMode="External"/><Relationship Id="rId47" Type="http://schemas.openxmlformats.org/officeDocument/2006/relationships/hyperlink" Target="https://azure.microsoft.com/en-au/services/cognitive-services/text-analytics/" TargetMode="External"/><Relationship Id="rId50" Type="http://schemas.openxmlformats.org/officeDocument/2006/relationships/hyperlink" Target="https://www.dta.gov.au/digital-transformation-strategy/digital-transformation-strategy-dashboard/objective-7-advanced-technologies-will-improve-decision-making-and-be-transparent-and-auditable" TargetMode="External"/><Relationship Id="rId55" Type="http://schemas.openxmlformats.org/officeDocument/2006/relationships/hyperlink" Target="https://www.treasury.nsw.gov.au/sites/default/files/2020-07/FINAL%20Treasury%20report%20210720.pdf" TargetMode="External"/><Relationship Id="rId7" Type="http://schemas.openxmlformats.org/officeDocument/2006/relationships/hyperlink" Target="https://www.statista.com/statistics/607891/worldwide-natural-language-processing-market-revenues/" TargetMode="External"/><Relationship Id="rId12" Type="http://schemas.openxmlformats.org/officeDocument/2006/relationships/hyperlink" Target="https://www.vodafone.co.uk/help-and-information/introducing-tobi" TargetMode="External"/><Relationship Id="rId17" Type="http://schemas.openxmlformats.org/officeDocument/2006/relationships/hyperlink" Target="https://www.sas.com/en_au/insights/analytics/what-is-natural-language-processing-nlp.html" TargetMode="External"/><Relationship Id="rId25" Type="http://schemas.openxmlformats.org/officeDocument/2006/relationships/hyperlink" Target="https://www2.deloitte.com/us/en/insights/focus/cognitive-technologies/natural-language-processing-examples-in-government-data.html/" TargetMode="External"/><Relationship Id="rId33" Type="http://schemas.openxmlformats.org/officeDocument/2006/relationships/hyperlink" Target="https://www.accenture.com/us-en/blogs/search-and-content-analytics-blog/intelligent-document-analysis-nlp" TargetMode="External"/><Relationship Id="rId38" Type="http://schemas.openxmlformats.org/officeDocument/2006/relationships/hyperlink" Target="https://dataingovernment.blog.gov.uk/2016/12/20/using-machine-learning-to-classify-user-comments-on-gov-uk/" TargetMode="External"/><Relationship Id="rId46" Type="http://schemas.openxmlformats.org/officeDocument/2006/relationships/hyperlink" Target="https://www.nuix.com/nuix-discover-continuous-active-learning" TargetMode="External"/><Relationship Id="rId2" Type="http://schemas.openxmlformats.org/officeDocument/2006/relationships/hyperlink" Target="https://www.accenture.com/au-en/insights/applied-intelligence/artificial-intelligence-glossary" TargetMode="External"/><Relationship Id="rId16" Type="http://schemas.openxmlformats.org/officeDocument/2006/relationships/hyperlink" Target="https://www.kdnuggets.com/2019/07/nlp-vs-nlu-understanding-language-processing.html" TargetMode="External"/><Relationship Id="rId20" Type="http://schemas.openxmlformats.org/officeDocument/2006/relationships/hyperlink" Target="https://www.cambridge.org/core/journals/natural-language-engineering/article/nlp-commercialisation-in-the-last-25-years/ECC5887188379FC218E00664767CD2B2" TargetMode="External"/><Relationship Id="rId29" Type="http://schemas.openxmlformats.org/officeDocument/2006/relationships/hyperlink" Target="https://www.citizenlab.co/case-studies-en/youth4climate" TargetMode="External"/><Relationship Id="rId41" Type="http://schemas.openxmlformats.org/officeDocument/2006/relationships/hyperlink" Target="https://asic.gov.au/for-business/innovation-hub/asic-and-regtech/asic-regtech-initiative-series-2018-19/regtech-financial-advice-files-demonstration-and-symposium/" TargetMode="External"/><Relationship Id="rId54" Type="http://schemas.openxmlformats.org/officeDocument/2006/relationships/hyperlink" Target="https://www.regulatoryexplorer.com/landing" TargetMode="External"/><Relationship Id="rId1" Type="http://schemas.openxmlformats.org/officeDocument/2006/relationships/hyperlink" Target="https://lirneasia.net/2019/04/natural-language-processing-for-government-problems-and-potential/" TargetMode="External"/><Relationship Id="rId6" Type="http://schemas.openxmlformats.org/officeDocument/2006/relationships/hyperlink" Target="https://www.brookings.edu/research/what-is-machine-learning/" TargetMode="External"/><Relationship Id="rId11" Type="http://schemas.openxmlformats.org/officeDocument/2006/relationships/hyperlink" Target="https://www.vodafone.com/news/public-policy/vodafone-launches-artificial-intelligence-framework" TargetMode="External"/><Relationship Id="rId24" Type="http://schemas.openxmlformats.org/officeDocument/2006/relationships/hyperlink" Target="https://dataingovernment.blog.gov.uk/2016/11/09/understanding-more-from-user-feedback/" TargetMode="External"/><Relationship Id="rId32" Type="http://schemas.openxmlformats.org/officeDocument/2006/relationships/hyperlink" Target="https://www.elderresearch.com/blog/natural-language-processing-for-regtech-uncovering-hidden-patterns-in-regulatory-documents/" TargetMode="External"/><Relationship Id="rId37" Type="http://schemas.openxmlformats.org/officeDocument/2006/relationships/hyperlink" Target="https://arxiv.org/abs/1911.06197" TargetMode="External"/><Relationship Id="rId40" Type="http://schemas.openxmlformats.org/officeDocument/2006/relationships/hyperlink" Target="https://asic.gov.au/for-business/innovation-hub/asic-and-regtech/asic-regtech-initiative-series-2018-19/regtech-monitoring-financial-promotions-demonstration-and-symposium/" TargetMode="External"/><Relationship Id="rId45" Type="http://schemas.openxmlformats.org/officeDocument/2006/relationships/hyperlink" Target="https://www.ringtail.com/documentation/ringtail-9.9/user/map/about-map/about-concepts-clusters-map" TargetMode="External"/><Relationship Id="rId53" Type="http://schemas.openxmlformats.org/officeDocument/2006/relationships/hyperlink" Target="https://www.zdnet.com/article/ip-australias-alex-is-more-than-just-a-chatbot/" TargetMode="External"/><Relationship Id="rId58" Type="http://schemas.openxmlformats.org/officeDocument/2006/relationships/hyperlink" Target="https://www.wolterskluwer.com/en/expert-insights/how-natural-language-processing-impacts-professions" TargetMode="External"/><Relationship Id="rId5" Type="http://schemas.openxmlformats.org/officeDocument/2006/relationships/hyperlink" Target="https://www.oecd-ilibrary.org/science-and-technology/artificial-intelligence-in-society_eedfee77-en" TargetMode="External"/><Relationship Id="rId15" Type="http://schemas.openxmlformats.org/officeDocument/2006/relationships/hyperlink" Target="https://research.netflix.com/business-area/personalization-and-search" TargetMode="External"/><Relationship Id="rId23" Type="http://schemas.openxmlformats.org/officeDocument/2006/relationships/hyperlink" Target="https://dictionary.cambridge.org/dictionary/english/lemmatization" TargetMode="External"/><Relationship Id="rId28" Type="http://schemas.openxmlformats.org/officeDocument/2006/relationships/hyperlink" Target="https://datasciencecampus.github.io/projects/DSC-73-Analysis-of-consultation-results-for-the-Department-of-International-Trade/" TargetMode="External"/><Relationship Id="rId36" Type="http://schemas.openxmlformats.org/officeDocument/2006/relationships/hyperlink" Target="https://dataingovernment.blog.gov.uk/2019/06/14/natural-language-processing-in-government/" TargetMode="External"/><Relationship Id="rId49" Type="http://schemas.openxmlformats.org/officeDocument/2006/relationships/hyperlink" Target="https://www.industry.gov.au/sites/default/files/May%202018/document/pdf/australia-2030-prosperity-through-innovation-full-report.pdf?acsf_files_redirect" TargetMode="External"/><Relationship Id="rId57" Type="http://schemas.openxmlformats.org/officeDocument/2006/relationships/hyperlink" Target="https://arxiv.org/abs/1707.00061" TargetMode="External"/><Relationship Id="rId10" Type="http://schemas.openxmlformats.org/officeDocument/2006/relationships/hyperlink" Target="https://www.optus.com.au/about/media-centre/media-releases/2020/07/optus-assistant-chatbot-surpasses-two-million-conversations" TargetMode="External"/><Relationship Id="rId19" Type="http://schemas.openxmlformats.org/officeDocument/2006/relationships/hyperlink" Target="https://www2.deloitte.com/us/en/insights/focus/cognitive-technologies/natural-language-processing-examples-in-government-data.html" TargetMode="External"/><Relationship Id="rId31" Type="http://schemas.openxmlformats.org/officeDocument/2006/relationships/hyperlink" Target="https://ieeexplore.ieee.org/document/8554831" TargetMode="External"/><Relationship Id="rId44" Type="http://schemas.openxmlformats.org/officeDocument/2006/relationships/hyperlink" Target="https://www.nuix.com/solutions/ediscovery" TargetMode="External"/><Relationship Id="rId52" Type="http://schemas.openxmlformats.org/officeDocument/2006/relationships/hyperlink" Target="https://www.ipaustralia.gov.au/" TargetMode="External"/><Relationship Id="rId4" Type="http://schemas.openxmlformats.org/officeDocument/2006/relationships/hyperlink" Target="https://news.mit.edu/2017/explained-neural-networks-deep-learning-0414" TargetMode="External"/><Relationship Id="rId9" Type="http://schemas.openxmlformats.org/officeDocument/2006/relationships/hyperlink" Target="https://www.telstra.com.au/mytelstra/message-telstra" TargetMode="External"/><Relationship Id="rId14" Type="http://schemas.openxmlformats.org/officeDocument/2006/relationships/hyperlink" Target="https://help.netflix.com/en/node/100639" TargetMode="External"/><Relationship Id="rId22" Type="http://schemas.openxmlformats.org/officeDocument/2006/relationships/hyperlink" Target="https://www.lexalytics.com/resources/Lexalytics-WP-Context.pdf" TargetMode="External"/><Relationship Id="rId27" Type="http://schemas.openxmlformats.org/officeDocument/2006/relationships/hyperlink" Target="https://datasciencecampus.ons.gov.uk/projects/automating-consultation-analysis/" TargetMode="External"/><Relationship Id="rId30" Type="http://schemas.openxmlformats.org/officeDocument/2006/relationships/hyperlink" Target="https://www.wired.com/story/bots-broke-fcc-public-comment-system/" TargetMode="External"/><Relationship Id="rId35" Type="http://schemas.openxmlformats.org/officeDocument/2006/relationships/hyperlink" Target="https://medium.com/luisfredgs/automatic-text-summarization-with-machine-learning-an-overview-68ded5717a25" TargetMode="External"/><Relationship Id="rId43" Type="http://schemas.openxmlformats.org/officeDocument/2006/relationships/hyperlink" Target="https://www.nuix.com/products/nuixdiscover" TargetMode="External"/><Relationship Id="rId48" Type="http://schemas.openxmlformats.org/officeDocument/2006/relationships/hyperlink" Target="https://azure.microsoft.com/en-au/services/cognitive-services/text-analytics/" TargetMode="External"/><Relationship Id="rId56" Type="http://schemas.openxmlformats.org/officeDocument/2006/relationships/hyperlink" Target="https://www.treasury.nsw.gov.au/sites/default/files/2020-07/FINAL%20Treasury%20report%20210720.pdf" TargetMode="External"/><Relationship Id="rId8" Type="http://schemas.openxmlformats.org/officeDocument/2006/relationships/hyperlink" Target="https://www.fortunebusinessinsights.com/industry-reports/natural-language-processing-nlp-market-101933" TargetMode="External"/><Relationship Id="rId51" Type="http://schemas.openxmlformats.org/officeDocument/2006/relationships/hyperlink" Target="https://headtohealth.gov.au/sam-the-chatbot" TargetMode="External"/><Relationship Id="rId3" Type="http://schemas.openxmlformats.org/officeDocument/2006/relationships/hyperlink" Target="https://www.ncbi.nlm.nih.gov/pmc/articles/PMC31683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44F12-31BE-46AC-BF5D-5E0040CF1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5427</Words>
  <Characters>30934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36289</CharactersWithSpaces>
  <SharedDoc>false</SharedDoc>
  <HyperlinkBase/>
  <HLinks>
    <vt:vector size="390" baseType="variant">
      <vt:variant>
        <vt:i4>2097247</vt:i4>
      </vt:variant>
      <vt:variant>
        <vt:i4>84</vt:i4>
      </vt:variant>
      <vt:variant>
        <vt:i4>0</vt:i4>
      </vt:variant>
      <vt:variant>
        <vt:i4>5</vt:i4>
      </vt:variant>
      <vt:variant>
        <vt:lpwstr>mailto:regfutures@acma.gov.au</vt:lpwstr>
      </vt:variant>
      <vt:variant>
        <vt:lpwstr/>
      </vt:variant>
      <vt:variant>
        <vt:i4>3080315</vt:i4>
      </vt:variant>
      <vt:variant>
        <vt:i4>81</vt:i4>
      </vt:variant>
      <vt:variant>
        <vt:i4>0</vt:i4>
      </vt:variant>
      <vt:variant>
        <vt:i4>5</vt:i4>
      </vt:variant>
      <vt:variant>
        <vt:lpwstr>https://www.itnews.com.au/news/services-australia-chatbot-use-soars-600-percent-during-covid-551218</vt:lpwstr>
      </vt:variant>
      <vt:variant>
        <vt:lpwstr/>
      </vt:variant>
      <vt:variant>
        <vt:i4>5373972</vt:i4>
      </vt:variant>
      <vt:variant>
        <vt:i4>78</vt:i4>
      </vt:variant>
      <vt:variant>
        <vt:i4>0</vt:i4>
      </vt:variant>
      <vt:variant>
        <vt:i4>5</vt:i4>
      </vt:variant>
      <vt:variant>
        <vt:lpwstr>https://www.dta.gov.au/digital-transformation-strategy/digital-transformation-strategy-dashboard/objective-7-advanced-technologies-will-improve-decision-making-and-be-transparent-and-auditable</vt:lpwstr>
      </vt:variant>
      <vt:variant>
        <vt:lpwstr/>
      </vt:variant>
      <vt:variant>
        <vt:i4>5832711</vt:i4>
      </vt:variant>
      <vt:variant>
        <vt:i4>75</vt:i4>
      </vt:variant>
      <vt:variant>
        <vt:i4>0</vt:i4>
      </vt:variant>
      <vt:variant>
        <vt:i4>5</vt:i4>
      </vt:variant>
      <vt:variant>
        <vt:lpwstr>https://www.zdnet.com/article/ip-australias-alex-is-more-than-just-a-chatbot/</vt:lpwstr>
      </vt:variant>
      <vt:variant>
        <vt:lpwstr/>
      </vt:variant>
      <vt:variant>
        <vt:i4>5963776</vt:i4>
      </vt:variant>
      <vt:variant>
        <vt:i4>72</vt:i4>
      </vt:variant>
      <vt:variant>
        <vt:i4>0</vt:i4>
      </vt:variant>
      <vt:variant>
        <vt:i4>5</vt:i4>
      </vt:variant>
      <vt:variant>
        <vt:lpwstr>https://www.acma.gov.au/publications/2020-08/report/artificial-intelligence-communications-and-media-occasional-paper</vt:lpwstr>
      </vt:variant>
      <vt:variant>
        <vt:lpwstr/>
      </vt:variant>
      <vt:variant>
        <vt:i4>983052</vt:i4>
      </vt:variant>
      <vt:variant>
        <vt:i4>69</vt:i4>
      </vt:variant>
      <vt:variant>
        <vt:i4>0</vt:i4>
      </vt:variant>
      <vt:variant>
        <vt:i4>5</vt:i4>
      </vt:variant>
      <vt:variant>
        <vt:lpwstr>https://www.acma.gov.au/research-program</vt:lpwstr>
      </vt:variant>
      <vt:variant>
        <vt:lpwstr/>
      </vt:variant>
      <vt:variant>
        <vt:i4>6225960</vt:i4>
      </vt:variant>
      <vt:variant>
        <vt:i4>3</vt:i4>
      </vt:variant>
      <vt:variant>
        <vt:i4>0</vt:i4>
      </vt:variant>
      <vt:variant>
        <vt:i4>5</vt:i4>
      </vt:variant>
      <vt:variant>
        <vt:lpwstr>mailto:info@acma.gov.au</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5898312</vt:i4>
      </vt:variant>
      <vt:variant>
        <vt:i4>168</vt:i4>
      </vt:variant>
      <vt:variant>
        <vt:i4>0</vt:i4>
      </vt:variant>
      <vt:variant>
        <vt:i4>5</vt:i4>
      </vt:variant>
      <vt:variant>
        <vt:lpwstr>https://www.wolterskluwer.com/en/expert-insights/how-natural-language-processing-impacts-professions</vt:lpwstr>
      </vt:variant>
      <vt:variant>
        <vt:lpwstr/>
      </vt:variant>
      <vt:variant>
        <vt:i4>327708</vt:i4>
      </vt:variant>
      <vt:variant>
        <vt:i4>165</vt:i4>
      </vt:variant>
      <vt:variant>
        <vt:i4>0</vt:i4>
      </vt:variant>
      <vt:variant>
        <vt:i4>5</vt:i4>
      </vt:variant>
      <vt:variant>
        <vt:lpwstr>https://arxiv.org/abs/1707.00061</vt:lpwstr>
      </vt:variant>
      <vt:variant>
        <vt:lpwstr/>
      </vt:variant>
      <vt:variant>
        <vt:i4>917587</vt:i4>
      </vt:variant>
      <vt:variant>
        <vt:i4>162</vt:i4>
      </vt:variant>
      <vt:variant>
        <vt:i4>0</vt:i4>
      </vt:variant>
      <vt:variant>
        <vt:i4>5</vt:i4>
      </vt:variant>
      <vt:variant>
        <vt:lpwstr>https://www.treasury.nsw.gov.au/sites/default/files/2020-07/FINAL Treasury report 210720.pdf</vt:lpwstr>
      </vt:variant>
      <vt:variant>
        <vt:lpwstr/>
      </vt:variant>
      <vt:variant>
        <vt:i4>3735589</vt:i4>
      </vt:variant>
      <vt:variant>
        <vt:i4>159</vt:i4>
      </vt:variant>
      <vt:variant>
        <vt:i4>0</vt:i4>
      </vt:variant>
      <vt:variant>
        <vt:i4>5</vt:i4>
      </vt:variant>
      <vt:variant>
        <vt:lpwstr>https://www.regulatoryexplorer.com/landing</vt:lpwstr>
      </vt:variant>
      <vt:variant>
        <vt:lpwstr/>
      </vt:variant>
      <vt:variant>
        <vt:i4>5832711</vt:i4>
      </vt:variant>
      <vt:variant>
        <vt:i4>156</vt:i4>
      </vt:variant>
      <vt:variant>
        <vt:i4>0</vt:i4>
      </vt:variant>
      <vt:variant>
        <vt:i4>5</vt:i4>
      </vt:variant>
      <vt:variant>
        <vt:lpwstr>https://www.zdnet.com/article/ip-australias-alex-is-more-than-just-a-chatbot/</vt:lpwstr>
      </vt:variant>
      <vt:variant>
        <vt:lpwstr/>
      </vt:variant>
      <vt:variant>
        <vt:i4>2818100</vt:i4>
      </vt:variant>
      <vt:variant>
        <vt:i4>153</vt:i4>
      </vt:variant>
      <vt:variant>
        <vt:i4>0</vt:i4>
      </vt:variant>
      <vt:variant>
        <vt:i4>5</vt:i4>
      </vt:variant>
      <vt:variant>
        <vt:lpwstr>https://www.ipaustralia.gov.au/</vt:lpwstr>
      </vt:variant>
      <vt:variant>
        <vt:lpwstr/>
      </vt:variant>
      <vt:variant>
        <vt:i4>3866677</vt:i4>
      </vt:variant>
      <vt:variant>
        <vt:i4>150</vt:i4>
      </vt:variant>
      <vt:variant>
        <vt:i4>0</vt:i4>
      </vt:variant>
      <vt:variant>
        <vt:i4>5</vt:i4>
      </vt:variant>
      <vt:variant>
        <vt:lpwstr>https://headtohealth.gov.au/sam-the-chatbot</vt:lpwstr>
      </vt:variant>
      <vt:variant>
        <vt:lpwstr/>
      </vt:variant>
      <vt:variant>
        <vt:i4>5373972</vt:i4>
      </vt:variant>
      <vt:variant>
        <vt:i4>147</vt:i4>
      </vt:variant>
      <vt:variant>
        <vt:i4>0</vt:i4>
      </vt:variant>
      <vt:variant>
        <vt:i4>5</vt:i4>
      </vt:variant>
      <vt:variant>
        <vt:lpwstr>https://www.dta.gov.au/digital-transformation-strategy/digital-transformation-strategy-dashboard/objective-7-advanced-technologies-will-improve-decision-making-and-be-transparent-and-auditable</vt:lpwstr>
      </vt:variant>
      <vt:variant>
        <vt:lpwstr/>
      </vt:variant>
      <vt:variant>
        <vt:i4>6881395</vt:i4>
      </vt:variant>
      <vt:variant>
        <vt:i4>144</vt:i4>
      </vt:variant>
      <vt:variant>
        <vt:i4>0</vt:i4>
      </vt:variant>
      <vt:variant>
        <vt:i4>5</vt:i4>
      </vt:variant>
      <vt:variant>
        <vt:lpwstr>https://www.industry.gov.au/sites/default/files/May 2018/document/pdf/australia-2030-prosperity-through-innovation-full-report.pdf?acsf_files_redirect</vt:lpwstr>
      </vt:variant>
      <vt:variant>
        <vt:lpwstr/>
      </vt:variant>
      <vt:variant>
        <vt:i4>4522051</vt:i4>
      </vt:variant>
      <vt:variant>
        <vt:i4>141</vt:i4>
      </vt:variant>
      <vt:variant>
        <vt:i4>0</vt:i4>
      </vt:variant>
      <vt:variant>
        <vt:i4>5</vt:i4>
      </vt:variant>
      <vt:variant>
        <vt:lpwstr>https://azure.microsoft.com/en-au/services/cognitive-services/text-analytics/</vt:lpwstr>
      </vt:variant>
      <vt:variant>
        <vt:lpwstr/>
      </vt:variant>
      <vt:variant>
        <vt:i4>4522051</vt:i4>
      </vt:variant>
      <vt:variant>
        <vt:i4>138</vt:i4>
      </vt:variant>
      <vt:variant>
        <vt:i4>0</vt:i4>
      </vt:variant>
      <vt:variant>
        <vt:i4>5</vt:i4>
      </vt:variant>
      <vt:variant>
        <vt:lpwstr>https://azure.microsoft.com/en-au/services/cognitive-services/text-analytics/</vt:lpwstr>
      </vt:variant>
      <vt:variant>
        <vt:lpwstr/>
      </vt:variant>
      <vt:variant>
        <vt:i4>4456525</vt:i4>
      </vt:variant>
      <vt:variant>
        <vt:i4>135</vt:i4>
      </vt:variant>
      <vt:variant>
        <vt:i4>0</vt:i4>
      </vt:variant>
      <vt:variant>
        <vt:i4>5</vt:i4>
      </vt:variant>
      <vt:variant>
        <vt:lpwstr>https://www.nuix.com/nuix-discover-continuous-active-learning</vt:lpwstr>
      </vt:variant>
      <vt:variant>
        <vt:lpwstr/>
      </vt:variant>
      <vt:variant>
        <vt:i4>3014783</vt:i4>
      </vt:variant>
      <vt:variant>
        <vt:i4>132</vt:i4>
      </vt:variant>
      <vt:variant>
        <vt:i4>0</vt:i4>
      </vt:variant>
      <vt:variant>
        <vt:i4>5</vt:i4>
      </vt:variant>
      <vt:variant>
        <vt:lpwstr>https://www.ringtail.com/documentation/ringtail-9.9/user/map/about-map/about-concepts-clusters-map</vt:lpwstr>
      </vt:variant>
      <vt:variant>
        <vt:lpwstr/>
      </vt:variant>
      <vt:variant>
        <vt:i4>5701638</vt:i4>
      </vt:variant>
      <vt:variant>
        <vt:i4>129</vt:i4>
      </vt:variant>
      <vt:variant>
        <vt:i4>0</vt:i4>
      </vt:variant>
      <vt:variant>
        <vt:i4>5</vt:i4>
      </vt:variant>
      <vt:variant>
        <vt:lpwstr>https://www.nuix.com/solutions/ediscovery</vt:lpwstr>
      </vt:variant>
      <vt:variant>
        <vt:lpwstr/>
      </vt:variant>
      <vt:variant>
        <vt:i4>7929909</vt:i4>
      </vt:variant>
      <vt:variant>
        <vt:i4>126</vt:i4>
      </vt:variant>
      <vt:variant>
        <vt:i4>0</vt:i4>
      </vt:variant>
      <vt:variant>
        <vt:i4>5</vt:i4>
      </vt:variant>
      <vt:variant>
        <vt:lpwstr>https://www.nuix.com/products/nuixdiscover</vt:lpwstr>
      </vt:variant>
      <vt:variant>
        <vt:lpwstr/>
      </vt:variant>
      <vt:variant>
        <vt:i4>5963856</vt:i4>
      </vt:variant>
      <vt:variant>
        <vt:i4>123</vt:i4>
      </vt:variant>
      <vt:variant>
        <vt:i4>0</vt:i4>
      </vt:variant>
      <vt:variant>
        <vt:i4>5</vt:i4>
      </vt:variant>
      <vt:variant>
        <vt:lpwstr>https://asic.gov.au/for-business/innovation-hub/asic-and-regtech/asic-regtech-initiative-series-2018-19/regtech-life-insurance-sales-calls-voice-analytics-and-voice-to-text-trial-and-symposium/</vt:lpwstr>
      </vt:variant>
      <vt:variant>
        <vt:lpwstr/>
      </vt:variant>
      <vt:variant>
        <vt:i4>3670119</vt:i4>
      </vt:variant>
      <vt:variant>
        <vt:i4>120</vt:i4>
      </vt:variant>
      <vt:variant>
        <vt:i4>0</vt:i4>
      </vt:variant>
      <vt:variant>
        <vt:i4>5</vt:i4>
      </vt:variant>
      <vt:variant>
        <vt:lpwstr>https://asic.gov.au/for-business/innovation-hub/asic-and-regtech/asic-regtech-initiative-series-2018-19/regtech-financial-advice-files-demonstration-and-symposium/</vt:lpwstr>
      </vt:variant>
      <vt:variant>
        <vt:lpwstr/>
      </vt:variant>
      <vt:variant>
        <vt:i4>720926</vt:i4>
      </vt:variant>
      <vt:variant>
        <vt:i4>117</vt:i4>
      </vt:variant>
      <vt:variant>
        <vt:i4>0</vt:i4>
      </vt:variant>
      <vt:variant>
        <vt:i4>5</vt:i4>
      </vt:variant>
      <vt:variant>
        <vt:lpwstr>https://asic.gov.au/for-business/innovation-hub/asic-and-regtech/asic-regtech-initiative-series-2018-19/regtech-monitoring-financial-promotions-demonstration-and-symposium/</vt:lpwstr>
      </vt:variant>
      <vt:variant>
        <vt:lpwstr/>
      </vt:variant>
      <vt:variant>
        <vt:i4>5505045</vt:i4>
      </vt:variant>
      <vt:variant>
        <vt:i4>114</vt:i4>
      </vt:variant>
      <vt:variant>
        <vt:i4>0</vt:i4>
      </vt:variant>
      <vt:variant>
        <vt:i4>5</vt:i4>
      </vt:variant>
      <vt:variant>
        <vt:lpwstr>https://asic.gov.au/for-business/innovation-hub/asic-and-regtech/asic-regtech-initiative-series-2018-19/</vt:lpwstr>
      </vt:variant>
      <vt:variant>
        <vt:lpwstr/>
      </vt:variant>
      <vt:variant>
        <vt:i4>8126506</vt:i4>
      </vt:variant>
      <vt:variant>
        <vt:i4>111</vt:i4>
      </vt:variant>
      <vt:variant>
        <vt:i4>0</vt:i4>
      </vt:variant>
      <vt:variant>
        <vt:i4>5</vt:i4>
      </vt:variant>
      <vt:variant>
        <vt:lpwstr>https://dataingovernment.blog.gov.uk/2016/12/20/using-machine-learning-to-classify-user-comments-on-gov-uk/</vt:lpwstr>
      </vt:variant>
      <vt:variant>
        <vt:lpwstr/>
      </vt:variant>
      <vt:variant>
        <vt:i4>655380</vt:i4>
      </vt:variant>
      <vt:variant>
        <vt:i4>108</vt:i4>
      </vt:variant>
      <vt:variant>
        <vt:i4>0</vt:i4>
      </vt:variant>
      <vt:variant>
        <vt:i4>5</vt:i4>
      </vt:variant>
      <vt:variant>
        <vt:lpwstr>https://arxiv.org/abs/1911.06197</vt:lpwstr>
      </vt:variant>
      <vt:variant>
        <vt:lpwstr/>
      </vt:variant>
      <vt:variant>
        <vt:i4>3539057</vt:i4>
      </vt:variant>
      <vt:variant>
        <vt:i4>105</vt:i4>
      </vt:variant>
      <vt:variant>
        <vt:i4>0</vt:i4>
      </vt:variant>
      <vt:variant>
        <vt:i4>5</vt:i4>
      </vt:variant>
      <vt:variant>
        <vt:lpwstr>https://dataingovernment.blog.gov.uk/2019/06/14/natural-language-processing-in-government/</vt:lpwstr>
      </vt:variant>
      <vt:variant>
        <vt:lpwstr/>
      </vt:variant>
      <vt:variant>
        <vt:i4>4259864</vt:i4>
      </vt:variant>
      <vt:variant>
        <vt:i4>102</vt:i4>
      </vt:variant>
      <vt:variant>
        <vt:i4>0</vt:i4>
      </vt:variant>
      <vt:variant>
        <vt:i4>5</vt:i4>
      </vt:variant>
      <vt:variant>
        <vt:lpwstr>https://medium.com/luisfredgs/automatic-text-summarization-with-machine-learning-an-overview-68ded5717a25</vt:lpwstr>
      </vt:variant>
      <vt:variant>
        <vt:lpwstr/>
      </vt:variant>
      <vt:variant>
        <vt:i4>7798827</vt:i4>
      </vt:variant>
      <vt:variant>
        <vt:i4>99</vt:i4>
      </vt:variant>
      <vt:variant>
        <vt:i4>0</vt:i4>
      </vt:variant>
      <vt:variant>
        <vt:i4>5</vt:i4>
      </vt:variant>
      <vt:variant>
        <vt:lpwstr>https://www.lexalytics.com/technology/summarization</vt:lpwstr>
      </vt:variant>
      <vt:variant>
        <vt:lpwstr/>
      </vt:variant>
      <vt:variant>
        <vt:i4>327746</vt:i4>
      </vt:variant>
      <vt:variant>
        <vt:i4>96</vt:i4>
      </vt:variant>
      <vt:variant>
        <vt:i4>0</vt:i4>
      </vt:variant>
      <vt:variant>
        <vt:i4>5</vt:i4>
      </vt:variant>
      <vt:variant>
        <vt:lpwstr>https://www.accenture.com/us-en/blogs/search-and-content-analytics-blog/intelligent-document-analysis-nlp</vt:lpwstr>
      </vt:variant>
      <vt:variant>
        <vt:lpwstr/>
      </vt:variant>
      <vt:variant>
        <vt:i4>3014756</vt:i4>
      </vt:variant>
      <vt:variant>
        <vt:i4>93</vt:i4>
      </vt:variant>
      <vt:variant>
        <vt:i4>0</vt:i4>
      </vt:variant>
      <vt:variant>
        <vt:i4>5</vt:i4>
      </vt:variant>
      <vt:variant>
        <vt:lpwstr>https://www.elderresearch.com/blog/natural-language-processing-for-regtech-uncovering-hidden-patterns-in-regulatory-documents/</vt:lpwstr>
      </vt:variant>
      <vt:variant>
        <vt:lpwstr>:~:text=Natural%20language%20processing%20(NLP)%20is,are%20a%20product%20of%20NLP.&amp;text=NLP%20is%20also%20a%20key%20part%20of%20Elder%20Research's%20approach%20to%20RegTech.</vt:lpwstr>
      </vt:variant>
      <vt:variant>
        <vt:i4>1769493</vt:i4>
      </vt:variant>
      <vt:variant>
        <vt:i4>90</vt:i4>
      </vt:variant>
      <vt:variant>
        <vt:i4>0</vt:i4>
      </vt:variant>
      <vt:variant>
        <vt:i4>5</vt:i4>
      </vt:variant>
      <vt:variant>
        <vt:lpwstr>https://ieeexplore.ieee.org/document/8554831</vt:lpwstr>
      </vt:variant>
      <vt:variant>
        <vt:lpwstr/>
      </vt:variant>
      <vt:variant>
        <vt:i4>327691</vt:i4>
      </vt:variant>
      <vt:variant>
        <vt:i4>87</vt:i4>
      </vt:variant>
      <vt:variant>
        <vt:i4>0</vt:i4>
      </vt:variant>
      <vt:variant>
        <vt:i4>5</vt:i4>
      </vt:variant>
      <vt:variant>
        <vt:lpwstr>https://www.wired.com/story/bots-broke-fcc-public-comment-system/</vt:lpwstr>
      </vt:variant>
      <vt:variant>
        <vt:lpwstr/>
      </vt:variant>
      <vt:variant>
        <vt:i4>6750311</vt:i4>
      </vt:variant>
      <vt:variant>
        <vt:i4>84</vt:i4>
      </vt:variant>
      <vt:variant>
        <vt:i4>0</vt:i4>
      </vt:variant>
      <vt:variant>
        <vt:i4>5</vt:i4>
      </vt:variant>
      <vt:variant>
        <vt:lpwstr>https://www.citizenlab.co/case-studies-en/youth4climate</vt:lpwstr>
      </vt:variant>
      <vt:variant>
        <vt:lpwstr/>
      </vt:variant>
      <vt:variant>
        <vt:i4>6750304</vt:i4>
      </vt:variant>
      <vt:variant>
        <vt:i4>81</vt:i4>
      </vt:variant>
      <vt:variant>
        <vt:i4>0</vt:i4>
      </vt:variant>
      <vt:variant>
        <vt:i4>5</vt:i4>
      </vt:variant>
      <vt:variant>
        <vt:lpwstr>https://datasciencecampus.github.io/projects/DSC-73-Analysis-of-consultation-results-for-the-Department-of-International-Trade/</vt:lpwstr>
      </vt:variant>
      <vt:variant>
        <vt:lpwstr/>
      </vt:variant>
      <vt:variant>
        <vt:i4>2555957</vt:i4>
      </vt:variant>
      <vt:variant>
        <vt:i4>78</vt:i4>
      </vt:variant>
      <vt:variant>
        <vt:i4>0</vt:i4>
      </vt:variant>
      <vt:variant>
        <vt:i4>5</vt:i4>
      </vt:variant>
      <vt:variant>
        <vt:lpwstr>https://datasciencecampus.ons.gov.uk/projects/automating-consultation-analysis/</vt:lpwstr>
      </vt:variant>
      <vt:variant>
        <vt:lpwstr/>
      </vt:variant>
      <vt:variant>
        <vt:i4>3539057</vt:i4>
      </vt:variant>
      <vt:variant>
        <vt:i4>75</vt:i4>
      </vt:variant>
      <vt:variant>
        <vt:i4>0</vt:i4>
      </vt:variant>
      <vt:variant>
        <vt:i4>5</vt:i4>
      </vt:variant>
      <vt:variant>
        <vt:lpwstr>https://dataingovernment.blog.gov.uk/2019/06/14/natural-language-processing-in-government/</vt:lpwstr>
      </vt:variant>
      <vt:variant>
        <vt:lpwstr/>
      </vt:variant>
      <vt:variant>
        <vt:i4>1835027</vt:i4>
      </vt:variant>
      <vt:variant>
        <vt:i4>72</vt:i4>
      </vt:variant>
      <vt:variant>
        <vt:i4>0</vt:i4>
      </vt:variant>
      <vt:variant>
        <vt:i4>5</vt:i4>
      </vt:variant>
      <vt:variant>
        <vt:lpwstr>https://www2.deloitte.com/us/en/insights/focus/cognitive-technologies/natural-language-processing-examples-in-government-data.html/</vt:lpwstr>
      </vt:variant>
      <vt:variant>
        <vt:lpwstr>endnote-sup-15</vt:lpwstr>
      </vt:variant>
      <vt:variant>
        <vt:i4>3997818</vt:i4>
      </vt:variant>
      <vt:variant>
        <vt:i4>69</vt:i4>
      </vt:variant>
      <vt:variant>
        <vt:i4>0</vt:i4>
      </vt:variant>
      <vt:variant>
        <vt:i4>5</vt:i4>
      </vt:variant>
      <vt:variant>
        <vt:lpwstr>https://dataingovernment.blog.gov.uk/2016/11/09/understanding-more-from-user-feedback/</vt:lpwstr>
      </vt:variant>
      <vt:variant>
        <vt:lpwstr/>
      </vt:variant>
      <vt:variant>
        <vt:i4>1048586</vt:i4>
      </vt:variant>
      <vt:variant>
        <vt:i4>66</vt:i4>
      </vt:variant>
      <vt:variant>
        <vt:i4>0</vt:i4>
      </vt:variant>
      <vt:variant>
        <vt:i4>5</vt:i4>
      </vt:variant>
      <vt:variant>
        <vt:lpwstr>https://dictionary.cambridge.org/dictionary/english/lemmatization</vt:lpwstr>
      </vt:variant>
      <vt:variant>
        <vt:lpwstr/>
      </vt:variant>
      <vt:variant>
        <vt:i4>8192103</vt:i4>
      </vt:variant>
      <vt:variant>
        <vt:i4>63</vt:i4>
      </vt:variant>
      <vt:variant>
        <vt:i4>0</vt:i4>
      </vt:variant>
      <vt:variant>
        <vt:i4>5</vt:i4>
      </vt:variant>
      <vt:variant>
        <vt:lpwstr>https://www.lexalytics.com/resources/Lexalytics-WP-Context.pdf</vt:lpwstr>
      </vt:variant>
      <vt:variant>
        <vt:lpwstr/>
      </vt:variant>
      <vt:variant>
        <vt:i4>2621482</vt:i4>
      </vt:variant>
      <vt:variant>
        <vt:i4>60</vt:i4>
      </vt:variant>
      <vt:variant>
        <vt:i4>0</vt:i4>
      </vt:variant>
      <vt:variant>
        <vt:i4>5</vt:i4>
      </vt:variant>
      <vt:variant>
        <vt:lpwstr>https://www2.deloitte.com/us/en/insights/focus/cognitive-technologies/natural-language-processing-examples-in-government-data.html</vt:lpwstr>
      </vt:variant>
      <vt:variant>
        <vt:lpwstr/>
      </vt:variant>
      <vt:variant>
        <vt:i4>5242970</vt:i4>
      </vt:variant>
      <vt:variant>
        <vt:i4>57</vt:i4>
      </vt:variant>
      <vt:variant>
        <vt:i4>0</vt:i4>
      </vt:variant>
      <vt:variant>
        <vt:i4>5</vt:i4>
      </vt:variant>
      <vt:variant>
        <vt:lpwstr>https://www.cambridge.org/core/journals/natural-language-engineering/article/nlp-commercialisation-in-the-last-25-years/ECC5887188379FC218E00664767CD2B2</vt:lpwstr>
      </vt:variant>
      <vt:variant>
        <vt:lpwstr/>
      </vt:variant>
      <vt:variant>
        <vt:i4>2621482</vt:i4>
      </vt:variant>
      <vt:variant>
        <vt:i4>54</vt:i4>
      </vt:variant>
      <vt:variant>
        <vt:i4>0</vt:i4>
      </vt:variant>
      <vt:variant>
        <vt:i4>5</vt:i4>
      </vt:variant>
      <vt:variant>
        <vt:lpwstr>https://www2.deloitte.com/us/en/insights/focus/cognitive-technologies/natural-language-processing-examples-in-government-data.html</vt:lpwstr>
      </vt:variant>
      <vt:variant>
        <vt:lpwstr/>
      </vt:variant>
      <vt:variant>
        <vt:i4>1704009</vt:i4>
      </vt:variant>
      <vt:variant>
        <vt:i4>51</vt:i4>
      </vt:variant>
      <vt:variant>
        <vt:i4>0</vt:i4>
      </vt:variant>
      <vt:variant>
        <vt:i4>5</vt:i4>
      </vt:variant>
      <vt:variant>
        <vt:lpwstr>https://www.ncbi.nlm.nih.gov/pmc/articles/PMC3168328/</vt:lpwstr>
      </vt:variant>
      <vt:variant>
        <vt:lpwstr/>
      </vt:variant>
      <vt:variant>
        <vt:i4>7798805</vt:i4>
      </vt:variant>
      <vt:variant>
        <vt:i4>48</vt:i4>
      </vt:variant>
      <vt:variant>
        <vt:i4>0</vt:i4>
      </vt:variant>
      <vt:variant>
        <vt:i4>5</vt:i4>
      </vt:variant>
      <vt:variant>
        <vt:lpwstr>https://www.sas.com/en_au/insights/analytics/what-is-natural-language-processing-nlp.html</vt:lpwstr>
      </vt:variant>
      <vt:variant>
        <vt:lpwstr>methods</vt:lpwstr>
      </vt:variant>
      <vt:variant>
        <vt:i4>3670052</vt:i4>
      </vt:variant>
      <vt:variant>
        <vt:i4>45</vt:i4>
      </vt:variant>
      <vt:variant>
        <vt:i4>0</vt:i4>
      </vt:variant>
      <vt:variant>
        <vt:i4>5</vt:i4>
      </vt:variant>
      <vt:variant>
        <vt:lpwstr>https://www.kdnuggets.com/2019/07/nlp-vs-nlu-understanding-language-processing.html</vt:lpwstr>
      </vt:variant>
      <vt:variant>
        <vt:lpwstr/>
      </vt:variant>
      <vt:variant>
        <vt:i4>5111876</vt:i4>
      </vt:variant>
      <vt:variant>
        <vt:i4>42</vt:i4>
      </vt:variant>
      <vt:variant>
        <vt:i4>0</vt:i4>
      </vt:variant>
      <vt:variant>
        <vt:i4>5</vt:i4>
      </vt:variant>
      <vt:variant>
        <vt:lpwstr>https://research.netflix.com/business-area/personalization-and-search</vt:lpwstr>
      </vt:variant>
      <vt:variant>
        <vt:lpwstr/>
      </vt:variant>
      <vt:variant>
        <vt:i4>7733283</vt:i4>
      </vt:variant>
      <vt:variant>
        <vt:i4>39</vt:i4>
      </vt:variant>
      <vt:variant>
        <vt:i4>0</vt:i4>
      </vt:variant>
      <vt:variant>
        <vt:i4>5</vt:i4>
      </vt:variant>
      <vt:variant>
        <vt:lpwstr>https://help.netflix.com/en/node/100639</vt:lpwstr>
      </vt:variant>
      <vt:variant>
        <vt:lpwstr/>
      </vt:variant>
      <vt:variant>
        <vt:i4>7471136</vt:i4>
      </vt:variant>
      <vt:variant>
        <vt:i4>36</vt:i4>
      </vt:variant>
      <vt:variant>
        <vt:i4>0</vt:i4>
      </vt:variant>
      <vt:variant>
        <vt:i4>5</vt:i4>
      </vt:variant>
      <vt:variant>
        <vt:lpwstr>https://ai.facebook.com/blog/heres-how-were-using-ai-to-help-detect-misinformation/</vt:lpwstr>
      </vt:variant>
      <vt:variant>
        <vt:lpwstr/>
      </vt:variant>
      <vt:variant>
        <vt:i4>393301</vt:i4>
      </vt:variant>
      <vt:variant>
        <vt:i4>33</vt:i4>
      </vt:variant>
      <vt:variant>
        <vt:i4>0</vt:i4>
      </vt:variant>
      <vt:variant>
        <vt:i4>5</vt:i4>
      </vt:variant>
      <vt:variant>
        <vt:lpwstr>https://www.vodafone.co.uk/help-and-information/introducing-tobi</vt:lpwstr>
      </vt:variant>
      <vt:variant>
        <vt:lpwstr/>
      </vt:variant>
      <vt:variant>
        <vt:i4>3539058</vt:i4>
      </vt:variant>
      <vt:variant>
        <vt:i4>30</vt:i4>
      </vt:variant>
      <vt:variant>
        <vt:i4>0</vt:i4>
      </vt:variant>
      <vt:variant>
        <vt:i4>5</vt:i4>
      </vt:variant>
      <vt:variant>
        <vt:lpwstr>https://www.vodafone.com/news/public-policy/vodafone-launches-artificial-intelligence-framework</vt:lpwstr>
      </vt:variant>
      <vt:variant>
        <vt:lpwstr/>
      </vt:variant>
      <vt:variant>
        <vt:i4>2752562</vt:i4>
      </vt:variant>
      <vt:variant>
        <vt:i4>27</vt:i4>
      </vt:variant>
      <vt:variant>
        <vt:i4>0</vt:i4>
      </vt:variant>
      <vt:variant>
        <vt:i4>5</vt:i4>
      </vt:variant>
      <vt:variant>
        <vt:lpwstr>https://www.optus.com.au/about/media-centre/media-releases/2020/07/optus-assistant-chatbot-surpasses-two-million-conversations</vt:lpwstr>
      </vt:variant>
      <vt:variant>
        <vt:lpwstr/>
      </vt:variant>
      <vt:variant>
        <vt:i4>3211362</vt:i4>
      </vt:variant>
      <vt:variant>
        <vt:i4>24</vt:i4>
      </vt:variant>
      <vt:variant>
        <vt:i4>0</vt:i4>
      </vt:variant>
      <vt:variant>
        <vt:i4>5</vt:i4>
      </vt:variant>
      <vt:variant>
        <vt:lpwstr>https://www.telstra.com.au/codi</vt:lpwstr>
      </vt:variant>
      <vt:variant>
        <vt:lpwstr/>
      </vt:variant>
      <vt:variant>
        <vt:i4>6619184</vt:i4>
      </vt:variant>
      <vt:variant>
        <vt:i4>21</vt:i4>
      </vt:variant>
      <vt:variant>
        <vt:i4>0</vt:i4>
      </vt:variant>
      <vt:variant>
        <vt:i4>5</vt:i4>
      </vt:variant>
      <vt:variant>
        <vt:lpwstr>https://www.fortunebusinessinsights.com/industry-reports/natural-language-processing-nlp-market-101933</vt:lpwstr>
      </vt:variant>
      <vt:variant>
        <vt:lpwstr/>
      </vt:variant>
      <vt:variant>
        <vt:i4>4653059</vt:i4>
      </vt:variant>
      <vt:variant>
        <vt:i4>18</vt:i4>
      </vt:variant>
      <vt:variant>
        <vt:i4>0</vt:i4>
      </vt:variant>
      <vt:variant>
        <vt:i4>5</vt:i4>
      </vt:variant>
      <vt:variant>
        <vt:lpwstr>https://www.statista.com/statistics/607891/worldwide-natural-language-processing-market-revenues/</vt:lpwstr>
      </vt:variant>
      <vt:variant>
        <vt:lpwstr/>
      </vt:variant>
      <vt:variant>
        <vt:i4>4980748</vt:i4>
      </vt:variant>
      <vt:variant>
        <vt:i4>15</vt:i4>
      </vt:variant>
      <vt:variant>
        <vt:i4>0</vt:i4>
      </vt:variant>
      <vt:variant>
        <vt:i4>5</vt:i4>
      </vt:variant>
      <vt:variant>
        <vt:lpwstr>https://www.brookings.edu/research/what-is-machine-learning/</vt:lpwstr>
      </vt:variant>
      <vt:variant>
        <vt:lpwstr/>
      </vt:variant>
      <vt:variant>
        <vt:i4>5177454</vt:i4>
      </vt:variant>
      <vt:variant>
        <vt:i4>12</vt:i4>
      </vt:variant>
      <vt:variant>
        <vt:i4>0</vt:i4>
      </vt:variant>
      <vt:variant>
        <vt:i4>5</vt:i4>
      </vt:variant>
      <vt:variant>
        <vt:lpwstr>https://www.oecd-ilibrary.org/science-and-technology/artificial-intelligence-in-society_eedfee77-en</vt:lpwstr>
      </vt:variant>
      <vt:variant>
        <vt:lpwstr/>
      </vt:variant>
      <vt:variant>
        <vt:i4>6946930</vt:i4>
      </vt:variant>
      <vt:variant>
        <vt:i4>9</vt:i4>
      </vt:variant>
      <vt:variant>
        <vt:i4>0</vt:i4>
      </vt:variant>
      <vt:variant>
        <vt:i4>5</vt:i4>
      </vt:variant>
      <vt:variant>
        <vt:lpwstr>https://news.mit.edu/2017/explained-neural-networks-deep-learning-0414</vt:lpwstr>
      </vt:variant>
      <vt:variant>
        <vt:lpwstr/>
      </vt:variant>
      <vt:variant>
        <vt:i4>1704009</vt:i4>
      </vt:variant>
      <vt:variant>
        <vt:i4>6</vt:i4>
      </vt:variant>
      <vt:variant>
        <vt:i4>0</vt:i4>
      </vt:variant>
      <vt:variant>
        <vt:i4>5</vt:i4>
      </vt:variant>
      <vt:variant>
        <vt:lpwstr>https://www.ncbi.nlm.nih.gov/pmc/articles/PMC3168328/</vt:lpwstr>
      </vt:variant>
      <vt:variant>
        <vt:lpwstr/>
      </vt:variant>
      <vt:variant>
        <vt:i4>7012407</vt:i4>
      </vt:variant>
      <vt:variant>
        <vt:i4>3</vt:i4>
      </vt:variant>
      <vt:variant>
        <vt:i4>0</vt:i4>
      </vt:variant>
      <vt:variant>
        <vt:i4>5</vt:i4>
      </vt:variant>
      <vt:variant>
        <vt:lpwstr>https://www.accenture.com/au-en/insights/applied-intelligence/artificial-intelligence-glossary</vt:lpwstr>
      </vt:variant>
      <vt:variant>
        <vt:lpwstr/>
      </vt:variant>
      <vt:variant>
        <vt:i4>720971</vt:i4>
      </vt:variant>
      <vt:variant>
        <vt:i4>0</vt:i4>
      </vt:variant>
      <vt:variant>
        <vt:i4>0</vt:i4>
      </vt:variant>
      <vt:variant>
        <vt:i4>5</vt:i4>
      </vt:variant>
      <vt:variant>
        <vt:lpwstr>https://lirneasia.net/2019/04/natural-language-processing-for-government-problems-and-potential/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2021-06-03T21:21:00Z</dcterms:created>
  <dcterms:modified xsi:type="dcterms:W3CDTF">2021-06-03T21:22:00Z</dcterms:modified>
  <cp:category/>
</cp:coreProperties>
</file>